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lang w:val="en-GB"/>
        </w:rPr>
        <w:id w:val="404115394"/>
        <w:docPartObj>
          <w:docPartGallery w:val="Cover Pages"/>
          <w:docPartUnique/>
        </w:docPartObj>
      </w:sdtPr>
      <w:sdtEndPr>
        <w:rPr>
          <w:caps w:val="0"/>
          <w:color w:val="404040" w:themeColor="text1" w:themeTint="BF"/>
          <w:spacing w:val="-10"/>
          <w:kern w:val="28"/>
          <w:sz w:val="140"/>
          <w:szCs w:val="140"/>
        </w:rPr>
      </w:sdtEndPr>
      <w:sdtContent>
        <w:tbl>
          <w:tblPr>
            <w:tblW w:w="5000" w:type="pct"/>
            <w:jc w:val="center"/>
            <w:tblLook w:val="04A0" w:firstRow="1" w:lastRow="0" w:firstColumn="1" w:lastColumn="0" w:noHBand="0" w:noVBand="1"/>
          </w:tblPr>
          <w:tblGrid>
            <w:gridCol w:w="8306"/>
          </w:tblGrid>
          <w:tr w:rsidR="00BC5405">
            <w:trPr>
              <w:trHeight w:val="2880"/>
              <w:jc w:val="center"/>
            </w:trPr>
            <w:tc>
              <w:tcPr>
                <w:tcW w:w="5000" w:type="pct"/>
              </w:tcPr>
              <w:p w:rsidR="00BC5405" w:rsidRPr="00BC5405" w:rsidRDefault="00BC5405" w:rsidP="00BC5405">
                <w:pPr>
                  <w:pStyle w:val="NoSpacing"/>
                  <w:jc w:val="center"/>
                  <w:rPr>
                    <w:rFonts w:asciiTheme="majorHAnsi" w:eastAsiaTheme="majorEastAsia" w:hAnsiTheme="majorHAnsi" w:cstheme="majorBidi"/>
                    <w:b/>
                    <w:caps/>
                  </w:rPr>
                </w:pPr>
                <w:r w:rsidRPr="00BC5405">
                  <w:rPr>
                    <w:rFonts w:asciiTheme="majorHAnsi" w:eastAsiaTheme="majorEastAsia" w:hAnsiTheme="majorHAnsi" w:cstheme="majorBidi"/>
                    <w:b/>
                    <w:caps/>
                  </w:rPr>
                  <w:t>institute of advanced legal studies</w:t>
                </w:r>
              </w:p>
              <w:p w:rsidR="00BC5405" w:rsidRDefault="00BC5405" w:rsidP="00BC5405">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school of advanced study</w:t>
                </w:r>
              </w:p>
              <w:p w:rsidR="00DD2957" w:rsidRDefault="00BC5405" w:rsidP="00BC5405">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university of london</w:t>
                </w:r>
              </w:p>
              <w:p w:rsidR="00DD2957" w:rsidRPr="00DD2957" w:rsidRDefault="00DD2957" w:rsidP="00DD2957">
                <w:pPr>
                  <w:rPr>
                    <w:lang w:val="en-US"/>
                  </w:rPr>
                </w:pPr>
              </w:p>
              <w:p w:rsidR="00DD2957" w:rsidRPr="00DD2957" w:rsidRDefault="00DD2957" w:rsidP="00DD2957">
                <w:pPr>
                  <w:rPr>
                    <w:lang w:val="en-US"/>
                  </w:rPr>
                </w:pPr>
              </w:p>
              <w:p w:rsidR="00DD2957" w:rsidRDefault="00DD2957" w:rsidP="00DD2957">
                <w:pPr>
                  <w:rPr>
                    <w:lang w:val="en-US"/>
                  </w:rPr>
                </w:pPr>
              </w:p>
              <w:p w:rsidR="00C7625F" w:rsidRDefault="00C7625F" w:rsidP="00DD2957">
                <w:pPr>
                  <w:rPr>
                    <w:lang w:val="en-US"/>
                  </w:rPr>
                </w:pPr>
              </w:p>
              <w:p w:rsidR="00C7625F" w:rsidRDefault="00C7625F" w:rsidP="00DD2957">
                <w:pPr>
                  <w:rPr>
                    <w:lang w:val="en-US"/>
                  </w:rPr>
                </w:pPr>
              </w:p>
              <w:p w:rsidR="00BC5405" w:rsidRDefault="00BC5405" w:rsidP="00DD2957">
                <w:pPr>
                  <w:tabs>
                    <w:tab w:val="left" w:pos="3480"/>
                  </w:tabs>
                  <w:rPr>
                    <w:lang w:val="en-US"/>
                  </w:rPr>
                </w:pPr>
              </w:p>
              <w:p w:rsidR="00DD2957" w:rsidRDefault="00DD2957" w:rsidP="00DD2957">
                <w:pPr>
                  <w:tabs>
                    <w:tab w:val="left" w:pos="3480"/>
                  </w:tabs>
                  <w:rPr>
                    <w:lang w:val="en-US"/>
                  </w:rPr>
                </w:pPr>
              </w:p>
              <w:p w:rsidR="00DD2957" w:rsidRPr="00DD2957" w:rsidRDefault="00DD2957" w:rsidP="00DD2957">
                <w:pPr>
                  <w:tabs>
                    <w:tab w:val="left" w:pos="3480"/>
                  </w:tabs>
                  <w:rPr>
                    <w:lang w:val="en-US"/>
                  </w:rPr>
                </w:pPr>
              </w:p>
            </w:tc>
          </w:tr>
          <w:tr w:rsidR="00BC5405">
            <w:trPr>
              <w:trHeight w:val="1440"/>
              <w:jc w:val="center"/>
            </w:trPr>
            <w:tc>
              <w:tcPr>
                <w:tcW w:w="5000" w:type="pct"/>
                <w:tcBorders>
                  <w:bottom w:val="single" w:sz="4" w:space="0" w:color="4F81BD" w:themeColor="accent1"/>
                </w:tcBorders>
                <w:vAlign w:val="center"/>
              </w:tcPr>
              <w:p w:rsidR="00BC5405" w:rsidRPr="00B7167F" w:rsidRDefault="00DD2957" w:rsidP="00DD2957">
                <w:pPr>
                  <w:pStyle w:val="NoSpacing"/>
                  <w:jc w:val="center"/>
                  <w:rPr>
                    <w:rFonts w:asciiTheme="majorHAnsi" w:eastAsiaTheme="majorEastAsia" w:hAnsiTheme="majorHAnsi" w:cstheme="majorBidi"/>
                    <w:b/>
                    <w:sz w:val="28"/>
                    <w:szCs w:val="28"/>
                  </w:rPr>
                </w:pPr>
                <w:r w:rsidRPr="00B7167F">
                  <w:rPr>
                    <w:rFonts w:asciiTheme="majorHAnsi" w:eastAsiaTheme="majorEastAsia" w:hAnsiTheme="majorHAnsi" w:cstheme="majorBidi"/>
                    <w:b/>
                    <w:sz w:val="28"/>
                    <w:szCs w:val="28"/>
                  </w:rPr>
                  <w:t>THE RULE OF LAW AND ACCESSIBILITY OF LEGISLATION</w:t>
                </w:r>
              </w:p>
              <w:p w:rsidR="00DD2957" w:rsidRPr="00B7167F" w:rsidRDefault="00DD2957" w:rsidP="00DD2957">
                <w:pPr>
                  <w:pStyle w:val="NoSpacing"/>
                  <w:jc w:val="center"/>
                  <w:rPr>
                    <w:rFonts w:asciiTheme="majorHAnsi" w:eastAsiaTheme="majorEastAsia" w:hAnsiTheme="majorHAnsi" w:cstheme="majorBidi"/>
                    <w:b/>
                    <w:sz w:val="28"/>
                    <w:szCs w:val="28"/>
                  </w:rPr>
                </w:pPr>
              </w:p>
              <w:p w:rsidR="00DD2957" w:rsidRPr="00BC5405" w:rsidRDefault="00DD2957" w:rsidP="00794C0B">
                <w:pPr>
                  <w:pStyle w:val="NoSpacing"/>
                  <w:jc w:val="center"/>
                  <w:rPr>
                    <w:rFonts w:asciiTheme="majorHAnsi" w:eastAsiaTheme="majorEastAsia" w:hAnsiTheme="majorHAnsi" w:cstheme="majorBidi"/>
                    <w:b/>
                    <w:sz w:val="24"/>
                    <w:szCs w:val="24"/>
                  </w:rPr>
                </w:pPr>
                <w:r w:rsidRPr="00B7167F">
                  <w:rPr>
                    <w:rFonts w:asciiTheme="majorHAnsi" w:eastAsiaTheme="majorEastAsia" w:hAnsiTheme="majorHAnsi" w:cstheme="majorBidi"/>
                    <w:b/>
                    <w:sz w:val="28"/>
                    <w:szCs w:val="28"/>
                  </w:rPr>
                  <w:t>THE</w:t>
                </w:r>
                <w:r w:rsidR="00794C0B" w:rsidRPr="00B7167F">
                  <w:rPr>
                    <w:rFonts w:asciiTheme="majorHAnsi" w:eastAsiaTheme="majorEastAsia" w:hAnsiTheme="majorHAnsi" w:cstheme="majorBidi"/>
                    <w:b/>
                    <w:sz w:val="28"/>
                    <w:szCs w:val="28"/>
                  </w:rPr>
                  <w:t xml:space="preserve"> CONTRIBUTION OF LEGISLATIVE DRAFTER</w:t>
                </w:r>
                <w:r w:rsidRPr="00B7167F">
                  <w:rPr>
                    <w:rFonts w:asciiTheme="majorHAnsi" w:eastAsiaTheme="majorEastAsia" w:hAnsiTheme="majorHAnsi" w:cstheme="majorBidi"/>
                    <w:b/>
                    <w:sz w:val="28"/>
                    <w:szCs w:val="28"/>
                  </w:rPr>
                  <w:t>S</w:t>
                </w:r>
                <w:r>
                  <w:rPr>
                    <w:rFonts w:asciiTheme="majorHAnsi" w:eastAsiaTheme="majorEastAsia" w:hAnsiTheme="majorHAnsi" w:cstheme="majorBidi"/>
                    <w:b/>
                    <w:sz w:val="24"/>
                    <w:szCs w:val="24"/>
                  </w:rPr>
                  <w:t xml:space="preserve"> </w:t>
                </w:r>
              </w:p>
            </w:tc>
          </w:tr>
          <w:tr w:rsidR="00BC5405" w:rsidRPr="00BC5405">
            <w:trPr>
              <w:trHeight w:val="720"/>
              <w:jc w:val="center"/>
            </w:trPr>
            <w:tc>
              <w:tcPr>
                <w:tcW w:w="5000" w:type="pct"/>
                <w:tcBorders>
                  <w:top w:val="single" w:sz="4" w:space="0" w:color="4F81BD" w:themeColor="accent1"/>
                </w:tcBorders>
                <w:vAlign w:val="center"/>
              </w:tcPr>
              <w:p w:rsidR="00BC5405" w:rsidRPr="00D27523" w:rsidRDefault="00BC5405" w:rsidP="00DD2957">
                <w:pPr>
                  <w:pStyle w:val="NoSpacing"/>
                  <w:jc w:val="center"/>
                  <w:rPr>
                    <w:rFonts w:asciiTheme="majorHAnsi" w:eastAsiaTheme="majorEastAsia" w:hAnsiTheme="majorHAnsi" w:cstheme="majorBidi"/>
                    <w:b/>
                    <w:sz w:val="24"/>
                    <w:szCs w:val="24"/>
                  </w:rPr>
                </w:pPr>
              </w:p>
              <w:p w:rsidR="00DD2957" w:rsidRPr="00D27523" w:rsidRDefault="00DD2957" w:rsidP="00DD2957">
                <w:pPr>
                  <w:pStyle w:val="NoSpacing"/>
                  <w:jc w:val="center"/>
                  <w:rPr>
                    <w:rFonts w:asciiTheme="majorHAnsi" w:eastAsiaTheme="majorEastAsia" w:hAnsiTheme="majorHAnsi" w:cstheme="majorBidi"/>
                    <w:b/>
                    <w:sz w:val="24"/>
                    <w:szCs w:val="24"/>
                  </w:rPr>
                </w:pPr>
              </w:p>
              <w:p w:rsidR="00DD2957" w:rsidRPr="00D27523" w:rsidRDefault="00DD2957" w:rsidP="00DD2957">
                <w:pPr>
                  <w:pStyle w:val="NoSpacing"/>
                  <w:jc w:val="center"/>
                  <w:rPr>
                    <w:rFonts w:asciiTheme="majorHAnsi" w:eastAsiaTheme="majorEastAsia" w:hAnsiTheme="majorHAnsi" w:cstheme="majorBidi"/>
                    <w:b/>
                    <w:sz w:val="24"/>
                    <w:szCs w:val="24"/>
                  </w:rPr>
                </w:pPr>
              </w:p>
              <w:p w:rsidR="00C7625F" w:rsidRDefault="00C7625F" w:rsidP="00DD2957">
                <w:pPr>
                  <w:pStyle w:val="NoSpacing"/>
                  <w:jc w:val="center"/>
                  <w:rPr>
                    <w:rFonts w:asciiTheme="majorHAnsi" w:eastAsiaTheme="majorEastAsia" w:hAnsiTheme="majorHAnsi" w:cstheme="majorBidi"/>
                    <w:b/>
                    <w:sz w:val="24"/>
                    <w:szCs w:val="24"/>
                  </w:rPr>
                </w:pPr>
              </w:p>
              <w:p w:rsidR="006D5EC7" w:rsidRDefault="006D5EC7" w:rsidP="00DD2957">
                <w:pPr>
                  <w:pStyle w:val="NoSpacing"/>
                  <w:jc w:val="center"/>
                  <w:rPr>
                    <w:rFonts w:asciiTheme="majorHAnsi" w:eastAsiaTheme="majorEastAsia" w:hAnsiTheme="majorHAnsi" w:cstheme="majorBidi"/>
                    <w:b/>
                    <w:sz w:val="24"/>
                    <w:szCs w:val="24"/>
                  </w:rPr>
                </w:pPr>
              </w:p>
              <w:p w:rsidR="006D5EC7" w:rsidRPr="00D27523" w:rsidRDefault="006D5EC7" w:rsidP="00DD2957">
                <w:pPr>
                  <w:pStyle w:val="NoSpacing"/>
                  <w:jc w:val="center"/>
                  <w:rPr>
                    <w:rFonts w:asciiTheme="majorHAnsi" w:eastAsiaTheme="majorEastAsia" w:hAnsiTheme="majorHAnsi" w:cstheme="majorBidi"/>
                    <w:b/>
                    <w:sz w:val="24"/>
                    <w:szCs w:val="24"/>
                  </w:rPr>
                </w:pPr>
              </w:p>
              <w:p w:rsidR="00C7625F" w:rsidRPr="00D27523" w:rsidRDefault="00C7625F" w:rsidP="00DD2957">
                <w:pPr>
                  <w:pStyle w:val="NoSpacing"/>
                  <w:jc w:val="center"/>
                  <w:rPr>
                    <w:rFonts w:asciiTheme="majorHAnsi" w:eastAsiaTheme="majorEastAsia" w:hAnsiTheme="majorHAnsi" w:cstheme="majorBidi"/>
                    <w:b/>
                    <w:sz w:val="24"/>
                    <w:szCs w:val="24"/>
                  </w:rPr>
                </w:pPr>
              </w:p>
              <w:p w:rsidR="00C7625F" w:rsidRPr="00D27523" w:rsidRDefault="00C7625F" w:rsidP="00DD2957">
                <w:pPr>
                  <w:pStyle w:val="NoSpacing"/>
                  <w:jc w:val="center"/>
                  <w:rPr>
                    <w:rFonts w:asciiTheme="majorHAnsi" w:eastAsiaTheme="majorEastAsia" w:hAnsiTheme="majorHAnsi" w:cstheme="majorBidi"/>
                    <w:b/>
                    <w:sz w:val="24"/>
                    <w:szCs w:val="24"/>
                  </w:rPr>
                </w:pPr>
                <w:r w:rsidRPr="00D27523">
                  <w:rPr>
                    <w:rFonts w:asciiTheme="majorHAnsi" w:eastAsiaTheme="majorEastAsia" w:hAnsiTheme="majorHAnsi" w:cstheme="majorBidi"/>
                    <w:b/>
                    <w:sz w:val="24"/>
                    <w:szCs w:val="24"/>
                  </w:rPr>
                  <w:t xml:space="preserve">STUDENT NO. </w:t>
                </w:r>
                <w:r w:rsidR="00DB2627" w:rsidRPr="00D27523">
                  <w:rPr>
                    <w:rFonts w:asciiTheme="majorHAnsi" w:eastAsiaTheme="majorEastAsia" w:hAnsiTheme="majorHAnsi" w:cstheme="majorBidi"/>
                    <w:b/>
                    <w:sz w:val="24"/>
                    <w:szCs w:val="24"/>
                  </w:rPr>
                  <w:t>1540254</w:t>
                </w:r>
              </w:p>
              <w:p w:rsidR="00DD2957" w:rsidRPr="00D27523" w:rsidRDefault="00DD2957" w:rsidP="00DD2957">
                <w:pPr>
                  <w:pStyle w:val="NoSpacing"/>
                  <w:jc w:val="center"/>
                  <w:rPr>
                    <w:rFonts w:asciiTheme="majorHAnsi" w:eastAsiaTheme="majorEastAsia" w:hAnsiTheme="majorHAnsi" w:cstheme="majorBidi"/>
                    <w:b/>
                    <w:sz w:val="24"/>
                    <w:szCs w:val="24"/>
                  </w:rPr>
                </w:pPr>
              </w:p>
            </w:tc>
          </w:tr>
          <w:tr w:rsidR="00BC5405" w:rsidRPr="00DD2957">
            <w:trPr>
              <w:trHeight w:val="360"/>
              <w:jc w:val="center"/>
            </w:trPr>
            <w:tc>
              <w:tcPr>
                <w:tcW w:w="5000" w:type="pct"/>
                <w:vAlign w:val="center"/>
              </w:tcPr>
              <w:p w:rsidR="00BC5405" w:rsidRPr="00D27523" w:rsidRDefault="00BC5405">
                <w:pPr>
                  <w:pStyle w:val="NoSpacing"/>
                  <w:jc w:val="center"/>
                  <w:rPr>
                    <w:b/>
                    <w:sz w:val="24"/>
                    <w:szCs w:val="24"/>
                  </w:rPr>
                </w:pPr>
                <w:r w:rsidRPr="00D27523">
                  <w:rPr>
                    <w:b/>
                    <w:sz w:val="24"/>
                    <w:szCs w:val="24"/>
                  </w:rPr>
                  <w:t>LLM 2014-2015</w:t>
                </w:r>
              </w:p>
            </w:tc>
          </w:tr>
          <w:tr w:rsidR="00BC5405" w:rsidRPr="00DD2957">
            <w:trPr>
              <w:trHeight w:val="360"/>
              <w:jc w:val="center"/>
            </w:trPr>
            <w:tc>
              <w:tcPr>
                <w:tcW w:w="5000" w:type="pct"/>
                <w:vAlign w:val="center"/>
              </w:tcPr>
              <w:p w:rsidR="00BC5405" w:rsidRPr="00DD2957" w:rsidRDefault="00BC5405" w:rsidP="00BC5405">
                <w:pPr>
                  <w:pStyle w:val="NoSpacing"/>
                  <w:jc w:val="center"/>
                  <w:rPr>
                    <w:b/>
                    <w:bCs/>
                    <w:sz w:val="24"/>
                    <w:szCs w:val="24"/>
                  </w:rPr>
                </w:pPr>
              </w:p>
            </w:tc>
          </w:tr>
          <w:tr w:rsidR="00BC5405" w:rsidRPr="00DD2957">
            <w:trPr>
              <w:trHeight w:val="360"/>
              <w:jc w:val="center"/>
            </w:trPr>
            <w:sdt>
              <w:sdtPr>
                <w:rPr>
                  <w:b/>
                  <w:bCs/>
                  <w:sz w:val="24"/>
                  <w:szCs w:val="24"/>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rsidR="00BC5405" w:rsidRPr="00DD2957" w:rsidRDefault="00BC5405" w:rsidP="00DD2957">
                    <w:pPr>
                      <w:pStyle w:val="NoSpacing"/>
                      <w:jc w:val="center"/>
                      <w:rPr>
                        <w:b/>
                        <w:bCs/>
                        <w:sz w:val="24"/>
                        <w:szCs w:val="24"/>
                      </w:rPr>
                    </w:pPr>
                    <w:r w:rsidRPr="00DD2957">
                      <w:rPr>
                        <w:b/>
                        <w:bCs/>
                        <w:sz w:val="24"/>
                        <w:szCs w:val="24"/>
                      </w:rPr>
                      <w:t xml:space="preserve">LLM </w:t>
                    </w:r>
                    <w:r w:rsidR="00DD2957">
                      <w:rPr>
                        <w:b/>
                        <w:bCs/>
                        <w:sz w:val="24"/>
                        <w:szCs w:val="24"/>
                      </w:rPr>
                      <w:t>Advanced Legislative S</w:t>
                    </w:r>
                    <w:r w:rsidRPr="00DD2957">
                      <w:rPr>
                        <w:b/>
                        <w:bCs/>
                        <w:sz w:val="24"/>
                        <w:szCs w:val="24"/>
                      </w:rPr>
                      <w:t>tudies (ALS)</w:t>
                    </w:r>
                  </w:p>
                </w:tc>
              </w:sdtContent>
            </w:sdt>
          </w:tr>
        </w:tbl>
        <w:p w:rsidR="00BC5405" w:rsidRPr="00DD2957" w:rsidRDefault="00BC5405">
          <w:pPr>
            <w:rPr>
              <w:sz w:val="24"/>
              <w:szCs w:val="24"/>
            </w:rPr>
          </w:pPr>
        </w:p>
        <w:p w:rsidR="00BC5405" w:rsidRPr="00DD2957" w:rsidRDefault="00BC5405">
          <w:pPr>
            <w:rPr>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8306"/>
          </w:tblGrid>
          <w:tr w:rsidR="00BC5405">
            <w:tc>
              <w:tcPr>
                <w:tcW w:w="5000" w:type="pct"/>
              </w:tcPr>
              <w:p w:rsidR="00BC5405" w:rsidRDefault="00BC5405" w:rsidP="00BC5405">
                <w:pPr>
                  <w:pStyle w:val="NoSpacing"/>
                </w:pPr>
              </w:p>
            </w:tc>
          </w:tr>
        </w:tbl>
        <w:p w:rsidR="00BC5405" w:rsidRDefault="00BC5405"/>
        <w:p w:rsidR="00BC5405" w:rsidRDefault="00BC5405">
          <w:pPr>
            <w:spacing w:after="200" w:line="276" w:lineRule="auto"/>
            <w:rPr>
              <w:rFonts w:asciiTheme="majorHAnsi" w:eastAsiaTheme="majorEastAsia" w:hAnsiTheme="majorHAnsi" w:cstheme="majorBidi"/>
              <w:color w:val="404040" w:themeColor="text1" w:themeTint="BF"/>
              <w:spacing w:val="-10"/>
              <w:kern w:val="28"/>
              <w:sz w:val="140"/>
              <w:szCs w:val="140"/>
              <w:lang w:val="en-US"/>
            </w:rPr>
          </w:pPr>
          <w:r>
            <w:rPr>
              <w:rFonts w:asciiTheme="majorHAnsi" w:eastAsiaTheme="majorEastAsia" w:hAnsiTheme="majorHAnsi" w:cstheme="majorBidi"/>
              <w:color w:val="404040" w:themeColor="text1" w:themeTint="BF"/>
              <w:spacing w:val="-10"/>
              <w:kern w:val="28"/>
              <w:sz w:val="140"/>
              <w:szCs w:val="140"/>
            </w:rPr>
            <w:br w:type="page"/>
          </w:r>
        </w:p>
      </w:sdtContent>
    </w:sdt>
    <w:p w:rsidR="00615720" w:rsidRDefault="00615720" w:rsidP="00AC6695">
      <w:pPr>
        <w:pStyle w:val="TOCHeading"/>
        <w:jc w:val="center"/>
        <w:rPr>
          <w:rFonts w:ascii="Century" w:hAnsi="Century"/>
          <w:color w:val="auto"/>
        </w:rPr>
      </w:pPr>
    </w:p>
    <w:p w:rsidR="002F0293" w:rsidRPr="00AC6695" w:rsidRDefault="00D84661" w:rsidP="00AC6695">
      <w:pPr>
        <w:pStyle w:val="TOCHeading"/>
        <w:jc w:val="center"/>
        <w:rPr>
          <w:rFonts w:ascii="Century" w:hAnsi="Century"/>
          <w:color w:val="auto"/>
        </w:rPr>
      </w:pPr>
      <w:r>
        <w:rPr>
          <w:rFonts w:ascii="Century" w:hAnsi="Century"/>
          <w:color w:val="auto"/>
        </w:rPr>
        <w:t>TABLE OF CONTENTS</w:t>
      </w:r>
    </w:p>
    <w:p w:rsidR="00AC6695" w:rsidRPr="00634FBF" w:rsidRDefault="00634FBF" w:rsidP="00634FBF">
      <w:pPr>
        <w:jc w:val="right"/>
        <w:rPr>
          <w:b/>
          <w:lang w:val="en-US" w:eastAsia="ja-JP"/>
        </w:rPr>
      </w:pPr>
      <w:r w:rsidRPr="00634FBF">
        <w:rPr>
          <w:b/>
          <w:lang w:val="en-US" w:eastAsia="ja-JP"/>
        </w:rPr>
        <w:t>Pages</w:t>
      </w:r>
    </w:p>
    <w:p w:rsidR="0075011C" w:rsidRPr="00963C2F" w:rsidRDefault="00986215">
      <w:pPr>
        <w:pStyle w:val="TOC4"/>
        <w:tabs>
          <w:tab w:val="right" w:leader="dot" w:pos="8296"/>
        </w:tabs>
        <w:rPr>
          <w:rFonts w:eastAsiaTheme="minorEastAsia"/>
          <w:b/>
          <w:noProof/>
          <w:lang w:eastAsia="en-GB"/>
        </w:rPr>
      </w:pPr>
      <w:r>
        <w:rPr>
          <w:rFonts w:ascii="Century" w:hAnsi="Century" w:cs="Arabic Typesetting"/>
          <w:bCs/>
          <w:i/>
          <w:iCs/>
          <w:sz w:val="24"/>
          <w:szCs w:val="24"/>
        </w:rPr>
        <w:fldChar w:fldCharType="begin"/>
      </w:r>
      <w:r>
        <w:rPr>
          <w:rFonts w:ascii="Century" w:hAnsi="Century" w:cs="Arabic Typesetting"/>
          <w:bCs/>
          <w:i/>
          <w:iCs/>
          <w:sz w:val="24"/>
          <w:szCs w:val="24"/>
        </w:rPr>
        <w:instrText xml:space="preserve"> TOC \o "1-4" \h \z \u </w:instrText>
      </w:r>
      <w:r>
        <w:rPr>
          <w:rFonts w:ascii="Century" w:hAnsi="Century" w:cs="Arabic Typesetting"/>
          <w:bCs/>
          <w:i/>
          <w:iCs/>
          <w:sz w:val="24"/>
          <w:szCs w:val="24"/>
        </w:rPr>
        <w:fldChar w:fldCharType="separate"/>
      </w:r>
      <w:hyperlink w:anchor="_Toc427597728" w:history="1">
        <w:r w:rsidR="0075011C" w:rsidRPr="00963C2F">
          <w:rPr>
            <w:rStyle w:val="Hyperlink"/>
            <w:b/>
            <w:noProof/>
          </w:rPr>
          <w:t>ACKNOWLEDGEMENTS</w:t>
        </w:r>
        <w:r w:rsidR="0075011C" w:rsidRPr="00963C2F">
          <w:rPr>
            <w:b/>
            <w:noProof/>
            <w:webHidden/>
          </w:rPr>
          <w:tab/>
        </w:r>
        <w:r w:rsidR="0075011C" w:rsidRPr="00963C2F">
          <w:rPr>
            <w:b/>
            <w:noProof/>
            <w:webHidden/>
          </w:rPr>
          <w:fldChar w:fldCharType="begin"/>
        </w:r>
        <w:r w:rsidR="0075011C" w:rsidRPr="00963C2F">
          <w:rPr>
            <w:b/>
            <w:noProof/>
            <w:webHidden/>
          </w:rPr>
          <w:instrText xml:space="preserve"> PAGEREF _Toc427597728 \h </w:instrText>
        </w:r>
        <w:r w:rsidR="0075011C" w:rsidRPr="00963C2F">
          <w:rPr>
            <w:b/>
            <w:noProof/>
            <w:webHidden/>
          </w:rPr>
        </w:r>
        <w:r w:rsidR="0075011C" w:rsidRPr="00963C2F">
          <w:rPr>
            <w:b/>
            <w:noProof/>
            <w:webHidden/>
          </w:rPr>
          <w:fldChar w:fldCharType="separate"/>
        </w:r>
        <w:r w:rsidR="00762812" w:rsidRPr="00963C2F">
          <w:rPr>
            <w:b/>
            <w:noProof/>
            <w:webHidden/>
          </w:rPr>
          <w:t>3</w:t>
        </w:r>
        <w:r w:rsidR="0075011C" w:rsidRPr="00963C2F">
          <w:rPr>
            <w:b/>
            <w:noProof/>
            <w:webHidden/>
          </w:rPr>
          <w:fldChar w:fldCharType="end"/>
        </w:r>
      </w:hyperlink>
    </w:p>
    <w:p w:rsidR="0075011C" w:rsidRPr="00963C2F" w:rsidRDefault="00C55782" w:rsidP="00963C2F">
      <w:pPr>
        <w:pStyle w:val="TOC1"/>
        <w:rPr>
          <w:rFonts w:eastAsiaTheme="minorEastAsia"/>
          <w:lang w:eastAsia="en-GB"/>
        </w:rPr>
      </w:pPr>
      <w:hyperlink w:anchor="_Toc427597729" w:history="1">
        <w:r w:rsidR="0075011C" w:rsidRPr="00963C2F">
          <w:rPr>
            <w:rStyle w:val="Hyperlink"/>
          </w:rPr>
          <w:t>CHAPTER ONE</w:t>
        </w:r>
      </w:hyperlink>
    </w:p>
    <w:p w:rsidR="0075011C" w:rsidRDefault="00C55782">
      <w:pPr>
        <w:pStyle w:val="TOC4"/>
        <w:tabs>
          <w:tab w:val="left" w:pos="1100"/>
          <w:tab w:val="right" w:leader="dot" w:pos="8296"/>
        </w:tabs>
        <w:rPr>
          <w:rFonts w:eastAsiaTheme="minorEastAsia"/>
          <w:noProof/>
          <w:lang w:eastAsia="en-GB"/>
        </w:rPr>
      </w:pPr>
      <w:hyperlink w:anchor="_Toc427597730" w:history="1">
        <w:r w:rsidR="0075011C" w:rsidRPr="00016645">
          <w:rPr>
            <w:rStyle w:val="Hyperlink"/>
            <w:noProof/>
          </w:rPr>
          <w:t>I.</w:t>
        </w:r>
        <w:r w:rsidR="0075011C">
          <w:rPr>
            <w:rFonts w:eastAsiaTheme="minorEastAsia"/>
            <w:noProof/>
            <w:lang w:eastAsia="en-GB"/>
          </w:rPr>
          <w:tab/>
        </w:r>
        <w:r w:rsidR="0075011C" w:rsidRPr="00016645">
          <w:rPr>
            <w:rStyle w:val="Hyperlink"/>
            <w:noProof/>
          </w:rPr>
          <w:t>INTRODUCTION</w:t>
        </w:r>
        <w:r w:rsidR="0075011C">
          <w:rPr>
            <w:noProof/>
            <w:webHidden/>
          </w:rPr>
          <w:tab/>
        </w:r>
        <w:r w:rsidR="0075011C">
          <w:rPr>
            <w:noProof/>
            <w:webHidden/>
          </w:rPr>
          <w:fldChar w:fldCharType="begin"/>
        </w:r>
        <w:r w:rsidR="0075011C">
          <w:rPr>
            <w:noProof/>
            <w:webHidden/>
          </w:rPr>
          <w:instrText xml:space="preserve"> PAGEREF _Toc427597730 \h </w:instrText>
        </w:r>
        <w:r w:rsidR="0075011C">
          <w:rPr>
            <w:noProof/>
            <w:webHidden/>
          </w:rPr>
        </w:r>
        <w:r w:rsidR="0075011C">
          <w:rPr>
            <w:noProof/>
            <w:webHidden/>
          </w:rPr>
          <w:fldChar w:fldCharType="separate"/>
        </w:r>
        <w:r w:rsidR="00762812">
          <w:rPr>
            <w:noProof/>
            <w:webHidden/>
          </w:rPr>
          <w:t>4</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31" w:history="1">
        <w:r w:rsidR="0075011C" w:rsidRPr="00016645">
          <w:rPr>
            <w:rStyle w:val="Hyperlink"/>
            <w:noProof/>
          </w:rPr>
          <w:t>II.</w:t>
        </w:r>
        <w:r w:rsidR="0075011C">
          <w:rPr>
            <w:rFonts w:eastAsiaTheme="minorEastAsia"/>
            <w:noProof/>
            <w:lang w:eastAsia="en-GB"/>
          </w:rPr>
          <w:tab/>
        </w:r>
        <w:r w:rsidR="0075011C" w:rsidRPr="00016645">
          <w:rPr>
            <w:rStyle w:val="Hyperlink"/>
            <w:noProof/>
          </w:rPr>
          <w:t>HYPOTHESIS AND OBJECTIVE</w:t>
        </w:r>
        <w:r w:rsidR="0075011C">
          <w:rPr>
            <w:noProof/>
            <w:webHidden/>
          </w:rPr>
          <w:tab/>
        </w:r>
        <w:r w:rsidR="0075011C">
          <w:rPr>
            <w:noProof/>
            <w:webHidden/>
          </w:rPr>
          <w:fldChar w:fldCharType="begin"/>
        </w:r>
        <w:r w:rsidR="0075011C">
          <w:rPr>
            <w:noProof/>
            <w:webHidden/>
          </w:rPr>
          <w:instrText xml:space="preserve"> PAGEREF _Toc427597731 \h </w:instrText>
        </w:r>
        <w:r w:rsidR="0075011C">
          <w:rPr>
            <w:noProof/>
            <w:webHidden/>
          </w:rPr>
        </w:r>
        <w:r w:rsidR="0075011C">
          <w:rPr>
            <w:noProof/>
            <w:webHidden/>
          </w:rPr>
          <w:fldChar w:fldCharType="separate"/>
        </w:r>
        <w:r w:rsidR="00762812">
          <w:rPr>
            <w:noProof/>
            <w:webHidden/>
          </w:rPr>
          <w:t>8</w:t>
        </w:r>
        <w:r w:rsidR="0075011C">
          <w:rPr>
            <w:noProof/>
            <w:webHidden/>
          </w:rPr>
          <w:fldChar w:fldCharType="end"/>
        </w:r>
      </w:hyperlink>
    </w:p>
    <w:p w:rsidR="0075011C" w:rsidRDefault="00C55782">
      <w:pPr>
        <w:pStyle w:val="TOC4"/>
        <w:tabs>
          <w:tab w:val="left" w:pos="1320"/>
          <w:tab w:val="right" w:leader="dot" w:pos="8296"/>
        </w:tabs>
        <w:rPr>
          <w:rFonts w:eastAsiaTheme="minorEastAsia"/>
          <w:noProof/>
          <w:lang w:eastAsia="en-GB"/>
        </w:rPr>
      </w:pPr>
      <w:hyperlink w:anchor="_Toc427597732" w:history="1">
        <w:r w:rsidR="0075011C" w:rsidRPr="00016645">
          <w:rPr>
            <w:rStyle w:val="Hyperlink"/>
            <w:noProof/>
          </w:rPr>
          <w:t>III.</w:t>
        </w:r>
        <w:r w:rsidR="00A84FC2">
          <w:rPr>
            <w:rFonts w:eastAsiaTheme="minorEastAsia"/>
            <w:noProof/>
            <w:lang w:eastAsia="en-GB"/>
          </w:rPr>
          <w:t xml:space="preserve">   </w:t>
        </w:r>
        <w:r w:rsidR="0075011C" w:rsidRPr="00016645">
          <w:rPr>
            <w:rStyle w:val="Hyperlink"/>
            <w:noProof/>
          </w:rPr>
          <w:t>METHODOLOGY AND STRUCTURE</w:t>
        </w:r>
        <w:r w:rsidR="0075011C">
          <w:rPr>
            <w:noProof/>
            <w:webHidden/>
          </w:rPr>
          <w:tab/>
        </w:r>
        <w:r w:rsidR="0075011C">
          <w:rPr>
            <w:noProof/>
            <w:webHidden/>
          </w:rPr>
          <w:fldChar w:fldCharType="begin"/>
        </w:r>
        <w:r w:rsidR="0075011C">
          <w:rPr>
            <w:noProof/>
            <w:webHidden/>
          </w:rPr>
          <w:instrText xml:space="preserve"> PAGEREF _Toc427597732 \h </w:instrText>
        </w:r>
        <w:r w:rsidR="0075011C">
          <w:rPr>
            <w:noProof/>
            <w:webHidden/>
          </w:rPr>
        </w:r>
        <w:r w:rsidR="0075011C">
          <w:rPr>
            <w:noProof/>
            <w:webHidden/>
          </w:rPr>
          <w:fldChar w:fldCharType="separate"/>
        </w:r>
        <w:r w:rsidR="00762812">
          <w:rPr>
            <w:noProof/>
            <w:webHidden/>
          </w:rPr>
          <w:t>9</w:t>
        </w:r>
        <w:r w:rsidR="0075011C">
          <w:rPr>
            <w:noProof/>
            <w:webHidden/>
          </w:rPr>
          <w:fldChar w:fldCharType="end"/>
        </w:r>
      </w:hyperlink>
    </w:p>
    <w:p w:rsidR="0075011C" w:rsidRDefault="00C55782" w:rsidP="00963C2F">
      <w:pPr>
        <w:pStyle w:val="TOC1"/>
        <w:rPr>
          <w:rFonts w:eastAsiaTheme="minorEastAsia"/>
          <w:lang w:eastAsia="en-GB"/>
        </w:rPr>
      </w:pPr>
      <w:hyperlink w:anchor="_Toc427597733" w:history="1">
        <w:r w:rsidR="0075011C" w:rsidRPr="00016645">
          <w:rPr>
            <w:rStyle w:val="Hyperlink"/>
          </w:rPr>
          <w:t>CHAPTER TWO</w:t>
        </w:r>
      </w:hyperlink>
    </w:p>
    <w:p w:rsidR="0075011C" w:rsidRDefault="00C55782">
      <w:pPr>
        <w:pStyle w:val="TOC4"/>
        <w:tabs>
          <w:tab w:val="left" w:pos="1100"/>
          <w:tab w:val="right" w:leader="dot" w:pos="8296"/>
        </w:tabs>
        <w:rPr>
          <w:rFonts w:eastAsiaTheme="minorEastAsia"/>
          <w:noProof/>
          <w:lang w:eastAsia="en-GB"/>
        </w:rPr>
      </w:pPr>
      <w:hyperlink w:anchor="_Toc427597734" w:history="1">
        <w:r w:rsidR="0075011C" w:rsidRPr="00016645">
          <w:rPr>
            <w:rStyle w:val="Hyperlink"/>
            <w:noProof/>
          </w:rPr>
          <w:t>I.</w:t>
        </w:r>
        <w:r w:rsidR="0075011C">
          <w:rPr>
            <w:rFonts w:eastAsiaTheme="minorEastAsia"/>
            <w:noProof/>
            <w:lang w:eastAsia="en-GB"/>
          </w:rPr>
          <w:tab/>
        </w:r>
        <w:r w:rsidR="0075011C" w:rsidRPr="00016645">
          <w:rPr>
            <w:rStyle w:val="Hyperlink"/>
            <w:noProof/>
          </w:rPr>
          <w:t>The Rule of law and the Importance of Accessibility to Legislation</w:t>
        </w:r>
        <w:r w:rsidR="0075011C">
          <w:rPr>
            <w:noProof/>
            <w:webHidden/>
          </w:rPr>
          <w:tab/>
        </w:r>
        <w:r w:rsidR="0075011C">
          <w:rPr>
            <w:noProof/>
            <w:webHidden/>
          </w:rPr>
          <w:fldChar w:fldCharType="begin"/>
        </w:r>
        <w:r w:rsidR="0075011C">
          <w:rPr>
            <w:noProof/>
            <w:webHidden/>
          </w:rPr>
          <w:instrText xml:space="preserve"> PAGEREF _Toc427597734 \h </w:instrText>
        </w:r>
        <w:r w:rsidR="0075011C">
          <w:rPr>
            <w:noProof/>
            <w:webHidden/>
          </w:rPr>
        </w:r>
        <w:r w:rsidR="0075011C">
          <w:rPr>
            <w:noProof/>
            <w:webHidden/>
          </w:rPr>
          <w:fldChar w:fldCharType="separate"/>
        </w:r>
        <w:r w:rsidR="00762812">
          <w:rPr>
            <w:noProof/>
            <w:webHidden/>
          </w:rPr>
          <w:t>11</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35" w:history="1">
        <w:r w:rsidR="0075011C" w:rsidRPr="00016645">
          <w:rPr>
            <w:rStyle w:val="Hyperlink"/>
            <w:noProof/>
          </w:rPr>
          <w:t>II.</w:t>
        </w:r>
        <w:r w:rsidR="0075011C">
          <w:rPr>
            <w:rFonts w:eastAsiaTheme="minorEastAsia"/>
            <w:noProof/>
            <w:lang w:eastAsia="en-GB"/>
          </w:rPr>
          <w:tab/>
        </w:r>
        <w:r w:rsidR="0075011C" w:rsidRPr="00016645">
          <w:rPr>
            <w:rStyle w:val="Hyperlink"/>
            <w:noProof/>
          </w:rPr>
          <w:t>Legislative Drafters – Guardians of the Rule of Law</w:t>
        </w:r>
        <w:r w:rsidR="0075011C">
          <w:rPr>
            <w:noProof/>
            <w:webHidden/>
          </w:rPr>
          <w:tab/>
        </w:r>
        <w:r w:rsidR="0075011C">
          <w:rPr>
            <w:noProof/>
            <w:webHidden/>
          </w:rPr>
          <w:fldChar w:fldCharType="begin"/>
        </w:r>
        <w:r w:rsidR="0075011C">
          <w:rPr>
            <w:noProof/>
            <w:webHidden/>
          </w:rPr>
          <w:instrText xml:space="preserve"> PAGEREF _Toc427597735 \h </w:instrText>
        </w:r>
        <w:r w:rsidR="0075011C">
          <w:rPr>
            <w:noProof/>
            <w:webHidden/>
          </w:rPr>
        </w:r>
        <w:r w:rsidR="0075011C">
          <w:rPr>
            <w:noProof/>
            <w:webHidden/>
          </w:rPr>
          <w:fldChar w:fldCharType="separate"/>
        </w:r>
        <w:r w:rsidR="00762812">
          <w:rPr>
            <w:noProof/>
            <w:webHidden/>
          </w:rPr>
          <w:t>16</w:t>
        </w:r>
        <w:r w:rsidR="0075011C">
          <w:rPr>
            <w:noProof/>
            <w:webHidden/>
          </w:rPr>
          <w:fldChar w:fldCharType="end"/>
        </w:r>
      </w:hyperlink>
    </w:p>
    <w:p w:rsidR="0075011C" w:rsidRDefault="00C55782" w:rsidP="00963C2F">
      <w:pPr>
        <w:pStyle w:val="TOC1"/>
        <w:rPr>
          <w:rFonts w:eastAsiaTheme="minorEastAsia"/>
          <w:lang w:eastAsia="en-GB"/>
        </w:rPr>
      </w:pPr>
      <w:hyperlink w:anchor="_Toc427597736" w:history="1">
        <w:r w:rsidR="0075011C" w:rsidRPr="00016645">
          <w:rPr>
            <w:rStyle w:val="Hyperlink"/>
          </w:rPr>
          <w:t>CHAPTER THREE</w:t>
        </w:r>
      </w:hyperlink>
    </w:p>
    <w:p w:rsidR="0075011C" w:rsidRDefault="00C55782" w:rsidP="00963C2F">
      <w:pPr>
        <w:pStyle w:val="TOC1"/>
        <w:rPr>
          <w:rFonts w:eastAsiaTheme="minorEastAsia"/>
          <w:lang w:eastAsia="en-GB"/>
        </w:rPr>
      </w:pPr>
      <w:hyperlink w:anchor="_Toc427597737" w:history="1">
        <w:r w:rsidR="0075011C" w:rsidRPr="00016645">
          <w:rPr>
            <w:rStyle w:val="Hyperlink"/>
          </w:rPr>
          <w:t>THE DRAFTING PROCESS</w:t>
        </w:r>
        <w:r w:rsidR="0075011C">
          <w:rPr>
            <w:webHidden/>
          </w:rPr>
          <w:tab/>
        </w:r>
        <w:r w:rsidR="0075011C">
          <w:rPr>
            <w:webHidden/>
          </w:rPr>
          <w:fldChar w:fldCharType="begin"/>
        </w:r>
        <w:r w:rsidR="0075011C">
          <w:rPr>
            <w:webHidden/>
          </w:rPr>
          <w:instrText xml:space="preserve"> PAGEREF _Toc427597737 \h </w:instrText>
        </w:r>
        <w:r w:rsidR="0075011C">
          <w:rPr>
            <w:webHidden/>
          </w:rPr>
        </w:r>
        <w:r w:rsidR="0075011C">
          <w:rPr>
            <w:webHidden/>
          </w:rPr>
          <w:fldChar w:fldCharType="separate"/>
        </w:r>
        <w:r w:rsidR="00762812">
          <w:rPr>
            <w:webHidden/>
          </w:rPr>
          <w:t>20</w:t>
        </w:r>
        <w:r w:rsidR="0075011C">
          <w:rPr>
            <w:webHidden/>
          </w:rPr>
          <w:fldChar w:fldCharType="end"/>
        </w:r>
      </w:hyperlink>
    </w:p>
    <w:p w:rsidR="0075011C" w:rsidRDefault="00C55782">
      <w:pPr>
        <w:pStyle w:val="TOC4"/>
        <w:tabs>
          <w:tab w:val="right" w:leader="dot" w:pos="8296"/>
        </w:tabs>
        <w:rPr>
          <w:rFonts w:eastAsiaTheme="minorEastAsia"/>
          <w:noProof/>
          <w:lang w:eastAsia="en-GB"/>
        </w:rPr>
      </w:pPr>
      <w:hyperlink w:anchor="_Toc427597738" w:history="1">
        <w:r w:rsidR="0075011C" w:rsidRPr="00016645">
          <w:rPr>
            <w:rStyle w:val="Hyperlink"/>
            <w:noProof/>
          </w:rPr>
          <w:t>Overview of the Drafting Process</w:t>
        </w:r>
        <w:r w:rsidR="0075011C">
          <w:rPr>
            <w:noProof/>
            <w:webHidden/>
          </w:rPr>
          <w:tab/>
        </w:r>
        <w:r w:rsidR="0075011C">
          <w:rPr>
            <w:noProof/>
            <w:webHidden/>
          </w:rPr>
          <w:fldChar w:fldCharType="begin"/>
        </w:r>
        <w:r w:rsidR="0075011C">
          <w:rPr>
            <w:noProof/>
            <w:webHidden/>
          </w:rPr>
          <w:instrText xml:space="preserve"> PAGEREF _Toc427597738 \h </w:instrText>
        </w:r>
        <w:r w:rsidR="0075011C">
          <w:rPr>
            <w:noProof/>
            <w:webHidden/>
          </w:rPr>
        </w:r>
        <w:r w:rsidR="0075011C">
          <w:rPr>
            <w:noProof/>
            <w:webHidden/>
          </w:rPr>
          <w:fldChar w:fldCharType="separate"/>
        </w:r>
        <w:r w:rsidR="00762812">
          <w:rPr>
            <w:noProof/>
            <w:webHidden/>
          </w:rPr>
          <w:t>20</w:t>
        </w:r>
        <w:r w:rsidR="0075011C">
          <w:rPr>
            <w:noProof/>
            <w:webHidden/>
          </w:rPr>
          <w:fldChar w:fldCharType="end"/>
        </w:r>
      </w:hyperlink>
    </w:p>
    <w:p w:rsidR="0075011C" w:rsidRDefault="00C55782" w:rsidP="00963C2F">
      <w:pPr>
        <w:pStyle w:val="TOC1"/>
        <w:rPr>
          <w:rFonts w:eastAsiaTheme="minorEastAsia"/>
          <w:lang w:eastAsia="en-GB"/>
        </w:rPr>
      </w:pPr>
      <w:hyperlink w:anchor="_Toc427597739" w:history="1">
        <w:r w:rsidR="0075011C" w:rsidRPr="00016645">
          <w:rPr>
            <w:rStyle w:val="Hyperlink"/>
          </w:rPr>
          <w:t>STAGE 1-Understanding the Legislative Proposal</w:t>
        </w:r>
        <w:r w:rsidR="0075011C">
          <w:rPr>
            <w:webHidden/>
          </w:rPr>
          <w:tab/>
        </w:r>
        <w:r w:rsidR="0075011C">
          <w:rPr>
            <w:webHidden/>
          </w:rPr>
          <w:fldChar w:fldCharType="begin"/>
        </w:r>
        <w:r w:rsidR="0075011C">
          <w:rPr>
            <w:webHidden/>
          </w:rPr>
          <w:instrText xml:space="preserve"> PAGEREF _Toc427597739 \h </w:instrText>
        </w:r>
        <w:r w:rsidR="0075011C">
          <w:rPr>
            <w:webHidden/>
          </w:rPr>
        </w:r>
        <w:r w:rsidR="0075011C">
          <w:rPr>
            <w:webHidden/>
          </w:rPr>
          <w:fldChar w:fldCharType="separate"/>
        </w:r>
        <w:r w:rsidR="00762812">
          <w:rPr>
            <w:webHidden/>
          </w:rPr>
          <w:t>21</w:t>
        </w:r>
        <w:r w:rsidR="0075011C">
          <w:rPr>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40" w:history="1">
        <w:r w:rsidR="0075011C" w:rsidRPr="00016645">
          <w:rPr>
            <w:rStyle w:val="Hyperlink"/>
            <w:noProof/>
          </w:rPr>
          <w:t>I.</w:t>
        </w:r>
        <w:r w:rsidR="0075011C">
          <w:rPr>
            <w:rFonts w:eastAsiaTheme="minorEastAsia"/>
            <w:noProof/>
            <w:lang w:eastAsia="en-GB"/>
          </w:rPr>
          <w:tab/>
        </w:r>
        <w:r w:rsidR="0075011C" w:rsidRPr="00016645">
          <w:rPr>
            <w:rStyle w:val="Hyperlink"/>
            <w:noProof/>
          </w:rPr>
          <w:t>What is the Understanding Stage?</w:t>
        </w:r>
        <w:r w:rsidR="0075011C">
          <w:rPr>
            <w:noProof/>
            <w:webHidden/>
          </w:rPr>
          <w:tab/>
        </w:r>
        <w:r w:rsidR="0075011C">
          <w:rPr>
            <w:noProof/>
            <w:webHidden/>
          </w:rPr>
          <w:fldChar w:fldCharType="begin"/>
        </w:r>
        <w:r w:rsidR="0075011C">
          <w:rPr>
            <w:noProof/>
            <w:webHidden/>
          </w:rPr>
          <w:instrText xml:space="preserve"> PAGEREF _Toc427597740 \h </w:instrText>
        </w:r>
        <w:r w:rsidR="0075011C">
          <w:rPr>
            <w:noProof/>
            <w:webHidden/>
          </w:rPr>
        </w:r>
        <w:r w:rsidR="0075011C">
          <w:rPr>
            <w:noProof/>
            <w:webHidden/>
          </w:rPr>
          <w:fldChar w:fldCharType="separate"/>
        </w:r>
        <w:r w:rsidR="00762812">
          <w:rPr>
            <w:noProof/>
            <w:webHidden/>
          </w:rPr>
          <w:t>21</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41" w:history="1">
        <w:r w:rsidR="0075011C" w:rsidRPr="00016645">
          <w:rPr>
            <w:rStyle w:val="Hyperlink"/>
            <w:noProof/>
          </w:rPr>
          <w:t>II.</w:t>
        </w:r>
        <w:r w:rsidR="0075011C">
          <w:rPr>
            <w:rFonts w:eastAsiaTheme="minorEastAsia"/>
            <w:noProof/>
            <w:lang w:eastAsia="en-GB"/>
          </w:rPr>
          <w:tab/>
        </w:r>
        <w:r w:rsidR="0075011C" w:rsidRPr="00016645">
          <w:rPr>
            <w:rStyle w:val="Hyperlink"/>
            <w:noProof/>
          </w:rPr>
          <w:t xml:space="preserve">How do </w:t>
        </w:r>
        <w:r w:rsidR="007269EF">
          <w:rPr>
            <w:rStyle w:val="Hyperlink"/>
            <w:noProof/>
          </w:rPr>
          <w:t>D</w:t>
        </w:r>
        <w:r w:rsidR="0075011C" w:rsidRPr="00016645">
          <w:rPr>
            <w:rStyle w:val="Hyperlink"/>
            <w:noProof/>
          </w:rPr>
          <w:t xml:space="preserve">rafters </w:t>
        </w:r>
        <w:r w:rsidR="007269EF">
          <w:rPr>
            <w:rStyle w:val="Hyperlink"/>
            <w:noProof/>
          </w:rPr>
          <w:t>C</w:t>
        </w:r>
        <w:r w:rsidR="0075011C" w:rsidRPr="00016645">
          <w:rPr>
            <w:rStyle w:val="Hyperlink"/>
            <w:noProof/>
          </w:rPr>
          <w:t xml:space="preserve">ontribute to </w:t>
        </w:r>
        <w:r w:rsidR="007269EF">
          <w:rPr>
            <w:rStyle w:val="Hyperlink"/>
            <w:noProof/>
          </w:rPr>
          <w:t>A</w:t>
        </w:r>
        <w:r w:rsidR="0075011C" w:rsidRPr="00016645">
          <w:rPr>
            <w:rStyle w:val="Hyperlink"/>
            <w:noProof/>
          </w:rPr>
          <w:t xml:space="preserve">ccessibility at this </w:t>
        </w:r>
        <w:r w:rsidR="007269EF">
          <w:rPr>
            <w:rStyle w:val="Hyperlink"/>
            <w:noProof/>
          </w:rPr>
          <w:t>S</w:t>
        </w:r>
        <w:r w:rsidR="0075011C" w:rsidRPr="00016645">
          <w:rPr>
            <w:rStyle w:val="Hyperlink"/>
            <w:noProof/>
          </w:rPr>
          <w:t>tage?</w:t>
        </w:r>
        <w:r w:rsidR="0075011C">
          <w:rPr>
            <w:noProof/>
            <w:webHidden/>
          </w:rPr>
          <w:tab/>
        </w:r>
        <w:r w:rsidR="0075011C">
          <w:rPr>
            <w:noProof/>
            <w:webHidden/>
          </w:rPr>
          <w:fldChar w:fldCharType="begin"/>
        </w:r>
        <w:r w:rsidR="0075011C">
          <w:rPr>
            <w:noProof/>
            <w:webHidden/>
          </w:rPr>
          <w:instrText xml:space="preserve"> PAGEREF _Toc427597741 \h </w:instrText>
        </w:r>
        <w:r w:rsidR="0075011C">
          <w:rPr>
            <w:noProof/>
            <w:webHidden/>
          </w:rPr>
        </w:r>
        <w:r w:rsidR="0075011C">
          <w:rPr>
            <w:noProof/>
            <w:webHidden/>
          </w:rPr>
          <w:fldChar w:fldCharType="separate"/>
        </w:r>
        <w:r w:rsidR="00762812">
          <w:rPr>
            <w:noProof/>
            <w:webHidden/>
          </w:rPr>
          <w:t>21</w:t>
        </w:r>
        <w:r w:rsidR="0075011C">
          <w:rPr>
            <w:noProof/>
            <w:webHidden/>
          </w:rPr>
          <w:fldChar w:fldCharType="end"/>
        </w:r>
      </w:hyperlink>
    </w:p>
    <w:p w:rsidR="0075011C" w:rsidRDefault="00C55782" w:rsidP="00963C2F">
      <w:pPr>
        <w:pStyle w:val="TOC1"/>
        <w:rPr>
          <w:rFonts w:eastAsiaTheme="minorEastAsia"/>
          <w:lang w:eastAsia="en-GB"/>
        </w:rPr>
      </w:pPr>
      <w:hyperlink w:anchor="_Toc427597742" w:history="1">
        <w:r w:rsidR="0075011C" w:rsidRPr="00016645">
          <w:rPr>
            <w:rStyle w:val="Hyperlink"/>
          </w:rPr>
          <w:t>STAGE 2-Analyzing the Legislative Proposal</w:t>
        </w:r>
        <w:r w:rsidR="0075011C">
          <w:rPr>
            <w:webHidden/>
          </w:rPr>
          <w:tab/>
        </w:r>
        <w:r w:rsidR="0075011C">
          <w:rPr>
            <w:webHidden/>
          </w:rPr>
          <w:fldChar w:fldCharType="begin"/>
        </w:r>
        <w:r w:rsidR="0075011C">
          <w:rPr>
            <w:webHidden/>
          </w:rPr>
          <w:instrText xml:space="preserve"> PAGEREF _Toc427597742 \h </w:instrText>
        </w:r>
        <w:r w:rsidR="0075011C">
          <w:rPr>
            <w:webHidden/>
          </w:rPr>
        </w:r>
        <w:r w:rsidR="0075011C">
          <w:rPr>
            <w:webHidden/>
          </w:rPr>
          <w:fldChar w:fldCharType="separate"/>
        </w:r>
        <w:r w:rsidR="00762812">
          <w:rPr>
            <w:webHidden/>
          </w:rPr>
          <w:t>23</w:t>
        </w:r>
        <w:r w:rsidR="0075011C">
          <w:rPr>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43" w:history="1">
        <w:r w:rsidR="0075011C" w:rsidRPr="00016645">
          <w:rPr>
            <w:rStyle w:val="Hyperlink"/>
            <w:noProof/>
          </w:rPr>
          <w:t>I.</w:t>
        </w:r>
        <w:r w:rsidR="0075011C">
          <w:rPr>
            <w:rFonts w:eastAsiaTheme="minorEastAsia"/>
            <w:noProof/>
            <w:lang w:eastAsia="en-GB"/>
          </w:rPr>
          <w:tab/>
        </w:r>
        <w:r w:rsidR="0075011C" w:rsidRPr="00016645">
          <w:rPr>
            <w:rStyle w:val="Hyperlink"/>
            <w:noProof/>
          </w:rPr>
          <w:t>What is the Analysis Stage?</w:t>
        </w:r>
        <w:r w:rsidR="0075011C">
          <w:rPr>
            <w:noProof/>
            <w:webHidden/>
          </w:rPr>
          <w:tab/>
        </w:r>
        <w:r w:rsidR="0075011C">
          <w:rPr>
            <w:noProof/>
            <w:webHidden/>
          </w:rPr>
          <w:fldChar w:fldCharType="begin"/>
        </w:r>
        <w:r w:rsidR="0075011C">
          <w:rPr>
            <w:noProof/>
            <w:webHidden/>
          </w:rPr>
          <w:instrText xml:space="preserve"> PAGEREF _Toc427597743 \h </w:instrText>
        </w:r>
        <w:r w:rsidR="0075011C">
          <w:rPr>
            <w:noProof/>
            <w:webHidden/>
          </w:rPr>
        </w:r>
        <w:r w:rsidR="0075011C">
          <w:rPr>
            <w:noProof/>
            <w:webHidden/>
          </w:rPr>
          <w:fldChar w:fldCharType="separate"/>
        </w:r>
        <w:r w:rsidR="00762812">
          <w:rPr>
            <w:noProof/>
            <w:webHidden/>
          </w:rPr>
          <w:t>23</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44" w:history="1">
        <w:r w:rsidR="0075011C" w:rsidRPr="00016645">
          <w:rPr>
            <w:rStyle w:val="Hyperlink"/>
            <w:noProof/>
          </w:rPr>
          <w:t>II.</w:t>
        </w:r>
        <w:r w:rsidR="0075011C">
          <w:rPr>
            <w:rFonts w:eastAsiaTheme="minorEastAsia"/>
            <w:noProof/>
            <w:lang w:eastAsia="en-GB"/>
          </w:rPr>
          <w:tab/>
        </w:r>
        <w:r w:rsidR="0075011C" w:rsidRPr="00016645">
          <w:rPr>
            <w:rStyle w:val="Hyperlink"/>
            <w:noProof/>
          </w:rPr>
          <w:t xml:space="preserve">How do </w:t>
        </w:r>
        <w:r w:rsidR="007269EF">
          <w:rPr>
            <w:rStyle w:val="Hyperlink"/>
            <w:noProof/>
          </w:rPr>
          <w:t>D</w:t>
        </w:r>
        <w:r w:rsidR="0075011C" w:rsidRPr="00016645">
          <w:rPr>
            <w:rStyle w:val="Hyperlink"/>
            <w:noProof/>
          </w:rPr>
          <w:t xml:space="preserve">rafters </w:t>
        </w:r>
        <w:r w:rsidR="007269EF">
          <w:rPr>
            <w:rStyle w:val="Hyperlink"/>
            <w:noProof/>
          </w:rPr>
          <w:t>C</w:t>
        </w:r>
        <w:r w:rsidR="0075011C" w:rsidRPr="00016645">
          <w:rPr>
            <w:rStyle w:val="Hyperlink"/>
            <w:noProof/>
          </w:rPr>
          <w:t xml:space="preserve">ontribute to </w:t>
        </w:r>
        <w:r w:rsidR="007269EF">
          <w:rPr>
            <w:rStyle w:val="Hyperlink"/>
            <w:noProof/>
          </w:rPr>
          <w:t>A</w:t>
        </w:r>
        <w:r w:rsidR="0075011C" w:rsidRPr="00016645">
          <w:rPr>
            <w:rStyle w:val="Hyperlink"/>
            <w:noProof/>
          </w:rPr>
          <w:t xml:space="preserve">ccessibility at this </w:t>
        </w:r>
        <w:r w:rsidR="007269EF">
          <w:rPr>
            <w:rStyle w:val="Hyperlink"/>
            <w:noProof/>
          </w:rPr>
          <w:t>S</w:t>
        </w:r>
        <w:r w:rsidR="0075011C" w:rsidRPr="00016645">
          <w:rPr>
            <w:rStyle w:val="Hyperlink"/>
            <w:noProof/>
          </w:rPr>
          <w:t>tage?</w:t>
        </w:r>
        <w:r w:rsidR="0075011C">
          <w:rPr>
            <w:noProof/>
            <w:webHidden/>
          </w:rPr>
          <w:tab/>
        </w:r>
        <w:r w:rsidR="0075011C">
          <w:rPr>
            <w:noProof/>
            <w:webHidden/>
          </w:rPr>
          <w:fldChar w:fldCharType="begin"/>
        </w:r>
        <w:r w:rsidR="0075011C">
          <w:rPr>
            <w:noProof/>
            <w:webHidden/>
          </w:rPr>
          <w:instrText xml:space="preserve"> PAGEREF _Toc427597744 \h </w:instrText>
        </w:r>
        <w:r w:rsidR="0075011C">
          <w:rPr>
            <w:noProof/>
            <w:webHidden/>
          </w:rPr>
        </w:r>
        <w:r w:rsidR="0075011C">
          <w:rPr>
            <w:noProof/>
            <w:webHidden/>
          </w:rPr>
          <w:fldChar w:fldCharType="separate"/>
        </w:r>
        <w:r w:rsidR="00762812">
          <w:rPr>
            <w:noProof/>
            <w:webHidden/>
          </w:rPr>
          <w:t>23</w:t>
        </w:r>
        <w:r w:rsidR="0075011C">
          <w:rPr>
            <w:noProof/>
            <w:webHidden/>
          </w:rPr>
          <w:fldChar w:fldCharType="end"/>
        </w:r>
      </w:hyperlink>
    </w:p>
    <w:p w:rsidR="0075011C" w:rsidRDefault="00C55782" w:rsidP="00963C2F">
      <w:pPr>
        <w:pStyle w:val="TOC1"/>
        <w:rPr>
          <w:rFonts w:eastAsiaTheme="minorEastAsia"/>
          <w:lang w:eastAsia="en-GB"/>
        </w:rPr>
      </w:pPr>
      <w:hyperlink w:anchor="_Toc427597745" w:history="1">
        <w:r w:rsidR="0075011C" w:rsidRPr="00016645">
          <w:rPr>
            <w:rStyle w:val="Hyperlink"/>
          </w:rPr>
          <w:t>CHAPTER FOUR</w:t>
        </w:r>
      </w:hyperlink>
    </w:p>
    <w:p w:rsidR="0075011C" w:rsidRDefault="00C55782" w:rsidP="00963C2F">
      <w:pPr>
        <w:pStyle w:val="TOC1"/>
        <w:rPr>
          <w:rFonts w:eastAsiaTheme="minorEastAsia"/>
          <w:lang w:eastAsia="en-GB"/>
        </w:rPr>
      </w:pPr>
      <w:hyperlink w:anchor="_Toc427597746" w:history="1">
        <w:r w:rsidR="0075011C" w:rsidRPr="00016645">
          <w:rPr>
            <w:rStyle w:val="Hyperlink"/>
          </w:rPr>
          <w:t>STAGE 3-Designing the Bill</w:t>
        </w:r>
        <w:r w:rsidR="0075011C">
          <w:rPr>
            <w:webHidden/>
          </w:rPr>
          <w:tab/>
        </w:r>
        <w:r w:rsidR="0075011C">
          <w:rPr>
            <w:webHidden/>
          </w:rPr>
          <w:fldChar w:fldCharType="begin"/>
        </w:r>
        <w:r w:rsidR="0075011C">
          <w:rPr>
            <w:webHidden/>
          </w:rPr>
          <w:instrText xml:space="preserve"> PAGEREF _Toc427597746 \h </w:instrText>
        </w:r>
        <w:r w:rsidR="0075011C">
          <w:rPr>
            <w:webHidden/>
          </w:rPr>
        </w:r>
        <w:r w:rsidR="0075011C">
          <w:rPr>
            <w:webHidden/>
          </w:rPr>
          <w:fldChar w:fldCharType="separate"/>
        </w:r>
        <w:r w:rsidR="00762812">
          <w:rPr>
            <w:webHidden/>
          </w:rPr>
          <w:t>31</w:t>
        </w:r>
        <w:r w:rsidR="0075011C">
          <w:rPr>
            <w:webHidden/>
          </w:rPr>
          <w:fldChar w:fldCharType="end"/>
        </w:r>
      </w:hyperlink>
    </w:p>
    <w:p w:rsidR="0075011C" w:rsidRDefault="00C55782" w:rsidP="0075011C">
      <w:pPr>
        <w:pStyle w:val="TOC4"/>
        <w:numPr>
          <w:ilvl w:val="0"/>
          <w:numId w:val="29"/>
        </w:numPr>
        <w:tabs>
          <w:tab w:val="left" w:pos="1100"/>
          <w:tab w:val="right" w:leader="dot" w:pos="8296"/>
        </w:tabs>
        <w:rPr>
          <w:rFonts w:eastAsiaTheme="minorEastAsia"/>
          <w:noProof/>
          <w:lang w:eastAsia="en-GB"/>
        </w:rPr>
      </w:pPr>
      <w:hyperlink w:anchor="_Toc427597747" w:history="1">
        <w:r w:rsidR="0075011C" w:rsidRPr="00016645">
          <w:rPr>
            <w:rStyle w:val="Hyperlink"/>
            <w:noProof/>
          </w:rPr>
          <w:t>What is the Design Stage?</w:t>
        </w:r>
        <w:r w:rsidR="0075011C">
          <w:rPr>
            <w:noProof/>
            <w:webHidden/>
          </w:rPr>
          <w:tab/>
        </w:r>
        <w:r w:rsidR="0075011C">
          <w:rPr>
            <w:noProof/>
            <w:webHidden/>
          </w:rPr>
          <w:fldChar w:fldCharType="begin"/>
        </w:r>
        <w:r w:rsidR="0075011C">
          <w:rPr>
            <w:noProof/>
            <w:webHidden/>
          </w:rPr>
          <w:instrText xml:space="preserve"> PAGEREF _Toc427597747 \h </w:instrText>
        </w:r>
        <w:r w:rsidR="0075011C">
          <w:rPr>
            <w:noProof/>
            <w:webHidden/>
          </w:rPr>
        </w:r>
        <w:r w:rsidR="0075011C">
          <w:rPr>
            <w:noProof/>
            <w:webHidden/>
          </w:rPr>
          <w:fldChar w:fldCharType="separate"/>
        </w:r>
        <w:r w:rsidR="00762812">
          <w:rPr>
            <w:noProof/>
            <w:webHidden/>
          </w:rPr>
          <w:t>31</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48" w:history="1">
        <w:r w:rsidR="0075011C" w:rsidRPr="00016645">
          <w:rPr>
            <w:rStyle w:val="Hyperlink"/>
            <w:noProof/>
          </w:rPr>
          <w:t>II.</w:t>
        </w:r>
        <w:r w:rsidR="0075011C">
          <w:rPr>
            <w:rFonts w:eastAsiaTheme="minorEastAsia"/>
            <w:noProof/>
            <w:lang w:eastAsia="en-GB"/>
          </w:rPr>
          <w:tab/>
        </w:r>
        <w:r w:rsidR="0075011C" w:rsidRPr="00016645">
          <w:rPr>
            <w:rStyle w:val="Hyperlink"/>
            <w:noProof/>
          </w:rPr>
          <w:t>Importance of Design to Accessibility</w:t>
        </w:r>
        <w:r w:rsidR="0075011C">
          <w:rPr>
            <w:noProof/>
            <w:webHidden/>
          </w:rPr>
          <w:tab/>
        </w:r>
        <w:r w:rsidR="0075011C">
          <w:rPr>
            <w:noProof/>
            <w:webHidden/>
          </w:rPr>
          <w:fldChar w:fldCharType="begin"/>
        </w:r>
        <w:r w:rsidR="0075011C">
          <w:rPr>
            <w:noProof/>
            <w:webHidden/>
          </w:rPr>
          <w:instrText xml:space="preserve"> PAGEREF _Toc427597748 \h </w:instrText>
        </w:r>
        <w:r w:rsidR="0075011C">
          <w:rPr>
            <w:noProof/>
            <w:webHidden/>
          </w:rPr>
        </w:r>
        <w:r w:rsidR="0075011C">
          <w:rPr>
            <w:noProof/>
            <w:webHidden/>
          </w:rPr>
          <w:fldChar w:fldCharType="separate"/>
        </w:r>
        <w:r w:rsidR="00762812">
          <w:rPr>
            <w:noProof/>
            <w:webHidden/>
          </w:rPr>
          <w:t>32</w:t>
        </w:r>
        <w:r w:rsidR="0075011C">
          <w:rPr>
            <w:noProof/>
            <w:webHidden/>
          </w:rPr>
          <w:fldChar w:fldCharType="end"/>
        </w:r>
      </w:hyperlink>
    </w:p>
    <w:p w:rsidR="0075011C" w:rsidRDefault="00C55782">
      <w:pPr>
        <w:pStyle w:val="TOC4"/>
        <w:tabs>
          <w:tab w:val="left" w:pos="1320"/>
          <w:tab w:val="right" w:leader="dot" w:pos="8296"/>
        </w:tabs>
        <w:rPr>
          <w:rFonts w:eastAsiaTheme="minorEastAsia"/>
          <w:noProof/>
          <w:lang w:eastAsia="en-GB"/>
        </w:rPr>
      </w:pPr>
      <w:hyperlink w:anchor="_Toc427597749" w:history="1">
        <w:r w:rsidR="0075011C" w:rsidRPr="00016645">
          <w:rPr>
            <w:rStyle w:val="Hyperlink"/>
            <w:noProof/>
          </w:rPr>
          <w:t>III.</w:t>
        </w:r>
        <w:r w:rsidR="0075011C">
          <w:rPr>
            <w:rFonts w:eastAsiaTheme="minorEastAsia"/>
            <w:noProof/>
            <w:lang w:eastAsia="en-GB"/>
          </w:rPr>
          <w:t xml:space="preserve">   </w:t>
        </w:r>
        <w:r w:rsidR="0075011C" w:rsidRPr="00016645">
          <w:rPr>
            <w:rStyle w:val="Hyperlink"/>
            <w:noProof/>
          </w:rPr>
          <w:t>How do Drafters Contribute to Accessibility at this Stage?</w:t>
        </w:r>
        <w:r w:rsidR="0075011C">
          <w:rPr>
            <w:noProof/>
            <w:webHidden/>
          </w:rPr>
          <w:tab/>
        </w:r>
        <w:r w:rsidR="0075011C">
          <w:rPr>
            <w:noProof/>
            <w:webHidden/>
          </w:rPr>
          <w:fldChar w:fldCharType="begin"/>
        </w:r>
        <w:r w:rsidR="0075011C">
          <w:rPr>
            <w:noProof/>
            <w:webHidden/>
          </w:rPr>
          <w:instrText xml:space="preserve"> PAGEREF _Toc427597749 \h </w:instrText>
        </w:r>
        <w:r w:rsidR="0075011C">
          <w:rPr>
            <w:noProof/>
            <w:webHidden/>
          </w:rPr>
        </w:r>
        <w:r w:rsidR="0075011C">
          <w:rPr>
            <w:noProof/>
            <w:webHidden/>
          </w:rPr>
          <w:fldChar w:fldCharType="separate"/>
        </w:r>
        <w:r w:rsidR="00762812">
          <w:rPr>
            <w:noProof/>
            <w:webHidden/>
          </w:rPr>
          <w:t>33</w:t>
        </w:r>
        <w:r w:rsidR="0075011C">
          <w:rPr>
            <w:noProof/>
            <w:webHidden/>
          </w:rPr>
          <w:fldChar w:fldCharType="end"/>
        </w:r>
      </w:hyperlink>
    </w:p>
    <w:p w:rsidR="0075011C" w:rsidRDefault="00C55782">
      <w:pPr>
        <w:pStyle w:val="TOC4"/>
        <w:tabs>
          <w:tab w:val="left" w:pos="1320"/>
          <w:tab w:val="right" w:leader="dot" w:pos="8296"/>
        </w:tabs>
        <w:rPr>
          <w:rFonts w:eastAsiaTheme="minorEastAsia"/>
          <w:noProof/>
          <w:lang w:eastAsia="en-GB"/>
        </w:rPr>
      </w:pPr>
      <w:hyperlink w:anchor="_Toc427597750" w:history="1">
        <w:r w:rsidR="0075011C" w:rsidRPr="00016645">
          <w:rPr>
            <w:rStyle w:val="Hyperlink"/>
            <w:noProof/>
          </w:rPr>
          <w:t>IV.</w:t>
        </w:r>
        <w:r w:rsidR="0075011C">
          <w:rPr>
            <w:rFonts w:eastAsiaTheme="minorEastAsia"/>
            <w:noProof/>
            <w:lang w:eastAsia="en-GB"/>
          </w:rPr>
          <w:t xml:space="preserve">   </w:t>
        </w:r>
        <w:r w:rsidR="0075011C" w:rsidRPr="00016645">
          <w:rPr>
            <w:rStyle w:val="Hyperlink"/>
            <w:noProof/>
          </w:rPr>
          <w:t>Tools to Enhance the Design of the Bill</w:t>
        </w:r>
        <w:r w:rsidR="0075011C">
          <w:rPr>
            <w:noProof/>
            <w:webHidden/>
          </w:rPr>
          <w:tab/>
        </w:r>
        <w:r w:rsidR="0075011C">
          <w:rPr>
            <w:noProof/>
            <w:webHidden/>
          </w:rPr>
          <w:fldChar w:fldCharType="begin"/>
        </w:r>
        <w:r w:rsidR="0075011C">
          <w:rPr>
            <w:noProof/>
            <w:webHidden/>
          </w:rPr>
          <w:instrText xml:space="preserve"> PAGEREF _Toc427597750 \h </w:instrText>
        </w:r>
        <w:r w:rsidR="0075011C">
          <w:rPr>
            <w:noProof/>
            <w:webHidden/>
          </w:rPr>
        </w:r>
        <w:r w:rsidR="0075011C">
          <w:rPr>
            <w:noProof/>
            <w:webHidden/>
          </w:rPr>
          <w:fldChar w:fldCharType="separate"/>
        </w:r>
        <w:r w:rsidR="00762812">
          <w:rPr>
            <w:noProof/>
            <w:webHidden/>
          </w:rPr>
          <w:t>37</w:t>
        </w:r>
        <w:r w:rsidR="0075011C">
          <w:rPr>
            <w:noProof/>
            <w:webHidden/>
          </w:rPr>
          <w:fldChar w:fldCharType="end"/>
        </w:r>
      </w:hyperlink>
    </w:p>
    <w:p w:rsidR="0075011C" w:rsidRDefault="00C55782" w:rsidP="00963C2F">
      <w:pPr>
        <w:pStyle w:val="TOC1"/>
        <w:rPr>
          <w:rFonts w:eastAsiaTheme="minorEastAsia"/>
          <w:lang w:eastAsia="en-GB"/>
        </w:rPr>
      </w:pPr>
      <w:hyperlink w:anchor="_Toc427597751" w:history="1">
        <w:r w:rsidR="0075011C" w:rsidRPr="00016645">
          <w:rPr>
            <w:rStyle w:val="Hyperlink"/>
          </w:rPr>
          <w:t>CHAPTER FIVE</w:t>
        </w:r>
      </w:hyperlink>
    </w:p>
    <w:p w:rsidR="0075011C" w:rsidRDefault="00C55782" w:rsidP="00963C2F">
      <w:pPr>
        <w:pStyle w:val="TOC1"/>
        <w:rPr>
          <w:rFonts w:eastAsiaTheme="minorEastAsia"/>
          <w:lang w:eastAsia="en-GB"/>
        </w:rPr>
      </w:pPr>
      <w:hyperlink w:anchor="_Toc427597752" w:history="1">
        <w:r w:rsidR="0075011C" w:rsidRPr="00016645">
          <w:rPr>
            <w:rStyle w:val="Hyperlink"/>
          </w:rPr>
          <w:t>STAGE 4-Composition and Development of the Bill</w:t>
        </w:r>
        <w:r w:rsidR="0075011C">
          <w:rPr>
            <w:webHidden/>
          </w:rPr>
          <w:tab/>
        </w:r>
        <w:r w:rsidR="0075011C">
          <w:rPr>
            <w:webHidden/>
          </w:rPr>
          <w:fldChar w:fldCharType="begin"/>
        </w:r>
        <w:r w:rsidR="0075011C">
          <w:rPr>
            <w:webHidden/>
          </w:rPr>
          <w:instrText xml:space="preserve"> PAGEREF _Toc427597752 \h </w:instrText>
        </w:r>
        <w:r w:rsidR="0075011C">
          <w:rPr>
            <w:webHidden/>
          </w:rPr>
        </w:r>
        <w:r w:rsidR="0075011C">
          <w:rPr>
            <w:webHidden/>
          </w:rPr>
          <w:fldChar w:fldCharType="separate"/>
        </w:r>
        <w:r w:rsidR="00762812">
          <w:rPr>
            <w:webHidden/>
          </w:rPr>
          <w:t>39</w:t>
        </w:r>
        <w:r w:rsidR="0075011C">
          <w:rPr>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53" w:history="1">
        <w:r w:rsidR="0075011C" w:rsidRPr="00016645">
          <w:rPr>
            <w:rStyle w:val="Hyperlink"/>
            <w:noProof/>
          </w:rPr>
          <w:t>I.</w:t>
        </w:r>
        <w:r w:rsidR="0075011C">
          <w:rPr>
            <w:rFonts w:eastAsiaTheme="minorEastAsia"/>
            <w:noProof/>
            <w:lang w:eastAsia="en-GB"/>
          </w:rPr>
          <w:tab/>
        </w:r>
        <w:r w:rsidR="0075011C" w:rsidRPr="00016645">
          <w:rPr>
            <w:rStyle w:val="Hyperlink"/>
            <w:noProof/>
          </w:rPr>
          <w:t>What is the Composition and Development Stage?</w:t>
        </w:r>
        <w:r w:rsidR="0075011C">
          <w:rPr>
            <w:noProof/>
            <w:webHidden/>
          </w:rPr>
          <w:tab/>
        </w:r>
        <w:r w:rsidR="0075011C">
          <w:rPr>
            <w:noProof/>
            <w:webHidden/>
          </w:rPr>
          <w:fldChar w:fldCharType="begin"/>
        </w:r>
        <w:r w:rsidR="0075011C">
          <w:rPr>
            <w:noProof/>
            <w:webHidden/>
          </w:rPr>
          <w:instrText xml:space="preserve"> PAGEREF _Toc427597753 \h </w:instrText>
        </w:r>
        <w:r w:rsidR="0075011C">
          <w:rPr>
            <w:noProof/>
            <w:webHidden/>
          </w:rPr>
        </w:r>
        <w:r w:rsidR="0075011C">
          <w:rPr>
            <w:noProof/>
            <w:webHidden/>
          </w:rPr>
          <w:fldChar w:fldCharType="separate"/>
        </w:r>
        <w:r w:rsidR="00762812">
          <w:rPr>
            <w:noProof/>
            <w:webHidden/>
          </w:rPr>
          <w:t>39</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54" w:history="1">
        <w:r w:rsidR="0075011C" w:rsidRPr="00016645">
          <w:rPr>
            <w:rStyle w:val="Hyperlink"/>
            <w:noProof/>
          </w:rPr>
          <w:t>II.</w:t>
        </w:r>
        <w:r w:rsidR="0075011C">
          <w:rPr>
            <w:rFonts w:eastAsiaTheme="minorEastAsia"/>
            <w:noProof/>
            <w:lang w:eastAsia="en-GB"/>
          </w:rPr>
          <w:tab/>
        </w:r>
        <w:r w:rsidR="0075011C" w:rsidRPr="00016645">
          <w:rPr>
            <w:rStyle w:val="Hyperlink"/>
            <w:noProof/>
          </w:rPr>
          <w:t xml:space="preserve">How do </w:t>
        </w:r>
        <w:r w:rsidR="003C15B7">
          <w:rPr>
            <w:rStyle w:val="Hyperlink"/>
            <w:noProof/>
          </w:rPr>
          <w:t>D</w:t>
        </w:r>
        <w:r w:rsidR="0075011C" w:rsidRPr="00016645">
          <w:rPr>
            <w:rStyle w:val="Hyperlink"/>
            <w:noProof/>
          </w:rPr>
          <w:t xml:space="preserve">rafters </w:t>
        </w:r>
        <w:r w:rsidR="003C15B7">
          <w:rPr>
            <w:rStyle w:val="Hyperlink"/>
            <w:noProof/>
          </w:rPr>
          <w:t>C</w:t>
        </w:r>
        <w:r w:rsidR="0075011C" w:rsidRPr="00016645">
          <w:rPr>
            <w:rStyle w:val="Hyperlink"/>
            <w:noProof/>
          </w:rPr>
          <w:t xml:space="preserve">ontribute to </w:t>
        </w:r>
        <w:r w:rsidR="003C15B7">
          <w:rPr>
            <w:rStyle w:val="Hyperlink"/>
            <w:noProof/>
          </w:rPr>
          <w:t>A</w:t>
        </w:r>
        <w:r w:rsidR="0075011C" w:rsidRPr="00016645">
          <w:rPr>
            <w:rStyle w:val="Hyperlink"/>
            <w:noProof/>
          </w:rPr>
          <w:t xml:space="preserve">ccessibility at this </w:t>
        </w:r>
        <w:r w:rsidR="003C15B7">
          <w:rPr>
            <w:rStyle w:val="Hyperlink"/>
            <w:noProof/>
          </w:rPr>
          <w:t>S</w:t>
        </w:r>
        <w:r w:rsidR="0075011C" w:rsidRPr="00016645">
          <w:rPr>
            <w:rStyle w:val="Hyperlink"/>
            <w:noProof/>
          </w:rPr>
          <w:t>tage?</w:t>
        </w:r>
        <w:r w:rsidR="0075011C">
          <w:rPr>
            <w:noProof/>
            <w:webHidden/>
          </w:rPr>
          <w:tab/>
        </w:r>
        <w:r w:rsidR="0075011C">
          <w:rPr>
            <w:noProof/>
            <w:webHidden/>
          </w:rPr>
          <w:fldChar w:fldCharType="begin"/>
        </w:r>
        <w:r w:rsidR="0075011C">
          <w:rPr>
            <w:noProof/>
            <w:webHidden/>
          </w:rPr>
          <w:instrText xml:space="preserve"> PAGEREF _Toc427597754 \h </w:instrText>
        </w:r>
        <w:r w:rsidR="0075011C">
          <w:rPr>
            <w:noProof/>
            <w:webHidden/>
          </w:rPr>
        </w:r>
        <w:r w:rsidR="0075011C">
          <w:rPr>
            <w:noProof/>
            <w:webHidden/>
          </w:rPr>
          <w:fldChar w:fldCharType="separate"/>
        </w:r>
        <w:r w:rsidR="00762812">
          <w:rPr>
            <w:noProof/>
            <w:webHidden/>
          </w:rPr>
          <w:t>40</w:t>
        </w:r>
        <w:r w:rsidR="0075011C">
          <w:rPr>
            <w:noProof/>
            <w:webHidden/>
          </w:rPr>
          <w:fldChar w:fldCharType="end"/>
        </w:r>
      </w:hyperlink>
    </w:p>
    <w:p w:rsidR="0075011C" w:rsidRPr="00A84FC2" w:rsidRDefault="00A84FC2" w:rsidP="00A84FC2">
      <w:pPr>
        <w:pStyle w:val="TOC4"/>
        <w:tabs>
          <w:tab w:val="left" w:pos="1320"/>
          <w:tab w:val="right" w:leader="dot" w:pos="8296"/>
        </w:tabs>
        <w:rPr>
          <w:rFonts w:eastAsiaTheme="minorEastAsia"/>
          <w:noProof/>
          <w:lang w:eastAsia="en-GB"/>
        </w:rPr>
      </w:pPr>
      <w:r w:rsidRPr="00A84FC2">
        <w:rPr>
          <w:rStyle w:val="Hyperlink"/>
          <w:noProof/>
          <w:color w:val="auto"/>
          <w:u w:val="none"/>
        </w:rPr>
        <w:t xml:space="preserve">III.   </w:t>
      </w:r>
      <w:hyperlink w:anchor="_Toc427597755" w:history="1">
        <w:r w:rsidR="0075011C" w:rsidRPr="00A84FC2">
          <w:rPr>
            <w:rStyle w:val="Hyperlink"/>
            <w:noProof/>
            <w:color w:val="auto"/>
            <w:u w:val="none"/>
          </w:rPr>
          <w:t>Drafting Tools for Accessibility-Clarity, Precision and Unambiguity</w:t>
        </w:r>
        <w:r w:rsidR="0075011C" w:rsidRPr="00A84FC2">
          <w:rPr>
            <w:noProof/>
            <w:webHidden/>
          </w:rPr>
          <w:tab/>
        </w:r>
        <w:r w:rsidR="0075011C" w:rsidRPr="00A84FC2">
          <w:rPr>
            <w:noProof/>
            <w:webHidden/>
          </w:rPr>
          <w:fldChar w:fldCharType="begin"/>
        </w:r>
        <w:r w:rsidR="0075011C" w:rsidRPr="00A84FC2">
          <w:rPr>
            <w:noProof/>
            <w:webHidden/>
          </w:rPr>
          <w:instrText xml:space="preserve"> PAGEREF _Toc427597755 \h </w:instrText>
        </w:r>
        <w:r w:rsidR="0075011C" w:rsidRPr="00A84FC2">
          <w:rPr>
            <w:noProof/>
            <w:webHidden/>
          </w:rPr>
        </w:r>
        <w:r w:rsidR="0075011C" w:rsidRPr="00A84FC2">
          <w:rPr>
            <w:noProof/>
            <w:webHidden/>
          </w:rPr>
          <w:fldChar w:fldCharType="separate"/>
        </w:r>
        <w:r w:rsidR="00762812">
          <w:rPr>
            <w:noProof/>
            <w:webHidden/>
          </w:rPr>
          <w:t>41</w:t>
        </w:r>
        <w:r w:rsidR="0075011C" w:rsidRPr="00A84FC2">
          <w:rPr>
            <w:noProof/>
            <w:webHidden/>
          </w:rPr>
          <w:fldChar w:fldCharType="end"/>
        </w:r>
      </w:hyperlink>
    </w:p>
    <w:p w:rsidR="0075011C" w:rsidRDefault="00A84FC2" w:rsidP="00A84FC2">
      <w:pPr>
        <w:pStyle w:val="TOC4"/>
        <w:tabs>
          <w:tab w:val="left" w:pos="1320"/>
          <w:tab w:val="right" w:leader="dot" w:pos="8296"/>
        </w:tabs>
        <w:rPr>
          <w:rFonts w:eastAsiaTheme="minorEastAsia"/>
          <w:noProof/>
          <w:lang w:eastAsia="en-GB"/>
        </w:rPr>
      </w:pPr>
      <w:r w:rsidRPr="00A84FC2">
        <w:rPr>
          <w:rStyle w:val="Hyperlink"/>
          <w:noProof/>
          <w:color w:val="auto"/>
          <w:u w:val="none"/>
        </w:rPr>
        <w:t xml:space="preserve">IV.  </w:t>
      </w:r>
      <w:r w:rsidRPr="00A84FC2">
        <w:rPr>
          <w:rStyle w:val="Hyperlink"/>
          <w:noProof/>
          <w:u w:val="none"/>
        </w:rPr>
        <w:t xml:space="preserve"> </w:t>
      </w:r>
      <w:hyperlink w:anchor="_Toc427597756" w:history="1">
        <w:r w:rsidR="0075011C" w:rsidRPr="00016645">
          <w:rPr>
            <w:rStyle w:val="Hyperlink"/>
            <w:noProof/>
          </w:rPr>
          <w:t>Techniques for Achieving Clarity, Precision and Unambiguity</w:t>
        </w:r>
        <w:r w:rsidR="0075011C">
          <w:rPr>
            <w:noProof/>
            <w:webHidden/>
          </w:rPr>
          <w:tab/>
        </w:r>
        <w:r w:rsidR="0075011C">
          <w:rPr>
            <w:noProof/>
            <w:webHidden/>
          </w:rPr>
          <w:fldChar w:fldCharType="begin"/>
        </w:r>
        <w:r w:rsidR="0075011C">
          <w:rPr>
            <w:noProof/>
            <w:webHidden/>
          </w:rPr>
          <w:instrText xml:space="preserve"> PAGEREF _Toc427597756 \h </w:instrText>
        </w:r>
        <w:r w:rsidR="0075011C">
          <w:rPr>
            <w:noProof/>
            <w:webHidden/>
          </w:rPr>
        </w:r>
        <w:r w:rsidR="0075011C">
          <w:rPr>
            <w:noProof/>
            <w:webHidden/>
          </w:rPr>
          <w:fldChar w:fldCharType="separate"/>
        </w:r>
        <w:r w:rsidR="00762812">
          <w:rPr>
            <w:noProof/>
            <w:webHidden/>
          </w:rPr>
          <w:t>45</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57" w:history="1">
        <w:r w:rsidR="0075011C" w:rsidRPr="00016645">
          <w:rPr>
            <w:rStyle w:val="Hyperlink"/>
            <w:noProof/>
          </w:rPr>
          <w:t>A.</w:t>
        </w:r>
        <w:r w:rsidR="0075011C">
          <w:rPr>
            <w:rFonts w:eastAsiaTheme="minorEastAsia"/>
            <w:noProof/>
            <w:lang w:eastAsia="en-GB"/>
          </w:rPr>
          <w:tab/>
        </w:r>
        <w:r w:rsidR="0075011C" w:rsidRPr="00016645">
          <w:rPr>
            <w:rStyle w:val="Hyperlink"/>
            <w:noProof/>
          </w:rPr>
          <w:t>Plain Language</w:t>
        </w:r>
        <w:r w:rsidR="0075011C">
          <w:rPr>
            <w:noProof/>
            <w:webHidden/>
          </w:rPr>
          <w:tab/>
        </w:r>
        <w:r w:rsidR="0075011C">
          <w:rPr>
            <w:noProof/>
            <w:webHidden/>
          </w:rPr>
          <w:fldChar w:fldCharType="begin"/>
        </w:r>
        <w:r w:rsidR="0075011C">
          <w:rPr>
            <w:noProof/>
            <w:webHidden/>
          </w:rPr>
          <w:instrText xml:space="preserve"> PAGEREF _Toc427597757 \h </w:instrText>
        </w:r>
        <w:r w:rsidR="0075011C">
          <w:rPr>
            <w:noProof/>
            <w:webHidden/>
          </w:rPr>
        </w:r>
        <w:r w:rsidR="0075011C">
          <w:rPr>
            <w:noProof/>
            <w:webHidden/>
          </w:rPr>
          <w:fldChar w:fldCharType="separate"/>
        </w:r>
        <w:r w:rsidR="00762812">
          <w:rPr>
            <w:noProof/>
            <w:webHidden/>
          </w:rPr>
          <w:t>45</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58" w:history="1">
        <w:r w:rsidR="0075011C" w:rsidRPr="00016645">
          <w:rPr>
            <w:rStyle w:val="Hyperlink"/>
            <w:noProof/>
          </w:rPr>
          <w:t>B.</w:t>
        </w:r>
        <w:r w:rsidR="0075011C">
          <w:rPr>
            <w:rFonts w:eastAsiaTheme="minorEastAsia"/>
            <w:noProof/>
            <w:lang w:eastAsia="en-GB"/>
          </w:rPr>
          <w:tab/>
        </w:r>
        <w:r w:rsidR="0075011C" w:rsidRPr="00016645">
          <w:rPr>
            <w:rStyle w:val="Hyperlink"/>
            <w:noProof/>
          </w:rPr>
          <w:t>Gender</w:t>
        </w:r>
        <w:r w:rsidR="00087F18">
          <w:rPr>
            <w:rStyle w:val="Hyperlink"/>
            <w:noProof/>
          </w:rPr>
          <w:t>-</w:t>
        </w:r>
        <w:r w:rsidR="0075011C" w:rsidRPr="00016645">
          <w:rPr>
            <w:rStyle w:val="Hyperlink"/>
            <w:noProof/>
          </w:rPr>
          <w:t xml:space="preserve"> Neutral Language</w:t>
        </w:r>
        <w:r w:rsidR="0075011C">
          <w:rPr>
            <w:noProof/>
            <w:webHidden/>
          </w:rPr>
          <w:tab/>
        </w:r>
        <w:r w:rsidR="0075011C">
          <w:rPr>
            <w:noProof/>
            <w:webHidden/>
          </w:rPr>
          <w:fldChar w:fldCharType="begin"/>
        </w:r>
        <w:r w:rsidR="0075011C">
          <w:rPr>
            <w:noProof/>
            <w:webHidden/>
          </w:rPr>
          <w:instrText xml:space="preserve"> PAGEREF _Toc427597758 \h </w:instrText>
        </w:r>
        <w:r w:rsidR="0075011C">
          <w:rPr>
            <w:noProof/>
            <w:webHidden/>
          </w:rPr>
        </w:r>
        <w:r w:rsidR="0075011C">
          <w:rPr>
            <w:noProof/>
            <w:webHidden/>
          </w:rPr>
          <w:fldChar w:fldCharType="separate"/>
        </w:r>
        <w:r w:rsidR="00762812">
          <w:rPr>
            <w:noProof/>
            <w:webHidden/>
          </w:rPr>
          <w:t>51</w:t>
        </w:r>
        <w:r w:rsidR="0075011C">
          <w:rPr>
            <w:noProof/>
            <w:webHidden/>
          </w:rPr>
          <w:fldChar w:fldCharType="end"/>
        </w:r>
      </w:hyperlink>
    </w:p>
    <w:p w:rsidR="0075011C" w:rsidRDefault="00C55782" w:rsidP="00963C2F">
      <w:pPr>
        <w:pStyle w:val="TOC1"/>
        <w:rPr>
          <w:rFonts w:eastAsiaTheme="minorEastAsia"/>
          <w:lang w:eastAsia="en-GB"/>
        </w:rPr>
      </w:pPr>
      <w:hyperlink w:anchor="_Toc427597759" w:history="1">
        <w:r w:rsidR="0075011C" w:rsidRPr="00016645">
          <w:rPr>
            <w:rStyle w:val="Hyperlink"/>
          </w:rPr>
          <w:t>CHAPTER SIX</w:t>
        </w:r>
      </w:hyperlink>
    </w:p>
    <w:p w:rsidR="0075011C" w:rsidRDefault="00C55782" w:rsidP="00963C2F">
      <w:pPr>
        <w:pStyle w:val="TOC1"/>
        <w:rPr>
          <w:rFonts w:eastAsiaTheme="minorEastAsia"/>
          <w:lang w:eastAsia="en-GB"/>
        </w:rPr>
      </w:pPr>
      <w:hyperlink w:anchor="_Toc427597760" w:history="1">
        <w:r w:rsidR="0075011C" w:rsidRPr="00016645">
          <w:rPr>
            <w:rStyle w:val="Hyperlink"/>
          </w:rPr>
          <w:t>STAGE 5-SCRUTINY AND TESTING OF THE BILL</w:t>
        </w:r>
        <w:r w:rsidR="0075011C">
          <w:rPr>
            <w:webHidden/>
          </w:rPr>
          <w:tab/>
        </w:r>
        <w:r w:rsidR="0075011C">
          <w:rPr>
            <w:webHidden/>
          </w:rPr>
          <w:fldChar w:fldCharType="begin"/>
        </w:r>
        <w:r w:rsidR="0075011C">
          <w:rPr>
            <w:webHidden/>
          </w:rPr>
          <w:instrText xml:space="preserve"> PAGEREF _Toc427597760 \h </w:instrText>
        </w:r>
        <w:r w:rsidR="0075011C">
          <w:rPr>
            <w:webHidden/>
          </w:rPr>
        </w:r>
        <w:r w:rsidR="0075011C">
          <w:rPr>
            <w:webHidden/>
          </w:rPr>
          <w:fldChar w:fldCharType="separate"/>
        </w:r>
        <w:r w:rsidR="00762812">
          <w:rPr>
            <w:webHidden/>
          </w:rPr>
          <w:t>53</w:t>
        </w:r>
        <w:r w:rsidR="0075011C">
          <w:rPr>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61" w:history="1">
        <w:r w:rsidR="0075011C" w:rsidRPr="00016645">
          <w:rPr>
            <w:rStyle w:val="Hyperlink"/>
            <w:noProof/>
          </w:rPr>
          <w:t>I.</w:t>
        </w:r>
        <w:r w:rsidR="0075011C">
          <w:rPr>
            <w:rFonts w:eastAsiaTheme="minorEastAsia"/>
            <w:noProof/>
            <w:lang w:eastAsia="en-GB"/>
          </w:rPr>
          <w:tab/>
        </w:r>
        <w:r w:rsidR="0075011C" w:rsidRPr="00016645">
          <w:rPr>
            <w:rStyle w:val="Hyperlink"/>
            <w:noProof/>
          </w:rPr>
          <w:t xml:space="preserve">What is the </w:t>
        </w:r>
        <w:r w:rsidR="003C15B7">
          <w:rPr>
            <w:rStyle w:val="Hyperlink"/>
            <w:noProof/>
          </w:rPr>
          <w:t>S</w:t>
        </w:r>
        <w:r w:rsidR="0075011C" w:rsidRPr="00016645">
          <w:rPr>
            <w:rStyle w:val="Hyperlink"/>
            <w:noProof/>
          </w:rPr>
          <w:t xml:space="preserve">crutiny and </w:t>
        </w:r>
        <w:r w:rsidR="003C15B7">
          <w:rPr>
            <w:rStyle w:val="Hyperlink"/>
            <w:noProof/>
          </w:rPr>
          <w:t>T</w:t>
        </w:r>
        <w:r w:rsidR="0075011C" w:rsidRPr="00016645">
          <w:rPr>
            <w:rStyle w:val="Hyperlink"/>
            <w:noProof/>
          </w:rPr>
          <w:t xml:space="preserve">esting </w:t>
        </w:r>
        <w:r w:rsidR="003C15B7">
          <w:rPr>
            <w:rStyle w:val="Hyperlink"/>
            <w:noProof/>
          </w:rPr>
          <w:t>S</w:t>
        </w:r>
        <w:r w:rsidR="0075011C" w:rsidRPr="00016645">
          <w:rPr>
            <w:rStyle w:val="Hyperlink"/>
            <w:noProof/>
          </w:rPr>
          <w:t>tage?</w:t>
        </w:r>
        <w:r w:rsidR="0075011C">
          <w:rPr>
            <w:noProof/>
            <w:webHidden/>
          </w:rPr>
          <w:tab/>
        </w:r>
        <w:r w:rsidR="0075011C">
          <w:rPr>
            <w:noProof/>
            <w:webHidden/>
          </w:rPr>
          <w:fldChar w:fldCharType="begin"/>
        </w:r>
        <w:r w:rsidR="0075011C">
          <w:rPr>
            <w:noProof/>
            <w:webHidden/>
          </w:rPr>
          <w:instrText xml:space="preserve"> PAGEREF _Toc427597761 \h </w:instrText>
        </w:r>
        <w:r w:rsidR="0075011C">
          <w:rPr>
            <w:noProof/>
            <w:webHidden/>
          </w:rPr>
        </w:r>
        <w:r w:rsidR="0075011C">
          <w:rPr>
            <w:noProof/>
            <w:webHidden/>
          </w:rPr>
          <w:fldChar w:fldCharType="separate"/>
        </w:r>
        <w:r w:rsidR="00762812">
          <w:rPr>
            <w:noProof/>
            <w:webHidden/>
          </w:rPr>
          <w:t>53</w:t>
        </w:r>
        <w:r w:rsidR="0075011C">
          <w:rPr>
            <w:noProof/>
            <w:webHidden/>
          </w:rPr>
          <w:fldChar w:fldCharType="end"/>
        </w:r>
      </w:hyperlink>
    </w:p>
    <w:p w:rsidR="0075011C" w:rsidRDefault="00C55782">
      <w:pPr>
        <w:pStyle w:val="TOC4"/>
        <w:tabs>
          <w:tab w:val="left" w:pos="1100"/>
          <w:tab w:val="right" w:leader="dot" w:pos="8296"/>
        </w:tabs>
        <w:rPr>
          <w:rFonts w:eastAsiaTheme="minorEastAsia"/>
          <w:noProof/>
          <w:lang w:eastAsia="en-GB"/>
        </w:rPr>
      </w:pPr>
      <w:hyperlink w:anchor="_Toc427597762" w:history="1">
        <w:r w:rsidR="0075011C" w:rsidRPr="00016645">
          <w:rPr>
            <w:rStyle w:val="Hyperlink"/>
            <w:noProof/>
          </w:rPr>
          <w:t>II.</w:t>
        </w:r>
        <w:r w:rsidR="0075011C">
          <w:rPr>
            <w:rFonts w:eastAsiaTheme="minorEastAsia"/>
            <w:noProof/>
            <w:lang w:eastAsia="en-GB"/>
          </w:rPr>
          <w:tab/>
        </w:r>
        <w:r w:rsidR="0075011C" w:rsidRPr="00016645">
          <w:rPr>
            <w:rStyle w:val="Hyperlink"/>
            <w:noProof/>
          </w:rPr>
          <w:t xml:space="preserve">How do </w:t>
        </w:r>
        <w:r w:rsidR="003C15B7">
          <w:rPr>
            <w:rStyle w:val="Hyperlink"/>
            <w:noProof/>
          </w:rPr>
          <w:t>D</w:t>
        </w:r>
        <w:r w:rsidR="0075011C" w:rsidRPr="00016645">
          <w:rPr>
            <w:rStyle w:val="Hyperlink"/>
            <w:noProof/>
          </w:rPr>
          <w:t xml:space="preserve">rafters </w:t>
        </w:r>
        <w:r w:rsidR="003C15B7">
          <w:rPr>
            <w:rStyle w:val="Hyperlink"/>
            <w:noProof/>
          </w:rPr>
          <w:t>C</w:t>
        </w:r>
        <w:r w:rsidR="0075011C" w:rsidRPr="00016645">
          <w:rPr>
            <w:rStyle w:val="Hyperlink"/>
            <w:noProof/>
          </w:rPr>
          <w:t xml:space="preserve">ontribute to </w:t>
        </w:r>
        <w:r w:rsidR="003C15B7">
          <w:rPr>
            <w:rStyle w:val="Hyperlink"/>
            <w:noProof/>
          </w:rPr>
          <w:t>A</w:t>
        </w:r>
        <w:r w:rsidR="0075011C" w:rsidRPr="00016645">
          <w:rPr>
            <w:rStyle w:val="Hyperlink"/>
            <w:noProof/>
          </w:rPr>
          <w:t xml:space="preserve">ccessibility at this </w:t>
        </w:r>
        <w:r w:rsidR="003C15B7">
          <w:rPr>
            <w:rStyle w:val="Hyperlink"/>
            <w:noProof/>
          </w:rPr>
          <w:t>S</w:t>
        </w:r>
        <w:r w:rsidR="0075011C" w:rsidRPr="00016645">
          <w:rPr>
            <w:rStyle w:val="Hyperlink"/>
            <w:noProof/>
          </w:rPr>
          <w:t>tage?</w:t>
        </w:r>
        <w:r w:rsidR="0075011C">
          <w:rPr>
            <w:noProof/>
            <w:webHidden/>
          </w:rPr>
          <w:tab/>
        </w:r>
        <w:r w:rsidR="0075011C">
          <w:rPr>
            <w:noProof/>
            <w:webHidden/>
          </w:rPr>
          <w:fldChar w:fldCharType="begin"/>
        </w:r>
        <w:r w:rsidR="0075011C">
          <w:rPr>
            <w:noProof/>
            <w:webHidden/>
          </w:rPr>
          <w:instrText xml:space="preserve"> PAGEREF _Toc427597762 \h </w:instrText>
        </w:r>
        <w:r w:rsidR="0075011C">
          <w:rPr>
            <w:noProof/>
            <w:webHidden/>
          </w:rPr>
        </w:r>
        <w:r w:rsidR="0075011C">
          <w:rPr>
            <w:noProof/>
            <w:webHidden/>
          </w:rPr>
          <w:fldChar w:fldCharType="separate"/>
        </w:r>
        <w:r w:rsidR="00762812">
          <w:rPr>
            <w:noProof/>
            <w:webHidden/>
          </w:rPr>
          <w:t>54</w:t>
        </w:r>
        <w:r w:rsidR="0075011C">
          <w:rPr>
            <w:noProof/>
            <w:webHidden/>
          </w:rPr>
          <w:fldChar w:fldCharType="end"/>
        </w:r>
      </w:hyperlink>
    </w:p>
    <w:p w:rsidR="0075011C" w:rsidRDefault="00C55782" w:rsidP="00963C2F">
      <w:pPr>
        <w:pStyle w:val="TOC1"/>
        <w:rPr>
          <w:rFonts w:eastAsiaTheme="minorEastAsia"/>
          <w:lang w:eastAsia="en-GB"/>
        </w:rPr>
      </w:pPr>
      <w:hyperlink w:anchor="_Toc427597763" w:history="1">
        <w:r w:rsidR="0075011C" w:rsidRPr="00016645">
          <w:rPr>
            <w:rStyle w:val="Hyperlink"/>
          </w:rPr>
          <w:t>CHAPTER SEVEN</w:t>
        </w:r>
      </w:hyperlink>
    </w:p>
    <w:p w:rsidR="0075011C" w:rsidRDefault="00C55782" w:rsidP="00963C2F">
      <w:pPr>
        <w:pStyle w:val="TOC1"/>
        <w:rPr>
          <w:rFonts w:eastAsiaTheme="minorEastAsia"/>
          <w:lang w:eastAsia="en-GB"/>
        </w:rPr>
      </w:pPr>
      <w:hyperlink w:anchor="_Toc427597764" w:history="1">
        <w:r w:rsidR="0075011C" w:rsidRPr="00016645">
          <w:rPr>
            <w:rStyle w:val="Hyperlink"/>
          </w:rPr>
          <w:t>CONCLUSION</w:t>
        </w:r>
        <w:r w:rsidR="0075011C">
          <w:rPr>
            <w:webHidden/>
          </w:rPr>
          <w:tab/>
        </w:r>
        <w:r w:rsidR="0075011C">
          <w:rPr>
            <w:webHidden/>
          </w:rPr>
          <w:fldChar w:fldCharType="begin"/>
        </w:r>
        <w:r w:rsidR="0075011C">
          <w:rPr>
            <w:webHidden/>
          </w:rPr>
          <w:instrText xml:space="preserve"> PAGEREF _Toc427597764 \h </w:instrText>
        </w:r>
        <w:r w:rsidR="0075011C">
          <w:rPr>
            <w:webHidden/>
          </w:rPr>
        </w:r>
        <w:r w:rsidR="0075011C">
          <w:rPr>
            <w:webHidden/>
          </w:rPr>
          <w:fldChar w:fldCharType="separate"/>
        </w:r>
        <w:r w:rsidR="00762812">
          <w:rPr>
            <w:webHidden/>
          </w:rPr>
          <w:t>57</w:t>
        </w:r>
        <w:r w:rsidR="0075011C">
          <w:rPr>
            <w:webHidden/>
          </w:rPr>
          <w:fldChar w:fldCharType="end"/>
        </w:r>
      </w:hyperlink>
    </w:p>
    <w:p w:rsidR="0075011C" w:rsidRDefault="00C55782" w:rsidP="00963C2F">
      <w:pPr>
        <w:pStyle w:val="TOC1"/>
        <w:rPr>
          <w:rFonts w:eastAsiaTheme="minorEastAsia"/>
          <w:lang w:eastAsia="en-GB"/>
        </w:rPr>
      </w:pPr>
      <w:hyperlink w:anchor="_Toc427597765" w:history="1">
        <w:r w:rsidR="0075011C" w:rsidRPr="00016645">
          <w:rPr>
            <w:rStyle w:val="Hyperlink"/>
          </w:rPr>
          <w:t>BIBLIOGRAPHY</w:t>
        </w:r>
        <w:r w:rsidR="0075011C">
          <w:rPr>
            <w:webHidden/>
          </w:rPr>
          <w:tab/>
        </w:r>
        <w:r w:rsidR="0075011C">
          <w:rPr>
            <w:webHidden/>
          </w:rPr>
          <w:fldChar w:fldCharType="begin"/>
        </w:r>
        <w:r w:rsidR="0075011C">
          <w:rPr>
            <w:webHidden/>
          </w:rPr>
          <w:instrText xml:space="preserve"> PAGEREF _Toc427597765 \h </w:instrText>
        </w:r>
        <w:r w:rsidR="0075011C">
          <w:rPr>
            <w:webHidden/>
          </w:rPr>
        </w:r>
        <w:r w:rsidR="0075011C">
          <w:rPr>
            <w:webHidden/>
          </w:rPr>
          <w:fldChar w:fldCharType="separate"/>
        </w:r>
        <w:r w:rsidR="00762812">
          <w:rPr>
            <w:webHidden/>
          </w:rPr>
          <w:t>61</w:t>
        </w:r>
        <w:r w:rsidR="0075011C">
          <w:rPr>
            <w:webHidden/>
          </w:rPr>
          <w:fldChar w:fldCharType="end"/>
        </w:r>
      </w:hyperlink>
    </w:p>
    <w:p w:rsidR="00986215" w:rsidRDefault="00986215" w:rsidP="00A90366">
      <w:pPr>
        <w:pStyle w:val="Heading4"/>
        <w:jc w:val="center"/>
        <w:rPr>
          <w:rFonts w:ascii="Century" w:eastAsiaTheme="minorHAnsi" w:hAnsi="Century" w:cs="Arabic Typesetting"/>
          <w:bCs w:val="0"/>
          <w:i w:val="0"/>
          <w:iCs w:val="0"/>
          <w:color w:val="auto"/>
          <w:sz w:val="24"/>
          <w:szCs w:val="24"/>
        </w:rPr>
      </w:pPr>
      <w:r>
        <w:rPr>
          <w:rFonts w:ascii="Century" w:eastAsiaTheme="minorHAnsi" w:hAnsi="Century" w:cs="Arabic Typesetting"/>
          <w:bCs w:val="0"/>
          <w:i w:val="0"/>
          <w:iCs w:val="0"/>
          <w:color w:val="auto"/>
          <w:sz w:val="24"/>
          <w:szCs w:val="24"/>
        </w:rPr>
        <w:fldChar w:fldCharType="end"/>
      </w:r>
    </w:p>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Default="00986215" w:rsidP="00986215"/>
    <w:p w:rsidR="00986215" w:rsidRPr="00986215" w:rsidRDefault="00986215" w:rsidP="00986215"/>
    <w:p w:rsidR="00A90366" w:rsidRPr="008A7880" w:rsidRDefault="00A90366" w:rsidP="00000306">
      <w:pPr>
        <w:pStyle w:val="Heading1"/>
        <w:jc w:val="center"/>
        <w:rPr>
          <w:rFonts w:ascii="Century" w:hAnsi="Century" w:cs="Arabic Typesetting"/>
          <w:color w:val="000000" w:themeColor="text1"/>
          <w:sz w:val="24"/>
          <w:szCs w:val="24"/>
        </w:rPr>
      </w:pPr>
      <w:bookmarkStart w:id="1" w:name="_Toc427597728"/>
      <w:r w:rsidRPr="008A7880">
        <w:rPr>
          <w:color w:val="000000" w:themeColor="text1"/>
        </w:rPr>
        <w:t>ACKNOWLEDGEMENTS</w:t>
      </w:r>
      <w:bookmarkEnd w:id="1"/>
    </w:p>
    <w:p w:rsidR="00827D3B" w:rsidRDefault="00827D3B" w:rsidP="00827D3B">
      <w:pPr>
        <w:spacing w:after="200" w:line="276" w:lineRule="auto"/>
        <w:jc w:val="both"/>
        <w:rPr>
          <w:rFonts w:ascii="Century" w:hAnsi="Century" w:cs="Arabic Typesetting"/>
          <w:sz w:val="24"/>
          <w:szCs w:val="24"/>
        </w:rPr>
      </w:pPr>
    </w:p>
    <w:p w:rsidR="00C87B69" w:rsidRDefault="00774E36" w:rsidP="00827D3B">
      <w:pPr>
        <w:spacing w:after="200" w:line="276" w:lineRule="auto"/>
        <w:jc w:val="both"/>
        <w:rPr>
          <w:rFonts w:ascii="Century" w:hAnsi="Century" w:cs="Arabic Typesetting"/>
          <w:sz w:val="24"/>
          <w:szCs w:val="24"/>
        </w:rPr>
      </w:pPr>
      <w:r>
        <w:rPr>
          <w:rFonts w:ascii="Century" w:hAnsi="Century" w:cs="Arabic Typesetting"/>
          <w:sz w:val="24"/>
          <w:szCs w:val="24"/>
        </w:rPr>
        <w:t>Praise</w:t>
      </w:r>
      <w:r w:rsidR="00C87B69">
        <w:rPr>
          <w:rFonts w:ascii="Century" w:hAnsi="Century" w:cs="Arabic Typesetting"/>
          <w:sz w:val="24"/>
          <w:szCs w:val="24"/>
        </w:rPr>
        <w:t xml:space="preserve"> God from who</w:t>
      </w:r>
      <w:r>
        <w:rPr>
          <w:rFonts w:ascii="Century" w:hAnsi="Century" w:cs="Arabic Typesetting"/>
          <w:sz w:val="24"/>
          <w:szCs w:val="24"/>
        </w:rPr>
        <w:t>m all blessings flow!</w:t>
      </w:r>
    </w:p>
    <w:p w:rsidR="00827D3B" w:rsidRDefault="00C87B69" w:rsidP="00827D3B">
      <w:pPr>
        <w:spacing w:after="200" w:line="276" w:lineRule="auto"/>
        <w:jc w:val="both"/>
        <w:rPr>
          <w:rFonts w:ascii="Century" w:hAnsi="Century" w:cs="Arabic Typesetting"/>
          <w:sz w:val="24"/>
          <w:szCs w:val="24"/>
        </w:rPr>
      </w:pPr>
      <w:r>
        <w:rPr>
          <w:rFonts w:ascii="Century" w:hAnsi="Century" w:cs="Arabic Typesetting"/>
          <w:sz w:val="24"/>
          <w:szCs w:val="24"/>
        </w:rPr>
        <w:t>T</w:t>
      </w:r>
      <w:r w:rsidR="004327FC">
        <w:rPr>
          <w:rFonts w:ascii="Century" w:hAnsi="Century" w:cs="Arabic Typesetting"/>
          <w:sz w:val="24"/>
          <w:szCs w:val="24"/>
        </w:rPr>
        <w:t>hank</w:t>
      </w:r>
      <w:r>
        <w:rPr>
          <w:rFonts w:ascii="Century" w:hAnsi="Century" w:cs="Arabic Typesetting"/>
          <w:sz w:val="24"/>
          <w:szCs w:val="24"/>
        </w:rPr>
        <w:t>s to</w:t>
      </w:r>
      <w:r w:rsidR="004327FC">
        <w:rPr>
          <w:rFonts w:ascii="Century" w:hAnsi="Century" w:cs="Arabic Typesetting"/>
          <w:sz w:val="24"/>
          <w:szCs w:val="24"/>
        </w:rPr>
        <w:t xml:space="preserve"> Dr</w:t>
      </w:r>
      <w:r w:rsidR="00827D3B">
        <w:rPr>
          <w:rFonts w:ascii="Century" w:hAnsi="Century" w:cs="Arabic Typesetting"/>
          <w:sz w:val="24"/>
          <w:szCs w:val="24"/>
        </w:rPr>
        <w:t xml:space="preserve"> Con</w:t>
      </w:r>
      <w:r w:rsidR="004327FC">
        <w:rPr>
          <w:rFonts w:ascii="Century" w:hAnsi="Century" w:cs="Arabic Typesetting"/>
          <w:sz w:val="24"/>
          <w:szCs w:val="24"/>
        </w:rPr>
        <w:t xml:space="preserve">stantin Stefanou and </w:t>
      </w:r>
      <w:r w:rsidR="00827D3B">
        <w:rPr>
          <w:rFonts w:ascii="Century" w:hAnsi="Century" w:cs="Arabic Typesetting"/>
          <w:sz w:val="24"/>
          <w:szCs w:val="24"/>
        </w:rPr>
        <w:t xml:space="preserve">Professor Helen Xanthaki for the knowledge imparted and for </w:t>
      </w:r>
      <w:r w:rsidR="00F55EAB">
        <w:rPr>
          <w:rFonts w:ascii="Century" w:hAnsi="Century" w:cs="Arabic Typesetting"/>
          <w:sz w:val="24"/>
          <w:szCs w:val="24"/>
        </w:rPr>
        <w:t>your</w:t>
      </w:r>
      <w:r w:rsidR="00827D3B">
        <w:rPr>
          <w:rFonts w:ascii="Century" w:hAnsi="Century" w:cs="Arabic Typesetting"/>
          <w:sz w:val="24"/>
          <w:szCs w:val="24"/>
        </w:rPr>
        <w:t xml:space="preserve"> supervision throughout the course.</w:t>
      </w:r>
      <w:r w:rsidR="00F55EAB">
        <w:rPr>
          <w:rFonts w:ascii="Century" w:hAnsi="Century" w:cs="Arabic Typesetting"/>
          <w:sz w:val="24"/>
          <w:szCs w:val="24"/>
        </w:rPr>
        <w:t xml:space="preserve"> Than</w:t>
      </w:r>
      <w:r w:rsidR="00205915">
        <w:rPr>
          <w:rFonts w:ascii="Century" w:hAnsi="Century" w:cs="Arabic Typesetting"/>
          <w:sz w:val="24"/>
          <w:szCs w:val="24"/>
        </w:rPr>
        <w:t xml:space="preserve">ks also, to all guest lecturers </w:t>
      </w:r>
      <w:r w:rsidR="00652895">
        <w:rPr>
          <w:rFonts w:ascii="Century" w:hAnsi="Century" w:cs="Arabic Typesetting"/>
          <w:sz w:val="24"/>
          <w:szCs w:val="24"/>
        </w:rPr>
        <w:t>for sharing your time and expertise</w:t>
      </w:r>
      <w:r w:rsidR="00205915">
        <w:rPr>
          <w:rFonts w:ascii="Century" w:hAnsi="Century" w:cs="Arabic Typesetting"/>
          <w:sz w:val="24"/>
          <w:szCs w:val="24"/>
        </w:rPr>
        <w:t xml:space="preserve">. </w:t>
      </w:r>
    </w:p>
    <w:p w:rsidR="00DE02F2" w:rsidRDefault="00C87B69" w:rsidP="00827D3B">
      <w:pPr>
        <w:spacing w:after="200" w:line="276" w:lineRule="auto"/>
        <w:jc w:val="both"/>
        <w:rPr>
          <w:rFonts w:ascii="Century" w:hAnsi="Century" w:cs="Arabic Typesetting"/>
          <w:sz w:val="24"/>
          <w:szCs w:val="24"/>
        </w:rPr>
      </w:pPr>
      <w:r>
        <w:rPr>
          <w:rFonts w:ascii="Century" w:hAnsi="Century" w:cs="Arabic Typesetting"/>
          <w:sz w:val="24"/>
          <w:szCs w:val="24"/>
        </w:rPr>
        <w:t>Also, t</w:t>
      </w:r>
      <w:r w:rsidR="00DE02F2">
        <w:rPr>
          <w:rFonts w:ascii="Century" w:hAnsi="Century" w:cs="Arabic Typesetting"/>
          <w:sz w:val="24"/>
          <w:szCs w:val="24"/>
        </w:rPr>
        <w:t xml:space="preserve">hanks to the </w:t>
      </w:r>
      <w:r w:rsidR="00AE3F36">
        <w:rPr>
          <w:rFonts w:ascii="Century" w:hAnsi="Century" w:cs="Arabic Typesetting"/>
          <w:sz w:val="24"/>
          <w:szCs w:val="24"/>
        </w:rPr>
        <w:t xml:space="preserve">kind and patient </w:t>
      </w:r>
      <w:r w:rsidR="00DE02F2">
        <w:rPr>
          <w:rFonts w:ascii="Century" w:hAnsi="Century" w:cs="Arabic Typesetting"/>
          <w:sz w:val="24"/>
          <w:szCs w:val="24"/>
        </w:rPr>
        <w:t>staff at IALS e</w:t>
      </w:r>
      <w:r>
        <w:rPr>
          <w:rFonts w:ascii="Century" w:hAnsi="Century" w:cs="Arabic Typesetting"/>
          <w:sz w:val="24"/>
          <w:szCs w:val="24"/>
        </w:rPr>
        <w:t>specially the Library Staff, Christian Otta and the barrister at Café Lex.</w:t>
      </w:r>
    </w:p>
    <w:p w:rsidR="00827D3B" w:rsidRDefault="00827D3B" w:rsidP="00827D3B">
      <w:pPr>
        <w:spacing w:after="200" w:line="276" w:lineRule="auto"/>
        <w:jc w:val="both"/>
        <w:rPr>
          <w:rFonts w:ascii="Century" w:hAnsi="Century" w:cs="Arabic Typesetting"/>
          <w:sz w:val="24"/>
          <w:szCs w:val="24"/>
        </w:rPr>
      </w:pPr>
      <w:r>
        <w:rPr>
          <w:rFonts w:ascii="Century" w:hAnsi="Century" w:cs="Arabic Typesetting"/>
          <w:sz w:val="24"/>
          <w:szCs w:val="24"/>
        </w:rPr>
        <w:t>Special thanks to Chevening Scholarship</w:t>
      </w:r>
      <w:r w:rsidR="000F4645">
        <w:rPr>
          <w:rFonts w:ascii="Century" w:hAnsi="Century" w:cs="Arabic Typesetting"/>
          <w:sz w:val="24"/>
          <w:szCs w:val="24"/>
        </w:rPr>
        <w:t>s</w:t>
      </w:r>
      <w:r>
        <w:rPr>
          <w:rFonts w:ascii="Century" w:hAnsi="Century" w:cs="Arabic Typesetting"/>
          <w:sz w:val="24"/>
          <w:szCs w:val="24"/>
        </w:rPr>
        <w:t xml:space="preserve"> and the Foreign and Commonwealt</w:t>
      </w:r>
      <w:r w:rsidR="00DE02F2">
        <w:rPr>
          <w:rFonts w:ascii="Century" w:hAnsi="Century" w:cs="Arabic Typesetting"/>
          <w:sz w:val="24"/>
          <w:szCs w:val="24"/>
        </w:rPr>
        <w:t xml:space="preserve">h Office for funding my studies and making my dream to study law in England a reality.  </w:t>
      </w:r>
    </w:p>
    <w:p w:rsidR="00827D3B" w:rsidRDefault="00827D3B" w:rsidP="00827D3B">
      <w:pPr>
        <w:spacing w:after="200" w:line="276" w:lineRule="auto"/>
        <w:jc w:val="both"/>
        <w:rPr>
          <w:rFonts w:ascii="Century" w:hAnsi="Century" w:cs="Arabic Typesetting"/>
          <w:sz w:val="24"/>
          <w:szCs w:val="24"/>
        </w:rPr>
      </w:pPr>
      <w:r>
        <w:rPr>
          <w:rFonts w:ascii="Century" w:hAnsi="Century" w:cs="Arabic Typesetting"/>
          <w:sz w:val="24"/>
          <w:szCs w:val="24"/>
        </w:rPr>
        <w:t>This dissertation is dedicated to my paren</w:t>
      </w:r>
      <w:r w:rsidR="00496AC5">
        <w:rPr>
          <w:rFonts w:ascii="Century" w:hAnsi="Century" w:cs="Arabic Typesetting"/>
          <w:sz w:val="24"/>
          <w:szCs w:val="24"/>
        </w:rPr>
        <w:t>ts. Thanks for always believing.</w:t>
      </w:r>
    </w:p>
    <w:p w:rsidR="00986215" w:rsidRPr="00B25FCC" w:rsidRDefault="00A90366" w:rsidP="00B25FCC">
      <w:pPr>
        <w:spacing w:after="200" w:line="276" w:lineRule="auto"/>
        <w:jc w:val="both"/>
        <w:rPr>
          <w:rFonts w:ascii="Century" w:hAnsi="Century" w:cs="Arabic Typesetting"/>
          <w:b/>
          <w:sz w:val="24"/>
          <w:szCs w:val="24"/>
        </w:rPr>
      </w:pPr>
      <w:r>
        <w:rPr>
          <w:rFonts w:ascii="Century" w:hAnsi="Century" w:cs="Arabic Typesetting"/>
          <w:b/>
          <w:sz w:val="24"/>
          <w:szCs w:val="24"/>
        </w:rPr>
        <w:br w:type="page"/>
      </w:r>
    </w:p>
    <w:p w:rsidR="00B80811" w:rsidRPr="008A7880" w:rsidRDefault="00B80811" w:rsidP="00D47BE8">
      <w:pPr>
        <w:pStyle w:val="Heading1"/>
        <w:jc w:val="center"/>
        <w:rPr>
          <w:color w:val="auto"/>
        </w:rPr>
      </w:pPr>
      <w:bookmarkStart w:id="2" w:name="_Toc427272173"/>
      <w:bookmarkStart w:id="3" w:name="_Toc427272649"/>
      <w:bookmarkStart w:id="4" w:name="_Toc427597729"/>
      <w:r w:rsidRPr="008A7880">
        <w:rPr>
          <w:color w:val="auto"/>
        </w:rPr>
        <w:lastRenderedPageBreak/>
        <w:t>CHAPTER ONE</w:t>
      </w:r>
      <w:bookmarkEnd w:id="2"/>
      <w:bookmarkEnd w:id="3"/>
      <w:bookmarkEnd w:id="4"/>
    </w:p>
    <w:p w:rsidR="004E4FB0" w:rsidRPr="00F32CF2" w:rsidRDefault="004E4FB0" w:rsidP="009C17E5">
      <w:pPr>
        <w:spacing w:line="360" w:lineRule="auto"/>
        <w:jc w:val="both"/>
        <w:rPr>
          <w:rFonts w:ascii="Century" w:hAnsi="Century"/>
          <w:sz w:val="24"/>
          <w:szCs w:val="24"/>
        </w:rPr>
      </w:pPr>
    </w:p>
    <w:p w:rsidR="00F8176D" w:rsidRPr="00B044AF" w:rsidRDefault="00F8176D" w:rsidP="00F8176D">
      <w:pPr>
        <w:pStyle w:val="Heading4"/>
        <w:numPr>
          <w:ilvl w:val="0"/>
          <w:numId w:val="28"/>
        </w:numPr>
        <w:rPr>
          <w:color w:val="auto"/>
        </w:rPr>
      </w:pPr>
      <w:bookmarkStart w:id="5" w:name="_Toc427272650"/>
      <w:bookmarkStart w:id="6" w:name="_Toc427597730"/>
      <w:bookmarkStart w:id="7" w:name="_Toc427272652"/>
      <w:r w:rsidRPr="00B044AF">
        <w:rPr>
          <w:color w:val="auto"/>
        </w:rPr>
        <w:t>INTRODUCTION</w:t>
      </w:r>
      <w:bookmarkEnd w:id="5"/>
      <w:bookmarkEnd w:id="6"/>
    </w:p>
    <w:p w:rsidR="00F8176D" w:rsidRDefault="00F8176D" w:rsidP="00055BD4">
      <w:pPr>
        <w:pStyle w:val="ListParagraph"/>
        <w:spacing w:line="360" w:lineRule="auto"/>
        <w:jc w:val="both"/>
        <w:rPr>
          <w:rFonts w:ascii="Century" w:hAnsi="Century" w:cs="Arabic Typesetting"/>
          <w:sz w:val="24"/>
          <w:szCs w:val="24"/>
        </w:rPr>
      </w:pPr>
      <w:r w:rsidRPr="00F32CF2">
        <w:rPr>
          <w:rFonts w:ascii="Century" w:hAnsi="Century" w:cs="Arabic Typesetting"/>
          <w:sz w:val="24"/>
          <w:szCs w:val="24"/>
        </w:rPr>
        <w:t xml:space="preserve"> </w:t>
      </w:r>
    </w:p>
    <w:p w:rsidR="00F8176D" w:rsidRPr="00C61B08" w:rsidRDefault="00F8176D" w:rsidP="00F8176D">
      <w:pPr>
        <w:spacing w:line="360" w:lineRule="auto"/>
        <w:jc w:val="both"/>
        <w:rPr>
          <w:rFonts w:ascii="Century" w:eastAsia="Times New Roman" w:hAnsi="Century" w:cs="Times New Roman"/>
          <w:sz w:val="24"/>
          <w:szCs w:val="24"/>
          <w:lang w:eastAsia="en-GB"/>
        </w:rPr>
      </w:pPr>
      <w:r>
        <w:rPr>
          <w:rFonts w:ascii="Century" w:hAnsi="Century" w:cs="Arabic Typesetting"/>
          <w:sz w:val="24"/>
          <w:szCs w:val="24"/>
        </w:rPr>
        <w:t>According to Karpen, ‘knowledge of the law is</w:t>
      </w:r>
      <w:r w:rsidR="00245575">
        <w:rPr>
          <w:rFonts w:ascii="Century" w:hAnsi="Century" w:cs="Arabic Typesetting"/>
          <w:sz w:val="24"/>
          <w:szCs w:val="24"/>
        </w:rPr>
        <w:t>…</w:t>
      </w:r>
      <w:r>
        <w:rPr>
          <w:rFonts w:ascii="Century" w:hAnsi="Century" w:cs="Arabic Typesetting"/>
          <w:sz w:val="24"/>
          <w:szCs w:val="24"/>
        </w:rPr>
        <w:t xml:space="preserve"> mandatory in a rule of law-democracy’.</w:t>
      </w:r>
      <w:r>
        <w:rPr>
          <w:rStyle w:val="FootnoteReference"/>
          <w:rFonts w:ascii="Century" w:hAnsi="Century" w:cs="Arabic Typesetting"/>
          <w:sz w:val="24"/>
          <w:szCs w:val="24"/>
        </w:rPr>
        <w:footnoteReference w:id="1"/>
      </w:r>
      <w:r>
        <w:rPr>
          <w:rFonts w:ascii="Century" w:hAnsi="Century" w:cs="Arabic Typesetting"/>
          <w:sz w:val="24"/>
          <w:szCs w:val="24"/>
        </w:rPr>
        <w:t xml:space="preserve"> Knowledge of the law empowers citizens to </w:t>
      </w:r>
      <w:r w:rsidR="001774BE">
        <w:rPr>
          <w:rFonts w:ascii="Century" w:hAnsi="Century" w:cs="Arabic Typesetting"/>
          <w:sz w:val="24"/>
          <w:szCs w:val="24"/>
        </w:rPr>
        <w:t>ascertain</w:t>
      </w:r>
      <w:r>
        <w:rPr>
          <w:rFonts w:ascii="Century" w:hAnsi="Century" w:cs="Arabic Typesetting"/>
          <w:sz w:val="24"/>
          <w:szCs w:val="24"/>
        </w:rPr>
        <w:t xml:space="preserve"> what the law ‘prohibits, permits, or requires’.</w:t>
      </w:r>
      <w:r>
        <w:rPr>
          <w:rStyle w:val="FootnoteReference"/>
          <w:rFonts w:ascii="Century" w:hAnsi="Century" w:cs="Arabic Typesetting"/>
          <w:sz w:val="24"/>
          <w:szCs w:val="24"/>
        </w:rPr>
        <w:footnoteReference w:id="2"/>
      </w:r>
      <w:r>
        <w:rPr>
          <w:rFonts w:ascii="Century" w:hAnsi="Century" w:cs="Arabic Typesetting"/>
          <w:sz w:val="24"/>
          <w:szCs w:val="24"/>
        </w:rPr>
        <w:t xml:space="preserve"> </w:t>
      </w:r>
      <w:r w:rsidR="00C61B08">
        <w:rPr>
          <w:rFonts w:ascii="Century" w:hAnsi="Century" w:cs="Arabic Typesetting"/>
          <w:sz w:val="24"/>
          <w:szCs w:val="24"/>
        </w:rPr>
        <w:t>On the other hand</w:t>
      </w:r>
      <w:r>
        <w:rPr>
          <w:rFonts w:ascii="Century" w:hAnsi="Century" w:cs="Arabic Typesetting"/>
          <w:sz w:val="24"/>
          <w:szCs w:val="24"/>
        </w:rPr>
        <w:t xml:space="preserve">, failure to know the law cripples the ability of citizens to know their rights and obligations and to regulate their affairs with certainty. This provides the perfect opportunity for laws to be used for </w:t>
      </w:r>
      <w:r w:rsidRPr="00F32CF2">
        <w:rPr>
          <w:rFonts w:ascii="Century" w:eastAsia="Times New Roman" w:hAnsi="Century" w:cs="Times New Roman"/>
          <w:sz w:val="24"/>
          <w:szCs w:val="24"/>
          <w:lang w:eastAsia="en-GB"/>
        </w:rPr>
        <w:t xml:space="preserve">arbitrary reasons by </w:t>
      </w:r>
      <w:r w:rsidR="00C61B08">
        <w:rPr>
          <w:rFonts w:ascii="Century" w:eastAsia="Times New Roman" w:hAnsi="Century" w:cs="Times New Roman"/>
          <w:sz w:val="24"/>
          <w:szCs w:val="24"/>
          <w:lang w:eastAsia="en-GB"/>
        </w:rPr>
        <w:t>the powers that be and</w:t>
      </w:r>
      <w:r>
        <w:rPr>
          <w:rFonts w:ascii="Century" w:eastAsia="Times New Roman" w:hAnsi="Century" w:cs="Times New Roman"/>
          <w:sz w:val="24"/>
          <w:szCs w:val="24"/>
          <w:lang w:eastAsia="en-GB"/>
        </w:rPr>
        <w:t xml:space="preserve"> </w:t>
      </w:r>
      <w:r w:rsidR="00C61B08">
        <w:rPr>
          <w:rFonts w:ascii="Century" w:eastAsia="Times New Roman" w:hAnsi="Century" w:cs="Times New Roman"/>
          <w:sz w:val="24"/>
          <w:szCs w:val="24"/>
          <w:lang w:eastAsia="en-GB"/>
        </w:rPr>
        <w:t>a</w:t>
      </w:r>
      <w:r w:rsidR="004817DB">
        <w:rPr>
          <w:rFonts w:ascii="Century" w:eastAsia="Times New Roman" w:hAnsi="Century" w:cs="Times New Roman"/>
          <w:sz w:val="24"/>
          <w:szCs w:val="24"/>
          <w:lang w:eastAsia="en-GB"/>
        </w:rPr>
        <w:t xml:space="preserve">s Stein </w:t>
      </w:r>
      <w:r w:rsidR="00596798">
        <w:rPr>
          <w:rFonts w:ascii="Century" w:eastAsia="Times New Roman" w:hAnsi="Century" w:cs="Times New Roman"/>
          <w:sz w:val="24"/>
          <w:szCs w:val="24"/>
          <w:lang w:eastAsia="en-GB"/>
        </w:rPr>
        <w:t>observes</w:t>
      </w:r>
      <w:r w:rsidR="004817DB">
        <w:rPr>
          <w:rFonts w:ascii="Century" w:eastAsia="Times New Roman" w:hAnsi="Century" w:cs="Times New Roman"/>
          <w:sz w:val="24"/>
          <w:szCs w:val="24"/>
          <w:lang w:eastAsia="en-GB"/>
        </w:rPr>
        <w:t xml:space="preserve"> ‘A</w:t>
      </w:r>
      <w:r w:rsidR="004817DB" w:rsidRPr="00F32CF2">
        <w:rPr>
          <w:rFonts w:ascii="Century" w:eastAsia="Times New Roman" w:hAnsi="Century" w:cs="Times New Roman"/>
          <w:sz w:val="24"/>
          <w:szCs w:val="24"/>
          <w:lang w:eastAsia="en-GB"/>
        </w:rPr>
        <w:t>bhorrence of arbitrariness is a major theme that runs through</w:t>
      </w:r>
      <w:r w:rsidR="004817DB">
        <w:rPr>
          <w:rFonts w:ascii="Century" w:eastAsia="Times New Roman" w:hAnsi="Century" w:cs="Times New Roman"/>
          <w:sz w:val="24"/>
          <w:szCs w:val="24"/>
          <w:lang w:eastAsia="en-GB"/>
        </w:rPr>
        <w:t>…</w:t>
      </w:r>
      <w:r w:rsidR="004817DB" w:rsidRPr="00F32CF2">
        <w:rPr>
          <w:rFonts w:ascii="Century" w:eastAsia="Times New Roman" w:hAnsi="Century" w:cs="Times New Roman"/>
          <w:sz w:val="24"/>
          <w:szCs w:val="24"/>
          <w:lang w:eastAsia="en-GB"/>
        </w:rPr>
        <w:t>the rule of law’.</w:t>
      </w:r>
      <w:r w:rsidR="004817DB" w:rsidRPr="00F32CF2">
        <w:rPr>
          <w:rStyle w:val="FootnoteReference"/>
          <w:rFonts w:ascii="Century" w:eastAsia="Times New Roman" w:hAnsi="Century" w:cs="Times New Roman"/>
          <w:sz w:val="24"/>
          <w:szCs w:val="24"/>
          <w:lang w:eastAsia="en-GB"/>
        </w:rPr>
        <w:footnoteReference w:id="3"/>
      </w:r>
      <w:r w:rsidR="004817DB">
        <w:rPr>
          <w:rFonts w:ascii="Century" w:eastAsia="Times New Roman" w:hAnsi="Century" w:cs="Times New Roman"/>
          <w:sz w:val="24"/>
          <w:szCs w:val="24"/>
          <w:lang w:eastAsia="en-GB"/>
        </w:rPr>
        <w:t xml:space="preserve"> </w:t>
      </w:r>
      <w:r>
        <w:rPr>
          <w:rFonts w:ascii="Century" w:hAnsi="Century" w:cs="Arabic Typesetting"/>
          <w:sz w:val="24"/>
          <w:szCs w:val="24"/>
        </w:rPr>
        <w:t>Lord Renton has described failure to comprehend the law as ‘contempt’ and ‘a disservice to democracy’.</w:t>
      </w:r>
      <w:r>
        <w:rPr>
          <w:rStyle w:val="FootnoteReference"/>
          <w:rFonts w:ascii="Century" w:hAnsi="Century" w:cs="Arabic Typesetting"/>
          <w:sz w:val="24"/>
          <w:szCs w:val="24"/>
        </w:rPr>
        <w:footnoteReference w:id="4"/>
      </w:r>
      <w:r w:rsidR="009F46F1">
        <w:rPr>
          <w:rFonts w:ascii="Century" w:hAnsi="Century" w:cs="Arabic Typesetting"/>
          <w:sz w:val="24"/>
          <w:szCs w:val="24"/>
        </w:rPr>
        <w:t xml:space="preserve"> </w:t>
      </w:r>
      <w:r>
        <w:rPr>
          <w:rFonts w:ascii="Century" w:hAnsi="Century" w:cs="Arabic Typesetting"/>
          <w:sz w:val="24"/>
          <w:szCs w:val="24"/>
        </w:rPr>
        <w:t>He</w:t>
      </w:r>
      <w:r w:rsidR="00C61B08">
        <w:rPr>
          <w:rFonts w:ascii="Century" w:hAnsi="Century" w:cs="Arabic Typesetting"/>
          <w:sz w:val="24"/>
          <w:szCs w:val="24"/>
        </w:rPr>
        <w:t xml:space="preserve"> further </w:t>
      </w:r>
      <w:r w:rsidR="0079036E">
        <w:rPr>
          <w:rFonts w:ascii="Century" w:hAnsi="Century" w:cs="Arabic Typesetting"/>
          <w:sz w:val="24"/>
          <w:szCs w:val="24"/>
        </w:rPr>
        <w:t>explained</w:t>
      </w:r>
      <w:r w:rsidR="00C61B08">
        <w:rPr>
          <w:rFonts w:ascii="Century" w:hAnsi="Century" w:cs="Arabic Typesetting"/>
          <w:sz w:val="24"/>
          <w:szCs w:val="24"/>
        </w:rPr>
        <w:t xml:space="preserve"> that</w:t>
      </w:r>
      <w:r>
        <w:rPr>
          <w:rFonts w:ascii="Century" w:hAnsi="Century" w:cs="Arabic Typesetting"/>
          <w:sz w:val="24"/>
          <w:szCs w:val="24"/>
        </w:rPr>
        <w:t xml:space="preserve"> </w:t>
      </w:r>
      <w:r w:rsidRPr="001D0C95">
        <w:rPr>
          <w:rFonts w:ascii="Century" w:hAnsi="Century" w:cs="Arabic Typesetting"/>
          <w:sz w:val="24"/>
          <w:szCs w:val="24"/>
        </w:rPr>
        <w:t>incomprehensibility</w:t>
      </w:r>
      <w:r>
        <w:rPr>
          <w:rFonts w:ascii="Century" w:hAnsi="Century" w:cs="Arabic Typesetting"/>
          <w:sz w:val="24"/>
          <w:szCs w:val="24"/>
        </w:rPr>
        <w:t xml:space="preserve"> of the law</w:t>
      </w:r>
      <w:r w:rsidRPr="001D0C95">
        <w:rPr>
          <w:rFonts w:ascii="Century" w:hAnsi="Century" w:cs="Arabic Typesetting"/>
          <w:sz w:val="24"/>
          <w:szCs w:val="24"/>
        </w:rPr>
        <w:t xml:space="preserve"> ‘</w:t>
      </w:r>
      <w:r w:rsidRPr="001D0C95">
        <w:rPr>
          <w:rFonts w:ascii="Century" w:eastAsia="Times New Roman" w:hAnsi="Century" w:cs="Times New Roman"/>
          <w:sz w:val="24"/>
          <w:szCs w:val="24"/>
          <w:lang w:eastAsia="en-GB"/>
        </w:rPr>
        <w:t xml:space="preserve">weakens the rights of </w:t>
      </w:r>
      <w:r w:rsidR="0028348C">
        <w:rPr>
          <w:rFonts w:ascii="Century" w:eastAsia="Times New Roman" w:hAnsi="Century" w:cs="Times New Roman"/>
          <w:sz w:val="24"/>
          <w:szCs w:val="24"/>
          <w:lang w:eastAsia="en-GB"/>
        </w:rPr>
        <w:t>the individual</w:t>
      </w:r>
      <w:r w:rsidRPr="001D0C95">
        <w:rPr>
          <w:rFonts w:ascii="Century" w:eastAsia="Times New Roman" w:hAnsi="Century" w:cs="Times New Roman"/>
          <w:sz w:val="24"/>
          <w:szCs w:val="24"/>
          <w:lang w:eastAsia="en-GB"/>
        </w:rPr>
        <w:t>, it eases the way for wrongdoers and it places honest people at the mercy of the bureaucratic state’.</w:t>
      </w:r>
      <w:r w:rsidRPr="001D0C95">
        <w:rPr>
          <w:rStyle w:val="FootnoteReference"/>
          <w:rFonts w:ascii="Century" w:eastAsia="Times New Roman" w:hAnsi="Century" w:cs="Times New Roman"/>
          <w:sz w:val="24"/>
          <w:szCs w:val="24"/>
          <w:lang w:eastAsia="en-GB"/>
        </w:rPr>
        <w:footnoteReference w:id="5"/>
      </w:r>
      <w:r>
        <w:rPr>
          <w:rFonts w:ascii="Century" w:hAnsi="Century" w:cs="Arabic Typesetting"/>
          <w:sz w:val="24"/>
          <w:szCs w:val="24"/>
        </w:rPr>
        <w:t xml:space="preserve"> </w:t>
      </w:r>
      <w:r w:rsidR="0079036E">
        <w:rPr>
          <w:rFonts w:ascii="Century" w:hAnsi="Century" w:cs="Arabic Typesetting"/>
          <w:sz w:val="24"/>
          <w:szCs w:val="24"/>
        </w:rPr>
        <w:t>Additionally, t</w:t>
      </w:r>
      <w:r w:rsidR="0079036E" w:rsidRPr="00F32CF2">
        <w:rPr>
          <w:rFonts w:ascii="Century" w:hAnsi="Century" w:cs="Arabic Typesetting"/>
          <w:sz w:val="24"/>
          <w:szCs w:val="24"/>
        </w:rPr>
        <w:t>he</w:t>
      </w:r>
      <w:r w:rsidRPr="00F32CF2">
        <w:rPr>
          <w:rFonts w:ascii="Century" w:hAnsi="Century" w:cs="Arabic Typesetting"/>
          <w:sz w:val="24"/>
          <w:szCs w:val="24"/>
        </w:rPr>
        <w:t xml:space="preserve"> Ireland Law Commission</w:t>
      </w:r>
      <w:r w:rsidR="0079036E">
        <w:rPr>
          <w:rFonts w:ascii="Century" w:hAnsi="Century" w:cs="Arabic Typesetting"/>
          <w:sz w:val="24"/>
          <w:szCs w:val="24"/>
        </w:rPr>
        <w:t xml:space="preserve"> in recognising the link between arbitrariness and incomprehensible laws stated that</w:t>
      </w:r>
      <w:r w:rsidRPr="00F32CF2">
        <w:rPr>
          <w:rFonts w:ascii="Century" w:hAnsi="Century" w:cs="Arabic Typesetting"/>
          <w:sz w:val="24"/>
          <w:szCs w:val="24"/>
        </w:rPr>
        <w:t>-</w:t>
      </w:r>
    </w:p>
    <w:p w:rsidR="00F8176D" w:rsidRDefault="00F8176D" w:rsidP="00F8176D">
      <w:pPr>
        <w:spacing w:line="360" w:lineRule="auto"/>
        <w:ind w:left="720"/>
        <w:jc w:val="both"/>
        <w:rPr>
          <w:rFonts w:ascii="Century" w:hAnsi="Century" w:cs="Arabic Typesetting"/>
          <w:sz w:val="24"/>
          <w:szCs w:val="24"/>
        </w:rPr>
      </w:pPr>
      <w:r>
        <w:rPr>
          <w:rFonts w:ascii="Century" w:hAnsi="Century" w:cs="Arabic Typesetting"/>
          <w:sz w:val="24"/>
          <w:szCs w:val="24"/>
        </w:rPr>
        <w:t xml:space="preserve">The principle of the Rule of Law presupposes that those who are affected by a law should be able to ascertain its meaning and effect. </w:t>
      </w:r>
      <w:r w:rsidRPr="00F32CF2">
        <w:rPr>
          <w:rFonts w:ascii="Century" w:hAnsi="Century" w:cs="Arabic Typesetting"/>
          <w:sz w:val="24"/>
          <w:szCs w:val="24"/>
        </w:rPr>
        <w:t>A system of language and law understood by only a few, where only a few have the ability to make authoritative statements about what is and is not permitted under th</w:t>
      </w:r>
      <w:r>
        <w:rPr>
          <w:rFonts w:ascii="Century" w:hAnsi="Century" w:cs="Arabic Typesetting"/>
          <w:sz w:val="24"/>
          <w:szCs w:val="24"/>
        </w:rPr>
        <w:t>e law, cedes power to those few</w:t>
      </w:r>
      <w:r w:rsidRPr="00F32CF2">
        <w:rPr>
          <w:rFonts w:ascii="Century" w:hAnsi="Century" w:cs="Arabic Typesetting"/>
          <w:sz w:val="24"/>
          <w:szCs w:val="24"/>
        </w:rPr>
        <w:t>.</w:t>
      </w:r>
      <w:r w:rsidRPr="00F32CF2">
        <w:rPr>
          <w:rStyle w:val="FootnoteReference"/>
          <w:rFonts w:ascii="Century" w:hAnsi="Century" w:cs="Arabic Typesetting"/>
          <w:sz w:val="24"/>
          <w:szCs w:val="24"/>
        </w:rPr>
        <w:footnoteReference w:id="6"/>
      </w:r>
      <w:r w:rsidRPr="00F32CF2">
        <w:rPr>
          <w:rFonts w:ascii="Century" w:hAnsi="Century" w:cs="Arabic Typesetting"/>
          <w:sz w:val="24"/>
          <w:szCs w:val="24"/>
        </w:rPr>
        <w:t xml:space="preserve"> </w:t>
      </w:r>
    </w:p>
    <w:p w:rsidR="00F8176D" w:rsidRDefault="00F8176D" w:rsidP="00F8176D">
      <w:pPr>
        <w:spacing w:line="360" w:lineRule="auto"/>
        <w:jc w:val="both"/>
        <w:rPr>
          <w:rFonts w:ascii="Century" w:hAnsi="Century" w:cs="Arabic Typesetting"/>
          <w:sz w:val="24"/>
          <w:szCs w:val="24"/>
        </w:rPr>
      </w:pPr>
      <w:r>
        <w:rPr>
          <w:rFonts w:ascii="Century" w:hAnsi="Century" w:cs="Arabic Typesetting"/>
          <w:sz w:val="24"/>
          <w:szCs w:val="24"/>
        </w:rPr>
        <w:lastRenderedPageBreak/>
        <w:t>Lord Donaldson</w:t>
      </w:r>
      <w:r w:rsidR="007669EC">
        <w:rPr>
          <w:rFonts w:ascii="Century" w:hAnsi="Century" w:cs="Arabic Typesetting"/>
          <w:sz w:val="24"/>
          <w:szCs w:val="24"/>
        </w:rPr>
        <w:t xml:space="preserve"> also </w:t>
      </w:r>
      <w:r w:rsidR="00C74B8A">
        <w:rPr>
          <w:rFonts w:ascii="Century" w:hAnsi="Century" w:cs="Arabic Typesetting"/>
          <w:sz w:val="24"/>
          <w:szCs w:val="24"/>
        </w:rPr>
        <w:t>acknowledging</w:t>
      </w:r>
      <w:r w:rsidR="007669EC">
        <w:rPr>
          <w:rFonts w:ascii="Century" w:hAnsi="Century" w:cs="Arabic Typesetting"/>
          <w:sz w:val="24"/>
          <w:szCs w:val="24"/>
        </w:rPr>
        <w:t xml:space="preserve"> the effect of incomprehensible laws </w:t>
      </w:r>
      <w:r w:rsidR="00F63917">
        <w:rPr>
          <w:rFonts w:ascii="Century" w:hAnsi="Century" w:cs="Arabic Typesetting"/>
          <w:sz w:val="24"/>
          <w:szCs w:val="24"/>
        </w:rPr>
        <w:t>noted</w:t>
      </w:r>
      <w:r>
        <w:rPr>
          <w:rFonts w:ascii="Century" w:hAnsi="Century" w:cs="Arabic Typesetting"/>
          <w:sz w:val="24"/>
          <w:szCs w:val="24"/>
        </w:rPr>
        <w:t xml:space="preserve"> i</w:t>
      </w:r>
      <w:r w:rsidRPr="00F32CF2">
        <w:rPr>
          <w:rFonts w:ascii="Century" w:hAnsi="Century" w:cs="Arabic Typesetting"/>
          <w:sz w:val="24"/>
          <w:szCs w:val="24"/>
        </w:rPr>
        <w:t xml:space="preserve">n </w:t>
      </w:r>
      <w:r>
        <w:rPr>
          <w:rFonts w:ascii="Century" w:hAnsi="Century" w:cs="Arabic Typesetting"/>
          <w:b/>
          <w:sz w:val="24"/>
          <w:szCs w:val="24"/>
        </w:rPr>
        <w:t>Merkur Island Shipping Corporation</w:t>
      </w:r>
      <w:r w:rsidRPr="003A64E3">
        <w:rPr>
          <w:rFonts w:ascii="Century" w:hAnsi="Century" w:cs="Arabic Typesetting"/>
          <w:b/>
          <w:sz w:val="24"/>
          <w:szCs w:val="24"/>
        </w:rPr>
        <w:t xml:space="preserve"> v Laughton</w:t>
      </w:r>
      <w:r w:rsidRPr="00B4042A">
        <w:rPr>
          <w:rFonts w:ascii="Century" w:hAnsi="Century" w:cs="Arabic Typesetting"/>
          <w:b/>
          <w:sz w:val="24"/>
          <w:szCs w:val="24"/>
        </w:rPr>
        <w:t xml:space="preserve"> </w:t>
      </w:r>
      <w:r>
        <w:rPr>
          <w:rFonts w:ascii="Century" w:hAnsi="Century" w:cs="Arabic Typesetting"/>
          <w:sz w:val="24"/>
          <w:szCs w:val="24"/>
        </w:rPr>
        <w:t>that the ability of persons to understand the laws that bind them was necessary for the ‘efficacy and maintenance of the rule of law’.</w:t>
      </w:r>
      <w:r>
        <w:rPr>
          <w:rStyle w:val="FootnoteReference"/>
          <w:rFonts w:ascii="Century" w:hAnsi="Century" w:cs="Arabic Typesetting"/>
          <w:sz w:val="24"/>
          <w:szCs w:val="24"/>
        </w:rPr>
        <w:footnoteReference w:id="7"/>
      </w:r>
      <w:r>
        <w:rPr>
          <w:rFonts w:ascii="Century" w:hAnsi="Century" w:cs="Arabic Typesetting"/>
          <w:sz w:val="24"/>
          <w:szCs w:val="24"/>
        </w:rPr>
        <w:t xml:space="preserve">  </w:t>
      </w:r>
    </w:p>
    <w:p w:rsidR="00F8176D" w:rsidRPr="00A03A09" w:rsidRDefault="00F8176D" w:rsidP="00F8176D">
      <w:pPr>
        <w:spacing w:line="360" w:lineRule="auto"/>
        <w:jc w:val="both"/>
        <w:rPr>
          <w:rFonts w:ascii="Century" w:hAnsi="Century" w:cs="Arabic Typesetting"/>
          <w:sz w:val="24"/>
          <w:szCs w:val="24"/>
        </w:rPr>
      </w:pPr>
    </w:p>
    <w:p w:rsidR="00F8176D" w:rsidRDefault="00F8176D" w:rsidP="00F8176D">
      <w:pPr>
        <w:spacing w:after="0" w:line="360" w:lineRule="auto"/>
        <w:jc w:val="both"/>
        <w:rPr>
          <w:rFonts w:ascii="Century" w:eastAsia="Times New Roman" w:hAnsi="Century" w:cs="Times New Roman"/>
          <w:sz w:val="24"/>
          <w:szCs w:val="24"/>
          <w:lang w:eastAsia="en-GB"/>
        </w:rPr>
      </w:pPr>
      <w:r>
        <w:rPr>
          <w:rFonts w:ascii="Century" w:eastAsia="Times New Roman" w:hAnsi="Century" w:cs="Times New Roman"/>
          <w:sz w:val="24"/>
          <w:szCs w:val="24"/>
          <w:lang w:eastAsia="en-GB"/>
        </w:rPr>
        <w:t xml:space="preserve">However, for citizens to </w:t>
      </w:r>
      <w:r w:rsidR="006929A3">
        <w:rPr>
          <w:rFonts w:ascii="Century" w:eastAsia="Times New Roman" w:hAnsi="Century" w:cs="Times New Roman"/>
          <w:sz w:val="24"/>
          <w:szCs w:val="24"/>
          <w:lang w:eastAsia="en-GB"/>
        </w:rPr>
        <w:t>understand the</w:t>
      </w:r>
      <w:r w:rsidR="00177A7C">
        <w:rPr>
          <w:rFonts w:ascii="Century" w:eastAsia="Times New Roman" w:hAnsi="Century" w:cs="Times New Roman"/>
          <w:sz w:val="24"/>
          <w:szCs w:val="24"/>
          <w:lang w:eastAsia="en-GB"/>
        </w:rPr>
        <w:t xml:space="preserve"> law and its </w:t>
      </w:r>
      <w:r w:rsidR="006929A3">
        <w:rPr>
          <w:rFonts w:ascii="Century" w:eastAsia="Times New Roman" w:hAnsi="Century" w:cs="Times New Roman"/>
          <w:sz w:val="24"/>
          <w:szCs w:val="24"/>
          <w:lang w:eastAsia="en-GB"/>
        </w:rPr>
        <w:t>implications</w:t>
      </w:r>
      <w:r>
        <w:rPr>
          <w:rFonts w:ascii="Century" w:eastAsia="Times New Roman" w:hAnsi="Century" w:cs="Times New Roman"/>
          <w:sz w:val="24"/>
          <w:szCs w:val="24"/>
          <w:lang w:eastAsia="en-GB"/>
        </w:rPr>
        <w:t>, legislation must be presented and written in a manner that can be</w:t>
      </w:r>
      <w:r w:rsidR="00506EF4">
        <w:rPr>
          <w:rFonts w:ascii="Century" w:eastAsia="Times New Roman" w:hAnsi="Century" w:cs="Times New Roman"/>
          <w:sz w:val="24"/>
          <w:szCs w:val="24"/>
          <w:lang w:eastAsia="en-GB"/>
        </w:rPr>
        <w:t xml:space="preserve"> easily</w:t>
      </w:r>
      <w:r>
        <w:rPr>
          <w:rFonts w:ascii="Century" w:eastAsia="Times New Roman" w:hAnsi="Century" w:cs="Times New Roman"/>
          <w:sz w:val="24"/>
          <w:szCs w:val="24"/>
          <w:lang w:eastAsia="en-GB"/>
        </w:rPr>
        <w:t xml:space="preserve"> comprehended. Legislation, the primary source of law, is the channel through which the regulatory message of the law is communicated.</w:t>
      </w:r>
      <w:r>
        <w:rPr>
          <w:rStyle w:val="FootnoteReference"/>
          <w:rFonts w:ascii="Century" w:eastAsia="Times New Roman" w:hAnsi="Century" w:cs="Times New Roman"/>
          <w:sz w:val="24"/>
          <w:szCs w:val="24"/>
          <w:lang w:eastAsia="en-GB"/>
        </w:rPr>
        <w:footnoteReference w:id="8"/>
      </w:r>
      <w:r>
        <w:rPr>
          <w:rFonts w:ascii="Century" w:eastAsia="Times New Roman" w:hAnsi="Century" w:cs="Times New Roman"/>
          <w:sz w:val="24"/>
          <w:szCs w:val="24"/>
          <w:lang w:eastAsia="en-GB"/>
        </w:rPr>
        <w:t xml:space="preserve"> </w:t>
      </w:r>
      <w:r>
        <w:rPr>
          <w:rFonts w:ascii="Century" w:hAnsi="Century" w:cs="Arabic Typesetting"/>
          <w:sz w:val="24"/>
          <w:szCs w:val="24"/>
        </w:rPr>
        <w:t>Crabbe refers to l</w:t>
      </w:r>
      <w:r w:rsidRPr="00F32CF2">
        <w:rPr>
          <w:rFonts w:ascii="Century" w:hAnsi="Century" w:cs="Arabic Typesetting"/>
          <w:sz w:val="24"/>
          <w:szCs w:val="24"/>
        </w:rPr>
        <w:t>egislation</w:t>
      </w:r>
      <w:r>
        <w:rPr>
          <w:rFonts w:ascii="Century" w:hAnsi="Century" w:cs="Arabic Typesetting"/>
          <w:sz w:val="24"/>
          <w:szCs w:val="24"/>
        </w:rPr>
        <w:t>,</w:t>
      </w:r>
      <w:r w:rsidRPr="00F32CF2">
        <w:rPr>
          <w:rFonts w:ascii="Century" w:hAnsi="Century" w:cs="Arabic Typesetting"/>
          <w:sz w:val="24"/>
          <w:szCs w:val="24"/>
        </w:rPr>
        <w:t xml:space="preserve"> </w:t>
      </w:r>
      <w:r>
        <w:rPr>
          <w:rFonts w:ascii="Century" w:hAnsi="Century" w:cs="Arabic Typesetting"/>
          <w:sz w:val="24"/>
          <w:szCs w:val="24"/>
        </w:rPr>
        <w:t>as</w:t>
      </w:r>
      <w:r w:rsidRPr="00F32CF2">
        <w:rPr>
          <w:rFonts w:ascii="Century" w:hAnsi="Century" w:cs="Arabic Typesetting"/>
          <w:sz w:val="24"/>
          <w:szCs w:val="24"/>
        </w:rPr>
        <w:t xml:space="preserve"> ‘</w:t>
      </w:r>
      <w:r>
        <w:rPr>
          <w:rFonts w:ascii="Century" w:hAnsi="Century" w:cs="Arabic Typesetting"/>
          <w:sz w:val="24"/>
          <w:szCs w:val="24"/>
        </w:rPr>
        <w:t>a means to attain</w:t>
      </w:r>
      <w:r w:rsidR="001C10DD">
        <w:rPr>
          <w:rFonts w:ascii="Century" w:hAnsi="Century" w:cs="Arabic Typesetting"/>
          <w:sz w:val="24"/>
          <w:szCs w:val="24"/>
        </w:rPr>
        <w:t>…</w:t>
      </w:r>
      <w:r>
        <w:rPr>
          <w:rFonts w:ascii="Century" w:hAnsi="Century" w:cs="Arabic Typesetting"/>
          <w:sz w:val="24"/>
          <w:szCs w:val="24"/>
        </w:rPr>
        <w:t xml:space="preserve"> economic, cultural, political and </w:t>
      </w:r>
      <w:r w:rsidRPr="00F32CF2">
        <w:rPr>
          <w:rFonts w:ascii="Century" w:hAnsi="Century" w:cs="Arabic Typesetting"/>
          <w:sz w:val="24"/>
          <w:szCs w:val="24"/>
        </w:rPr>
        <w:t>soci</w:t>
      </w:r>
      <w:r>
        <w:rPr>
          <w:rFonts w:ascii="Century" w:hAnsi="Century" w:cs="Arabic Typesetting"/>
          <w:sz w:val="24"/>
          <w:szCs w:val="24"/>
        </w:rPr>
        <w:t>al policies</w:t>
      </w:r>
      <w:r w:rsidRPr="00F32CF2">
        <w:rPr>
          <w:rFonts w:ascii="Century" w:hAnsi="Century" w:cs="Arabic Typesetting"/>
          <w:sz w:val="24"/>
          <w:szCs w:val="24"/>
        </w:rPr>
        <w:t>’.</w:t>
      </w:r>
      <w:r w:rsidRPr="00F32CF2">
        <w:rPr>
          <w:rStyle w:val="FootnoteReference"/>
          <w:rFonts w:ascii="Century" w:eastAsia="Times New Roman" w:hAnsi="Century" w:cs="Times New Roman"/>
          <w:sz w:val="24"/>
          <w:szCs w:val="24"/>
          <w:lang w:eastAsia="en-GB"/>
        </w:rPr>
        <w:footnoteReference w:id="9"/>
      </w:r>
      <w:r>
        <w:rPr>
          <w:rFonts w:ascii="Century" w:hAnsi="Century" w:cs="Arabic Typesetting"/>
          <w:sz w:val="24"/>
          <w:szCs w:val="24"/>
        </w:rPr>
        <w:t xml:space="preserve"> </w:t>
      </w:r>
      <w:r w:rsidRPr="00F32CF2">
        <w:rPr>
          <w:rStyle w:val="sb8d990e2"/>
          <w:rFonts w:ascii="Century" w:hAnsi="Century"/>
          <w:sz w:val="24"/>
          <w:szCs w:val="24"/>
        </w:rPr>
        <w:t xml:space="preserve">Through legislation rights </w:t>
      </w:r>
      <w:r>
        <w:rPr>
          <w:rStyle w:val="sb8d990e2"/>
          <w:rFonts w:ascii="Century" w:hAnsi="Century"/>
          <w:sz w:val="24"/>
          <w:szCs w:val="24"/>
        </w:rPr>
        <w:t xml:space="preserve">are conferred and </w:t>
      </w:r>
      <w:r w:rsidRPr="00F32CF2">
        <w:rPr>
          <w:rStyle w:val="sb8d990e2"/>
          <w:rFonts w:ascii="Century" w:hAnsi="Century"/>
          <w:sz w:val="24"/>
          <w:szCs w:val="24"/>
        </w:rPr>
        <w:t>protected</w:t>
      </w:r>
      <w:r w:rsidRPr="00F32CF2">
        <w:rPr>
          <w:rStyle w:val="FootnoteReference"/>
          <w:rFonts w:ascii="Century" w:hAnsi="Century"/>
          <w:sz w:val="24"/>
          <w:szCs w:val="24"/>
        </w:rPr>
        <w:footnoteReference w:id="10"/>
      </w:r>
      <w:r>
        <w:rPr>
          <w:rFonts w:ascii="Century" w:hAnsi="Century" w:cs="Arabic Typesetting"/>
          <w:sz w:val="24"/>
          <w:szCs w:val="24"/>
        </w:rPr>
        <w:t xml:space="preserve"> and human conduct is regulated</w:t>
      </w:r>
      <w:r w:rsidRPr="00F32CF2">
        <w:rPr>
          <w:rStyle w:val="FootnoteReference"/>
          <w:rFonts w:ascii="Century" w:hAnsi="Century" w:cs="Arabic Typesetting"/>
          <w:sz w:val="24"/>
          <w:szCs w:val="24"/>
        </w:rPr>
        <w:footnoteReference w:id="11"/>
      </w:r>
      <w:r w:rsidRPr="0070438C">
        <w:rPr>
          <w:rFonts w:ascii="Century" w:hAnsi="Century" w:cs="Arabic Typesetting"/>
          <w:sz w:val="24"/>
          <w:szCs w:val="24"/>
        </w:rPr>
        <w:t xml:space="preserve"> </w:t>
      </w:r>
      <w:r w:rsidRPr="00F32CF2">
        <w:rPr>
          <w:rFonts w:ascii="Century" w:hAnsi="Century" w:cs="Arabic Typesetting"/>
          <w:sz w:val="24"/>
          <w:szCs w:val="24"/>
        </w:rPr>
        <w:t xml:space="preserve">and </w:t>
      </w:r>
      <w:r w:rsidRPr="00F32CF2">
        <w:rPr>
          <w:rFonts w:ascii="Century" w:eastAsia="Times New Roman" w:hAnsi="Century" w:cs="Times New Roman"/>
          <w:sz w:val="24"/>
          <w:szCs w:val="24"/>
          <w:lang w:eastAsia="en-GB"/>
        </w:rPr>
        <w:t>whether we appreciate its impact or not it affects us all.</w:t>
      </w:r>
      <w:r w:rsidRPr="00F32CF2">
        <w:rPr>
          <w:rStyle w:val="FootnoteReference"/>
          <w:rFonts w:ascii="Century" w:eastAsia="Times New Roman" w:hAnsi="Century" w:cs="Times New Roman"/>
          <w:sz w:val="24"/>
          <w:szCs w:val="24"/>
          <w:lang w:eastAsia="en-GB"/>
        </w:rPr>
        <w:footnoteReference w:id="12"/>
      </w:r>
      <w:r>
        <w:rPr>
          <w:rFonts w:ascii="Century" w:eastAsia="Times New Roman" w:hAnsi="Century" w:cs="Times New Roman"/>
          <w:sz w:val="24"/>
          <w:szCs w:val="24"/>
          <w:lang w:eastAsia="en-GB"/>
        </w:rPr>
        <w:t xml:space="preserve"> </w:t>
      </w:r>
      <w:r w:rsidRPr="0070438C">
        <w:rPr>
          <w:rFonts w:ascii="Century" w:eastAsia="Times New Roman" w:hAnsi="Century" w:cs="Arial"/>
          <w:sz w:val="24"/>
          <w:szCs w:val="24"/>
          <w:lang w:eastAsia="en-GB"/>
        </w:rPr>
        <w:t xml:space="preserve"> </w:t>
      </w:r>
      <w:r>
        <w:rPr>
          <w:rFonts w:ascii="Century" w:eastAsia="Times New Roman" w:hAnsi="Century" w:cs="Arial"/>
          <w:sz w:val="24"/>
          <w:szCs w:val="24"/>
          <w:lang w:eastAsia="en-GB"/>
        </w:rPr>
        <w:t xml:space="preserve">For this reason </w:t>
      </w:r>
      <w:r w:rsidRPr="00F32CF2">
        <w:rPr>
          <w:rFonts w:ascii="Century" w:eastAsia="Times New Roman" w:hAnsi="Century" w:cs="Arial"/>
          <w:sz w:val="24"/>
          <w:szCs w:val="24"/>
          <w:lang w:eastAsia="en-GB"/>
        </w:rPr>
        <w:t xml:space="preserve">Xanthaki </w:t>
      </w:r>
      <w:r>
        <w:rPr>
          <w:rFonts w:ascii="Century" w:eastAsia="Times New Roman" w:hAnsi="Century" w:cs="Arial"/>
          <w:sz w:val="24"/>
          <w:szCs w:val="24"/>
          <w:lang w:eastAsia="en-GB"/>
        </w:rPr>
        <w:t xml:space="preserve">posits </w:t>
      </w:r>
      <w:r w:rsidR="00ED5F51">
        <w:rPr>
          <w:rFonts w:ascii="Century" w:eastAsia="Times New Roman" w:hAnsi="Century" w:cs="Arial"/>
          <w:sz w:val="24"/>
          <w:szCs w:val="24"/>
          <w:lang w:eastAsia="en-GB"/>
        </w:rPr>
        <w:t xml:space="preserve">that </w:t>
      </w:r>
      <w:r>
        <w:rPr>
          <w:rFonts w:ascii="Century" w:eastAsia="Times New Roman" w:hAnsi="Century" w:cs="Arial"/>
          <w:sz w:val="24"/>
          <w:szCs w:val="24"/>
          <w:lang w:eastAsia="en-GB"/>
        </w:rPr>
        <w:t xml:space="preserve">legislation </w:t>
      </w:r>
      <w:r w:rsidRPr="00F32CF2">
        <w:rPr>
          <w:rFonts w:ascii="Century" w:hAnsi="Century" w:cs="Arabic Typesetting"/>
          <w:sz w:val="24"/>
          <w:szCs w:val="24"/>
        </w:rPr>
        <w:t>is a tool for regulation</w:t>
      </w:r>
      <w:r>
        <w:rPr>
          <w:rFonts w:ascii="Century" w:hAnsi="Century" w:cs="Arabic Typesetting"/>
          <w:sz w:val="24"/>
          <w:szCs w:val="24"/>
        </w:rPr>
        <w:t>.</w:t>
      </w:r>
      <w:r w:rsidRPr="00F32CF2">
        <w:rPr>
          <w:rStyle w:val="FootnoteReference"/>
          <w:rFonts w:ascii="Century" w:hAnsi="Century" w:cs="Arabic Typesetting"/>
          <w:sz w:val="24"/>
          <w:szCs w:val="24"/>
        </w:rPr>
        <w:footnoteReference w:id="13"/>
      </w:r>
      <w:r>
        <w:rPr>
          <w:rFonts w:ascii="Century" w:eastAsia="Times New Roman" w:hAnsi="Century" w:cs="Times New Roman"/>
          <w:sz w:val="24"/>
          <w:szCs w:val="24"/>
          <w:lang w:eastAsia="en-GB"/>
        </w:rPr>
        <w:t xml:space="preserve"> It is because of the </w:t>
      </w:r>
      <w:r w:rsidR="00A26942">
        <w:rPr>
          <w:rFonts w:ascii="Century" w:eastAsia="Times New Roman" w:hAnsi="Century" w:cs="Times New Roman"/>
          <w:sz w:val="24"/>
          <w:szCs w:val="24"/>
          <w:lang w:eastAsia="en-GB"/>
        </w:rPr>
        <w:t xml:space="preserve">regulatory character </w:t>
      </w:r>
      <w:r>
        <w:rPr>
          <w:rFonts w:ascii="Century" w:eastAsia="Times New Roman" w:hAnsi="Century" w:cs="Times New Roman"/>
          <w:sz w:val="24"/>
          <w:szCs w:val="24"/>
          <w:lang w:eastAsia="en-GB"/>
        </w:rPr>
        <w:t>of law that legis</w:t>
      </w:r>
      <w:r w:rsidR="002933FC">
        <w:rPr>
          <w:rFonts w:ascii="Century" w:eastAsia="Times New Roman" w:hAnsi="Century" w:cs="Times New Roman"/>
          <w:sz w:val="24"/>
          <w:szCs w:val="24"/>
          <w:lang w:eastAsia="en-GB"/>
        </w:rPr>
        <w:t xml:space="preserve">lation needs to be accessible. </w:t>
      </w:r>
      <w:r>
        <w:rPr>
          <w:rFonts w:ascii="Century" w:eastAsia="Times New Roman" w:hAnsi="Century" w:cs="Times New Roman"/>
          <w:sz w:val="24"/>
          <w:szCs w:val="24"/>
          <w:lang w:eastAsia="en-GB"/>
        </w:rPr>
        <w:t xml:space="preserve">As stated by </w:t>
      </w:r>
      <w:r w:rsidRPr="00F32CF2">
        <w:rPr>
          <w:rFonts w:ascii="Century" w:eastAsia="Times New Roman" w:hAnsi="Century" w:cs="Times New Roman"/>
          <w:sz w:val="24"/>
          <w:szCs w:val="24"/>
          <w:lang w:eastAsia="en-GB"/>
        </w:rPr>
        <w:t>Berry</w:t>
      </w:r>
      <w:r>
        <w:rPr>
          <w:rFonts w:ascii="Century" w:eastAsia="Times New Roman" w:hAnsi="Century" w:cs="Times New Roman"/>
          <w:sz w:val="24"/>
          <w:szCs w:val="24"/>
          <w:lang w:eastAsia="en-GB"/>
        </w:rPr>
        <w:t>-</w:t>
      </w:r>
    </w:p>
    <w:p w:rsidR="00F8176D" w:rsidRPr="00A31A66" w:rsidRDefault="00F8176D" w:rsidP="00F8176D">
      <w:pPr>
        <w:spacing w:after="0" w:line="360" w:lineRule="auto"/>
        <w:jc w:val="both"/>
        <w:rPr>
          <w:rFonts w:ascii="Century" w:hAnsi="Century" w:cs="Arabic Typesetting"/>
          <w:sz w:val="24"/>
          <w:szCs w:val="24"/>
        </w:rPr>
      </w:pPr>
    </w:p>
    <w:p w:rsidR="00F8176D" w:rsidRPr="00F32CF2" w:rsidRDefault="00065F14" w:rsidP="00F8176D">
      <w:pPr>
        <w:spacing w:line="360" w:lineRule="auto"/>
        <w:ind w:left="720" w:firstLine="60"/>
        <w:jc w:val="both"/>
        <w:rPr>
          <w:rFonts w:ascii="Century" w:hAnsi="Century" w:cs="Arabic Typesetting"/>
          <w:sz w:val="24"/>
          <w:szCs w:val="24"/>
        </w:rPr>
      </w:pPr>
      <w:r>
        <w:rPr>
          <w:rFonts w:ascii="Century" w:eastAsia="Times New Roman" w:hAnsi="Century" w:cs="Times New Roman"/>
          <w:sz w:val="24"/>
          <w:szCs w:val="24"/>
          <w:lang w:eastAsia="en-GB"/>
        </w:rPr>
        <w:t>S</w:t>
      </w:r>
      <w:r w:rsidR="00F8176D" w:rsidRPr="00F32CF2">
        <w:rPr>
          <w:rFonts w:ascii="Century" w:eastAsia="Times New Roman" w:hAnsi="Century" w:cs="Times New Roman"/>
          <w:sz w:val="24"/>
          <w:szCs w:val="24"/>
          <w:lang w:eastAsia="en-GB"/>
        </w:rPr>
        <w:t>ince legislation incorporates the norms by which society operates, its availability in an up-to-date, accessible and coherent form is crucial for the orderly and effective functioning of society and</w:t>
      </w:r>
      <w:r w:rsidR="00F8176D">
        <w:rPr>
          <w:rFonts w:ascii="Century" w:eastAsia="Times New Roman" w:hAnsi="Century" w:cs="Times New Roman"/>
          <w:sz w:val="24"/>
          <w:szCs w:val="24"/>
          <w:lang w:eastAsia="en-GB"/>
        </w:rPr>
        <w:t xml:space="preserve"> in particular</w:t>
      </w:r>
      <w:r w:rsidR="00F41547">
        <w:rPr>
          <w:rFonts w:ascii="Century" w:eastAsia="Times New Roman" w:hAnsi="Century" w:cs="Times New Roman"/>
          <w:sz w:val="24"/>
          <w:szCs w:val="24"/>
          <w:lang w:eastAsia="en-GB"/>
        </w:rPr>
        <w:t xml:space="preserve"> for</w:t>
      </w:r>
      <w:r w:rsidR="00F8176D">
        <w:rPr>
          <w:rFonts w:ascii="Century" w:eastAsia="Times New Roman" w:hAnsi="Century" w:cs="Times New Roman"/>
          <w:sz w:val="24"/>
          <w:szCs w:val="24"/>
          <w:lang w:eastAsia="en-GB"/>
        </w:rPr>
        <w:t xml:space="preserve"> the rule of law.</w:t>
      </w:r>
      <w:r w:rsidR="00F8176D" w:rsidRPr="00F32CF2">
        <w:rPr>
          <w:rStyle w:val="FootnoteReference"/>
          <w:rFonts w:ascii="Century" w:eastAsia="Times New Roman" w:hAnsi="Century" w:cs="Times New Roman"/>
          <w:sz w:val="24"/>
          <w:szCs w:val="24"/>
          <w:lang w:eastAsia="en-GB"/>
        </w:rPr>
        <w:footnoteReference w:id="14"/>
      </w:r>
      <w:r w:rsidR="00F8176D" w:rsidRPr="00827214">
        <w:rPr>
          <w:rFonts w:ascii="Century" w:eastAsia="Times New Roman" w:hAnsi="Century" w:cs="Arial"/>
          <w:sz w:val="24"/>
          <w:szCs w:val="24"/>
          <w:lang w:eastAsia="en-GB"/>
        </w:rPr>
        <w:t xml:space="preserve"> </w:t>
      </w:r>
    </w:p>
    <w:p w:rsidR="00F8176D" w:rsidRDefault="00F8176D" w:rsidP="00F8176D">
      <w:pPr>
        <w:spacing w:line="360" w:lineRule="auto"/>
        <w:jc w:val="both"/>
        <w:rPr>
          <w:rFonts w:ascii="Century" w:eastAsia="Times New Roman" w:hAnsi="Century" w:cs="Times New Roman"/>
          <w:sz w:val="24"/>
          <w:szCs w:val="24"/>
          <w:lang w:eastAsia="en-GB"/>
        </w:rPr>
      </w:pPr>
    </w:p>
    <w:p w:rsidR="00F8176D" w:rsidRDefault="00996314" w:rsidP="00F8176D">
      <w:pPr>
        <w:spacing w:line="360" w:lineRule="auto"/>
        <w:jc w:val="both"/>
        <w:rPr>
          <w:rFonts w:ascii="Century" w:hAnsi="Century" w:cs="Arabic Typesetting"/>
          <w:sz w:val="24"/>
          <w:szCs w:val="24"/>
        </w:rPr>
      </w:pPr>
      <w:r>
        <w:rPr>
          <w:rFonts w:ascii="Century" w:eastAsia="Times New Roman" w:hAnsi="Century" w:cs="Times New Roman"/>
          <w:sz w:val="24"/>
          <w:szCs w:val="24"/>
          <w:lang w:eastAsia="en-GB"/>
        </w:rPr>
        <w:t>Accessibility</w:t>
      </w:r>
      <w:r w:rsidR="008C7A18">
        <w:rPr>
          <w:rFonts w:ascii="Century" w:eastAsia="Times New Roman" w:hAnsi="Century" w:cs="Times New Roman"/>
          <w:sz w:val="24"/>
          <w:szCs w:val="24"/>
          <w:lang w:eastAsia="en-GB"/>
        </w:rPr>
        <w:t xml:space="preserve"> of law</w:t>
      </w:r>
      <w:r>
        <w:rPr>
          <w:rFonts w:ascii="Century" w:eastAsia="Times New Roman" w:hAnsi="Century" w:cs="Times New Roman"/>
          <w:sz w:val="24"/>
          <w:szCs w:val="24"/>
          <w:lang w:eastAsia="en-GB"/>
        </w:rPr>
        <w:t xml:space="preserve"> and the rule of law were</w:t>
      </w:r>
      <w:r w:rsidR="00F8176D">
        <w:rPr>
          <w:rFonts w:ascii="Century" w:eastAsia="Times New Roman" w:hAnsi="Century" w:cs="Times New Roman"/>
          <w:sz w:val="24"/>
          <w:szCs w:val="24"/>
          <w:lang w:eastAsia="en-GB"/>
        </w:rPr>
        <w:t xml:space="preserve"> discussed in</w:t>
      </w:r>
      <w:r w:rsidR="00F33309">
        <w:rPr>
          <w:rFonts w:ascii="Century" w:eastAsia="Times New Roman" w:hAnsi="Century" w:cs="Times New Roman"/>
          <w:sz w:val="24"/>
          <w:szCs w:val="24"/>
          <w:lang w:eastAsia="en-GB"/>
        </w:rPr>
        <w:t xml:space="preserve"> a 2006 lecture by Lord Bingham</w:t>
      </w:r>
      <w:r>
        <w:rPr>
          <w:rFonts w:ascii="Century" w:eastAsia="Times New Roman" w:hAnsi="Century" w:cs="Times New Roman"/>
          <w:sz w:val="24"/>
          <w:szCs w:val="24"/>
          <w:lang w:eastAsia="en-GB"/>
        </w:rPr>
        <w:t>.</w:t>
      </w:r>
      <w:r w:rsidR="00F33309">
        <w:rPr>
          <w:rStyle w:val="FootnoteReference"/>
          <w:rFonts w:ascii="Century" w:eastAsia="Times New Roman" w:hAnsi="Century" w:cs="Times New Roman"/>
          <w:sz w:val="24"/>
          <w:szCs w:val="24"/>
          <w:lang w:eastAsia="en-GB"/>
        </w:rPr>
        <w:footnoteReference w:id="15"/>
      </w:r>
      <w:r w:rsidR="00F33309">
        <w:rPr>
          <w:rFonts w:ascii="Century" w:eastAsia="Times New Roman" w:hAnsi="Century" w:cs="Times New Roman"/>
          <w:sz w:val="24"/>
          <w:szCs w:val="24"/>
          <w:lang w:eastAsia="en-GB"/>
        </w:rPr>
        <w:t xml:space="preserve"> </w:t>
      </w:r>
      <w:r w:rsidR="00DC1CCB">
        <w:rPr>
          <w:rFonts w:ascii="Century" w:eastAsia="Times New Roman" w:hAnsi="Century" w:cs="Times New Roman"/>
          <w:sz w:val="24"/>
          <w:szCs w:val="24"/>
          <w:lang w:eastAsia="en-GB"/>
        </w:rPr>
        <w:t>I</w:t>
      </w:r>
      <w:r w:rsidR="00F8176D">
        <w:rPr>
          <w:rFonts w:ascii="Century" w:eastAsia="Times New Roman" w:hAnsi="Century" w:cs="Times New Roman"/>
          <w:sz w:val="24"/>
          <w:szCs w:val="24"/>
          <w:lang w:eastAsia="en-GB"/>
        </w:rPr>
        <w:t>n describing the rule of law</w:t>
      </w:r>
      <w:r w:rsidR="00DC1CCB">
        <w:rPr>
          <w:rFonts w:ascii="Century" w:eastAsia="Times New Roman" w:hAnsi="Century" w:cs="Times New Roman"/>
          <w:sz w:val="24"/>
          <w:szCs w:val="24"/>
          <w:lang w:eastAsia="en-GB"/>
        </w:rPr>
        <w:t>, Lord Bingham</w:t>
      </w:r>
      <w:r w:rsidR="00F8176D">
        <w:rPr>
          <w:rFonts w:ascii="Century" w:eastAsia="Times New Roman" w:hAnsi="Century" w:cs="Times New Roman"/>
          <w:sz w:val="24"/>
          <w:szCs w:val="24"/>
          <w:lang w:eastAsia="en-GB"/>
        </w:rPr>
        <w:t xml:space="preserve"> stated as </w:t>
      </w:r>
      <w:r w:rsidR="00F8176D" w:rsidRPr="00F32CF2">
        <w:rPr>
          <w:rFonts w:ascii="Century" w:hAnsi="Century" w:cs="Arabic Typesetting"/>
          <w:sz w:val="24"/>
          <w:szCs w:val="24"/>
        </w:rPr>
        <w:t>the first principle that ‘</w:t>
      </w:r>
      <w:r w:rsidR="00F8176D">
        <w:rPr>
          <w:rFonts w:ascii="Century" w:hAnsi="Century" w:cs="Arabic Typesetting"/>
          <w:sz w:val="24"/>
          <w:szCs w:val="24"/>
        </w:rPr>
        <w:t>the law must</w:t>
      </w:r>
      <w:r w:rsidR="00F8176D" w:rsidRPr="00F32CF2">
        <w:rPr>
          <w:rFonts w:ascii="Century" w:hAnsi="Century" w:cs="Arabic Typesetting"/>
          <w:sz w:val="24"/>
          <w:szCs w:val="24"/>
        </w:rPr>
        <w:t xml:space="preserve"> be accessible</w:t>
      </w:r>
      <w:r w:rsidR="00F8176D">
        <w:rPr>
          <w:rFonts w:ascii="Century" w:hAnsi="Century" w:cs="Arabic Typesetting"/>
          <w:sz w:val="24"/>
          <w:szCs w:val="24"/>
        </w:rPr>
        <w:t xml:space="preserve"> and</w:t>
      </w:r>
      <w:r w:rsidR="00F8176D" w:rsidRPr="00F32CF2">
        <w:rPr>
          <w:rFonts w:ascii="Century" w:hAnsi="Century" w:cs="Arabic Typesetting"/>
          <w:sz w:val="24"/>
          <w:szCs w:val="24"/>
        </w:rPr>
        <w:t xml:space="preserve"> so far as </w:t>
      </w:r>
      <w:r w:rsidR="00AA21BE">
        <w:rPr>
          <w:rFonts w:ascii="Century" w:hAnsi="Century" w:cs="Arabic Typesetting"/>
          <w:sz w:val="24"/>
          <w:szCs w:val="24"/>
        </w:rPr>
        <w:t xml:space="preserve">possible </w:t>
      </w:r>
      <w:r w:rsidR="00F8176D" w:rsidRPr="00F32CF2">
        <w:rPr>
          <w:rFonts w:ascii="Century" w:hAnsi="Century" w:cs="Arabic Typesetting"/>
          <w:sz w:val="24"/>
          <w:szCs w:val="24"/>
        </w:rPr>
        <w:t>intelligible, clear and predictable’.</w:t>
      </w:r>
      <w:r w:rsidR="00F8176D" w:rsidRPr="00F32CF2">
        <w:rPr>
          <w:rStyle w:val="FootnoteReference"/>
          <w:rFonts w:ascii="Century" w:hAnsi="Century" w:cs="Arabic Typesetting"/>
          <w:sz w:val="24"/>
          <w:szCs w:val="24"/>
        </w:rPr>
        <w:footnoteReference w:id="16"/>
      </w:r>
      <w:r w:rsidR="00F8176D" w:rsidRPr="00F32CF2">
        <w:rPr>
          <w:rFonts w:ascii="Century" w:hAnsi="Century" w:cs="Arabic Typesetting"/>
          <w:sz w:val="24"/>
          <w:szCs w:val="24"/>
        </w:rPr>
        <w:t xml:space="preserve"> </w:t>
      </w:r>
      <w:r w:rsidR="00F8176D">
        <w:rPr>
          <w:rFonts w:ascii="Century" w:eastAsia="Times New Roman" w:hAnsi="Century" w:cs="Times New Roman"/>
          <w:sz w:val="24"/>
          <w:szCs w:val="24"/>
          <w:lang w:eastAsia="en-GB"/>
        </w:rPr>
        <w:t xml:space="preserve">Looking at Lord Bingham’s first principle it is clear that access to the law extends beyond physical accessibility. </w:t>
      </w:r>
      <w:r w:rsidR="00794C0B">
        <w:rPr>
          <w:rFonts w:ascii="Century" w:eastAsia="Times New Roman" w:hAnsi="Century" w:cs="Times New Roman"/>
          <w:sz w:val="24"/>
          <w:szCs w:val="24"/>
          <w:lang w:eastAsia="en-GB"/>
        </w:rPr>
        <w:t>T</w:t>
      </w:r>
      <w:r w:rsidR="00F8176D">
        <w:rPr>
          <w:rFonts w:ascii="Century" w:eastAsia="Times New Roman" w:hAnsi="Century" w:cs="Times New Roman"/>
          <w:sz w:val="24"/>
          <w:szCs w:val="24"/>
          <w:lang w:eastAsia="en-GB"/>
        </w:rPr>
        <w:t>he criteria of ‘intelligible, clear and predictable’ establish that understanding the meaning a</w:t>
      </w:r>
      <w:r w:rsidR="00F52362">
        <w:rPr>
          <w:rFonts w:ascii="Century" w:eastAsia="Times New Roman" w:hAnsi="Century" w:cs="Times New Roman"/>
          <w:sz w:val="24"/>
          <w:szCs w:val="24"/>
          <w:lang w:eastAsia="en-GB"/>
        </w:rPr>
        <w:t>nd implications of the law is a</w:t>
      </w:r>
      <w:r w:rsidR="00F8176D">
        <w:rPr>
          <w:rFonts w:ascii="Century" w:eastAsia="Times New Roman" w:hAnsi="Century" w:cs="Times New Roman"/>
          <w:sz w:val="24"/>
          <w:szCs w:val="24"/>
          <w:lang w:eastAsia="en-GB"/>
        </w:rPr>
        <w:t xml:space="preserve"> necessary </w:t>
      </w:r>
      <w:r w:rsidR="00F52362">
        <w:rPr>
          <w:rFonts w:ascii="Century" w:eastAsia="Times New Roman" w:hAnsi="Century" w:cs="Times New Roman"/>
          <w:sz w:val="24"/>
          <w:szCs w:val="24"/>
          <w:lang w:eastAsia="en-GB"/>
        </w:rPr>
        <w:t>component of</w:t>
      </w:r>
      <w:r w:rsidR="00F8176D">
        <w:rPr>
          <w:rFonts w:ascii="Century" w:eastAsia="Times New Roman" w:hAnsi="Century" w:cs="Times New Roman"/>
          <w:sz w:val="24"/>
          <w:szCs w:val="24"/>
          <w:lang w:eastAsia="en-GB"/>
        </w:rPr>
        <w:t xml:space="preserve"> accessibility.</w:t>
      </w:r>
      <w:r w:rsidR="00F8176D">
        <w:rPr>
          <w:rStyle w:val="FootnoteReference"/>
          <w:rFonts w:ascii="Century" w:eastAsia="Times New Roman" w:hAnsi="Century" w:cs="Times New Roman"/>
          <w:sz w:val="24"/>
          <w:szCs w:val="24"/>
          <w:lang w:eastAsia="en-GB"/>
        </w:rPr>
        <w:footnoteReference w:id="17"/>
      </w:r>
      <w:r w:rsidR="00564C7E">
        <w:rPr>
          <w:rFonts w:ascii="Century" w:eastAsia="Times New Roman" w:hAnsi="Century" w:cs="Times New Roman"/>
          <w:sz w:val="24"/>
          <w:szCs w:val="24"/>
          <w:lang w:eastAsia="en-GB"/>
        </w:rPr>
        <w:t xml:space="preserve"> Understanding the law allows</w:t>
      </w:r>
      <w:r w:rsidR="00F8176D">
        <w:rPr>
          <w:rFonts w:ascii="Century" w:eastAsia="Times New Roman" w:hAnsi="Century" w:cs="Times New Roman"/>
          <w:sz w:val="24"/>
          <w:szCs w:val="24"/>
          <w:lang w:eastAsia="en-GB"/>
        </w:rPr>
        <w:t xml:space="preserve"> citizens </w:t>
      </w:r>
      <w:r w:rsidR="00564C7E">
        <w:rPr>
          <w:rFonts w:ascii="Century" w:eastAsia="Times New Roman" w:hAnsi="Century" w:cs="Times New Roman"/>
          <w:sz w:val="24"/>
          <w:szCs w:val="24"/>
          <w:lang w:eastAsia="en-GB"/>
        </w:rPr>
        <w:t xml:space="preserve">to </w:t>
      </w:r>
      <w:r w:rsidR="00F8176D">
        <w:rPr>
          <w:rFonts w:ascii="Century" w:eastAsia="Times New Roman" w:hAnsi="Century" w:cs="Times New Roman"/>
          <w:sz w:val="24"/>
          <w:szCs w:val="24"/>
          <w:lang w:eastAsia="en-GB"/>
        </w:rPr>
        <w:t>be certain of what the law is, thus making the</w:t>
      </w:r>
      <w:r w:rsidR="00E16A53">
        <w:rPr>
          <w:rFonts w:ascii="Century" w:eastAsia="Times New Roman" w:hAnsi="Century" w:cs="Times New Roman"/>
          <w:sz w:val="24"/>
          <w:szCs w:val="24"/>
          <w:lang w:eastAsia="en-GB"/>
        </w:rPr>
        <w:t xml:space="preserve"> law predictable. Lord Bingham</w:t>
      </w:r>
      <w:r w:rsidR="00F8176D">
        <w:rPr>
          <w:rFonts w:ascii="Century" w:eastAsia="Times New Roman" w:hAnsi="Century" w:cs="Times New Roman"/>
          <w:sz w:val="24"/>
          <w:szCs w:val="24"/>
          <w:lang w:eastAsia="en-GB"/>
        </w:rPr>
        <w:t xml:space="preserve"> </w:t>
      </w:r>
      <w:r w:rsidR="008509AD">
        <w:rPr>
          <w:rFonts w:ascii="Century" w:eastAsia="Times New Roman" w:hAnsi="Century" w:cs="Times New Roman"/>
          <w:sz w:val="24"/>
          <w:szCs w:val="24"/>
          <w:lang w:eastAsia="en-GB"/>
        </w:rPr>
        <w:t>offered</w:t>
      </w:r>
      <w:r w:rsidR="00536C23">
        <w:rPr>
          <w:rFonts w:ascii="Century" w:eastAsia="Times New Roman" w:hAnsi="Century" w:cs="Times New Roman"/>
          <w:sz w:val="24"/>
          <w:szCs w:val="24"/>
          <w:lang w:eastAsia="en-GB"/>
        </w:rPr>
        <w:t xml:space="preserve"> these</w:t>
      </w:r>
      <w:r w:rsidR="00F8176D">
        <w:rPr>
          <w:rFonts w:ascii="Century" w:eastAsia="Times New Roman" w:hAnsi="Century" w:cs="Times New Roman"/>
          <w:sz w:val="24"/>
          <w:szCs w:val="24"/>
          <w:lang w:eastAsia="en-GB"/>
        </w:rPr>
        <w:t xml:space="preserve"> </w:t>
      </w:r>
      <w:r w:rsidR="00536C23">
        <w:rPr>
          <w:rFonts w:ascii="Century" w:eastAsia="Times New Roman" w:hAnsi="Century" w:cs="Times New Roman"/>
          <w:sz w:val="24"/>
          <w:szCs w:val="24"/>
          <w:lang w:eastAsia="en-GB"/>
        </w:rPr>
        <w:t>three</w:t>
      </w:r>
      <w:r w:rsidR="00F8176D">
        <w:rPr>
          <w:rFonts w:ascii="Century" w:eastAsia="Times New Roman" w:hAnsi="Century" w:cs="Times New Roman"/>
          <w:sz w:val="24"/>
          <w:szCs w:val="24"/>
          <w:lang w:eastAsia="en-GB"/>
        </w:rPr>
        <w:t xml:space="preserve"> criteria because knowledge of the law is needed to (a) </w:t>
      </w:r>
      <w:r w:rsidR="00F8176D">
        <w:rPr>
          <w:rFonts w:ascii="Century" w:hAnsi="Century" w:cs="Arabic Typesetting"/>
          <w:sz w:val="24"/>
          <w:szCs w:val="24"/>
        </w:rPr>
        <w:t>discourage criminal behaviour; (b) claim civil rights and to perform obligations imposed by the law and (c) to successfully conduct trade, investment and business.</w:t>
      </w:r>
      <w:r w:rsidR="00F8176D">
        <w:rPr>
          <w:rStyle w:val="FootnoteReference"/>
          <w:rFonts w:ascii="Century" w:hAnsi="Century" w:cs="Arabic Typesetting"/>
          <w:sz w:val="24"/>
          <w:szCs w:val="24"/>
        </w:rPr>
        <w:footnoteReference w:id="18"/>
      </w:r>
      <w:r w:rsidR="00F8176D">
        <w:rPr>
          <w:rFonts w:ascii="Century" w:hAnsi="Century" w:cs="Arabic Typesetting"/>
          <w:sz w:val="24"/>
          <w:szCs w:val="24"/>
        </w:rPr>
        <w:t xml:space="preserve"> </w:t>
      </w:r>
    </w:p>
    <w:p w:rsidR="00F8176D" w:rsidRPr="00F32CF2" w:rsidRDefault="00F8176D" w:rsidP="00F8176D">
      <w:pPr>
        <w:spacing w:after="0" w:line="360" w:lineRule="auto"/>
        <w:jc w:val="both"/>
        <w:rPr>
          <w:rStyle w:val="sb8d990e2"/>
          <w:rFonts w:ascii="Century" w:hAnsi="Century"/>
          <w:sz w:val="24"/>
          <w:szCs w:val="24"/>
        </w:rPr>
      </w:pPr>
    </w:p>
    <w:p w:rsidR="00F8176D" w:rsidRPr="00466C12" w:rsidRDefault="00F8176D" w:rsidP="00F8176D">
      <w:pPr>
        <w:spacing w:line="360" w:lineRule="auto"/>
        <w:jc w:val="both"/>
      </w:pPr>
      <w:r>
        <w:rPr>
          <w:rFonts w:ascii="Century" w:eastAsia="Times New Roman" w:hAnsi="Century" w:cs="Times New Roman"/>
          <w:sz w:val="24"/>
          <w:szCs w:val="24"/>
          <w:lang w:eastAsia="en-GB"/>
        </w:rPr>
        <w:t>Although, legislation is the main tool for regulation, there remains an incessant call for legislation to be accessible</w:t>
      </w:r>
      <w:r w:rsidR="00794C0B">
        <w:rPr>
          <w:rFonts w:ascii="Century" w:eastAsia="Times New Roman" w:hAnsi="Century" w:cs="Times New Roman"/>
          <w:sz w:val="24"/>
          <w:szCs w:val="24"/>
          <w:lang w:eastAsia="en-GB"/>
        </w:rPr>
        <w:t xml:space="preserve"> because of</w:t>
      </w:r>
      <w:r w:rsidR="008D3C60">
        <w:rPr>
          <w:rFonts w:ascii="Century" w:eastAsia="Times New Roman" w:hAnsi="Century" w:cs="Times New Roman"/>
          <w:sz w:val="24"/>
          <w:szCs w:val="24"/>
          <w:lang w:eastAsia="en-GB"/>
        </w:rPr>
        <w:t xml:space="preserve"> the complexity</w:t>
      </w:r>
      <w:r>
        <w:rPr>
          <w:rFonts w:ascii="Century" w:eastAsia="Times New Roman" w:hAnsi="Century" w:cs="Times New Roman"/>
          <w:sz w:val="24"/>
          <w:szCs w:val="24"/>
          <w:lang w:eastAsia="en-GB"/>
        </w:rPr>
        <w:t xml:space="preserve"> in legislation. Take the UK for ex</w:t>
      </w:r>
      <w:r w:rsidR="008D3C60">
        <w:rPr>
          <w:rFonts w:ascii="Century" w:eastAsia="Times New Roman" w:hAnsi="Century" w:cs="Times New Roman"/>
          <w:sz w:val="24"/>
          <w:szCs w:val="24"/>
          <w:lang w:eastAsia="en-GB"/>
        </w:rPr>
        <w:t>ample, in 1975 it was complexity</w:t>
      </w:r>
      <w:r>
        <w:rPr>
          <w:rFonts w:ascii="Century" w:eastAsia="Times New Roman" w:hAnsi="Century" w:cs="Times New Roman"/>
          <w:sz w:val="24"/>
          <w:szCs w:val="24"/>
          <w:lang w:eastAsia="en-GB"/>
        </w:rPr>
        <w:t xml:space="preserve"> in legislation that led to the formulation of the Renton Committee on the Preparation of Legislation which terms of reference included ‘</w:t>
      </w:r>
      <w:r w:rsidR="004F1E60">
        <w:rPr>
          <w:rFonts w:ascii="Century" w:eastAsia="Times New Roman" w:hAnsi="Century" w:cs="Times New Roman"/>
          <w:sz w:val="24"/>
          <w:szCs w:val="24"/>
          <w:lang w:eastAsia="en-GB"/>
        </w:rPr>
        <w:t>W</w:t>
      </w:r>
      <w:r>
        <w:rPr>
          <w:rFonts w:ascii="Century" w:eastAsia="Times New Roman" w:hAnsi="Century" w:cs="Times New Roman"/>
          <w:sz w:val="24"/>
          <w:szCs w:val="24"/>
          <w:lang w:eastAsia="en-GB"/>
        </w:rPr>
        <w:t xml:space="preserve">ith a view to achieving greater simplicity and clarity in statute law, to review the form </w:t>
      </w:r>
      <w:r w:rsidR="004F1E60">
        <w:rPr>
          <w:rFonts w:ascii="Century" w:eastAsia="Times New Roman" w:hAnsi="Century" w:cs="Times New Roman"/>
          <w:sz w:val="24"/>
          <w:szCs w:val="24"/>
          <w:lang w:eastAsia="en-GB"/>
        </w:rPr>
        <w:t>in</w:t>
      </w:r>
      <w:r>
        <w:rPr>
          <w:rFonts w:ascii="Century" w:eastAsia="Times New Roman" w:hAnsi="Century" w:cs="Times New Roman"/>
          <w:sz w:val="24"/>
          <w:szCs w:val="24"/>
          <w:lang w:eastAsia="en-GB"/>
        </w:rPr>
        <w:t xml:space="preserve"> which Public Bills are drafted’.</w:t>
      </w:r>
      <w:r>
        <w:rPr>
          <w:rStyle w:val="FootnoteReference"/>
          <w:rFonts w:ascii="Century" w:eastAsia="Times New Roman" w:hAnsi="Century" w:cs="Times New Roman"/>
          <w:sz w:val="24"/>
          <w:szCs w:val="24"/>
          <w:lang w:eastAsia="en-GB"/>
        </w:rPr>
        <w:footnoteReference w:id="19"/>
      </w:r>
      <w:r>
        <w:rPr>
          <w:rFonts w:ascii="Century" w:eastAsia="Times New Roman" w:hAnsi="Century" w:cs="Times New Roman"/>
          <w:sz w:val="24"/>
          <w:szCs w:val="24"/>
          <w:lang w:eastAsia="en-GB"/>
        </w:rPr>
        <w:t xml:space="preserve"> Years later in the UK, reducing complexity in legislation is still advocated through projects like the ‘Good </w:t>
      </w:r>
      <w:r>
        <w:rPr>
          <w:rFonts w:ascii="Century" w:eastAsia="Times New Roman" w:hAnsi="Century" w:cs="Times New Roman"/>
          <w:sz w:val="24"/>
          <w:szCs w:val="24"/>
          <w:lang w:eastAsia="en-GB"/>
        </w:rPr>
        <w:lastRenderedPageBreak/>
        <w:t>Law Initiative’ that was launched with an aim to ensure that laws are necessary, effective, clear, accessible and coherent.</w:t>
      </w:r>
      <w:r>
        <w:rPr>
          <w:rStyle w:val="FootnoteReference"/>
          <w:rFonts w:ascii="Century" w:eastAsia="Times New Roman" w:hAnsi="Century" w:cs="Times New Roman"/>
          <w:sz w:val="24"/>
          <w:szCs w:val="24"/>
          <w:lang w:eastAsia="en-GB"/>
        </w:rPr>
        <w:footnoteReference w:id="20"/>
      </w:r>
      <w:r>
        <w:rPr>
          <w:rFonts w:ascii="Century" w:eastAsia="Times New Roman" w:hAnsi="Century" w:cs="Times New Roman"/>
          <w:sz w:val="24"/>
          <w:szCs w:val="24"/>
          <w:lang w:eastAsia="en-GB"/>
        </w:rPr>
        <w:t xml:space="preserve"> This demon</w:t>
      </w:r>
      <w:r w:rsidR="00E47E85">
        <w:rPr>
          <w:rFonts w:ascii="Century" w:eastAsia="Times New Roman" w:hAnsi="Century" w:cs="Times New Roman"/>
          <w:sz w:val="24"/>
          <w:szCs w:val="24"/>
          <w:lang w:eastAsia="en-GB"/>
        </w:rPr>
        <w:t>strates that although there has</w:t>
      </w:r>
      <w:r>
        <w:rPr>
          <w:rFonts w:ascii="Century" w:eastAsia="Times New Roman" w:hAnsi="Century" w:cs="Times New Roman"/>
          <w:sz w:val="24"/>
          <w:szCs w:val="24"/>
          <w:lang w:eastAsia="en-GB"/>
        </w:rPr>
        <w:t xml:space="preserve"> been tremendous improvement in the way laws are drafte</w:t>
      </w:r>
      <w:r w:rsidR="00177232">
        <w:rPr>
          <w:rFonts w:ascii="Century" w:eastAsia="Times New Roman" w:hAnsi="Century" w:cs="Times New Roman"/>
          <w:sz w:val="24"/>
          <w:szCs w:val="24"/>
          <w:lang w:eastAsia="en-GB"/>
        </w:rPr>
        <w:t>d, the complexity</w:t>
      </w:r>
      <w:r w:rsidR="0056298B">
        <w:rPr>
          <w:rFonts w:ascii="Century" w:eastAsia="Times New Roman" w:hAnsi="Century" w:cs="Times New Roman"/>
          <w:sz w:val="24"/>
          <w:szCs w:val="24"/>
          <w:lang w:eastAsia="en-GB"/>
        </w:rPr>
        <w:t xml:space="preserve"> that reside</w:t>
      </w:r>
      <w:r w:rsidR="00BD6EBC">
        <w:rPr>
          <w:rFonts w:ascii="Century" w:eastAsia="Times New Roman" w:hAnsi="Century" w:cs="Times New Roman"/>
          <w:sz w:val="24"/>
          <w:szCs w:val="24"/>
          <w:lang w:eastAsia="en-GB"/>
        </w:rPr>
        <w:t>s</w:t>
      </w:r>
      <w:r>
        <w:rPr>
          <w:rFonts w:ascii="Century" w:eastAsia="Times New Roman" w:hAnsi="Century" w:cs="Times New Roman"/>
          <w:sz w:val="24"/>
          <w:szCs w:val="24"/>
          <w:lang w:eastAsia="en-GB"/>
        </w:rPr>
        <w:t xml:space="preserve"> in legislation today that hinders accessi</w:t>
      </w:r>
      <w:r w:rsidR="00177232">
        <w:rPr>
          <w:rFonts w:ascii="Century" w:eastAsia="Times New Roman" w:hAnsi="Century" w:cs="Times New Roman"/>
          <w:sz w:val="24"/>
          <w:szCs w:val="24"/>
          <w:lang w:eastAsia="en-GB"/>
        </w:rPr>
        <w:t xml:space="preserve">bility </w:t>
      </w:r>
      <w:r w:rsidR="004C7657">
        <w:rPr>
          <w:rFonts w:ascii="Century" w:eastAsia="Times New Roman" w:hAnsi="Century" w:cs="Times New Roman"/>
          <w:sz w:val="24"/>
          <w:szCs w:val="24"/>
          <w:lang w:eastAsia="en-GB"/>
        </w:rPr>
        <w:t xml:space="preserve">is </w:t>
      </w:r>
      <w:r w:rsidR="00177232">
        <w:rPr>
          <w:rFonts w:ascii="Century" w:eastAsia="Times New Roman" w:hAnsi="Century" w:cs="Times New Roman"/>
          <w:sz w:val="24"/>
          <w:szCs w:val="24"/>
          <w:lang w:eastAsia="en-GB"/>
        </w:rPr>
        <w:t>the same complexity</w:t>
      </w:r>
      <w:r>
        <w:rPr>
          <w:rFonts w:ascii="Century" w:eastAsia="Times New Roman" w:hAnsi="Century" w:cs="Times New Roman"/>
          <w:sz w:val="24"/>
          <w:szCs w:val="24"/>
          <w:lang w:eastAsia="en-GB"/>
        </w:rPr>
        <w:t xml:space="preserve"> that plagued legislation of the past. </w:t>
      </w:r>
      <w:r>
        <w:rPr>
          <w:rFonts w:ascii="Century" w:hAnsi="Century"/>
          <w:sz w:val="24"/>
          <w:szCs w:val="24"/>
        </w:rPr>
        <w:t>The only thing that has changed is that the readership of legislation has widened resulting in l</w:t>
      </w:r>
      <w:r w:rsidR="00E56A87">
        <w:rPr>
          <w:rFonts w:ascii="Century" w:hAnsi="Century"/>
          <w:sz w:val="24"/>
          <w:szCs w:val="24"/>
        </w:rPr>
        <w:t>egislation</w:t>
      </w:r>
      <w:r>
        <w:rPr>
          <w:rFonts w:ascii="Century" w:hAnsi="Century"/>
          <w:sz w:val="24"/>
          <w:szCs w:val="24"/>
        </w:rPr>
        <w:t xml:space="preserve"> being used by persons from diverse backgrounds. It is for this reason that advocating for accessibility in laws must continue. </w:t>
      </w:r>
      <w:r w:rsidRPr="00F32CF2">
        <w:rPr>
          <w:rStyle w:val="sb8d990e2"/>
          <w:rFonts w:ascii="Century" w:hAnsi="Century"/>
          <w:sz w:val="24"/>
          <w:szCs w:val="24"/>
        </w:rPr>
        <w:t xml:space="preserve">Complexity in </w:t>
      </w:r>
      <w:r>
        <w:rPr>
          <w:rStyle w:val="sb8d990e2"/>
          <w:rFonts w:ascii="Century" w:hAnsi="Century"/>
          <w:sz w:val="24"/>
          <w:szCs w:val="24"/>
        </w:rPr>
        <w:t>legislation</w:t>
      </w:r>
      <w:r w:rsidRPr="00F32CF2">
        <w:rPr>
          <w:rStyle w:val="sb8d990e2"/>
          <w:rFonts w:ascii="Century" w:hAnsi="Century"/>
          <w:sz w:val="24"/>
          <w:szCs w:val="24"/>
        </w:rPr>
        <w:t xml:space="preserve"> </w:t>
      </w:r>
      <w:r w:rsidR="001C1401">
        <w:rPr>
          <w:rStyle w:val="sb8d990e2"/>
          <w:rFonts w:ascii="Century" w:hAnsi="Century"/>
          <w:sz w:val="24"/>
          <w:szCs w:val="24"/>
        </w:rPr>
        <w:t>‘</w:t>
      </w:r>
      <w:r>
        <w:rPr>
          <w:rStyle w:val="sb8d990e2"/>
          <w:rFonts w:ascii="Century" w:hAnsi="Century"/>
          <w:sz w:val="24"/>
          <w:szCs w:val="24"/>
        </w:rPr>
        <w:t>hurts the rule of law</w:t>
      </w:r>
      <w:r w:rsidR="001C1401">
        <w:rPr>
          <w:rStyle w:val="sb8d990e2"/>
          <w:rFonts w:ascii="Century" w:hAnsi="Century"/>
          <w:sz w:val="24"/>
          <w:szCs w:val="24"/>
        </w:rPr>
        <w:t>’</w:t>
      </w:r>
      <w:r>
        <w:rPr>
          <w:rStyle w:val="sb8d990e2"/>
          <w:rFonts w:ascii="Century" w:hAnsi="Century"/>
          <w:sz w:val="24"/>
          <w:szCs w:val="24"/>
        </w:rPr>
        <w:t>,</w:t>
      </w:r>
      <w:r>
        <w:rPr>
          <w:rStyle w:val="FootnoteReference"/>
          <w:rFonts w:ascii="Century" w:hAnsi="Century"/>
          <w:sz w:val="24"/>
          <w:szCs w:val="24"/>
        </w:rPr>
        <w:footnoteReference w:id="21"/>
      </w:r>
      <w:r>
        <w:rPr>
          <w:rStyle w:val="sb8d990e2"/>
          <w:rFonts w:ascii="Century" w:hAnsi="Century"/>
          <w:sz w:val="24"/>
          <w:szCs w:val="24"/>
        </w:rPr>
        <w:t xml:space="preserve"> as </w:t>
      </w:r>
      <w:r w:rsidRPr="00F32CF2">
        <w:rPr>
          <w:rFonts w:ascii="Century" w:eastAsia="Times New Roman" w:hAnsi="Century" w:cs="Times New Roman"/>
          <w:sz w:val="24"/>
          <w:szCs w:val="24"/>
          <w:lang w:eastAsia="en-GB"/>
        </w:rPr>
        <w:t>Heaton notes,</w:t>
      </w:r>
      <w:r>
        <w:rPr>
          <w:rFonts w:ascii="Century" w:eastAsia="Times New Roman" w:hAnsi="Century" w:cs="Times New Roman"/>
          <w:sz w:val="24"/>
          <w:szCs w:val="24"/>
          <w:lang w:eastAsia="en-GB"/>
        </w:rPr>
        <w:t xml:space="preserve"> it</w:t>
      </w:r>
      <w:r w:rsidRPr="00F32CF2">
        <w:rPr>
          <w:rFonts w:ascii="Century" w:eastAsia="Times New Roman" w:hAnsi="Century" w:cs="Times New Roman"/>
          <w:sz w:val="24"/>
          <w:szCs w:val="24"/>
          <w:lang w:eastAsia="en-GB"/>
        </w:rPr>
        <w:t xml:space="preserve"> ‘hinders economic activity, creating burdens for individuals, businesses and communitie</w:t>
      </w:r>
      <w:r>
        <w:rPr>
          <w:rFonts w:ascii="Century" w:eastAsia="Times New Roman" w:hAnsi="Century" w:cs="Times New Roman"/>
          <w:sz w:val="24"/>
          <w:szCs w:val="24"/>
          <w:lang w:eastAsia="en-GB"/>
        </w:rPr>
        <w:t>s. It obstructs good government</w:t>
      </w:r>
      <w:r w:rsidRPr="00F32CF2">
        <w:rPr>
          <w:rFonts w:ascii="Century" w:eastAsia="Times New Roman" w:hAnsi="Century" w:cs="Times New Roman"/>
          <w:sz w:val="24"/>
          <w:szCs w:val="24"/>
          <w:lang w:eastAsia="en-GB"/>
        </w:rPr>
        <w:t>’.</w:t>
      </w:r>
      <w:r w:rsidRPr="00F32CF2">
        <w:rPr>
          <w:rStyle w:val="FootnoteReference"/>
          <w:rFonts w:ascii="Century" w:eastAsia="Times New Roman" w:hAnsi="Century" w:cs="Times New Roman"/>
          <w:sz w:val="24"/>
          <w:szCs w:val="24"/>
          <w:lang w:eastAsia="en-GB"/>
        </w:rPr>
        <w:footnoteReference w:id="22"/>
      </w:r>
      <w:r>
        <w:rPr>
          <w:rFonts w:ascii="Century" w:eastAsia="Times New Roman" w:hAnsi="Century" w:cs="Times New Roman"/>
          <w:sz w:val="24"/>
          <w:szCs w:val="24"/>
          <w:lang w:eastAsia="en-GB"/>
        </w:rPr>
        <w:t xml:space="preserve"> </w:t>
      </w:r>
    </w:p>
    <w:p w:rsidR="00F8176D" w:rsidRPr="00466C12" w:rsidRDefault="00F8176D" w:rsidP="00F8176D">
      <w:pPr>
        <w:spacing w:after="0" w:line="360" w:lineRule="auto"/>
        <w:jc w:val="both"/>
        <w:rPr>
          <w:rFonts w:ascii="Century" w:eastAsia="Times New Roman" w:hAnsi="Century" w:cs="Times New Roman"/>
          <w:sz w:val="24"/>
          <w:szCs w:val="24"/>
          <w:lang w:eastAsia="en-GB"/>
        </w:rPr>
      </w:pPr>
    </w:p>
    <w:p w:rsidR="00F8176D" w:rsidRDefault="00F8176D" w:rsidP="00F8176D">
      <w:pPr>
        <w:spacing w:line="360" w:lineRule="auto"/>
        <w:jc w:val="both"/>
        <w:rPr>
          <w:rFonts w:ascii="Century" w:hAnsi="Century" w:cs="Arabic Typesetting"/>
          <w:sz w:val="24"/>
          <w:szCs w:val="24"/>
        </w:rPr>
      </w:pPr>
      <w:r w:rsidRPr="00F32CF2">
        <w:rPr>
          <w:rFonts w:ascii="Century" w:hAnsi="Century" w:cs="Arabic Typesetting"/>
          <w:sz w:val="24"/>
          <w:szCs w:val="24"/>
        </w:rPr>
        <w:t>What then is the role of legislative drafter</w:t>
      </w:r>
      <w:r>
        <w:rPr>
          <w:rFonts w:ascii="Century" w:hAnsi="Century" w:cs="Arabic Typesetting"/>
          <w:sz w:val="24"/>
          <w:szCs w:val="24"/>
        </w:rPr>
        <w:t>s</w:t>
      </w:r>
      <w:r w:rsidRPr="00F32CF2">
        <w:rPr>
          <w:rFonts w:ascii="Century" w:hAnsi="Century" w:cs="Arabic Typesetting"/>
          <w:sz w:val="24"/>
          <w:szCs w:val="24"/>
        </w:rPr>
        <w:t xml:space="preserve"> in </w:t>
      </w:r>
      <w:r>
        <w:rPr>
          <w:rFonts w:ascii="Century" w:hAnsi="Century" w:cs="Arabic Typesetting"/>
          <w:sz w:val="24"/>
          <w:szCs w:val="24"/>
        </w:rPr>
        <w:t>this regard</w:t>
      </w:r>
      <w:r w:rsidRPr="00F32CF2">
        <w:rPr>
          <w:rFonts w:ascii="Century" w:hAnsi="Century" w:cs="Arabic Typesetting"/>
          <w:sz w:val="24"/>
          <w:szCs w:val="24"/>
        </w:rPr>
        <w:t>? Saliember</w:t>
      </w:r>
      <w:r>
        <w:rPr>
          <w:rFonts w:ascii="Century" w:hAnsi="Century" w:cs="Arabic Typesetting"/>
          <w:sz w:val="24"/>
          <w:szCs w:val="24"/>
        </w:rPr>
        <w:t>, declares that drafters</w:t>
      </w:r>
      <w:r w:rsidRPr="00F32CF2">
        <w:rPr>
          <w:rFonts w:ascii="Century" w:hAnsi="Century" w:cs="Arabic Typesetting"/>
          <w:sz w:val="24"/>
          <w:szCs w:val="24"/>
        </w:rPr>
        <w:t xml:space="preserve"> </w:t>
      </w:r>
      <w:r>
        <w:rPr>
          <w:rFonts w:ascii="Century" w:hAnsi="Century" w:cs="Arabic Typesetting"/>
          <w:sz w:val="24"/>
          <w:szCs w:val="24"/>
        </w:rPr>
        <w:t>‘</w:t>
      </w:r>
      <w:r w:rsidRPr="00F32CF2">
        <w:rPr>
          <w:rFonts w:ascii="Century" w:hAnsi="Century" w:cs="Arabic Typesetting"/>
          <w:sz w:val="24"/>
          <w:szCs w:val="24"/>
        </w:rPr>
        <w:t>have a responsibility</w:t>
      </w:r>
      <w:r>
        <w:rPr>
          <w:rFonts w:ascii="Century" w:hAnsi="Century" w:cs="Arabic Typesetting"/>
          <w:sz w:val="24"/>
          <w:szCs w:val="24"/>
        </w:rPr>
        <w:t>’</w:t>
      </w:r>
      <w:r w:rsidRPr="00F32CF2">
        <w:rPr>
          <w:rFonts w:ascii="Century" w:hAnsi="Century" w:cs="Arabic Typesetting"/>
          <w:sz w:val="24"/>
          <w:szCs w:val="24"/>
        </w:rPr>
        <w:t xml:space="preserve"> to draft laws in </w:t>
      </w:r>
      <w:r>
        <w:rPr>
          <w:rFonts w:ascii="Century" w:hAnsi="Century" w:cs="Arabic Typesetting"/>
          <w:sz w:val="24"/>
          <w:szCs w:val="24"/>
        </w:rPr>
        <w:t>such a way that the end result is laws that are comprehensible to those they affect</w:t>
      </w:r>
      <w:r w:rsidRPr="00F32CF2">
        <w:rPr>
          <w:rFonts w:ascii="Century" w:hAnsi="Century" w:cs="Arabic Typesetting"/>
          <w:sz w:val="24"/>
          <w:szCs w:val="24"/>
        </w:rPr>
        <w:t>.</w:t>
      </w:r>
      <w:r w:rsidRPr="00F32CF2">
        <w:rPr>
          <w:rStyle w:val="FootnoteReference"/>
          <w:rFonts w:ascii="Century" w:hAnsi="Century" w:cs="Arabic Typesetting"/>
          <w:sz w:val="24"/>
          <w:szCs w:val="24"/>
        </w:rPr>
        <w:footnoteReference w:id="23"/>
      </w:r>
      <w:r>
        <w:rPr>
          <w:rFonts w:ascii="Century" w:hAnsi="Century" w:cs="Arabic Typesetting"/>
          <w:sz w:val="24"/>
          <w:szCs w:val="24"/>
        </w:rPr>
        <w:t xml:space="preserve"> Likewise, the Victor</w:t>
      </w:r>
      <w:r w:rsidRPr="00720415">
        <w:rPr>
          <w:rFonts w:ascii="Century" w:hAnsi="Century" w:cs="Arabic Typesetting"/>
          <w:sz w:val="24"/>
          <w:szCs w:val="24"/>
        </w:rPr>
        <w:t>ian</w:t>
      </w:r>
      <w:r>
        <w:rPr>
          <w:rFonts w:ascii="Century" w:hAnsi="Century" w:cs="Arabic Typesetting"/>
          <w:sz w:val="24"/>
          <w:szCs w:val="24"/>
        </w:rPr>
        <w:t xml:space="preserve"> Law Commission states that drafters fail if they do not draft laws that are clear.</w:t>
      </w:r>
      <w:r>
        <w:rPr>
          <w:rStyle w:val="FootnoteReference"/>
          <w:rFonts w:ascii="Century" w:hAnsi="Century" w:cs="Arabic Typesetting"/>
          <w:sz w:val="24"/>
          <w:szCs w:val="24"/>
        </w:rPr>
        <w:footnoteReference w:id="24"/>
      </w:r>
      <w:r>
        <w:rPr>
          <w:rFonts w:ascii="Century" w:hAnsi="Century" w:cs="Arabic Typesetting"/>
          <w:sz w:val="24"/>
          <w:szCs w:val="24"/>
        </w:rPr>
        <w:t xml:space="preserve"> </w:t>
      </w:r>
      <w:r w:rsidRPr="00375D23">
        <w:rPr>
          <w:rFonts w:ascii="Century" w:eastAsia="Times New Roman" w:hAnsi="Century" w:cs="Times New Roman"/>
          <w:sz w:val="24"/>
          <w:szCs w:val="24"/>
          <w:lang w:eastAsia="en-GB"/>
        </w:rPr>
        <w:t>However, for drafter</w:t>
      </w:r>
      <w:r w:rsidR="006D312A">
        <w:rPr>
          <w:rFonts w:ascii="Century" w:eastAsia="Times New Roman" w:hAnsi="Century" w:cs="Times New Roman"/>
          <w:sz w:val="24"/>
          <w:szCs w:val="24"/>
          <w:lang w:eastAsia="en-GB"/>
        </w:rPr>
        <w:t>s</w:t>
      </w:r>
      <w:r w:rsidRPr="00375D23">
        <w:rPr>
          <w:rFonts w:ascii="Century" w:eastAsia="Times New Roman" w:hAnsi="Century" w:cs="Times New Roman"/>
          <w:sz w:val="24"/>
          <w:szCs w:val="24"/>
          <w:lang w:eastAsia="en-GB"/>
        </w:rPr>
        <w:t xml:space="preserve"> this is no easy feat as it is a challenge to draft a law that produces an outcome that correlates with the expectations of the policymaker.</w:t>
      </w:r>
      <w:r w:rsidRPr="00375D23">
        <w:rPr>
          <w:rStyle w:val="FootnoteReference"/>
          <w:rFonts w:ascii="Century" w:eastAsia="Times New Roman" w:hAnsi="Century" w:cs="Times New Roman"/>
          <w:sz w:val="24"/>
          <w:szCs w:val="24"/>
          <w:lang w:eastAsia="en-GB"/>
        </w:rPr>
        <w:footnoteReference w:id="25"/>
      </w:r>
      <w:r w:rsidRPr="00F32CF2">
        <w:rPr>
          <w:rFonts w:ascii="Century" w:eastAsia="Times New Roman" w:hAnsi="Century" w:cs="Times New Roman"/>
          <w:sz w:val="24"/>
          <w:szCs w:val="24"/>
          <w:lang w:eastAsia="en-GB"/>
        </w:rPr>
        <w:t xml:space="preserve"> </w:t>
      </w:r>
      <w:r>
        <w:rPr>
          <w:rFonts w:ascii="Century" w:eastAsia="Times New Roman" w:hAnsi="Century" w:cs="Times New Roman"/>
          <w:sz w:val="24"/>
          <w:szCs w:val="24"/>
          <w:lang w:eastAsia="en-GB"/>
        </w:rPr>
        <w:t>Political and social hurdles,</w:t>
      </w:r>
      <w:r w:rsidRPr="00F32CF2">
        <w:rPr>
          <w:rStyle w:val="FootnoteReference"/>
          <w:rFonts w:ascii="Century" w:hAnsi="Century" w:cs="Arabic Typesetting"/>
          <w:sz w:val="24"/>
          <w:szCs w:val="24"/>
        </w:rPr>
        <w:footnoteReference w:id="26"/>
      </w:r>
      <w:r>
        <w:rPr>
          <w:rFonts w:ascii="Century" w:eastAsia="Times New Roman" w:hAnsi="Century" w:cs="Times New Roman"/>
          <w:sz w:val="24"/>
          <w:szCs w:val="24"/>
          <w:lang w:eastAsia="en-GB"/>
        </w:rPr>
        <w:t xml:space="preserve"> </w:t>
      </w:r>
      <w:r>
        <w:rPr>
          <w:rFonts w:ascii="Century" w:hAnsi="Century" w:cs="Arabic Typesetting"/>
          <w:sz w:val="24"/>
          <w:szCs w:val="24"/>
        </w:rPr>
        <w:t xml:space="preserve">the </w:t>
      </w:r>
      <w:r w:rsidR="00A1486D">
        <w:rPr>
          <w:rFonts w:ascii="Century" w:hAnsi="Century" w:cs="Arabic Typesetting"/>
          <w:sz w:val="24"/>
          <w:szCs w:val="24"/>
        </w:rPr>
        <w:t>difficulties associated with</w:t>
      </w:r>
      <w:r w:rsidR="00C4496B">
        <w:rPr>
          <w:rFonts w:ascii="Century" w:hAnsi="Century" w:cs="Arabic Typesetting"/>
          <w:sz w:val="24"/>
          <w:szCs w:val="24"/>
        </w:rPr>
        <w:t xml:space="preserve"> both</w:t>
      </w:r>
      <w:r>
        <w:rPr>
          <w:rFonts w:ascii="Century" w:hAnsi="Century" w:cs="Arabic Typesetting"/>
          <w:sz w:val="24"/>
          <w:szCs w:val="24"/>
        </w:rPr>
        <w:t xml:space="preserve"> language</w:t>
      </w:r>
      <w:r w:rsidR="00A1486D">
        <w:rPr>
          <w:rFonts w:ascii="Century" w:hAnsi="Century" w:cs="Arabic Typesetting"/>
          <w:sz w:val="24"/>
          <w:szCs w:val="24"/>
        </w:rPr>
        <w:t xml:space="preserve"> and </w:t>
      </w:r>
      <w:r>
        <w:rPr>
          <w:rFonts w:ascii="Century" w:hAnsi="Century" w:cs="Arabic Typesetting"/>
          <w:sz w:val="24"/>
          <w:szCs w:val="24"/>
        </w:rPr>
        <w:t xml:space="preserve">the </w:t>
      </w:r>
      <w:r w:rsidR="008F6E48">
        <w:rPr>
          <w:rFonts w:ascii="Century" w:hAnsi="Century" w:cs="Arabic Typesetting"/>
          <w:sz w:val="24"/>
          <w:szCs w:val="24"/>
        </w:rPr>
        <w:t>subject matter</w:t>
      </w:r>
      <w:r w:rsidR="00A1486D">
        <w:rPr>
          <w:rFonts w:ascii="Century" w:hAnsi="Century" w:cs="Arabic Typesetting"/>
          <w:sz w:val="24"/>
          <w:szCs w:val="24"/>
        </w:rPr>
        <w:t xml:space="preserve"> of the legislative proposal,</w:t>
      </w:r>
      <w:r>
        <w:rPr>
          <w:rFonts w:ascii="Century" w:hAnsi="Century" w:cs="Arabic Typesetting"/>
          <w:sz w:val="24"/>
          <w:szCs w:val="24"/>
        </w:rPr>
        <w:t xml:space="preserve"> coupled with the </w:t>
      </w:r>
      <w:r>
        <w:rPr>
          <w:rFonts w:ascii="Century" w:eastAsia="Times New Roman" w:hAnsi="Century" w:cs="Times New Roman"/>
          <w:sz w:val="24"/>
          <w:szCs w:val="24"/>
          <w:lang w:eastAsia="en-GB"/>
        </w:rPr>
        <w:t>‘</w:t>
      </w:r>
      <w:r w:rsidRPr="00F32CF2">
        <w:rPr>
          <w:rFonts w:ascii="Century" w:eastAsia="Times New Roman" w:hAnsi="Century" w:cs="Times New Roman"/>
          <w:sz w:val="24"/>
          <w:szCs w:val="24"/>
          <w:lang w:eastAsia="en-GB"/>
        </w:rPr>
        <w:t>fallibility of drafters</w:t>
      </w:r>
      <w:r>
        <w:rPr>
          <w:rFonts w:ascii="Century" w:eastAsia="Times New Roman" w:hAnsi="Century" w:cs="Times New Roman"/>
          <w:sz w:val="24"/>
          <w:szCs w:val="24"/>
          <w:lang w:eastAsia="en-GB"/>
        </w:rPr>
        <w:t>’</w:t>
      </w:r>
      <w:r w:rsidRPr="00F32CF2">
        <w:rPr>
          <w:rStyle w:val="FootnoteReference"/>
          <w:rFonts w:ascii="Century" w:eastAsia="Times New Roman" w:hAnsi="Century" w:cs="Times New Roman"/>
          <w:sz w:val="24"/>
          <w:szCs w:val="24"/>
          <w:lang w:eastAsia="en-GB"/>
        </w:rPr>
        <w:footnoteReference w:id="27"/>
      </w:r>
      <w:r w:rsidR="00175F29">
        <w:rPr>
          <w:rFonts w:ascii="Century" w:eastAsia="Times New Roman" w:hAnsi="Century" w:cs="Times New Roman"/>
          <w:sz w:val="24"/>
          <w:szCs w:val="24"/>
          <w:lang w:eastAsia="en-GB"/>
        </w:rPr>
        <w:t xml:space="preserve"> limit</w:t>
      </w:r>
      <w:r>
        <w:rPr>
          <w:rFonts w:ascii="Century" w:eastAsia="Times New Roman" w:hAnsi="Century" w:cs="Times New Roman"/>
          <w:sz w:val="24"/>
          <w:szCs w:val="24"/>
          <w:lang w:eastAsia="en-GB"/>
        </w:rPr>
        <w:t xml:space="preserve"> what drafters can do.</w:t>
      </w:r>
      <w:r w:rsidRPr="00F32CF2">
        <w:rPr>
          <w:rStyle w:val="FootnoteReference"/>
          <w:rFonts w:ascii="Century" w:hAnsi="Century" w:cs="Arabic Typesetting"/>
          <w:sz w:val="24"/>
          <w:szCs w:val="24"/>
        </w:rPr>
        <w:footnoteReference w:id="28"/>
      </w:r>
      <w:r w:rsidRPr="00F32CF2">
        <w:rPr>
          <w:rFonts w:ascii="Century" w:hAnsi="Century" w:cs="Arabic Typesetting"/>
          <w:sz w:val="24"/>
          <w:szCs w:val="24"/>
        </w:rPr>
        <w:t xml:space="preserve"> </w:t>
      </w:r>
      <w:r w:rsidRPr="00F32CF2">
        <w:rPr>
          <w:rFonts w:ascii="Century" w:eastAsia="Times New Roman" w:hAnsi="Century" w:cs="Times New Roman"/>
          <w:sz w:val="24"/>
          <w:szCs w:val="24"/>
          <w:lang w:eastAsia="en-GB"/>
        </w:rPr>
        <w:t xml:space="preserve">As </w:t>
      </w:r>
      <w:r>
        <w:rPr>
          <w:rFonts w:ascii="Century" w:eastAsia="Times New Roman" w:hAnsi="Century" w:cs="Times New Roman"/>
          <w:sz w:val="24"/>
          <w:szCs w:val="24"/>
          <w:lang w:eastAsia="en-GB"/>
        </w:rPr>
        <w:t xml:space="preserve">McLeod </w:t>
      </w:r>
      <w:r w:rsidR="00316F9D">
        <w:rPr>
          <w:rFonts w:ascii="Century" w:eastAsia="Times New Roman" w:hAnsi="Century" w:cs="Times New Roman"/>
          <w:sz w:val="24"/>
          <w:szCs w:val="24"/>
          <w:lang w:eastAsia="en-GB"/>
        </w:rPr>
        <w:t>puts it</w:t>
      </w:r>
      <w:r>
        <w:rPr>
          <w:rFonts w:ascii="Century" w:eastAsia="Times New Roman" w:hAnsi="Century" w:cs="Times New Roman"/>
          <w:sz w:val="24"/>
          <w:szCs w:val="24"/>
          <w:lang w:eastAsia="en-GB"/>
        </w:rPr>
        <w:t xml:space="preserve"> </w:t>
      </w:r>
      <w:r w:rsidRPr="00F32CF2">
        <w:rPr>
          <w:rFonts w:ascii="Century" w:eastAsia="Times New Roman" w:hAnsi="Century" w:cs="Times New Roman"/>
          <w:sz w:val="24"/>
          <w:szCs w:val="24"/>
          <w:lang w:eastAsia="en-GB"/>
        </w:rPr>
        <w:t xml:space="preserve">‘drafters may be trying to hit moving </w:t>
      </w:r>
      <w:r w:rsidRPr="00F32CF2">
        <w:rPr>
          <w:rFonts w:ascii="Century" w:eastAsia="Times New Roman" w:hAnsi="Century" w:cs="Times New Roman"/>
          <w:sz w:val="24"/>
          <w:szCs w:val="24"/>
          <w:lang w:eastAsia="en-GB"/>
        </w:rPr>
        <w:lastRenderedPageBreak/>
        <w:t>targets’.</w:t>
      </w:r>
      <w:r w:rsidRPr="00F32CF2">
        <w:rPr>
          <w:rStyle w:val="FootnoteReference"/>
          <w:rFonts w:ascii="Century" w:eastAsia="Times New Roman" w:hAnsi="Century" w:cs="Times New Roman"/>
          <w:sz w:val="24"/>
          <w:szCs w:val="24"/>
          <w:lang w:eastAsia="en-GB"/>
        </w:rPr>
        <w:footnoteReference w:id="29"/>
      </w:r>
      <w:r w:rsidRPr="00F32CF2">
        <w:rPr>
          <w:rFonts w:ascii="Century" w:hAnsi="Century" w:cs="Arabic Typesetting"/>
          <w:sz w:val="24"/>
          <w:szCs w:val="24"/>
        </w:rPr>
        <w:t xml:space="preserve"> </w:t>
      </w:r>
      <w:r>
        <w:rPr>
          <w:rFonts w:ascii="Century" w:hAnsi="Century" w:cs="Arabic Typesetting"/>
          <w:sz w:val="24"/>
          <w:szCs w:val="24"/>
        </w:rPr>
        <w:t>However, despite these difficulties,</w:t>
      </w:r>
      <w:r w:rsidRPr="00F32CF2">
        <w:rPr>
          <w:rFonts w:ascii="Century" w:hAnsi="Century" w:cs="Arabic Typesetting"/>
          <w:sz w:val="24"/>
          <w:szCs w:val="24"/>
        </w:rPr>
        <w:t xml:space="preserve"> </w:t>
      </w:r>
      <w:r>
        <w:rPr>
          <w:rFonts w:ascii="Century" w:eastAsia="Times New Roman" w:hAnsi="Century" w:cs="Times New Roman"/>
          <w:sz w:val="24"/>
          <w:szCs w:val="24"/>
          <w:lang w:eastAsia="en-GB"/>
        </w:rPr>
        <w:t xml:space="preserve">drafting legislation is the </w:t>
      </w:r>
      <w:r w:rsidRPr="00952246">
        <w:rPr>
          <w:rFonts w:ascii="Century" w:hAnsi="Century" w:cs="Arabic Typesetting"/>
          <w:sz w:val="24"/>
          <w:szCs w:val="24"/>
        </w:rPr>
        <w:t xml:space="preserve">specialty of drafters. They have </w:t>
      </w:r>
      <w:r>
        <w:rPr>
          <w:rFonts w:ascii="Century" w:hAnsi="Century" w:cs="Arabic Typesetting"/>
          <w:sz w:val="24"/>
          <w:szCs w:val="24"/>
        </w:rPr>
        <w:t xml:space="preserve">access to </w:t>
      </w:r>
      <w:r w:rsidRPr="00952246">
        <w:rPr>
          <w:rFonts w:ascii="Century" w:hAnsi="Century" w:cs="Arabic Typesetting"/>
          <w:sz w:val="24"/>
          <w:szCs w:val="24"/>
        </w:rPr>
        <w:t xml:space="preserve">tools and techniques </w:t>
      </w:r>
      <w:r>
        <w:rPr>
          <w:rFonts w:ascii="Century" w:hAnsi="Century" w:cs="Arabic Typesetting"/>
          <w:sz w:val="24"/>
          <w:szCs w:val="24"/>
        </w:rPr>
        <w:t>that can be used</w:t>
      </w:r>
      <w:r w:rsidRPr="00952246">
        <w:rPr>
          <w:rFonts w:ascii="Century" w:hAnsi="Century" w:cs="Arabic Typesetting"/>
          <w:sz w:val="24"/>
          <w:szCs w:val="24"/>
        </w:rPr>
        <w:t xml:space="preserve"> to turn complex policies into </w:t>
      </w:r>
      <w:r>
        <w:rPr>
          <w:rFonts w:ascii="Century" w:hAnsi="Century" w:cs="Arabic Typesetting"/>
          <w:sz w:val="24"/>
          <w:szCs w:val="24"/>
        </w:rPr>
        <w:t>laws</w:t>
      </w:r>
      <w:r w:rsidRPr="00952246">
        <w:rPr>
          <w:rFonts w:ascii="Century" w:hAnsi="Century" w:cs="Arabic Typesetting"/>
          <w:sz w:val="24"/>
          <w:szCs w:val="24"/>
        </w:rPr>
        <w:t xml:space="preserve"> </w:t>
      </w:r>
      <w:r>
        <w:rPr>
          <w:rFonts w:ascii="Century" w:hAnsi="Century" w:cs="Arabic Typesetting"/>
          <w:sz w:val="24"/>
          <w:szCs w:val="24"/>
        </w:rPr>
        <w:t>that are devoid of as much complexity as possible.</w:t>
      </w:r>
      <w:r w:rsidRPr="00F32CF2">
        <w:rPr>
          <w:rFonts w:ascii="Century" w:hAnsi="Century" w:cs="Arabic Typesetting"/>
          <w:sz w:val="24"/>
          <w:szCs w:val="24"/>
        </w:rPr>
        <w:t xml:space="preserve"> </w:t>
      </w:r>
      <w:r>
        <w:rPr>
          <w:rFonts w:ascii="Century" w:hAnsi="Century" w:cs="Arabic Typesetting"/>
          <w:sz w:val="24"/>
          <w:szCs w:val="24"/>
        </w:rPr>
        <w:t xml:space="preserve">Therefore, drafters must confront the complexity in legislation and </w:t>
      </w:r>
      <w:r w:rsidRPr="00F32CF2">
        <w:rPr>
          <w:rFonts w:ascii="Century" w:hAnsi="Century" w:cs="Arabic Typesetting"/>
          <w:sz w:val="24"/>
          <w:szCs w:val="24"/>
        </w:rPr>
        <w:t xml:space="preserve">advocate </w:t>
      </w:r>
      <w:r w:rsidR="009B17EE">
        <w:rPr>
          <w:rFonts w:ascii="Century" w:hAnsi="Century" w:cs="Arabic Typesetting"/>
          <w:sz w:val="24"/>
          <w:szCs w:val="24"/>
        </w:rPr>
        <w:t>‘</w:t>
      </w:r>
      <w:r w:rsidRPr="00F32CF2">
        <w:rPr>
          <w:rFonts w:ascii="Century" w:hAnsi="Century" w:cs="Arabic Typesetting"/>
          <w:sz w:val="24"/>
          <w:szCs w:val="24"/>
        </w:rPr>
        <w:t>for simplicity in expression and clarity of purpose</w:t>
      </w:r>
      <w:r>
        <w:rPr>
          <w:rFonts w:ascii="Century" w:hAnsi="Century" w:cs="Arabic Typesetting"/>
          <w:sz w:val="24"/>
          <w:szCs w:val="24"/>
        </w:rPr>
        <w:t>’.</w:t>
      </w:r>
      <w:r w:rsidRPr="00867981">
        <w:rPr>
          <w:rStyle w:val="FootnoteReference"/>
          <w:rFonts w:ascii="Century" w:hAnsi="Century" w:cs="Arabic Typesetting"/>
          <w:sz w:val="24"/>
          <w:szCs w:val="24"/>
        </w:rPr>
        <w:t xml:space="preserve"> </w:t>
      </w:r>
      <w:r w:rsidRPr="00F32CF2">
        <w:rPr>
          <w:rStyle w:val="FootnoteReference"/>
          <w:rFonts w:ascii="Century" w:hAnsi="Century" w:cs="Arabic Typesetting"/>
          <w:sz w:val="24"/>
          <w:szCs w:val="24"/>
        </w:rPr>
        <w:footnoteReference w:id="30"/>
      </w:r>
    </w:p>
    <w:p w:rsidR="00F8176D" w:rsidRDefault="00F8176D" w:rsidP="00F8176D">
      <w:pPr>
        <w:spacing w:line="360" w:lineRule="auto"/>
        <w:jc w:val="both"/>
        <w:rPr>
          <w:rFonts w:ascii="Century" w:hAnsi="Century" w:cs="Arabic Typesetting"/>
          <w:sz w:val="24"/>
          <w:szCs w:val="24"/>
        </w:rPr>
      </w:pPr>
      <w:r w:rsidRPr="00F32CF2">
        <w:rPr>
          <w:rFonts w:ascii="Century" w:hAnsi="Century" w:cs="Arabic Typesetting"/>
          <w:sz w:val="24"/>
          <w:szCs w:val="24"/>
        </w:rPr>
        <w:t>It is</w:t>
      </w:r>
      <w:r>
        <w:rPr>
          <w:rFonts w:ascii="Century" w:hAnsi="Century" w:cs="Arabic Typesetting"/>
          <w:sz w:val="24"/>
          <w:szCs w:val="24"/>
        </w:rPr>
        <w:t xml:space="preserve"> this</w:t>
      </w:r>
      <w:r w:rsidRPr="00F32CF2">
        <w:rPr>
          <w:rFonts w:ascii="Century" w:hAnsi="Century" w:cs="Arabic Typesetting"/>
          <w:sz w:val="24"/>
          <w:szCs w:val="24"/>
        </w:rPr>
        <w:t xml:space="preserve"> advocacy </w:t>
      </w:r>
      <w:r>
        <w:rPr>
          <w:rFonts w:ascii="Century" w:hAnsi="Century" w:cs="Arabic Typesetting"/>
          <w:sz w:val="24"/>
          <w:szCs w:val="24"/>
        </w:rPr>
        <w:t>to contribute to the rule of law</w:t>
      </w:r>
      <w:r w:rsidRPr="00F32CF2">
        <w:rPr>
          <w:rFonts w:ascii="Century" w:hAnsi="Century" w:cs="Arabic Typesetting"/>
          <w:sz w:val="24"/>
          <w:szCs w:val="24"/>
        </w:rPr>
        <w:t xml:space="preserve"> </w:t>
      </w:r>
      <w:r>
        <w:rPr>
          <w:rFonts w:ascii="Century" w:hAnsi="Century" w:cs="Arabic Typesetting"/>
          <w:sz w:val="24"/>
          <w:szCs w:val="24"/>
        </w:rPr>
        <w:t>by legislative drafters that this dissertation will address.</w:t>
      </w:r>
    </w:p>
    <w:p w:rsidR="00055BD4" w:rsidRPr="00F32CF2" w:rsidRDefault="00055BD4" w:rsidP="00F8176D">
      <w:pPr>
        <w:spacing w:line="360" w:lineRule="auto"/>
        <w:jc w:val="both"/>
        <w:rPr>
          <w:rFonts w:ascii="Century" w:hAnsi="Century" w:cs="Arabic Typesetting"/>
          <w:sz w:val="24"/>
          <w:szCs w:val="24"/>
        </w:rPr>
      </w:pPr>
    </w:p>
    <w:p w:rsidR="00F8176D" w:rsidRDefault="00F8176D" w:rsidP="00F8176D">
      <w:pPr>
        <w:spacing w:after="0" w:line="360" w:lineRule="auto"/>
        <w:jc w:val="both"/>
        <w:rPr>
          <w:rFonts w:ascii="Century" w:eastAsia="Times New Roman" w:hAnsi="Century" w:cs="Times New Roman"/>
          <w:sz w:val="24"/>
          <w:szCs w:val="24"/>
          <w:lang w:eastAsia="en-GB"/>
        </w:rPr>
      </w:pPr>
    </w:p>
    <w:p w:rsidR="00E769D2" w:rsidRPr="002F0293" w:rsidRDefault="00E769D2" w:rsidP="00E769D2">
      <w:pPr>
        <w:pStyle w:val="Heading4"/>
        <w:numPr>
          <w:ilvl w:val="0"/>
          <w:numId w:val="28"/>
        </w:numPr>
        <w:rPr>
          <w:color w:val="auto"/>
        </w:rPr>
      </w:pPr>
      <w:bookmarkStart w:id="8" w:name="_Toc427272651"/>
      <w:bookmarkStart w:id="9" w:name="_Toc427597731"/>
      <w:r w:rsidRPr="002F0293">
        <w:rPr>
          <w:color w:val="auto"/>
        </w:rPr>
        <w:t>HYPOTHESIS AND OBJECTIVE</w:t>
      </w:r>
      <w:bookmarkEnd w:id="8"/>
      <w:bookmarkEnd w:id="9"/>
    </w:p>
    <w:p w:rsidR="00E769D2" w:rsidRDefault="00E769D2" w:rsidP="00E769D2">
      <w:pPr>
        <w:spacing w:line="360" w:lineRule="auto"/>
        <w:jc w:val="both"/>
        <w:rPr>
          <w:rFonts w:ascii="Century" w:hAnsi="Century"/>
          <w:sz w:val="24"/>
          <w:szCs w:val="24"/>
        </w:rPr>
      </w:pPr>
    </w:p>
    <w:p w:rsidR="00E769D2" w:rsidRDefault="00E769D2" w:rsidP="00E769D2">
      <w:pPr>
        <w:spacing w:line="360" w:lineRule="auto"/>
        <w:jc w:val="both"/>
        <w:rPr>
          <w:rFonts w:ascii="Century" w:hAnsi="Century"/>
          <w:sz w:val="24"/>
          <w:szCs w:val="24"/>
        </w:rPr>
      </w:pPr>
      <w:r w:rsidRPr="00F32CF2">
        <w:rPr>
          <w:rFonts w:ascii="Century" w:hAnsi="Century"/>
          <w:sz w:val="24"/>
          <w:szCs w:val="24"/>
        </w:rPr>
        <w:t>The hypothesis of this dissertation is that legislative drafters</w:t>
      </w:r>
      <w:r>
        <w:rPr>
          <w:rFonts w:ascii="Century" w:hAnsi="Century"/>
          <w:sz w:val="24"/>
          <w:szCs w:val="24"/>
        </w:rPr>
        <w:t xml:space="preserve"> can contribute to the rule of law by making legislation accessible. My argument </w:t>
      </w:r>
      <w:r w:rsidRPr="00F32CF2">
        <w:rPr>
          <w:rFonts w:ascii="Century" w:hAnsi="Century"/>
          <w:sz w:val="24"/>
          <w:szCs w:val="24"/>
        </w:rPr>
        <w:t>is that drafters who are entrusted with craft</w:t>
      </w:r>
      <w:r>
        <w:rPr>
          <w:rFonts w:ascii="Century" w:hAnsi="Century"/>
          <w:sz w:val="24"/>
          <w:szCs w:val="24"/>
        </w:rPr>
        <w:t xml:space="preserve">ing laws can contribute </w:t>
      </w:r>
      <w:r w:rsidRPr="00F32CF2">
        <w:rPr>
          <w:rFonts w:ascii="Century" w:hAnsi="Century"/>
          <w:sz w:val="24"/>
          <w:szCs w:val="24"/>
        </w:rPr>
        <w:t xml:space="preserve">to making legislation accessible </w:t>
      </w:r>
      <w:r>
        <w:rPr>
          <w:rFonts w:ascii="Century" w:hAnsi="Century"/>
          <w:sz w:val="24"/>
          <w:szCs w:val="24"/>
        </w:rPr>
        <w:t>based on the choices they make during the drafting process</w:t>
      </w:r>
      <w:r w:rsidRPr="00F32CF2">
        <w:rPr>
          <w:rFonts w:ascii="Century" w:hAnsi="Century"/>
          <w:sz w:val="24"/>
          <w:szCs w:val="24"/>
        </w:rPr>
        <w:t xml:space="preserve">. </w:t>
      </w:r>
      <w:r>
        <w:rPr>
          <w:rFonts w:ascii="Century" w:hAnsi="Century"/>
          <w:sz w:val="24"/>
          <w:szCs w:val="24"/>
        </w:rPr>
        <w:t>This dissertation builds on Lord Bingham’s first principle of the rule of law and i</w:t>
      </w:r>
      <w:r w:rsidRPr="00F32CF2">
        <w:rPr>
          <w:rFonts w:ascii="Century" w:hAnsi="Century"/>
          <w:sz w:val="24"/>
          <w:szCs w:val="24"/>
        </w:rPr>
        <w:t xml:space="preserve">t is my objective to prove that </w:t>
      </w:r>
      <w:r>
        <w:rPr>
          <w:rFonts w:ascii="Century" w:hAnsi="Century"/>
          <w:sz w:val="24"/>
          <w:szCs w:val="24"/>
        </w:rPr>
        <w:t>at each stage of Thornton’s drafting process that drafters can co</w:t>
      </w:r>
      <w:r w:rsidR="0077758E">
        <w:rPr>
          <w:rFonts w:ascii="Century" w:hAnsi="Century"/>
          <w:sz w:val="24"/>
          <w:szCs w:val="24"/>
        </w:rPr>
        <w:t>ntribute to making legislation intelligent, clear and predictable</w:t>
      </w:r>
      <w:r>
        <w:rPr>
          <w:rFonts w:ascii="Century" w:hAnsi="Century"/>
          <w:sz w:val="24"/>
          <w:szCs w:val="24"/>
        </w:rPr>
        <w:t xml:space="preserve">. </w:t>
      </w:r>
    </w:p>
    <w:p w:rsidR="00F8176D" w:rsidRDefault="00F8176D" w:rsidP="00F8176D">
      <w:pPr>
        <w:spacing w:after="0" w:line="360" w:lineRule="auto"/>
        <w:jc w:val="both"/>
        <w:rPr>
          <w:rFonts w:ascii="Century" w:eastAsia="Times New Roman" w:hAnsi="Century" w:cs="Times New Roman"/>
          <w:sz w:val="24"/>
          <w:szCs w:val="24"/>
          <w:lang w:eastAsia="en-GB"/>
        </w:rPr>
      </w:pPr>
    </w:p>
    <w:p w:rsidR="00F8176D" w:rsidRDefault="00F8176D" w:rsidP="00F8176D">
      <w:pPr>
        <w:spacing w:after="0" w:line="360" w:lineRule="auto"/>
        <w:jc w:val="both"/>
        <w:rPr>
          <w:rFonts w:ascii="Century" w:eastAsia="Times New Roman" w:hAnsi="Century" w:cs="Times New Roman"/>
          <w:sz w:val="24"/>
          <w:szCs w:val="24"/>
          <w:lang w:eastAsia="en-GB"/>
        </w:rPr>
      </w:pPr>
    </w:p>
    <w:p w:rsidR="00193301" w:rsidRDefault="00193301" w:rsidP="00F8176D">
      <w:pPr>
        <w:spacing w:after="0" w:line="360" w:lineRule="auto"/>
        <w:jc w:val="both"/>
        <w:rPr>
          <w:rFonts w:ascii="Century" w:eastAsia="Times New Roman" w:hAnsi="Century" w:cs="Times New Roman"/>
          <w:sz w:val="24"/>
          <w:szCs w:val="24"/>
          <w:lang w:eastAsia="en-GB"/>
        </w:rPr>
      </w:pPr>
    </w:p>
    <w:p w:rsidR="00193301" w:rsidRDefault="00193301" w:rsidP="00F8176D">
      <w:pPr>
        <w:spacing w:after="0" w:line="360" w:lineRule="auto"/>
        <w:jc w:val="both"/>
        <w:rPr>
          <w:rFonts w:ascii="Century" w:eastAsia="Times New Roman" w:hAnsi="Century" w:cs="Times New Roman"/>
          <w:sz w:val="24"/>
          <w:szCs w:val="24"/>
          <w:lang w:eastAsia="en-GB"/>
        </w:rPr>
      </w:pPr>
    </w:p>
    <w:p w:rsidR="00055BD4" w:rsidRDefault="00055BD4" w:rsidP="00F8176D">
      <w:pPr>
        <w:spacing w:after="0" w:line="360" w:lineRule="auto"/>
        <w:jc w:val="both"/>
        <w:rPr>
          <w:rFonts w:ascii="Century" w:eastAsia="Times New Roman" w:hAnsi="Century" w:cs="Times New Roman"/>
          <w:sz w:val="24"/>
          <w:szCs w:val="24"/>
          <w:lang w:eastAsia="en-GB"/>
        </w:rPr>
      </w:pPr>
    </w:p>
    <w:p w:rsidR="00B25FCC" w:rsidRDefault="00B25FCC" w:rsidP="00F8176D">
      <w:pPr>
        <w:spacing w:after="0" w:line="360" w:lineRule="auto"/>
        <w:jc w:val="both"/>
        <w:rPr>
          <w:rFonts w:ascii="Century" w:eastAsia="Times New Roman" w:hAnsi="Century" w:cs="Times New Roman"/>
          <w:sz w:val="24"/>
          <w:szCs w:val="24"/>
          <w:lang w:eastAsia="en-GB"/>
        </w:rPr>
      </w:pPr>
    </w:p>
    <w:p w:rsidR="00B25FCC" w:rsidRDefault="00B25FCC" w:rsidP="00F8176D">
      <w:pPr>
        <w:spacing w:after="0" w:line="360" w:lineRule="auto"/>
        <w:jc w:val="both"/>
        <w:rPr>
          <w:rFonts w:ascii="Century" w:eastAsia="Times New Roman" w:hAnsi="Century" w:cs="Times New Roman"/>
          <w:sz w:val="24"/>
          <w:szCs w:val="24"/>
          <w:lang w:eastAsia="en-GB"/>
        </w:rPr>
      </w:pPr>
    </w:p>
    <w:p w:rsidR="00420A08" w:rsidRDefault="00420A08" w:rsidP="00F8176D">
      <w:pPr>
        <w:spacing w:after="0" w:line="360" w:lineRule="auto"/>
        <w:jc w:val="both"/>
        <w:rPr>
          <w:rFonts w:ascii="Century" w:eastAsia="Times New Roman" w:hAnsi="Century" w:cs="Times New Roman"/>
          <w:sz w:val="24"/>
          <w:szCs w:val="24"/>
          <w:lang w:eastAsia="en-GB"/>
        </w:rPr>
      </w:pPr>
    </w:p>
    <w:p w:rsidR="00B25FCC" w:rsidRDefault="00B25FCC" w:rsidP="00F8176D">
      <w:pPr>
        <w:spacing w:after="0" w:line="360" w:lineRule="auto"/>
        <w:jc w:val="both"/>
        <w:rPr>
          <w:rFonts w:ascii="Century" w:eastAsia="Times New Roman" w:hAnsi="Century" w:cs="Times New Roman"/>
          <w:sz w:val="24"/>
          <w:szCs w:val="24"/>
          <w:lang w:eastAsia="en-GB"/>
        </w:rPr>
      </w:pPr>
    </w:p>
    <w:p w:rsidR="00055BD4" w:rsidRDefault="00055BD4" w:rsidP="00F8176D">
      <w:pPr>
        <w:spacing w:after="0" w:line="360" w:lineRule="auto"/>
        <w:jc w:val="both"/>
        <w:rPr>
          <w:rFonts w:ascii="Century" w:eastAsia="Times New Roman" w:hAnsi="Century" w:cs="Times New Roman"/>
          <w:sz w:val="24"/>
          <w:szCs w:val="24"/>
          <w:lang w:eastAsia="en-GB"/>
        </w:rPr>
      </w:pPr>
    </w:p>
    <w:p w:rsidR="00055BD4" w:rsidRPr="00F32CF2" w:rsidRDefault="00055BD4" w:rsidP="00F8176D">
      <w:pPr>
        <w:spacing w:after="0" w:line="360" w:lineRule="auto"/>
        <w:jc w:val="both"/>
        <w:rPr>
          <w:rFonts w:ascii="Century" w:eastAsia="Times New Roman" w:hAnsi="Century" w:cs="Times New Roman"/>
          <w:sz w:val="24"/>
          <w:szCs w:val="24"/>
          <w:lang w:eastAsia="en-GB"/>
        </w:rPr>
      </w:pPr>
    </w:p>
    <w:p w:rsidR="00EB50F3" w:rsidRPr="00B044AF" w:rsidRDefault="0049683B" w:rsidP="00F8176D">
      <w:pPr>
        <w:pStyle w:val="Heading4"/>
        <w:numPr>
          <w:ilvl w:val="0"/>
          <w:numId w:val="28"/>
        </w:numPr>
        <w:rPr>
          <w:color w:val="auto"/>
        </w:rPr>
      </w:pPr>
      <w:bookmarkStart w:id="10" w:name="_Toc427597732"/>
      <w:r w:rsidRPr="00B044AF">
        <w:rPr>
          <w:color w:val="auto"/>
        </w:rPr>
        <w:t xml:space="preserve">METHODOLOGY </w:t>
      </w:r>
      <w:r w:rsidR="005A447E" w:rsidRPr="00B044AF">
        <w:rPr>
          <w:color w:val="auto"/>
        </w:rPr>
        <w:t>AND STRU</w:t>
      </w:r>
      <w:r w:rsidR="00002C54" w:rsidRPr="00B044AF">
        <w:rPr>
          <w:color w:val="auto"/>
        </w:rPr>
        <w:t>C</w:t>
      </w:r>
      <w:r w:rsidR="005A447E" w:rsidRPr="00B044AF">
        <w:rPr>
          <w:color w:val="auto"/>
        </w:rPr>
        <w:t>TURE</w:t>
      </w:r>
      <w:bookmarkEnd w:id="7"/>
      <w:bookmarkEnd w:id="10"/>
    </w:p>
    <w:p w:rsidR="00EB50F3" w:rsidRDefault="00EB50F3" w:rsidP="00EB50F3">
      <w:pPr>
        <w:spacing w:line="360" w:lineRule="auto"/>
        <w:jc w:val="both"/>
        <w:rPr>
          <w:rFonts w:ascii="Century" w:hAnsi="Century"/>
          <w:sz w:val="24"/>
          <w:szCs w:val="24"/>
        </w:rPr>
      </w:pPr>
    </w:p>
    <w:p w:rsidR="00896E38" w:rsidRDefault="005A447E" w:rsidP="005A447E">
      <w:pPr>
        <w:spacing w:line="360" w:lineRule="auto"/>
        <w:jc w:val="both"/>
        <w:rPr>
          <w:rFonts w:ascii="Century" w:hAnsi="Century"/>
          <w:sz w:val="24"/>
          <w:szCs w:val="24"/>
        </w:rPr>
      </w:pPr>
      <w:r w:rsidRPr="00EB50F3">
        <w:rPr>
          <w:rFonts w:ascii="Century" w:hAnsi="Century"/>
          <w:sz w:val="24"/>
          <w:szCs w:val="24"/>
        </w:rPr>
        <w:t xml:space="preserve">The main method of proving my hypothesis is </w:t>
      </w:r>
      <w:r w:rsidR="006D00E2">
        <w:rPr>
          <w:rFonts w:ascii="Century" w:hAnsi="Century"/>
          <w:sz w:val="24"/>
          <w:szCs w:val="24"/>
        </w:rPr>
        <w:t xml:space="preserve">by </w:t>
      </w:r>
      <w:r w:rsidRPr="00EB50F3">
        <w:rPr>
          <w:rFonts w:ascii="Century" w:hAnsi="Century"/>
          <w:sz w:val="24"/>
          <w:szCs w:val="24"/>
        </w:rPr>
        <w:t xml:space="preserve">utilising Thornton’s five stages of the drafting process to demonstrate how at each stage legislative drafters </w:t>
      </w:r>
      <w:r w:rsidR="00D06590">
        <w:rPr>
          <w:rFonts w:ascii="Century" w:hAnsi="Century"/>
          <w:sz w:val="24"/>
          <w:szCs w:val="24"/>
        </w:rPr>
        <w:t>ensure</w:t>
      </w:r>
      <w:r w:rsidR="00B14A6C">
        <w:rPr>
          <w:rFonts w:ascii="Century" w:hAnsi="Century"/>
          <w:sz w:val="24"/>
          <w:szCs w:val="24"/>
        </w:rPr>
        <w:t xml:space="preserve"> that legislation confo</w:t>
      </w:r>
      <w:r w:rsidRPr="00EB50F3">
        <w:rPr>
          <w:rFonts w:ascii="Century" w:hAnsi="Century"/>
          <w:sz w:val="24"/>
          <w:szCs w:val="24"/>
        </w:rPr>
        <w:t xml:space="preserve">rms to Lord Bingham’s </w:t>
      </w:r>
      <w:r w:rsidR="00545F02">
        <w:rPr>
          <w:rFonts w:ascii="Century" w:hAnsi="Century"/>
          <w:sz w:val="24"/>
          <w:szCs w:val="24"/>
        </w:rPr>
        <w:t>first principle</w:t>
      </w:r>
      <w:r>
        <w:rPr>
          <w:rFonts w:ascii="Century" w:hAnsi="Century"/>
          <w:sz w:val="24"/>
          <w:szCs w:val="24"/>
        </w:rPr>
        <w:t xml:space="preserve">, thus </w:t>
      </w:r>
      <w:r w:rsidR="00B14A6C">
        <w:rPr>
          <w:rFonts w:ascii="Century" w:hAnsi="Century"/>
          <w:sz w:val="24"/>
          <w:szCs w:val="24"/>
        </w:rPr>
        <w:t>contributing to</w:t>
      </w:r>
      <w:r>
        <w:rPr>
          <w:rFonts w:ascii="Century" w:hAnsi="Century"/>
          <w:sz w:val="24"/>
          <w:szCs w:val="24"/>
        </w:rPr>
        <w:t xml:space="preserve"> the rule of law. </w:t>
      </w:r>
      <w:r w:rsidR="004C018C">
        <w:rPr>
          <w:rFonts w:ascii="Century" w:hAnsi="Century"/>
          <w:sz w:val="24"/>
          <w:szCs w:val="24"/>
        </w:rPr>
        <w:t>I will also be using literature and case law to support my arguments.</w:t>
      </w:r>
    </w:p>
    <w:p w:rsidR="00896E38" w:rsidRDefault="00896E38" w:rsidP="005A447E">
      <w:pPr>
        <w:spacing w:line="360" w:lineRule="auto"/>
        <w:jc w:val="both"/>
        <w:rPr>
          <w:rFonts w:ascii="Century" w:hAnsi="Century"/>
          <w:sz w:val="24"/>
          <w:szCs w:val="24"/>
        </w:rPr>
      </w:pPr>
    </w:p>
    <w:p w:rsidR="00896E38" w:rsidRDefault="007630BE" w:rsidP="005A447E">
      <w:pPr>
        <w:spacing w:line="360" w:lineRule="auto"/>
        <w:jc w:val="both"/>
        <w:rPr>
          <w:rFonts w:ascii="Century" w:hAnsi="Century"/>
          <w:sz w:val="24"/>
          <w:szCs w:val="24"/>
        </w:rPr>
      </w:pPr>
      <w:r>
        <w:rPr>
          <w:rFonts w:ascii="Century" w:hAnsi="Century"/>
          <w:sz w:val="24"/>
          <w:szCs w:val="24"/>
        </w:rPr>
        <w:t xml:space="preserve">To </w:t>
      </w:r>
      <w:r w:rsidR="005A447E">
        <w:rPr>
          <w:rFonts w:ascii="Century" w:hAnsi="Century"/>
          <w:sz w:val="24"/>
          <w:szCs w:val="24"/>
        </w:rPr>
        <w:t xml:space="preserve">further contribute to proving my hypothesis </w:t>
      </w:r>
      <w:r>
        <w:rPr>
          <w:rFonts w:ascii="Century" w:hAnsi="Century"/>
          <w:sz w:val="24"/>
          <w:szCs w:val="24"/>
        </w:rPr>
        <w:t xml:space="preserve">I will </w:t>
      </w:r>
      <w:r w:rsidR="00896E38">
        <w:rPr>
          <w:rFonts w:ascii="Century" w:hAnsi="Century"/>
          <w:sz w:val="24"/>
          <w:szCs w:val="24"/>
        </w:rPr>
        <w:t xml:space="preserve">in Chapter Two </w:t>
      </w:r>
      <w:r w:rsidR="00BC6621">
        <w:rPr>
          <w:rFonts w:ascii="Century" w:hAnsi="Century"/>
          <w:sz w:val="24"/>
          <w:szCs w:val="24"/>
        </w:rPr>
        <w:t>show</w:t>
      </w:r>
      <w:r w:rsidR="005A447E">
        <w:rPr>
          <w:rFonts w:ascii="Century" w:hAnsi="Century"/>
          <w:sz w:val="24"/>
          <w:szCs w:val="24"/>
        </w:rPr>
        <w:t xml:space="preserve"> why understanding the law is an important component of the rule of law. This initial discussion is </w:t>
      </w:r>
      <w:r w:rsidR="00896E38">
        <w:rPr>
          <w:rFonts w:ascii="Century" w:hAnsi="Century"/>
          <w:sz w:val="24"/>
          <w:szCs w:val="24"/>
        </w:rPr>
        <w:t>needed in</w:t>
      </w:r>
      <w:r w:rsidR="005A447E">
        <w:rPr>
          <w:rFonts w:ascii="Century" w:hAnsi="Century"/>
          <w:sz w:val="24"/>
          <w:szCs w:val="24"/>
        </w:rPr>
        <w:t xml:space="preserve"> </w:t>
      </w:r>
      <w:r w:rsidR="00896E38">
        <w:rPr>
          <w:rFonts w:ascii="Century" w:hAnsi="Century"/>
          <w:sz w:val="24"/>
          <w:szCs w:val="24"/>
        </w:rPr>
        <w:t xml:space="preserve">order to </w:t>
      </w:r>
      <w:r w:rsidR="00BC6621">
        <w:rPr>
          <w:rFonts w:ascii="Century" w:hAnsi="Century"/>
          <w:sz w:val="24"/>
          <w:szCs w:val="24"/>
        </w:rPr>
        <w:t>demonstrate</w:t>
      </w:r>
      <w:r w:rsidR="00896E38">
        <w:rPr>
          <w:rFonts w:ascii="Century" w:hAnsi="Century"/>
          <w:sz w:val="24"/>
          <w:szCs w:val="24"/>
        </w:rPr>
        <w:t xml:space="preserve"> the need for l</w:t>
      </w:r>
      <w:r w:rsidR="009B7941">
        <w:rPr>
          <w:rFonts w:ascii="Century" w:hAnsi="Century"/>
          <w:sz w:val="24"/>
          <w:szCs w:val="24"/>
        </w:rPr>
        <w:t xml:space="preserve">egislation </w:t>
      </w:r>
      <w:r w:rsidR="00896E38">
        <w:rPr>
          <w:rFonts w:ascii="Century" w:hAnsi="Century"/>
          <w:sz w:val="24"/>
          <w:szCs w:val="24"/>
        </w:rPr>
        <w:t xml:space="preserve">to be ‘intelligible, clear and predictable’. </w:t>
      </w:r>
      <w:r w:rsidR="00BC6621">
        <w:rPr>
          <w:rFonts w:ascii="Century" w:hAnsi="Century"/>
          <w:sz w:val="24"/>
          <w:szCs w:val="24"/>
        </w:rPr>
        <w:t>Following that will be a</w:t>
      </w:r>
      <w:r w:rsidR="00896E38">
        <w:rPr>
          <w:rFonts w:ascii="Century" w:hAnsi="Century"/>
          <w:sz w:val="24"/>
          <w:szCs w:val="24"/>
        </w:rPr>
        <w:t xml:space="preserve"> discuss</w:t>
      </w:r>
      <w:r w:rsidR="00BC6621">
        <w:rPr>
          <w:rFonts w:ascii="Century" w:hAnsi="Century"/>
          <w:sz w:val="24"/>
          <w:szCs w:val="24"/>
        </w:rPr>
        <w:t>ion</w:t>
      </w:r>
      <w:r w:rsidR="00896E38">
        <w:rPr>
          <w:rFonts w:ascii="Century" w:hAnsi="Century"/>
          <w:sz w:val="24"/>
          <w:szCs w:val="24"/>
        </w:rPr>
        <w:t xml:space="preserve"> that drafters are one </w:t>
      </w:r>
      <w:r w:rsidR="00BC6621">
        <w:rPr>
          <w:rFonts w:ascii="Century" w:hAnsi="Century"/>
          <w:sz w:val="24"/>
          <w:szCs w:val="24"/>
        </w:rPr>
        <w:t>group of persons</w:t>
      </w:r>
      <w:r w:rsidR="00896E38">
        <w:rPr>
          <w:rFonts w:ascii="Century" w:hAnsi="Century"/>
          <w:sz w:val="24"/>
          <w:szCs w:val="24"/>
        </w:rPr>
        <w:t xml:space="preserve"> who have the responsibility to make legislation accessible.  Proving that drafters have a responsibility sets the foundation to discuss how they </w:t>
      </w:r>
      <w:r w:rsidR="00BC6621">
        <w:rPr>
          <w:rFonts w:ascii="Century" w:hAnsi="Century"/>
          <w:sz w:val="24"/>
          <w:szCs w:val="24"/>
        </w:rPr>
        <w:t>can discharge</w:t>
      </w:r>
      <w:r w:rsidR="00896E38">
        <w:rPr>
          <w:rFonts w:ascii="Century" w:hAnsi="Century"/>
          <w:sz w:val="24"/>
          <w:szCs w:val="24"/>
        </w:rPr>
        <w:t xml:space="preserve"> this responsibility via the different stages of drafting.</w:t>
      </w:r>
    </w:p>
    <w:p w:rsidR="008F0420" w:rsidRDefault="008F0420" w:rsidP="003E7D37">
      <w:pPr>
        <w:spacing w:line="360" w:lineRule="auto"/>
        <w:jc w:val="both"/>
        <w:rPr>
          <w:rFonts w:ascii="Century" w:hAnsi="Century"/>
          <w:sz w:val="24"/>
          <w:szCs w:val="24"/>
        </w:rPr>
      </w:pPr>
    </w:p>
    <w:p w:rsidR="00896E38" w:rsidRDefault="00896E38" w:rsidP="003E7D37">
      <w:pPr>
        <w:spacing w:line="360" w:lineRule="auto"/>
        <w:jc w:val="both"/>
        <w:rPr>
          <w:rFonts w:ascii="Century" w:hAnsi="Century"/>
          <w:sz w:val="24"/>
          <w:szCs w:val="24"/>
        </w:rPr>
      </w:pPr>
      <w:r>
        <w:rPr>
          <w:rFonts w:ascii="Century" w:hAnsi="Century"/>
          <w:sz w:val="24"/>
          <w:szCs w:val="24"/>
        </w:rPr>
        <w:t>After laying the n</w:t>
      </w:r>
      <w:r w:rsidR="00D51C74">
        <w:rPr>
          <w:rFonts w:ascii="Century" w:hAnsi="Century"/>
          <w:sz w:val="24"/>
          <w:szCs w:val="24"/>
        </w:rPr>
        <w:t xml:space="preserve">ecessary foundation in Chapter </w:t>
      </w:r>
      <w:r w:rsidR="00BC6621">
        <w:rPr>
          <w:rFonts w:ascii="Century" w:hAnsi="Century"/>
          <w:sz w:val="24"/>
          <w:szCs w:val="24"/>
        </w:rPr>
        <w:t>T</w:t>
      </w:r>
      <w:r>
        <w:rPr>
          <w:rFonts w:ascii="Century" w:hAnsi="Century"/>
          <w:sz w:val="24"/>
          <w:szCs w:val="24"/>
        </w:rPr>
        <w:t>wo, a critical assessment of Thornton’s five stages</w:t>
      </w:r>
      <w:r w:rsidR="00BC6621">
        <w:rPr>
          <w:rFonts w:ascii="Century" w:hAnsi="Century"/>
          <w:sz w:val="24"/>
          <w:szCs w:val="24"/>
        </w:rPr>
        <w:t xml:space="preserve"> will commence in Chapter Three with the discussion of stages 1 and 2,</w:t>
      </w:r>
      <w:r>
        <w:rPr>
          <w:rFonts w:ascii="Century" w:hAnsi="Century"/>
          <w:sz w:val="24"/>
          <w:szCs w:val="24"/>
        </w:rPr>
        <w:t xml:space="preserve"> namely understanding and analysing the legislative proposal. These two stages will prove that the analysis done in these two initial stages enables drafter</w:t>
      </w:r>
      <w:r w:rsidR="00BC6621">
        <w:rPr>
          <w:rFonts w:ascii="Century" w:hAnsi="Century"/>
          <w:sz w:val="24"/>
          <w:szCs w:val="24"/>
        </w:rPr>
        <w:t>s</w:t>
      </w:r>
      <w:r>
        <w:rPr>
          <w:rFonts w:ascii="Century" w:hAnsi="Century"/>
          <w:sz w:val="24"/>
          <w:szCs w:val="24"/>
        </w:rPr>
        <w:t xml:space="preserve"> to make the appropriate choices in the later stages to make the law comprehensible. </w:t>
      </w:r>
    </w:p>
    <w:p w:rsidR="008F0420" w:rsidRDefault="008F0420" w:rsidP="003E7D37">
      <w:pPr>
        <w:spacing w:line="360" w:lineRule="auto"/>
        <w:jc w:val="both"/>
        <w:rPr>
          <w:rFonts w:ascii="Century" w:hAnsi="Century"/>
          <w:sz w:val="24"/>
          <w:szCs w:val="24"/>
        </w:rPr>
      </w:pPr>
    </w:p>
    <w:p w:rsidR="00D51C74" w:rsidRDefault="00633F0A" w:rsidP="003E7D37">
      <w:pPr>
        <w:spacing w:line="360" w:lineRule="auto"/>
        <w:jc w:val="both"/>
        <w:rPr>
          <w:rFonts w:ascii="Century" w:hAnsi="Century"/>
          <w:sz w:val="24"/>
          <w:szCs w:val="24"/>
        </w:rPr>
      </w:pPr>
      <w:r>
        <w:rPr>
          <w:rFonts w:ascii="Century" w:hAnsi="Century"/>
          <w:sz w:val="24"/>
          <w:szCs w:val="24"/>
        </w:rPr>
        <w:t xml:space="preserve">In </w:t>
      </w:r>
      <w:r w:rsidR="00002C54">
        <w:rPr>
          <w:rFonts w:ascii="Century" w:hAnsi="Century"/>
          <w:sz w:val="24"/>
          <w:szCs w:val="24"/>
        </w:rPr>
        <w:t>C</w:t>
      </w:r>
      <w:r>
        <w:rPr>
          <w:rFonts w:ascii="Century" w:hAnsi="Century"/>
          <w:sz w:val="24"/>
          <w:szCs w:val="24"/>
        </w:rPr>
        <w:t xml:space="preserve">hapter </w:t>
      </w:r>
      <w:r w:rsidR="00EA63F4">
        <w:rPr>
          <w:rFonts w:ascii="Century" w:hAnsi="Century"/>
          <w:sz w:val="24"/>
          <w:szCs w:val="24"/>
        </w:rPr>
        <w:t>F</w:t>
      </w:r>
      <w:r>
        <w:rPr>
          <w:rFonts w:ascii="Century" w:hAnsi="Century"/>
          <w:sz w:val="24"/>
          <w:szCs w:val="24"/>
        </w:rPr>
        <w:t xml:space="preserve">our, </w:t>
      </w:r>
      <w:r w:rsidR="00BC6621">
        <w:rPr>
          <w:rFonts w:ascii="Century" w:hAnsi="Century"/>
          <w:sz w:val="24"/>
          <w:szCs w:val="24"/>
        </w:rPr>
        <w:t xml:space="preserve">there will be a discussion of stage </w:t>
      </w:r>
      <w:r w:rsidR="00D51C74">
        <w:rPr>
          <w:rFonts w:ascii="Century" w:hAnsi="Century"/>
          <w:sz w:val="24"/>
          <w:szCs w:val="24"/>
        </w:rPr>
        <w:t>3</w:t>
      </w:r>
      <w:r w:rsidR="00896E38">
        <w:rPr>
          <w:rFonts w:ascii="Century" w:hAnsi="Century"/>
          <w:sz w:val="24"/>
          <w:szCs w:val="24"/>
        </w:rPr>
        <w:t xml:space="preserve">, this is the </w:t>
      </w:r>
      <w:r w:rsidR="00BA6A02">
        <w:rPr>
          <w:rFonts w:ascii="Century" w:hAnsi="Century"/>
          <w:sz w:val="24"/>
          <w:szCs w:val="24"/>
        </w:rPr>
        <w:t>designing the bill stage</w:t>
      </w:r>
      <w:r w:rsidR="00896E38">
        <w:rPr>
          <w:rFonts w:ascii="Century" w:hAnsi="Century"/>
          <w:sz w:val="24"/>
          <w:szCs w:val="24"/>
        </w:rPr>
        <w:t xml:space="preserve">. </w:t>
      </w:r>
      <w:r w:rsidR="00D51C74">
        <w:rPr>
          <w:rFonts w:ascii="Century" w:hAnsi="Century"/>
          <w:sz w:val="24"/>
          <w:szCs w:val="24"/>
        </w:rPr>
        <w:t>In this stage I will prove that an ap</w:t>
      </w:r>
      <w:r w:rsidR="002C782E">
        <w:rPr>
          <w:rFonts w:ascii="Century" w:hAnsi="Century"/>
          <w:sz w:val="24"/>
          <w:szCs w:val="24"/>
        </w:rPr>
        <w:t xml:space="preserve">propriate plan and </w:t>
      </w:r>
      <w:r w:rsidR="002C782E">
        <w:rPr>
          <w:rFonts w:ascii="Century" w:hAnsi="Century"/>
          <w:sz w:val="24"/>
          <w:szCs w:val="24"/>
        </w:rPr>
        <w:lastRenderedPageBreak/>
        <w:t xml:space="preserve">structure </w:t>
      </w:r>
      <w:r w:rsidR="00D51C74">
        <w:rPr>
          <w:rFonts w:ascii="Century" w:hAnsi="Century"/>
          <w:sz w:val="24"/>
          <w:szCs w:val="24"/>
        </w:rPr>
        <w:t>facilitates communication of the regulatory message of the law</w:t>
      </w:r>
      <w:r w:rsidR="008D06FB">
        <w:rPr>
          <w:rFonts w:ascii="Century" w:hAnsi="Century"/>
          <w:sz w:val="24"/>
          <w:szCs w:val="24"/>
        </w:rPr>
        <w:t>.  I will also discuss how drafter</w:t>
      </w:r>
      <w:r w:rsidR="0056298B">
        <w:rPr>
          <w:rFonts w:ascii="Century" w:hAnsi="Century"/>
          <w:sz w:val="24"/>
          <w:szCs w:val="24"/>
        </w:rPr>
        <w:t>s</w:t>
      </w:r>
      <w:r w:rsidR="008D06FB">
        <w:rPr>
          <w:rFonts w:ascii="Century" w:hAnsi="Century"/>
          <w:sz w:val="24"/>
          <w:szCs w:val="24"/>
        </w:rPr>
        <w:t xml:space="preserve"> can design a law to facilitate accessibility. </w:t>
      </w:r>
    </w:p>
    <w:p w:rsidR="00D51C74" w:rsidRDefault="00D51C74" w:rsidP="003E7D37">
      <w:pPr>
        <w:spacing w:line="360" w:lineRule="auto"/>
        <w:jc w:val="both"/>
        <w:rPr>
          <w:rFonts w:ascii="Century" w:hAnsi="Century"/>
          <w:sz w:val="24"/>
          <w:szCs w:val="24"/>
        </w:rPr>
      </w:pPr>
    </w:p>
    <w:p w:rsidR="00BA6A02" w:rsidRDefault="00BC6621" w:rsidP="003E7D37">
      <w:pPr>
        <w:spacing w:line="360" w:lineRule="auto"/>
        <w:jc w:val="both"/>
        <w:rPr>
          <w:rFonts w:ascii="Century" w:hAnsi="Century"/>
          <w:sz w:val="24"/>
          <w:szCs w:val="24"/>
        </w:rPr>
      </w:pPr>
      <w:r>
        <w:rPr>
          <w:rFonts w:ascii="Century" w:hAnsi="Century"/>
          <w:sz w:val="24"/>
          <w:szCs w:val="24"/>
        </w:rPr>
        <w:t>S</w:t>
      </w:r>
      <w:r w:rsidR="00D06590">
        <w:rPr>
          <w:rFonts w:ascii="Century" w:hAnsi="Century"/>
          <w:sz w:val="24"/>
          <w:szCs w:val="24"/>
        </w:rPr>
        <w:t xml:space="preserve">tage 4, </w:t>
      </w:r>
      <w:r>
        <w:rPr>
          <w:rFonts w:ascii="Century" w:hAnsi="Century"/>
          <w:sz w:val="24"/>
          <w:szCs w:val="24"/>
        </w:rPr>
        <w:t>which</w:t>
      </w:r>
      <w:r w:rsidR="005162F6">
        <w:rPr>
          <w:rFonts w:ascii="Century" w:hAnsi="Century"/>
          <w:sz w:val="24"/>
          <w:szCs w:val="24"/>
        </w:rPr>
        <w:t xml:space="preserve"> is</w:t>
      </w:r>
      <w:r w:rsidR="00D06590">
        <w:rPr>
          <w:rFonts w:ascii="Century" w:hAnsi="Century"/>
          <w:sz w:val="24"/>
          <w:szCs w:val="24"/>
        </w:rPr>
        <w:t xml:space="preserve"> the</w:t>
      </w:r>
      <w:r w:rsidR="00BA6A02">
        <w:rPr>
          <w:rFonts w:ascii="Century" w:hAnsi="Century"/>
          <w:sz w:val="24"/>
          <w:szCs w:val="24"/>
        </w:rPr>
        <w:t xml:space="preserve"> co</w:t>
      </w:r>
      <w:r>
        <w:rPr>
          <w:rFonts w:ascii="Century" w:hAnsi="Century"/>
          <w:sz w:val="24"/>
          <w:szCs w:val="24"/>
        </w:rPr>
        <w:t xml:space="preserve">mposition and development stage, will be discussed </w:t>
      </w:r>
      <w:r w:rsidR="00763744">
        <w:rPr>
          <w:rFonts w:ascii="Century" w:hAnsi="Century"/>
          <w:sz w:val="24"/>
          <w:szCs w:val="24"/>
        </w:rPr>
        <w:t>i</w:t>
      </w:r>
      <w:r>
        <w:rPr>
          <w:rFonts w:ascii="Century" w:hAnsi="Century"/>
          <w:sz w:val="24"/>
          <w:szCs w:val="24"/>
        </w:rPr>
        <w:t>n Chapter Five.</w:t>
      </w:r>
      <w:r w:rsidR="00BA6A02">
        <w:rPr>
          <w:rFonts w:ascii="Century" w:hAnsi="Century"/>
          <w:sz w:val="24"/>
          <w:szCs w:val="24"/>
        </w:rPr>
        <w:t xml:space="preserve">  Here I prove that drafters have at their disposal the t</w:t>
      </w:r>
      <w:r>
        <w:rPr>
          <w:rFonts w:ascii="Century" w:hAnsi="Century"/>
          <w:sz w:val="24"/>
          <w:szCs w:val="24"/>
        </w:rPr>
        <w:t>ools and techniques</w:t>
      </w:r>
      <w:r w:rsidR="00BA6A02">
        <w:rPr>
          <w:rFonts w:ascii="Century" w:hAnsi="Century"/>
          <w:sz w:val="24"/>
          <w:szCs w:val="24"/>
        </w:rPr>
        <w:t xml:space="preserve"> to ensu</w:t>
      </w:r>
      <w:r w:rsidR="00D06590">
        <w:rPr>
          <w:rFonts w:ascii="Century" w:hAnsi="Century"/>
          <w:sz w:val="24"/>
          <w:szCs w:val="24"/>
        </w:rPr>
        <w:t>re that the law is drafted in language</w:t>
      </w:r>
      <w:r w:rsidR="00BA6A02">
        <w:rPr>
          <w:rFonts w:ascii="Century" w:hAnsi="Century"/>
          <w:sz w:val="24"/>
          <w:szCs w:val="24"/>
        </w:rPr>
        <w:t xml:space="preserve"> that promotes intelligibility, clearness and predictability. The </w:t>
      </w:r>
      <w:r>
        <w:rPr>
          <w:rFonts w:ascii="Century" w:hAnsi="Century"/>
          <w:sz w:val="24"/>
          <w:szCs w:val="24"/>
        </w:rPr>
        <w:t>tools a</w:t>
      </w:r>
      <w:r w:rsidR="00BA6A02">
        <w:rPr>
          <w:rFonts w:ascii="Century" w:hAnsi="Century"/>
          <w:sz w:val="24"/>
          <w:szCs w:val="24"/>
        </w:rPr>
        <w:t xml:space="preserve">nd </w:t>
      </w:r>
      <w:r>
        <w:rPr>
          <w:rFonts w:ascii="Century" w:hAnsi="Century"/>
          <w:sz w:val="24"/>
          <w:szCs w:val="24"/>
        </w:rPr>
        <w:t xml:space="preserve">techniques </w:t>
      </w:r>
      <w:r w:rsidR="00BA6A02">
        <w:rPr>
          <w:rFonts w:ascii="Century" w:hAnsi="Century"/>
          <w:sz w:val="24"/>
          <w:szCs w:val="24"/>
        </w:rPr>
        <w:t>that will be discussed are clarity, precision and unambiguity as well as plain language and gender</w:t>
      </w:r>
      <w:r w:rsidR="00087F18">
        <w:rPr>
          <w:rFonts w:ascii="Century" w:hAnsi="Century"/>
          <w:sz w:val="24"/>
          <w:szCs w:val="24"/>
        </w:rPr>
        <w:t>-</w:t>
      </w:r>
      <w:r w:rsidR="00BA6A02">
        <w:rPr>
          <w:rFonts w:ascii="Century" w:hAnsi="Century"/>
          <w:sz w:val="24"/>
          <w:szCs w:val="24"/>
        </w:rPr>
        <w:t xml:space="preserve"> neutral language.</w:t>
      </w:r>
    </w:p>
    <w:p w:rsidR="008F0420" w:rsidRDefault="008F0420" w:rsidP="003E7D37">
      <w:pPr>
        <w:spacing w:line="360" w:lineRule="auto"/>
        <w:jc w:val="both"/>
        <w:rPr>
          <w:rFonts w:ascii="Century" w:hAnsi="Century"/>
          <w:sz w:val="24"/>
          <w:szCs w:val="24"/>
        </w:rPr>
      </w:pPr>
    </w:p>
    <w:p w:rsidR="005162F6" w:rsidRDefault="001D03C8" w:rsidP="003E7D37">
      <w:pPr>
        <w:spacing w:line="360" w:lineRule="auto"/>
        <w:jc w:val="both"/>
        <w:rPr>
          <w:rFonts w:ascii="Century" w:hAnsi="Century"/>
          <w:sz w:val="24"/>
          <w:szCs w:val="24"/>
        </w:rPr>
      </w:pPr>
      <w:r>
        <w:rPr>
          <w:rFonts w:ascii="Century" w:hAnsi="Century"/>
          <w:sz w:val="24"/>
          <w:szCs w:val="24"/>
        </w:rPr>
        <w:t xml:space="preserve">In </w:t>
      </w:r>
      <w:r w:rsidR="00002C54">
        <w:rPr>
          <w:rFonts w:ascii="Century" w:hAnsi="Century"/>
          <w:sz w:val="24"/>
          <w:szCs w:val="24"/>
        </w:rPr>
        <w:t>C</w:t>
      </w:r>
      <w:r>
        <w:rPr>
          <w:rFonts w:ascii="Century" w:hAnsi="Century"/>
          <w:sz w:val="24"/>
          <w:szCs w:val="24"/>
        </w:rPr>
        <w:t xml:space="preserve">hapter </w:t>
      </w:r>
      <w:r w:rsidR="00EA63F4">
        <w:rPr>
          <w:rFonts w:ascii="Century" w:hAnsi="Century"/>
          <w:sz w:val="24"/>
          <w:szCs w:val="24"/>
        </w:rPr>
        <w:t>S</w:t>
      </w:r>
      <w:r>
        <w:rPr>
          <w:rFonts w:ascii="Century" w:hAnsi="Century"/>
          <w:sz w:val="24"/>
          <w:szCs w:val="24"/>
        </w:rPr>
        <w:t xml:space="preserve">ix, the last stage of the drafting </w:t>
      </w:r>
      <w:r w:rsidR="00D06590">
        <w:rPr>
          <w:rFonts w:ascii="Century" w:hAnsi="Century"/>
          <w:sz w:val="24"/>
          <w:szCs w:val="24"/>
        </w:rPr>
        <w:t xml:space="preserve">process, the </w:t>
      </w:r>
      <w:r>
        <w:rPr>
          <w:rFonts w:ascii="Century" w:hAnsi="Century"/>
          <w:sz w:val="24"/>
          <w:szCs w:val="24"/>
        </w:rPr>
        <w:t xml:space="preserve">scrutiny and </w:t>
      </w:r>
      <w:r w:rsidR="00763744">
        <w:rPr>
          <w:rFonts w:ascii="Century" w:hAnsi="Century"/>
          <w:sz w:val="24"/>
          <w:szCs w:val="24"/>
        </w:rPr>
        <w:t xml:space="preserve">testing </w:t>
      </w:r>
      <w:r w:rsidR="00D06590">
        <w:rPr>
          <w:rFonts w:ascii="Century" w:hAnsi="Century"/>
          <w:sz w:val="24"/>
          <w:szCs w:val="24"/>
        </w:rPr>
        <w:t>stage</w:t>
      </w:r>
      <w:r w:rsidR="00D5462D">
        <w:rPr>
          <w:rFonts w:ascii="Century" w:hAnsi="Century"/>
          <w:sz w:val="24"/>
          <w:szCs w:val="24"/>
        </w:rPr>
        <w:t>, will be discussed</w:t>
      </w:r>
      <w:r>
        <w:rPr>
          <w:rFonts w:ascii="Century" w:hAnsi="Century"/>
          <w:sz w:val="24"/>
          <w:szCs w:val="24"/>
        </w:rPr>
        <w:t xml:space="preserve">.  </w:t>
      </w:r>
      <w:r w:rsidR="00D06590">
        <w:rPr>
          <w:rFonts w:ascii="Century" w:hAnsi="Century"/>
          <w:sz w:val="24"/>
          <w:szCs w:val="24"/>
        </w:rPr>
        <w:t xml:space="preserve">Here, </w:t>
      </w:r>
      <w:r>
        <w:rPr>
          <w:rFonts w:ascii="Century" w:hAnsi="Century"/>
          <w:sz w:val="24"/>
          <w:szCs w:val="24"/>
        </w:rPr>
        <w:t xml:space="preserve">I will prove </w:t>
      </w:r>
      <w:r w:rsidR="005162F6">
        <w:rPr>
          <w:rFonts w:ascii="Century" w:hAnsi="Century"/>
          <w:sz w:val="24"/>
          <w:szCs w:val="24"/>
        </w:rPr>
        <w:t>that though this stage is the</w:t>
      </w:r>
      <w:r w:rsidR="009A0541">
        <w:rPr>
          <w:rFonts w:ascii="Century" w:hAnsi="Century"/>
          <w:sz w:val="24"/>
          <w:szCs w:val="24"/>
        </w:rPr>
        <w:t xml:space="preserve"> last</w:t>
      </w:r>
      <w:r w:rsidR="005162F6">
        <w:rPr>
          <w:rFonts w:ascii="Century" w:hAnsi="Century"/>
          <w:sz w:val="24"/>
          <w:szCs w:val="24"/>
        </w:rPr>
        <w:t xml:space="preserve"> one, it should not be neglected</w:t>
      </w:r>
      <w:r w:rsidR="0095508F">
        <w:rPr>
          <w:rFonts w:ascii="Century" w:hAnsi="Century"/>
          <w:sz w:val="24"/>
          <w:szCs w:val="24"/>
        </w:rPr>
        <w:t xml:space="preserve"> by drafters</w:t>
      </w:r>
      <w:r w:rsidR="005162F6">
        <w:rPr>
          <w:rFonts w:ascii="Century" w:hAnsi="Century"/>
          <w:sz w:val="24"/>
          <w:szCs w:val="24"/>
        </w:rPr>
        <w:t xml:space="preserve"> as it</w:t>
      </w:r>
      <w:r w:rsidR="009A0541">
        <w:rPr>
          <w:rFonts w:ascii="Century" w:hAnsi="Century"/>
          <w:sz w:val="24"/>
          <w:szCs w:val="24"/>
        </w:rPr>
        <w:t xml:space="preserve"> also</w:t>
      </w:r>
      <w:r w:rsidR="005162F6">
        <w:rPr>
          <w:rFonts w:ascii="Century" w:hAnsi="Century"/>
          <w:sz w:val="24"/>
          <w:szCs w:val="24"/>
        </w:rPr>
        <w:t xml:space="preserve"> contributes to accessibility by ensuring that the legislation is fit for purpose.</w:t>
      </w:r>
      <w:r>
        <w:rPr>
          <w:rFonts w:ascii="Century" w:hAnsi="Century"/>
          <w:sz w:val="24"/>
          <w:szCs w:val="24"/>
        </w:rPr>
        <w:t xml:space="preserve"> </w:t>
      </w:r>
    </w:p>
    <w:p w:rsidR="005162F6" w:rsidRDefault="005162F6" w:rsidP="003E7D37">
      <w:pPr>
        <w:spacing w:line="360" w:lineRule="auto"/>
        <w:jc w:val="both"/>
        <w:rPr>
          <w:rFonts w:ascii="Century" w:hAnsi="Century"/>
          <w:sz w:val="24"/>
          <w:szCs w:val="24"/>
        </w:rPr>
      </w:pPr>
    </w:p>
    <w:p w:rsidR="00ED1019" w:rsidRDefault="00002C54" w:rsidP="003E7D37">
      <w:pPr>
        <w:spacing w:line="360" w:lineRule="auto"/>
        <w:jc w:val="both"/>
        <w:rPr>
          <w:rFonts w:ascii="Century" w:hAnsi="Century"/>
          <w:sz w:val="24"/>
          <w:szCs w:val="24"/>
        </w:rPr>
      </w:pPr>
      <w:r>
        <w:rPr>
          <w:rFonts w:ascii="Century" w:hAnsi="Century"/>
          <w:sz w:val="24"/>
          <w:szCs w:val="24"/>
        </w:rPr>
        <w:t>C</w:t>
      </w:r>
      <w:r w:rsidR="00ED1019">
        <w:rPr>
          <w:rFonts w:ascii="Century" w:hAnsi="Century"/>
          <w:sz w:val="24"/>
          <w:szCs w:val="24"/>
        </w:rPr>
        <w:t xml:space="preserve">hapter </w:t>
      </w:r>
      <w:r w:rsidR="00262F87">
        <w:rPr>
          <w:rFonts w:ascii="Century" w:hAnsi="Century"/>
          <w:sz w:val="24"/>
          <w:szCs w:val="24"/>
        </w:rPr>
        <w:t>S</w:t>
      </w:r>
      <w:r w:rsidR="00ED1019">
        <w:rPr>
          <w:rFonts w:ascii="Century" w:hAnsi="Century"/>
          <w:sz w:val="24"/>
          <w:szCs w:val="24"/>
        </w:rPr>
        <w:t xml:space="preserve">even </w:t>
      </w:r>
      <w:r w:rsidR="00D5462D">
        <w:rPr>
          <w:rFonts w:ascii="Century" w:hAnsi="Century"/>
          <w:sz w:val="24"/>
          <w:szCs w:val="24"/>
        </w:rPr>
        <w:t>contains the conclusion.</w:t>
      </w:r>
    </w:p>
    <w:p w:rsidR="00647B4A" w:rsidRDefault="00647B4A" w:rsidP="00C011B9">
      <w:pPr>
        <w:tabs>
          <w:tab w:val="left" w:pos="2355"/>
        </w:tabs>
        <w:spacing w:line="360" w:lineRule="auto"/>
        <w:rPr>
          <w:rFonts w:ascii="Century" w:hAnsi="Century" w:cs="Arabic Typesetting"/>
          <w:b/>
          <w:sz w:val="28"/>
          <w:szCs w:val="28"/>
        </w:rPr>
      </w:pPr>
    </w:p>
    <w:p w:rsidR="009C319B" w:rsidRDefault="009C319B" w:rsidP="00C011B9">
      <w:pPr>
        <w:tabs>
          <w:tab w:val="left" w:pos="2355"/>
        </w:tabs>
        <w:spacing w:line="360" w:lineRule="auto"/>
        <w:rPr>
          <w:rFonts w:ascii="Century" w:hAnsi="Century" w:cs="Arabic Typesetting"/>
          <w:b/>
          <w:sz w:val="28"/>
          <w:szCs w:val="28"/>
        </w:rPr>
      </w:pPr>
    </w:p>
    <w:p w:rsidR="009C319B" w:rsidRDefault="009C319B" w:rsidP="00C011B9">
      <w:pPr>
        <w:tabs>
          <w:tab w:val="left" w:pos="2355"/>
        </w:tabs>
        <w:spacing w:line="360" w:lineRule="auto"/>
        <w:rPr>
          <w:rFonts w:ascii="Century" w:hAnsi="Century" w:cs="Arabic Typesetting"/>
          <w:b/>
          <w:sz w:val="28"/>
          <w:szCs w:val="28"/>
        </w:rPr>
      </w:pPr>
    </w:p>
    <w:p w:rsidR="009C319B" w:rsidRDefault="009C319B" w:rsidP="00C011B9">
      <w:pPr>
        <w:tabs>
          <w:tab w:val="left" w:pos="2355"/>
        </w:tabs>
        <w:spacing w:line="360" w:lineRule="auto"/>
        <w:rPr>
          <w:rFonts w:ascii="Century" w:hAnsi="Century" w:cs="Arabic Typesetting"/>
          <w:b/>
          <w:sz w:val="28"/>
          <w:szCs w:val="28"/>
        </w:rPr>
      </w:pPr>
    </w:p>
    <w:p w:rsidR="009C319B" w:rsidRDefault="009C319B" w:rsidP="00C011B9">
      <w:pPr>
        <w:tabs>
          <w:tab w:val="left" w:pos="2355"/>
        </w:tabs>
        <w:spacing w:line="360" w:lineRule="auto"/>
        <w:rPr>
          <w:rFonts w:ascii="Century" w:hAnsi="Century" w:cs="Arabic Typesetting"/>
          <w:b/>
          <w:sz w:val="28"/>
          <w:szCs w:val="28"/>
        </w:rPr>
      </w:pPr>
    </w:p>
    <w:p w:rsidR="009C319B" w:rsidRDefault="009C319B" w:rsidP="00C011B9">
      <w:pPr>
        <w:tabs>
          <w:tab w:val="left" w:pos="2355"/>
        </w:tabs>
        <w:spacing w:line="360" w:lineRule="auto"/>
        <w:rPr>
          <w:rFonts w:ascii="Century" w:hAnsi="Century" w:cs="Arabic Typesetting"/>
          <w:b/>
          <w:sz w:val="28"/>
          <w:szCs w:val="28"/>
        </w:rPr>
      </w:pPr>
    </w:p>
    <w:p w:rsidR="009C319B" w:rsidRDefault="009C319B" w:rsidP="00C011B9">
      <w:pPr>
        <w:tabs>
          <w:tab w:val="left" w:pos="2355"/>
        </w:tabs>
        <w:spacing w:line="360" w:lineRule="auto"/>
        <w:rPr>
          <w:rFonts w:ascii="Century" w:hAnsi="Century" w:cs="Arabic Typesetting"/>
          <w:b/>
          <w:sz w:val="28"/>
          <w:szCs w:val="28"/>
        </w:rPr>
      </w:pPr>
    </w:p>
    <w:p w:rsidR="009C319B" w:rsidRDefault="009C319B" w:rsidP="00C011B9">
      <w:pPr>
        <w:tabs>
          <w:tab w:val="left" w:pos="2355"/>
        </w:tabs>
        <w:spacing w:line="360" w:lineRule="auto"/>
        <w:rPr>
          <w:rFonts w:ascii="Century" w:hAnsi="Century" w:cs="Arabic Typesetting"/>
          <w:b/>
          <w:sz w:val="28"/>
          <w:szCs w:val="28"/>
        </w:rPr>
      </w:pPr>
    </w:p>
    <w:p w:rsidR="00B25FCC" w:rsidRDefault="00B25FCC" w:rsidP="00B5038E">
      <w:pPr>
        <w:pStyle w:val="Heading1"/>
        <w:jc w:val="center"/>
        <w:rPr>
          <w:color w:val="auto"/>
        </w:rPr>
      </w:pPr>
      <w:bookmarkStart w:id="11" w:name="_Toc427272174"/>
      <w:bookmarkStart w:id="12" w:name="_Toc427272653"/>
      <w:bookmarkStart w:id="13" w:name="_Toc427597733"/>
    </w:p>
    <w:p w:rsidR="00B25FCC" w:rsidRDefault="00B25FCC" w:rsidP="00B25FCC"/>
    <w:p w:rsidR="0029153F" w:rsidRPr="00B25FCC" w:rsidRDefault="0029153F" w:rsidP="00B25FCC"/>
    <w:p w:rsidR="0049683B" w:rsidRDefault="0049683B" w:rsidP="00B5038E">
      <w:pPr>
        <w:pStyle w:val="Heading1"/>
        <w:jc w:val="center"/>
        <w:rPr>
          <w:color w:val="auto"/>
        </w:rPr>
      </w:pPr>
      <w:r w:rsidRPr="00B5038E">
        <w:rPr>
          <w:color w:val="auto"/>
        </w:rPr>
        <w:t xml:space="preserve">CHAPTER </w:t>
      </w:r>
      <w:r w:rsidR="009852D7" w:rsidRPr="00B5038E">
        <w:rPr>
          <w:color w:val="auto"/>
        </w:rPr>
        <w:t>TWO</w:t>
      </w:r>
      <w:bookmarkEnd w:id="11"/>
      <w:bookmarkEnd w:id="12"/>
      <w:bookmarkEnd w:id="13"/>
    </w:p>
    <w:p w:rsidR="00B5038E" w:rsidRPr="00B5038E" w:rsidRDefault="00B5038E" w:rsidP="00B5038E"/>
    <w:p w:rsidR="00B5038E" w:rsidRPr="00B5038E" w:rsidRDefault="00B5038E" w:rsidP="00B5038E"/>
    <w:p w:rsidR="0054462F" w:rsidRPr="00B044AF" w:rsidRDefault="00B94428" w:rsidP="00B044AF">
      <w:pPr>
        <w:pStyle w:val="Heading4"/>
        <w:numPr>
          <w:ilvl w:val="0"/>
          <w:numId w:val="20"/>
        </w:numPr>
        <w:rPr>
          <w:color w:val="auto"/>
        </w:rPr>
      </w:pPr>
      <w:bookmarkStart w:id="14" w:name="_Toc427272654"/>
      <w:bookmarkStart w:id="15" w:name="_Toc427597734"/>
      <w:r w:rsidRPr="00B044AF">
        <w:rPr>
          <w:color w:val="auto"/>
        </w:rPr>
        <w:t xml:space="preserve">The Rule of law and the </w:t>
      </w:r>
      <w:r w:rsidR="00B044AF">
        <w:rPr>
          <w:color w:val="auto"/>
        </w:rPr>
        <w:t>I</w:t>
      </w:r>
      <w:r w:rsidRPr="00B044AF">
        <w:rPr>
          <w:color w:val="auto"/>
        </w:rPr>
        <w:t xml:space="preserve">mportance of </w:t>
      </w:r>
      <w:r w:rsidR="00B044AF">
        <w:rPr>
          <w:color w:val="auto"/>
        </w:rPr>
        <w:t>A</w:t>
      </w:r>
      <w:r w:rsidRPr="00B044AF">
        <w:rPr>
          <w:color w:val="auto"/>
        </w:rPr>
        <w:t xml:space="preserve">ccessibility to </w:t>
      </w:r>
      <w:r w:rsidR="00B044AF">
        <w:rPr>
          <w:color w:val="auto"/>
        </w:rPr>
        <w:t>L</w:t>
      </w:r>
      <w:r w:rsidRPr="00B044AF">
        <w:rPr>
          <w:color w:val="auto"/>
        </w:rPr>
        <w:t>egislation</w:t>
      </w:r>
      <w:bookmarkEnd w:id="14"/>
      <w:bookmarkEnd w:id="15"/>
    </w:p>
    <w:p w:rsidR="006A3070" w:rsidRPr="00F32CF2" w:rsidRDefault="009755D3" w:rsidP="00EF3759">
      <w:pPr>
        <w:spacing w:line="360" w:lineRule="auto"/>
        <w:jc w:val="both"/>
        <w:rPr>
          <w:rFonts w:ascii="Century" w:hAnsi="Century" w:cs="Arabic Typesetting"/>
          <w:sz w:val="24"/>
          <w:szCs w:val="24"/>
        </w:rPr>
      </w:pPr>
      <w:r>
        <w:rPr>
          <w:rFonts w:ascii="Century" w:hAnsi="Century" w:cs="Arabic Typesetting"/>
          <w:sz w:val="24"/>
          <w:szCs w:val="24"/>
        </w:rPr>
        <w:t xml:space="preserve"> </w:t>
      </w:r>
    </w:p>
    <w:p w:rsidR="00A32411" w:rsidRPr="00F32CF2" w:rsidRDefault="00A32411" w:rsidP="00640C43">
      <w:pPr>
        <w:spacing w:line="360" w:lineRule="auto"/>
        <w:jc w:val="both"/>
        <w:rPr>
          <w:rFonts w:ascii="Century" w:hAnsi="Century" w:cs="Arabic Typesetting"/>
          <w:sz w:val="24"/>
          <w:szCs w:val="24"/>
        </w:rPr>
      </w:pPr>
      <w:r w:rsidRPr="00F32CF2">
        <w:rPr>
          <w:rFonts w:ascii="Century" w:hAnsi="Century" w:cs="Arabic Typesetting"/>
          <w:sz w:val="24"/>
          <w:szCs w:val="24"/>
        </w:rPr>
        <w:t>The essence of the rule of law has been expressed by</w:t>
      </w:r>
      <w:r w:rsidR="00E05A2D">
        <w:rPr>
          <w:rFonts w:ascii="Century" w:hAnsi="Century" w:cs="Arabic Typesetting"/>
          <w:sz w:val="24"/>
          <w:szCs w:val="24"/>
        </w:rPr>
        <w:t xml:space="preserve"> Rt</w:t>
      </w:r>
      <w:r w:rsidR="000B4EA6">
        <w:rPr>
          <w:rFonts w:ascii="Century" w:hAnsi="Century" w:cs="Arabic Typesetting"/>
          <w:sz w:val="24"/>
          <w:szCs w:val="24"/>
        </w:rPr>
        <w:t>.</w:t>
      </w:r>
      <w:r w:rsidR="00E05A2D">
        <w:rPr>
          <w:rFonts w:ascii="Century" w:hAnsi="Century" w:cs="Arabic Typesetting"/>
          <w:sz w:val="24"/>
          <w:szCs w:val="24"/>
        </w:rPr>
        <w:t xml:space="preserve"> Hon.</w:t>
      </w:r>
      <w:r w:rsidRPr="00F32CF2">
        <w:rPr>
          <w:rFonts w:ascii="Century" w:hAnsi="Century" w:cs="Arabic Typesetting"/>
          <w:sz w:val="24"/>
          <w:szCs w:val="24"/>
        </w:rPr>
        <w:t xml:space="preserve"> Michael Gove, </w:t>
      </w:r>
      <w:r w:rsidR="00E05A2D">
        <w:rPr>
          <w:rFonts w:ascii="Century" w:hAnsi="Century" w:cs="Arabic Typesetting"/>
          <w:sz w:val="24"/>
          <w:szCs w:val="24"/>
        </w:rPr>
        <w:t>Secretary of State for</w:t>
      </w:r>
      <w:r w:rsidRPr="00F32CF2">
        <w:rPr>
          <w:rFonts w:ascii="Century" w:hAnsi="Century" w:cs="Arabic Typesetting"/>
          <w:sz w:val="24"/>
          <w:szCs w:val="24"/>
        </w:rPr>
        <w:t xml:space="preserve"> Justice</w:t>
      </w:r>
      <w:r w:rsidR="00E05A2D">
        <w:rPr>
          <w:rFonts w:ascii="Century" w:hAnsi="Century" w:cs="Arabic Typesetting"/>
          <w:sz w:val="24"/>
          <w:szCs w:val="24"/>
        </w:rPr>
        <w:t xml:space="preserve"> and Lord Chancellor</w:t>
      </w:r>
      <w:r w:rsidRPr="00F32CF2">
        <w:rPr>
          <w:rFonts w:ascii="Century" w:hAnsi="Century" w:cs="Arabic Typesetting"/>
          <w:sz w:val="24"/>
          <w:szCs w:val="24"/>
        </w:rPr>
        <w:t xml:space="preserve"> of the United Kingdom as-</w:t>
      </w:r>
    </w:p>
    <w:p w:rsidR="00A32411" w:rsidRPr="00F32CF2" w:rsidRDefault="00A32411" w:rsidP="00A32411">
      <w:pPr>
        <w:spacing w:line="360" w:lineRule="auto"/>
        <w:ind w:left="720"/>
        <w:jc w:val="both"/>
        <w:rPr>
          <w:rFonts w:ascii="Century" w:hAnsi="Century"/>
          <w:sz w:val="24"/>
          <w:szCs w:val="24"/>
        </w:rPr>
      </w:pPr>
      <w:r w:rsidRPr="00F32CF2">
        <w:rPr>
          <w:rFonts w:ascii="Century" w:hAnsi="Century"/>
          <w:sz w:val="24"/>
          <w:szCs w:val="24"/>
        </w:rPr>
        <w:t>The rule of law is the most precious asset of any civilised society. It is the rule of law which protects the weak from the assault of the strong; which safeguards the private property on which all prosperity depends; which makes sure that when those who hold power abuse it, they can be checked; which protects family life and personal relations from coercion and aggression; which underpins the free speech on which all progress – scientific and cultural – depends; and which guarantees the essential liberty that allows us all as individuals to flourish.</w:t>
      </w:r>
      <w:r w:rsidRPr="00F32CF2">
        <w:rPr>
          <w:rStyle w:val="FootnoteReference"/>
          <w:rFonts w:ascii="Century" w:hAnsi="Century"/>
          <w:sz w:val="24"/>
          <w:szCs w:val="24"/>
        </w:rPr>
        <w:footnoteReference w:id="31"/>
      </w:r>
    </w:p>
    <w:p w:rsidR="00A32411" w:rsidRPr="00F32CF2" w:rsidRDefault="00A32411" w:rsidP="00A32411">
      <w:pPr>
        <w:spacing w:line="360" w:lineRule="auto"/>
        <w:ind w:left="720"/>
        <w:jc w:val="both"/>
        <w:rPr>
          <w:rFonts w:ascii="Century" w:hAnsi="Century"/>
          <w:sz w:val="24"/>
          <w:szCs w:val="24"/>
        </w:rPr>
      </w:pPr>
    </w:p>
    <w:p w:rsidR="00C46215" w:rsidRPr="00F32CF2" w:rsidRDefault="00C46215" w:rsidP="00C46215">
      <w:pPr>
        <w:spacing w:line="360" w:lineRule="auto"/>
        <w:jc w:val="both"/>
        <w:rPr>
          <w:rFonts w:ascii="Century" w:hAnsi="Century" w:cs="Arabic Typesetting"/>
          <w:sz w:val="24"/>
          <w:szCs w:val="24"/>
        </w:rPr>
      </w:pPr>
      <w:r w:rsidRPr="00F32CF2">
        <w:rPr>
          <w:rFonts w:ascii="Century" w:hAnsi="Century" w:cs="Arabic Typesetting"/>
          <w:sz w:val="24"/>
          <w:szCs w:val="24"/>
        </w:rPr>
        <w:t xml:space="preserve">When one considers the </w:t>
      </w:r>
      <w:r w:rsidR="00DC6BDB">
        <w:rPr>
          <w:rFonts w:ascii="Century" w:hAnsi="Century" w:cs="Arabic Typesetting"/>
          <w:sz w:val="24"/>
          <w:szCs w:val="24"/>
        </w:rPr>
        <w:t xml:space="preserve">above </w:t>
      </w:r>
      <w:r w:rsidRPr="00F32CF2">
        <w:rPr>
          <w:rFonts w:ascii="Century" w:hAnsi="Century" w:cs="Arabic Typesetting"/>
          <w:sz w:val="24"/>
          <w:szCs w:val="24"/>
        </w:rPr>
        <w:t xml:space="preserve">description of the rule of law it is not difficult to see why </w:t>
      </w:r>
      <w:r w:rsidR="009E4098">
        <w:rPr>
          <w:rFonts w:ascii="Century" w:hAnsi="Century" w:cs="Arabic Typesetting"/>
          <w:sz w:val="24"/>
          <w:szCs w:val="24"/>
        </w:rPr>
        <w:t>contributing to</w:t>
      </w:r>
      <w:r w:rsidR="00F658E9">
        <w:rPr>
          <w:rFonts w:ascii="Century" w:hAnsi="Century" w:cs="Arabic Typesetting"/>
          <w:sz w:val="24"/>
          <w:szCs w:val="24"/>
        </w:rPr>
        <w:t xml:space="preserve"> the rule of law is important. </w:t>
      </w:r>
      <w:r w:rsidR="00842FC2">
        <w:rPr>
          <w:rFonts w:ascii="Century" w:hAnsi="Century" w:cs="Arabic Typesetting"/>
          <w:sz w:val="24"/>
          <w:szCs w:val="24"/>
        </w:rPr>
        <w:t xml:space="preserve">It is the rule of law that gives citizens the ability to safeguard their rights, regulate their conduct with confidence and participate </w:t>
      </w:r>
      <w:r w:rsidR="002C0E3B">
        <w:rPr>
          <w:rFonts w:ascii="Century" w:hAnsi="Century" w:cs="Arabic Typesetting"/>
          <w:sz w:val="24"/>
          <w:szCs w:val="24"/>
        </w:rPr>
        <w:t>fully ‘</w:t>
      </w:r>
      <w:r w:rsidR="002C0E3B" w:rsidRPr="00F32CF2">
        <w:rPr>
          <w:rFonts w:ascii="Century" w:hAnsi="Century" w:cs="Arabic Typesetting"/>
          <w:sz w:val="24"/>
          <w:szCs w:val="24"/>
        </w:rPr>
        <w:t>in the economic or social change that is ultimately implemented by legislation</w:t>
      </w:r>
      <w:r w:rsidR="002C0E3B">
        <w:rPr>
          <w:rFonts w:ascii="Century" w:hAnsi="Century" w:cs="Arabic Typesetting"/>
          <w:sz w:val="24"/>
          <w:szCs w:val="24"/>
        </w:rPr>
        <w:t>’</w:t>
      </w:r>
      <w:r w:rsidR="002C0E3B" w:rsidRPr="00F32CF2">
        <w:rPr>
          <w:rFonts w:ascii="Century" w:hAnsi="Century" w:cs="Arabic Typesetting"/>
          <w:sz w:val="24"/>
          <w:szCs w:val="24"/>
        </w:rPr>
        <w:t>.</w:t>
      </w:r>
      <w:r w:rsidR="002C0E3B" w:rsidRPr="00F32CF2">
        <w:rPr>
          <w:rStyle w:val="FootnoteReference"/>
          <w:rFonts w:ascii="Century" w:hAnsi="Century" w:cs="Arabic Typesetting"/>
          <w:sz w:val="24"/>
          <w:szCs w:val="24"/>
        </w:rPr>
        <w:footnoteReference w:id="32"/>
      </w:r>
      <w:r w:rsidR="002C0E3B" w:rsidRPr="00F32CF2">
        <w:rPr>
          <w:rFonts w:ascii="Century" w:hAnsi="Century" w:cs="Arabic Typesetting"/>
          <w:sz w:val="24"/>
          <w:szCs w:val="24"/>
        </w:rPr>
        <w:t xml:space="preserve"> </w:t>
      </w:r>
      <w:r w:rsidR="009755D3">
        <w:rPr>
          <w:rFonts w:ascii="Century" w:hAnsi="Century" w:cs="Arabic Typesetting"/>
          <w:sz w:val="24"/>
          <w:szCs w:val="24"/>
        </w:rPr>
        <w:t>T</w:t>
      </w:r>
      <w:r w:rsidRPr="00F32CF2">
        <w:rPr>
          <w:rFonts w:ascii="Century" w:hAnsi="Century" w:cs="Arabic Typesetting"/>
          <w:sz w:val="24"/>
          <w:szCs w:val="24"/>
        </w:rPr>
        <w:t xml:space="preserve">he rule of law </w:t>
      </w:r>
      <w:r w:rsidRPr="00F32CF2">
        <w:rPr>
          <w:rFonts w:ascii="Century" w:hAnsi="Century" w:cs="Arabic Typesetting"/>
          <w:sz w:val="24"/>
          <w:szCs w:val="24"/>
        </w:rPr>
        <w:lastRenderedPageBreak/>
        <w:t>balances the scales between the gov</w:t>
      </w:r>
      <w:r w:rsidR="00EF3759" w:rsidRPr="00F32CF2">
        <w:rPr>
          <w:rFonts w:ascii="Century" w:hAnsi="Century" w:cs="Arabic Typesetting"/>
          <w:sz w:val="24"/>
          <w:szCs w:val="24"/>
        </w:rPr>
        <w:t>ernment and those they govern</w:t>
      </w:r>
      <w:r w:rsidR="00842FC2">
        <w:rPr>
          <w:rFonts w:ascii="Century" w:hAnsi="Century" w:cs="Arabic Typesetting"/>
          <w:sz w:val="24"/>
          <w:szCs w:val="24"/>
        </w:rPr>
        <w:t xml:space="preserve"> as</w:t>
      </w:r>
      <w:r w:rsidR="00EF3759" w:rsidRPr="00F32CF2">
        <w:rPr>
          <w:rFonts w:ascii="Century" w:hAnsi="Century" w:cs="Arabic Typesetting"/>
          <w:sz w:val="24"/>
          <w:szCs w:val="24"/>
        </w:rPr>
        <w:t xml:space="preserve"> the government cannot exercise their powers unfettered.</w:t>
      </w:r>
      <w:r w:rsidR="00FC0203" w:rsidRPr="00F32CF2">
        <w:rPr>
          <w:rFonts w:ascii="Century" w:hAnsi="Century" w:cs="Arabic Typesetting"/>
          <w:sz w:val="24"/>
          <w:szCs w:val="24"/>
        </w:rPr>
        <w:t xml:space="preserve"> </w:t>
      </w:r>
      <w:r w:rsidR="006A3070" w:rsidRPr="00F32CF2">
        <w:rPr>
          <w:rFonts w:ascii="Century" w:hAnsi="Century" w:cs="Arabic Typesetting"/>
          <w:sz w:val="24"/>
          <w:szCs w:val="24"/>
        </w:rPr>
        <w:t xml:space="preserve">As expressed by </w:t>
      </w:r>
      <w:r w:rsidRPr="00F32CF2">
        <w:rPr>
          <w:rFonts w:ascii="Century" w:hAnsi="Century" w:cs="Arabic Typesetting"/>
          <w:sz w:val="24"/>
          <w:szCs w:val="24"/>
        </w:rPr>
        <w:t>Lord Bingham -</w:t>
      </w:r>
    </w:p>
    <w:p w:rsidR="00C46215" w:rsidRPr="00F32CF2" w:rsidRDefault="00FC0203" w:rsidP="00C46215">
      <w:pPr>
        <w:spacing w:line="360" w:lineRule="auto"/>
        <w:ind w:left="720"/>
        <w:jc w:val="both"/>
        <w:rPr>
          <w:rFonts w:ascii="Century" w:hAnsi="Century" w:cs="Arabic Typesetting"/>
          <w:sz w:val="24"/>
          <w:szCs w:val="24"/>
        </w:rPr>
      </w:pPr>
      <w:r>
        <w:rPr>
          <w:rFonts w:ascii="Century" w:hAnsi="Century" w:cs="Arabic Typesetting"/>
          <w:sz w:val="24"/>
          <w:szCs w:val="24"/>
        </w:rPr>
        <w:t>[</w:t>
      </w:r>
      <w:r w:rsidR="00C46215" w:rsidRPr="00F32CF2">
        <w:rPr>
          <w:rFonts w:ascii="Century" w:hAnsi="Century" w:cs="Arabic Typesetting"/>
          <w:sz w:val="24"/>
          <w:szCs w:val="24"/>
        </w:rPr>
        <w:t>A</w:t>
      </w:r>
      <w:r>
        <w:rPr>
          <w:rFonts w:ascii="Century" w:hAnsi="Century" w:cs="Arabic Typesetting"/>
          <w:sz w:val="24"/>
          <w:szCs w:val="24"/>
        </w:rPr>
        <w:t>]</w:t>
      </w:r>
      <w:r w:rsidR="00C46215" w:rsidRPr="00F32CF2">
        <w:rPr>
          <w:rFonts w:ascii="Century" w:hAnsi="Century" w:cs="Arabic Typesetting"/>
          <w:sz w:val="24"/>
          <w:szCs w:val="24"/>
        </w:rPr>
        <w:t>ll persons and authorities within the state, whether public or private, should be bound by and entitled to the benefit of laws publicly made, taking effect (generally) in the future and publicly administered in the courts.</w:t>
      </w:r>
      <w:r>
        <w:rPr>
          <w:rStyle w:val="FootnoteReference"/>
          <w:rFonts w:ascii="Century" w:hAnsi="Century" w:cs="Arabic Typesetting"/>
          <w:sz w:val="24"/>
          <w:szCs w:val="24"/>
        </w:rPr>
        <w:footnoteReference w:id="33"/>
      </w:r>
      <w:r w:rsidR="00C46215" w:rsidRPr="00F32CF2">
        <w:rPr>
          <w:rFonts w:ascii="Century" w:hAnsi="Century" w:cs="Arabic Typesetting"/>
          <w:sz w:val="24"/>
          <w:szCs w:val="24"/>
        </w:rPr>
        <w:t xml:space="preserve"> </w:t>
      </w:r>
    </w:p>
    <w:p w:rsidR="000F3B96" w:rsidRDefault="00EE1895" w:rsidP="00C4302B">
      <w:pPr>
        <w:spacing w:line="360" w:lineRule="auto"/>
        <w:jc w:val="both"/>
        <w:rPr>
          <w:rFonts w:ascii="Century" w:hAnsi="Century" w:cs="Arabic Typesetting"/>
          <w:sz w:val="24"/>
          <w:szCs w:val="24"/>
        </w:rPr>
      </w:pPr>
      <w:r>
        <w:rPr>
          <w:rFonts w:ascii="Century" w:hAnsi="Century" w:cs="Arabic Typesetting"/>
          <w:sz w:val="24"/>
          <w:szCs w:val="24"/>
        </w:rPr>
        <w:t xml:space="preserve">It is because of the benefit that the rule of law gives that its viability is threatened where laws are </w:t>
      </w:r>
      <w:r w:rsidR="00B33BE5">
        <w:rPr>
          <w:rFonts w:ascii="Century" w:hAnsi="Century" w:cs="Arabic Typesetting"/>
          <w:sz w:val="24"/>
          <w:szCs w:val="24"/>
        </w:rPr>
        <w:t>incomprehensible</w:t>
      </w:r>
      <w:r w:rsidR="00B36C1E">
        <w:rPr>
          <w:rFonts w:ascii="Century" w:hAnsi="Century" w:cs="Arabic Typesetting"/>
          <w:sz w:val="24"/>
          <w:szCs w:val="24"/>
        </w:rPr>
        <w:t xml:space="preserve">. </w:t>
      </w:r>
      <w:r w:rsidR="003F7FF4">
        <w:rPr>
          <w:rFonts w:ascii="Century" w:hAnsi="Century" w:cs="Arabic Typesetting"/>
          <w:sz w:val="24"/>
          <w:szCs w:val="24"/>
        </w:rPr>
        <w:t>L</w:t>
      </w:r>
      <w:r w:rsidR="006D6FD4">
        <w:rPr>
          <w:rFonts w:ascii="Century" w:hAnsi="Century" w:cs="Arabic Typesetting"/>
          <w:sz w:val="24"/>
          <w:szCs w:val="24"/>
        </w:rPr>
        <w:t>aws</w:t>
      </w:r>
      <w:r w:rsidR="003F7FF4">
        <w:rPr>
          <w:rFonts w:ascii="Century" w:hAnsi="Century" w:cs="Arabic Typesetting"/>
          <w:sz w:val="24"/>
          <w:szCs w:val="24"/>
        </w:rPr>
        <w:t xml:space="preserve"> of this nature</w:t>
      </w:r>
      <w:r w:rsidR="006D6FD4">
        <w:rPr>
          <w:rFonts w:ascii="Century" w:hAnsi="Century" w:cs="Arabic Typesetting"/>
          <w:sz w:val="24"/>
          <w:szCs w:val="24"/>
        </w:rPr>
        <w:t xml:space="preserve"> foster</w:t>
      </w:r>
      <w:r w:rsidR="00594369">
        <w:rPr>
          <w:rFonts w:ascii="Century" w:hAnsi="Century" w:cs="Arabic Typesetting"/>
          <w:sz w:val="24"/>
          <w:szCs w:val="24"/>
        </w:rPr>
        <w:t xml:space="preserve"> a </w:t>
      </w:r>
      <w:r w:rsidR="00594369" w:rsidRPr="00594369">
        <w:rPr>
          <w:rFonts w:ascii="Century" w:hAnsi="Century" w:cs="Arabic Typesetting"/>
          <w:sz w:val="24"/>
          <w:szCs w:val="24"/>
        </w:rPr>
        <w:t xml:space="preserve">breathing ground for </w:t>
      </w:r>
      <w:r w:rsidR="00594369">
        <w:rPr>
          <w:rFonts w:ascii="Century" w:hAnsi="Century" w:cs="Arabic Typesetting"/>
          <w:sz w:val="24"/>
          <w:szCs w:val="24"/>
        </w:rPr>
        <w:t xml:space="preserve">inequality, </w:t>
      </w:r>
      <w:r w:rsidR="00594369" w:rsidRPr="00594369">
        <w:rPr>
          <w:rFonts w:ascii="Century" w:hAnsi="Century" w:cs="Arabic Typesetting"/>
          <w:sz w:val="24"/>
          <w:szCs w:val="24"/>
        </w:rPr>
        <w:t>arbitrariness</w:t>
      </w:r>
      <w:r w:rsidR="00594369">
        <w:rPr>
          <w:rFonts w:ascii="Century" w:hAnsi="Century" w:cs="Arabic Typesetting"/>
          <w:sz w:val="24"/>
          <w:szCs w:val="24"/>
        </w:rPr>
        <w:t xml:space="preserve"> and misuse of power</w:t>
      </w:r>
      <w:r w:rsidR="00594369" w:rsidRPr="00594369">
        <w:rPr>
          <w:rFonts w:ascii="Century" w:hAnsi="Century" w:cs="Arabic Typesetting"/>
          <w:sz w:val="24"/>
          <w:szCs w:val="24"/>
        </w:rPr>
        <w:t xml:space="preserve"> by both </w:t>
      </w:r>
      <w:r w:rsidR="00783A39" w:rsidRPr="00594369">
        <w:rPr>
          <w:rFonts w:ascii="Century" w:hAnsi="Century" w:cs="Arabic Typesetting"/>
          <w:sz w:val="24"/>
          <w:szCs w:val="24"/>
        </w:rPr>
        <w:t xml:space="preserve">the </w:t>
      </w:r>
      <w:r w:rsidR="00594369" w:rsidRPr="00594369">
        <w:rPr>
          <w:rFonts w:ascii="Century" w:hAnsi="Century" w:cs="Arabic Typesetting"/>
          <w:sz w:val="24"/>
          <w:szCs w:val="24"/>
        </w:rPr>
        <w:t xml:space="preserve">government </w:t>
      </w:r>
      <w:r w:rsidR="00783A39" w:rsidRPr="00594369">
        <w:rPr>
          <w:rFonts w:ascii="Century" w:hAnsi="Century" w:cs="Arabic Typesetting"/>
          <w:sz w:val="24"/>
          <w:szCs w:val="24"/>
        </w:rPr>
        <w:t xml:space="preserve">and </w:t>
      </w:r>
      <w:r w:rsidR="00594369" w:rsidRPr="00594369">
        <w:rPr>
          <w:rFonts w:ascii="Century" w:hAnsi="Century" w:cs="Arabic Typesetting"/>
          <w:sz w:val="24"/>
          <w:szCs w:val="24"/>
        </w:rPr>
        <w:t>judiciary</w:t>
      </w:r>
      <w:r w:rsidR="00783A39" w:rsidRPr="00594369">
        <w:rPr>
          <w:rFonts w:ascii="Century" w:hAnsi="Century" w:cs="Arabic Typesetting"/>
          <w:sz w:val="24"/>
          <w:szCs w:val="24"/>
        </w:rPr>
        <w:t>.</w:t>
      </w:r>
      <w:r w:rsidR="00783A39" w:rsidRPr="00594369">
        <w:rPr>
          <w:rStyle w:val="FootnoteReference"/>
          <w:rFonts w:ascii="Century" w:hAnsi="Century" w:cs="Arabic Typesetting"/>
          <w:sz w:val="24"/>
          <w:szCs w:val="24"/>
        </w:rPr>
        <w:footnoteReference w:id="34"/>
      </w:r>
      <w:r w:rsidR="00A8622A">
        <w:rPr>
          <w:rFonts w:ascii="Century" w:hAnsi="Century" w:cs="Arabic Typesetting"/>
          <w:sz w:val="24"/>
          <w:szCs w:val="24"/>
        </w:rPr>
        <w:t xml:space="preserve"> </w:t>
      </w:r>
      <w:r w:rsidR="006152BF">
        <w:rPr>
          <w:rFonts w:ascii="Century" w:hAnsi="Century" w:cs="Arabic Typesetting"/>
          <w:sz w:val="24"/>
          <w:szCs w:val="24"/>
        </w:rPr>
        <w:t xml:space="preserve">It is only </w:t>
      </w:r>
      <w:r w:rsidR="008F453F">
        <w:rPr>
          <w:rFonts w:ascii="Century" w:hAnsi="Century" w:cs="Arabic Typesetting"/>
          <w:sz w:val="24"/>
          <w:szCs w:val="24"/>
        </w:rPr>
        <w:t>comprehensible</w:t>
      </w:r>
      <w:r w:rsidR="003F7FF4">
        <w:rPr>
          <w:rFonts w:ascii="Century" w:hAnsi="Century" w:cs="Arabic Typesetting"/>
          <w:sz w:val="24"/>
          <w:szCs w:val="24"/>
        </w:rPr>
        <w:t xml:space="preserve"> laws that</w:t>
      </w:r>
      <w:r w:rsidR="008F453F">
        <w:rPr>
          <w:rFonts w:ascii="Century" w:hAnsi="Century" w:cs="Arabic Typesetting"/>
          <w:sz w:val="24"/>
          <w:szCs w:val="24"/>
        </w:rPr>
        <w:t xml:space="preserve"> w</w:t>
      </w:r>
      <w:r w:rsidR="006152BF">
        <w:rPr>
          <w:rFonts w:ascii="Century" w:hAnsi="Century" w:cs="Arabic Typesetting"/>
          <w:sz w:val="24"/>
          <w:szCs w:val="24"/>
        </w:rPr>
        <w:t xml:space="preserve">ill protect citizens against </w:t>
      </w:r>
      <w:r w:rsidR="0099369C">
        <w:rPr>
          <w:rFonts w:ascii="Century" w:hAnsi="Century" w:cs="Arabic Typesetting"/>
          <w:sz w:val="24"/>
          <w:szCs w:val="24"/>
        </w:rPr>
        <w:t>unfair practices</w:t>
      </w:r>
      <w:r w:rsidR="006152BF">
        <w:rPr>
          <w:rFonts w:ascii="Century" w:hAnsi="Century" w:cs="Arabic Typesetting"/>
          <w:sz w:val="24"/>
          <w:szCs w:val="24"/>
        </w:rPr>
        <w:t>.</w:t>
      </w:r>
      <w:r w:rsidR="008F453F">
        <w:rPr>
          <w:rFonts w:ascii="Century" w:hAnsi="Century" w:cs="Arabic Typesetting"/>
          <w:sz w:val="24"/>
          <w:szCs w:val="24"/>
        </w:rPr>
        <w:t xml:space="preserve"> </w:t>
      </w:r>
      <w:r w:rsidR="00E84E57">
        <w:rPr>
          <w:rFonts w:ascii="Century" w:hAnsi="Century" w:cs="Arabic Typesetting"/>
          <w:sz w:val="24"/>
          <w:szCs w:val="24"/>
        </w:rPr>
        <w:t xml:space="preserve">As Wit J </w:t>
      </w:r>
      <w:r w:rsidR="00AB5540">
        <w:rPr>
          <w:rFonts w:ascii="Century" w:hAnsi="Century" w:cs="Arabic Typesetting"/>
          <w:sz w:val="24"/>
          <w:szCs w:val="24"/>
        </w:rPr>
        <w:t>stated</w:t>
      </w:r>
      <w:r w:rsidR="00E84E57">
        <w:rPr>
          <w:rFonts w:ascii="Century" w:hAnsi="Century" w:cs="Arabic Typesetting"/>
          <w:sz w:val="24"/>
          <w:szCs w:val="24"/>
        </w:rPr>
        <w:t xml:space="preserve"> in </w:t>
      </w:r>
      <w:r w:rsidR="00E84E57" w:rsidRPr="008F453F">
        <w:rPr>
          <w:rFonts w:ascii="Century" w:hAnsi="Century" w:cs="Arabic Typesetting"/>
          <w:b/>
          <w:sz w:val="24"/>
          <w:szCs w:val="24"/>
        </w:rPr>
        <w:t>AG v Joseph</w:t>
      </w:r>
      <w:r w:rsidR="00E84E57">
        <w:rPr>
          <w:rFonts w:ascii="Century" w:hAnsi="Century" w:cs="Arabic Typesetting"/>
          <w:sz w:val="24"/>
          <w:szCs w:val="24"/>
        </w:rPr>
        <w:t>, ‘the law cannot rule if it cannot protect</w:t>
      </w:r>
      <w:r w:rsidR="00505C3D">
        <w:rPr>
          <w:rFonts w:ascii="Century" w:hAnsi="Century" w:cs="Arabic Typesetting"/>
          <w:sz w:val="24"/>
          <w:szCs w:val="24"/>
        </w:rPr>
        <w:t>’</w:t>
      </w:r>
      <w:r w:rsidR="00E84E57">
        <w:rPr>
          <w:rFonts w:ascii="Century" w:hAnsi="Century" w:cs="Arabic Typesetting"/>
          <w:sz w:val="24"/>
          <w:szCs w:val="24"/>
        </w:rPr>
        <w:t>.</w:t>
      </w:r>
      <w:r w:rsidR="00E84E57">
        <w:rPr>
          <w:rStyle w:val="FootnoteReference"/>
          <w:rFonts w:ascii="Century" w:hAnsi="Century" w:cs="Arabic Typesetting"/>
          <w:sz w:val="24"/>
          <w:szCs w:val="24"/>
        </w:rPr>
        <w:footnoteReference w:id="35"/>
      </w:r>
    </w:p>
    <w:p w:rsidR="0083248B" w:rsidRDefault="0083248B" w:rsidP="00517E3E">
      <w:pPr>
        <w:spacing w:line="360" w:lineRule="auto"/>
        <w:jc w:val="both"/>
        <w:rPr>
          <w:rFonts w:ascii="Century" w:hAnsi="Century" w:cs="Arabic Typesetting"/>
          <w:sz w:val="24"/>
          <w:szCs w:val="24"/>
        </w:rPr>
      </w:pPr>
    </w:p>
    <w:p w:rsidR="005B5219" w:rsidRPr="00F32CF2" w:rsidRDefault="001964A0" w:rsidP="00517E3E">
      <w:pPr>
        <w:spacing w:line="360" w:lineRule="auto"/>
        <w:jc w:val="both"/>
        <w:rPr>
          <w:rFonts w:ascii="Century" w:hAnsi="Century" w:cs="Arabic Typesetting"/>
          <w:sz w:val="24"/>
          <w:szCs w:val="24"/>
        </w:rPr>
      </w:pPr>
      <w:r>
        <w:rPr>
          <w:rFonts w:ascii="Century" w:hAnsi="Century" w:cs="Arabic Typesetting"/>
          <w:sz w:val="24"/>
          <w:szCs w:val="24"/>
        </w:rPr>
        <w:t>Being governed under laws that are unintelligent, unclear and unpredictable ha</w:t>
      </w:r>
      <w:r w:rsidR="00816536">
        <w:rPr>
          <w:rFonts w:ascii="Century" w:hAnsi="Century" w:cs="Arabic Typesetting"/>
          <w:sz w:val="24"/>
          <w:szCs w:val="24"/>
        </w:rPr>
        <w:t>s</w:t>
      </w:r>
      <w:r>
        <w:rPr>
          <w:rFonts w:ascii="Century" w:hAnsi="Century" w:cs="Arabic Typesetting"/>
          <w:sz w:val="24"/>
          <w:szCs w:val="24"/>
        </w:rPr>
        <w:t xml:space="preserve"> been</w:t>
      </w:r>
      <w:r w:rsidR="00816536">
        <w:rPr>
          <w:rFonts w:ascii="Century" w:hAnsi="Century" w:cs="Arabic Typesetting"/>
          <w:sz w:val="24"/>
          <w:szCs w:val="24"/>
        </w:rPr>
        <w:t xml:space="preserve"> described by</w:t>
      </w:r>
      <w:r w:rsidR="00FB0DAA">
        <w:rPr>
          <w:rFonts w:ascii="Century" w:hAnsi="Century" w:cs="Arabic Typesetting"/>
          <w:sz w:val="24"/>
          <w:szCs w:val="24"/>
        </w:rPr>
        <w:t xml:space="preserve"> </w:t>
      </w:r>
      <w:r w:rsidR="00FB0DAA" w:rsidRPr="00F32CF2">
        <w:rPr>
          <w:rFonts w:ascii="Century" w:hAnsi="Century" w:cs="Arabic Typesetting"/>
          <w:sz w:val="24"/>
          <w:szCs w:val="24"/>
        </w:rPr>
        <w:t>Lord Simon</w:t>
      </w:r>
      <w:r w:rsidR="00816536" w:rsidRPr="00816536">
        <w:rPr>
          <w:rFonts w:ascii="Century" w:hAnsi="Century" w:cs="Arabic Typesetting"/>
          <w:sz w:val="24"/>
          <w:szCs w:val="24"/>
        </w:rPr>
        <w:t xml:space="preserve"> </w:t>
      </w:r>
      <w:r>
        <w:rPr>
          <w:rFonts w:ascii="Century" w:hAnsi="Century" w:cs="Arabic Typesetting"/>
          <w:sz w:val="24"/>
          <w:szCs w:val="24"/>
        </w:rPr>
        <w:t>as</w:t>
      </w:r>
      <w:r w:rsidR="007F5522">
        <w:rPr>
          <w:rFonts w:ascii="Century" w:hAnsi="Century" w:cs="Arabic Typesetting"/>
          <w:sz w:val="24"/>
          <w:szCs w:val="24"/>
        </w:rPr>
        <w:t xml:space="preserve"> </w:t>
      </w:r>
      <w:r w:rsidR="00FB0DAA">
        <w:rPr>
          <w:rFonts w:ascii="Century" w:hAnsi="Century" w:cs="Arabic Typesetting"/>
          <w:sz w:val="24"/>
          <w:szCs w:val="24"/>
        </w:rPr>
        <w:t>living under</w:t>
      </w:r>
      <w:r w:rsidR="003E3B44">
        <w:rPr>
          <w:rFonts w:ascii="Century" w:hAnsi="Century" w:cs="Arabic Typesetting"/>
          <w:sz w:val="24"/>
          <w:szCs w:val="24"/>
        </w:rPr>
        <w:t xml:space="preserve"> the</w:t>
      </w:r>
      <w:r w:rsidR="00FB0DAA" w:rsidRPr="00F32CF2">
        <w:rPr>
          <w:rFonts w:ascii="Century" w:hAnsi="Century" w:cs="Arabic Typesetting"/>
          <w:sz w:val="24"/>
          <w:szCs w:val="24"/>
        </w:rPr>
        <w:t xml:space="preserve"> </w:t>
      </w:r>
      <w:r w:rsidR="00FB0DAA">
        <w:rPr>
          <w:rFonts w:ascii="Century" w:hAnsi="Century" w:cs="Arabic Typesetting"/>
          <w:sz w:val="24"/>
          <w:szCs w:val="24"/>
        </w:rPr>
        <w:t>‘</w:t>
      </w:r>
      <w:r w:rsidR="00FB0DAA" w:rsidRPr="00F32CF2">
        <w:rPr>
          <w:rFonts w:ascii="Century" w:hAnsi="Century" w:cs="Arabic Typesetting"/>
          <w:sz w:val="24"/>
          <w:szCs w:val="24"/>
        </w:rPr>
        <w:t xml:space="preserve">Rule of Lottery, not of </w:t>
      </w:r>
      <w:r w:rsidR="00CC6303">
        <w:rPr>
          <w:rFonts w:ascii="Century" w:hAnsi="Century" w:cs="Arabic Typesetting"/>
          <w:sz w:val="24"/>
          <w:szCs w:val="24"/>
        </w:rPr>
        <w:t>l</w:t>
      </w:r>
      <w:r w:rsidR="00FB0DAA" w:rsidRPr="00F32CF2">
        <w:rPr>
          <w:rFonts w:ascii="Century" w:hAnsi="Century" w:cs="Arabic Typesetting"/>
          <w:sz w:val="24"/>
          <w:szCs w:val="24"/>
        </w:rPr>
        <w:t>aw’.</w:t>
      </w:r>
      <w:r w:rsidR="00FB0DAA" w:rsidRPr="00F32CF2">
        <w:rPr>
          <w:rStyle w:val="FootnoteReference"/>
          <w:rFonts w:ascii="Century" w:hAnsi="Century" w:cs="Arabic Typesetting"/>
          <w:sz w:val="24"/>
          <w:szCs w:val="24"/>
        </w:rPr>
        <w:footnoteReference w:id="36"/>
      </w:r>
      <w:r w:rsidR="00FB0DAA" w:rsidRPr="00F32CF2">
        <w:rPr>
          <w:rFonts w:ascii="Century" w:hAnsi="Century" w:cs="Arabic Typesetting"/>
          <w:sz w:val="24"/>
          <w:szCs w:val="24"/>
        </w:rPr>
        <w:t xml:space="preserve"> </w:t>
      </w:r>
      <w:r w:rsidR="00FB0DAA">
        <w:rPr>
          <w:rFonts w:ascii="Century" w:hAnsi="Century" w:cs="Arabic Typesetting"/>
          <w:sz w:val="24"/>
          <w:szCs w:val="24"/>
        </w:rPr>
        <w:t xml:space="preserve">This means that society would be governed by uncertain laws and the government in essence would be gambling with citizens’ lives. </w:t>
      </w:r>
      <w:r w:rsidR="001F2525">
        <w:rPr>
          <w:rFonts w:ascii="Century" w:hAnsi="Century" w:cs="Arabic Typesetting"/>
          <w:sz w:val="24"/>
          <w:szCs w:val="24"/>
        </w:rPr>
        <w:t>As Barwick CJ i</w:t>
      </w:r>
      <w:r w:rsidR="004559C6" w:rsidRPr="00F32CF2">
        <w:rPr>
          <w:rFonts w:ascii="Century" w:hAnsi="Century" w:cs="Arabic Typesetting"/>
          <w:sz w:val="24"/>
          <w:szCs w:val="24"/>
        </w:rPr>
        <w:t>n</w:t>
      </w:r>
      <w:r w:rsidR="004917F0" w:rsidRPr="00F32CF2">
        <w:rPr>
          <w:rFonts w:ascii="Century" w:hAnsi="Century" w:cs="Arabic Typesetting"/>
          <w:sz w:val="24"/>
          <w:szCs w:val="24"/>
        </w:rPr>
        <w:t xml:space="preserve"> </w:t>
      </w:r>
      <w:r w:rsidR="004917F0" w:rsidRPr="00F32CF2">
        <w:rPr>
          <w:rFonts w:ascii="Century" w:hAnsi="Century" w:cs="Arabic Typesetting"/>
          <w:b/>
          <w:sz w:val="24"/>
          <w:szCs w:val="24"/>
        </w:rPr>
        <w:t>Watson v Lee</w:t>
      </w:r>
      <w:r w:rsidR="00E50465" w:rsidRPr="00F32CF2">
        <w:rPr>
          <w:rFonts w:ascii="Century" w:hAnsi="Century" w:cs="Arabic Typesetting"/>
          <w:b/>
          <w:sz w:val="24"/>
          <w:szCs w:val="24"/>
        </w:rPr>
        <w:t xml:space="preserve"> </w:t>
      </w:r>
      <w:r w:rsidR="008E01EB">
        <w:rPr>
          <w:rFonts w:ascii="Century" w:hAnsi="Century" w:cs="Arabic Typesetting"/>
          <w:sz w:val="24"/>
          <w:szCs w:val="24"/>
        </w:rPr>
        <w:t>stated</w:t>
      </w:r>
      <w:r w:rsidR="00E50465" w:rsidRPr="00F32CF2">
        <w:rPr>
          <w:rFonts w:ascii="Century" w:hAnsi="Century" w:cs="Arabic Typesetting"/>
          <w:sz w:val="24"/>
          <w:szCs w:val="24"/>
        </w:rPr>
        <w:t xml:space="preserve"> </w:t>
      </w:r>
      <w:r w:rsidR="008E01EB">
        <w:rPr>
          <w:rFonts w:ascii="Century" w:hAnsi="Century" w:cs="Arabic Typesetting"/>
          <w:sz w:val="24"/>
          <w:szCs w:val="24"/>
        </w:rPr>
        <w:t>‘</w:t>
      </w:r>
      <w:r w:rsidR="000B4EA6">
        <w:rPr>
          <w:rFonts w:ascii="Century" w:hAnsi="Century" w:cs="Arabic Typesetting"/>
          <w:sz w:val="24"/>
          <w:szCs w:val="24"/>
        </w:rPr>
        <w:t>T</w:t>
      </w:r>
      <w:r w:rsidR="004917F0" w:rsidRPr="00F32CF2">
        <w:rPr>
          <w:rFonts w:ascii="Century" w:hAnsi="Century" w:cs="Arabic Typesetting"/>
          <w:sz w:val="24"/>
          <w:szCs w:val="24"/>
        </w:rPr>
        <w:t>o bind the citizen by a law, the terms of which he has no means of know</w:t>
      </w:r>
      <w:r w:rsidR="008E01EB">
        <w:rPr>
          <w:rFonts w:ascii="Century" w:hAnsi="Century" w:cs="Arabic Typesetting"/>
          <w:sz w:val="24"/>
          <w:szCs w:val="24"/>
        </w:rPr>
        <w:t>ing, would be a mark of tyranny’</w:t>
      </w:r>
      <w:r w:rsidR="000B4EA6">
        <w:rPr>
          <w:rFonts w:ascii="Century" w:hAnsi="Century" w:cs="Arabic Typesetting"/>
          <w:sz w:val="24"/>
          <w:szCs w:val="24"/>
        </w:rPr>
        <w:t>.</w:t>
      </w:r>
      <w:r w:rsidR="004917F0" w:rsidRPr="00F32CF2">
        <w:rPr>
          <w:rStyle w:val="FootnoteReference"/>
          <w:rFonts w:ascii="Century" w:hAnsi="Century" w:cs="Arabic Typesetting"/>
          <w:sz w:val="24"/>
          <w:szCs w:val="24"/>
        </w:rPr>
        <w:footnoteReference w:id="37"/>
      </w:r>
      <w:r w:rsidR="004917F0" w:rsidRPr="00F32CF2">
        <w:rPr>
          <w:rFonts w:ascii="Century" w:hAnsi="Century" w:cs="Arabic Typesetting"/>
          <w:sz w:val="24"/>
          <w:szCs w:val="24"/>
        </w:rPr>
        <w:t xml:space="preserve"> This similar sentiment </w:t>
      </w:r>
      <w:r w:rsidR="00985AA3">
        <w:rPr>
          <w:rFonts w:ascii="Century" w:hAnsi="Century" w:cs="Arabic Typesetting"/>
          <w:sz w:val="24"/>
          <w:szCs w:val="24"/>
        </w:rPr>
        <w:t xml:space="preserve">has been expressed by </w:t>
      </w:r>
      <w:r w:rsidR="004917F0" w:rsidRPr="00F32CF2">
        <w:rPr>
          <w:rFonts w:ascii="Century" w:hAnsi="Century" w:cs="Arabic Typesetting"/>
          <w:sz w:val="24"/>
          <w:szCs w:val="24"/>
        </w:rPr>
        <w:t>Xanthaki who remarked that ‘Unclear laws are the worst form of tyranny’.</w:t>
      </w:r>
      <w:r w:rsidR="004917F0" w:rsidRPr="00F32CF2">
        <w:rPr>
          <w:rStyle w:val="FootnoteReference"/>
          <w:rFonts w:ascii="Century" w:hAnsi="Century" w:cs="Arabic Typesetting"/>
          <w:sz w:val="24"/>
          <w:szCs w:val="24"/>
        </w:rPr>
        <w:footnoteReference w:id="38"/>
      </w:r>
      <w:r w:rsidR="004917F0" w:rsidRPr="00F32CF2">
        <w:rPr>
          <w:rFonts w:ascii="Century" w:hAnsi="Century" w:cs="Arabic Typesetting"/>
          <w:sz w:val="24"/>
          <w:szCs w:val="24"/>
        </w:rPr>
        <w:t xml:space="preserve"> </w:t>
      </w:r>
      <w:r w:rsidR="001F2525">
        <w:rPr>
          <w:rFonts w:ascii="Century" w:hAnsi="Century" w:cs="Arabic Typesetting"/>
          <w:sz w:val="24"/>
          <w:szCs w:val="24"/>
        </w:rPr>
        <w:t xml:space="preserve">Likewise, </w:t>
      </w:r>
      <w:r w:rsidR="009469A5" w:rsidRPr="00F32CF2">
        <w:rPr>
          <w:rFonts w:ascii="Century" w:hAnsi="Century" w:cs="Arabic Typesetting"/>
          <w:sz w:val="24"/>
          <w:szCs w:val="24"/>
        </w:rPr>
        <w:t>Ng</w:t>
      </w:r>
      <w:r w:rsidR="00D82397">
        <w:rPr>
          <w:rFonts w:ascii="Century" w:hAnsi="Century" w:cs="Arabic Typesetting"/>
          <w:sz w:val="24"/>
          <w:szCs w:val="24"/>
        </w:rPr>
        <w:t xml:space="preserve"> notes</w:t>
      </w:r>
      <w:r w:rsidR="00142F02">
        <w:rPr>
          <w:rFonts w:ascii="Century" w:hAnsi="Century" w:cs="Arabic Typesetting"/>
          <w:sz w:val="24"/>
          <w:szCs w:val="24"/>
        </w:rPr>
        <w:t>,</w:t>
      </w:r>
      <w:r w:rsidR="009469A5" w:rsidRPr="00F32CF2">
        <w:rPr>
          <w:rFonts w:ascii="Century" w:hAnsi="Century" w:cs="Arabic Typesetting"/>
          <w:sz w:val="24"/>
          <w:szCs w:val="24"/>
        </w:rPr>
        <w:t xml:space="preserve"> ‘If the law is meant to be obeyed other than as an instrument of tyranny, then it must be based on consensus, and to be based on consensus, </w:t>
      </w:r>
      <w:r w:rsidR="009469A5" w:rsidRPr="00F32CF2">
        <w:rPr>
          <w:rFonts w:ascii="Century" w:hAnsi="Century" w:cs="Arabic Typesetting"/>
          <w:sz w:val="24"/>
          <w:szCs w:val="24"/>
        </w:rPr>
        <w:lastRenderedPageBreak/>
        <w:t>it must first be understood’.</w:t>
      </w:r>
      <w:r w:rsidR="009469A5" w:rsidRPr="00F32CF2">
        <w:rPr>
          <w:rFonts w:ascii="Century" w:hAnsi="Century" w:cs="Arabic Typesetting"/>
          <w:sz w:val="24"/>
          <w:szCs w:val="24"/>
          <w:vertAlign w:val="superscript"/>
        </w:rPr>
        <w:footnoteReference w:id="39"/>
      </w:r>
      <w:r w:rsidR="009469A5" w:rsidRPr="00F32CF2">
        <w:rPr>
          <w:rFonts w:ascii="Century" w:hAnsi="Century" w:cs="Arabic Typesetting"/>
          <w:sz w:val="24"/>
          <w:szCs w:val="24"/>
        </w:rPr>
        <w:t xml:space="preserve"> </w:t>
      </w:r>
      <w:r w:rsidR="006A62A4" w:rsidRPr="001961DB">
        <w:rPr>
          <w:rFonts w:ascii="Century" w:hAnsi="Century" w:cs="Arabic Typesetting"/>
          <w:sz w:val="24"/>
          <w:szCs w:val="24"/>
        </w:rPr>
        <w:t>Seidman et al paint a grave picture of how unclear laws affect ci</w:t>
      </w:r>
      <w:r w:rsidR="00517E3E">
        <w:rPr>
          <w:rFonts w:ascii="Century" w:hAnsi="Century" w:cs="Arabic Typesetting"/>
          <w:sz w:val="24"/>
          <w:szCs w:val="24"/>
        </w:rPr>
        <w:t>tizens. The authors write that ‘</w:t>
      </w:r>
      <w:r w:rsidR="001F2525" w:rsidRPr="001961DB">
        <w:rPr>
          <w:rFonts w:ascii="Century" w:hAnsi="Century" w:cs="Arabic Typesetting"/>
          <w:sz w:val="24"/>
          <w:szCs w:val="24"/>
        </w:rPr>
        <w:t>vagu</w:t>
      </w:r>
      <w:r w:rsidR="00D646FD">
        <w:rPr>
          <w:rFonts w:ascii="Century" w:hAnsi="Century" w:cs="Arabic Typesetting"/>
          <w:sz w:val="24"/>
          <w:szCs w:val="24"/>
        </w:rPr>
        <w:t>ely or ambiguously</w:t>
      </w:r>
      <w:r w:rsidR="00517E3E">
        <w:rPr>
          <w:rFonts w:ascii="Century" w:hAnsi="Century" w:cs="Arabic Typesetting"/>
          <w:sz w:val="24"/>
          <w:szCs w:val="24"/>
        </w:rPr>
        <w:t>’ written laws result in the moral decay of society, stifle</w:t>
      </w:r>
      <w:r w:rsidR="000F1317">
        <w:rPr>
          <w:rFonts w:ascii="Century" w:hAnsi="Century" w:cs="Arabic Typesetting"/>
          <w:sz w:val="24"/>
          <w:szCs w:val="24"/>
        </w:rPr>
        <w:t>s</w:t>
      </w:r>
      <w:r w:rsidR="00517E3E">
        <w:rPr>
          <w:rFonts w:ascii="Century" w:hAnsi="Century" w:cs="Arabic Typesetting"/>
          <w:sz w:val="24"/>
          <w:szCs w:val="24"/>
        </w:rPr>
        <w:t xml:space="preserve"> ‘</w:t>
      </w:r>
      <w:r w:rsidR="006A62A4" w:rsidRPr="001961DB">
        <w:rPr>
          <w:rFonts w:ascii="Century" w:hAnsi="Century" w:cs="Arabic Typesetting"/>
          <w:sz w:val="24"/>
          <w:szCs w:val="24"/>
        </w:rPr>
        <w:t>development and good governance</w:t>
      </w:r>
      <w:r w:rsidR="00517E3E">
        <w:rPr>
          <w:rFonts w:ascii="Century" w:hAnsi="Century" w:cs="Arabic Typesetting"/>
          <w:sz w:val="24"/>
          <w:szCs w:val="24"/>
        </w:rPr>
        <w:t>’ and results in</w:t>
      </w:r>
      <w:r w:rsidR="006A62A4" w:rsidRPr="001961DB">
        <w:rPr>
          <w:rFonts w:ascii="Century" w:hAnsi="Century" w:cs="Arabic Typesetting"/>
          <w:sz w:val="24"/>
          <w:szCs w:val="24"/>
        </w:rPr>
        <w:t xml:space="preserve"> </w:t>
      </w:r>
      <w:r w:rsidR="00517E3E">
        <w:rPr>
          <w:rFonts w:ascii="Century" w:hAnsi="Century" w:cs="Arabic Typesetting"/>
          <w:sz w:val="24"/>
          <w:szCs w:val="24"/>
        </w:rPr>
        <w:t>‘</w:t>
      </w:r>
      <w:r w:rsidR="00D646FD">
        <w:rPr>
          <w:rFonts w:ascii="Century" w:hAnsi="Century" w:cs="Arabic Typesetting"/>
          <w:sz w:val="24"/>
          <w:szCs w:val="24"/>
        </w:rPr>
        <w:t>kleptocracy</w:t>
      </w:r>
      <w:r w:rsidR="00517E3E">
        <w:rPr>
          <w:rFonts w:ascii="Century" w:hAnsi="Century" w:cs="Arabic Typesetting"/>
          <w:sz w:val="24"/>
          <w:szCs w:val="24"/>
        </w:rPr>
        <w:t>’</w:t>
      </w:r>
      <w:r w:rsidR="006A62A4" w:rsidRPr="001961DB">
        <w:rPr>
          <w:rFonts w:ascii="Century" w:hAnsi="Century" w:cs="Arabic Typesetting"/>
          <w:sz w:val="24"/>
          <w:szCs w:val="24"/>
        </w:rPr>
        <w:t>.</w:t>
      </w:r>
      <w:r w:rsidR="00706215" w:rsidRPr="001961DB">
        <w:rPr>
          <w:rStyle w:val="FootnoteReference"/>
          <w:rFonts w:ascii="Century" w:hAnsi="Century" w:cs="Arabic Typesetting"/>
          <w:sz w:val="24"/>
          <w:szCs w:val="24"/>
        </w:rPr>
        <w:footnoteReference w:id="40"/>
      </w:r>
      <w:r w:rsidR="00FB0DAA">
        <w:rPr>
          <w:rFonts w:ascii="Century" w:hAnsi="Century" w:cs="Arabic Typesetting"/>
          <w:sz w:val="24"/>
          <w:szCs w:val="24"/>
        </w:rPr>
        <w:t xml:space="preserve"> </w:t>
      </w:r>
    </w:p>
    <w:p w:rsidR="001F2525" w:rsidRDefault="001F2525" w:rsidP="00F70B4C">
      <w:pPr>
        <w:spacing w:line="360" w:lineRule="auto"/>
        <w:jc w:val="both"/>
        <w:rPr>
          <w:rFonts w:ascii="Century" w:hAnsi="Century" w:cs="Arabic Typesetting"/>
          <w:sz w:val="24"/>
          <w:szCs w:val="24"/>
        </w:rPr>
      </w:pPr>
    </w:p>
    <w:p w:rsidR="00805BFB" w:rsidRDefault="00912A12" w:rsidP="00805BFB">
      <w:pPr>
        <w:spacing w:line="360" w:lineRule="auto"/>
        <w:jc w:val="both"/>
        <w:rPr>
          <w:rFonts w:ascii="Century" w:hAnsi="Century" w:cs="Arabic Typesetting"/>
          <w:sz w:val="24"/>
          <w:szCs w:val="24"/>
        </w:rPr>
      </w:pPr>
      <w:r>
        <w:rPr>
          <w:rFonts w:ascii="Century" w:hAnsi="Century" w:cs="Arabic Typesetting"/>
          <w:sz w:val="24"/>
          <w:szCs w:val="24"/>
        </w:rPr>
        <w:t xml:space="preserve">Subjecting citizens to incomprehensible laws is abhorrent </w:t>
      </w:r>
      <w:r w:rsidR="00C033CA">
        <w:rPr>
          <w:rFonts w:ascii="Century" w:hAnsi="Century" w:cs="Arabic Typesetting"/>
          <w:sz w:val="24"/>
          <w:szCs w:val="24"/>
        </w:rPr>
        <w:t>and described</w:t>
      </w:r>
      <w:r>
        <w:rPr>
          <w:rFonts w:ascii="Century" w:hAnsi="Century" w:cs="Arabic Typesetting"/>
          <w:sz w:val="24"/>
          <w:szCs w:val="24"/>
        </w:rPr>
        <w:t xml:space="preserve"> as tyrannous </w:t>
      </w:r>
      <w:r w:rsidR="00805BFB" w:rsidRPr="00F32CF2">
        <w:rPr>
          <w:rFonts w:ascii="Century" w:hAnsi="Century" w:cs="Arabic Typesetting"/>
          <w:sz w:val="24"/>
          <w:szCs w:val="24"/>
        </w:rPr>
        <w:t xml:space="preserve">because whether </w:t>
      </w:r>
      <w:r w:rsidR="007B2110">
        <w:rPr>
          <w:rFonts w:ascii="Century" w:hAnsi="Century" w:cs="Arabic Typesetting"/>
          <w:sz w:val="24"/>
          <w:szCs w:val="24"/>
        </w:rPr>
        <w:t>citizens</w:t>
      </w:r>
      <w:r w:rsidR="00805BFB" w:rsidRPr="00F32CF2">
        <w:rPr>
          <w:rFonts w:ascii="Century" w:hAnsi="Century" w:cs="Arabic Typesetting"/>
          <w:sz w:val="24"/>
          <w:szCs w:val="24"/>
        </w:rPr>
        <w:t xml:space="preserve"> understand the law or not non-compliance results in punishment</w:t>
      </w:r>
      <w:r w:rsidR="00805BFB">
        <w:rPr>
          <w:rFonts w:ascii="Century" w:hAnsi="Century" w:cs="Arabic Typesetting"/>
          <w:sz w:val="24"/>
          <w:szCs w:val="24"/>
        </w:rPr>
        <w:t xml:space="preserve">. </w:t>
      </w:r>
      <w:r w:rsidR="001C0B68">
        <w:rPr>
          <w:rFonts w:ascii="Century" w:hAnsi="Century" w:cs="Arabic Typesetting"/>
          <w:sz w:val="24"/>
          <w:szCs w:val="24"/>
        </w:rPr>
        <w:t>It is because l</w:t>
      </w:r>
      <w:r w:rsidR="00C0467C">
        <w:rPr>
          <w:rFonts w:ascii="Century" w:hAnsi="Century" w:cs="Arabic Typesetting"/>
          <w:sz w:val="24"/>
          <w:szCs w:val="24"/>
        </w:rPr>
        <w:t>aws are intrusive</w:t>
      </w:r>
      <w:r w:rsidR="001C0B68">
        <w:rPr>
          <w:rFonts w:ascii="Century" w:hAnsi="Century" w:cs="Arabic Typesetting"/>
          <w:sz w:val="24"/>
          <w:szCs w:val="24"/>
        </w:rPr>
        <w:t xml:space="preserve"> and binding</w:t>
      </w:r>
      <w:r w:rsidR="00C0467C">
        <w:rPr>
          <w:rFonts w:ascii="Century" w:hAnsi="Century" w:cs="Arabic Typesetting"/>
          <w:sz w:val="24"/>
          <w:szCs w:val="24"/>
        </w:rPr>
        <w:t xml:space="preserve"> </w:t>
      </w:r>
      <w:r w:rsidR="001C0B68">
        <w:rPr>
          <w:rFonts w:ascii="Century" w:hAnsi="Century" w:cs="Arabic Typesetting"/>
          <w:sz w:val="24"/>
          <w:szCs w:val="24"/>
        </w:rPr>
        <w:t>that</w:t>
      </w:r>
      <w:r w:rsidR="00C0467C">
        <w:rPr>
          <w:rFonts w:ascii="Century" w:hAnsi="Century" w:cs="Arabic Typesetting"/>
          <w:sz w:val="24"/>
          <w:szCs w:val="24"/>
        </w:rPr>
        <w:t xml:space="preserve"> </w:t>
      </w:r>
      <w:r w:rsidR="009A4856">
        <w:rPr>
          <w:rFonts w:ascii="Century" w:hAnsi="Century" w:cs="Arabic Typesetting"/>
          <w:sz w:val="24"/>
          <w:szCs w:val="24"/>
        </w:rPr>
        <w:t>citizens</w:t>
      </w:r>
      <w:r w:rsidR="00C0467C" w:rsidRPr="00F32CF2">
        <w:rPr>
          <w:rFonts w:ascii="Century" w:hAnsi="Century" w:cs="Arabic Typesetting"/>
          <w:sz w:val="24"/>
          <w:szCs w:val="24"/>
        </w:rPr>
        <w:t xml:space="preserve"> </w:t>
      </w:r>
      <w:r w:rsidR="001C0B68">
        <w:rPr>
          <w:rFonts w:ascii="Century" w:hAnsi="Century" w:cs="Arabic Typesetting"/>
          <w:sz w:val="24"/>
          <w:szCs w:val="24"/>
        </w:rPr>
        <w:t>must know</w:t>
      </w:r>
      <w:r w:rsidR="00C0467C" w:rsidRPr="00F32CF2">
        <w:rPr>
          <w:rFonts w:ascii="Century" w:hAnsi="Century" w:cs="Arabic Typesetting"/>
          <w:sz w:val="24"/>
          <w:szCs w:val="24"/>
        </w:rPr>
        <w:t xml:space="preserve"> what the law is so that they can conduct themselves within </w:t>
      </w:r>
      <w:r w:rsidR="008E57FA">
        <w:rPr>
          <w:rFonts w:ascii="Century" w:hAnsi="Century" w:cs="Arabic Typesetting"/>
          <w:sz w:val="24"/>
          <w:szCs w:val="24"/>
        </w:rPr>
        <w:t xml:space="preserve">its </w:t>
      </w:r>
      <w:r w:rsidR="00C0467C" w:rsidRPr="00F32CF2">
        <w:rPr>
          <w:rFonts w:ascii="Century" w:hAnsi="Century" w:cs="Arabic Typesetting"/>
          <w:sz w:val="24"/>
          <w:szCs w:val="24"/>
        </w:rPr>
        <w:t>confines.</w:t>
      </w:r>
      <w:r w:rsidR="00C0467C" w:rsidRPr="00F32CF2">
        <w:rPr>
          <w:rStyle w:val="FootnoteReference"/>
          <w:rFonts w:ascii="Century" w:hAnsi="Century" w:cs="Arabic Typesetting"/>
          <w:sz w:val="24"/>
          <w:szCs w:val="24"/>
        </w:rPr>
        <w:footnoteReference w:id="41"/>
      </w:r>
      <w:r w:rsidR="00805BFB">
        <w:rPr>
          <w:rFonts w:ascii="Century" w:hAnsi="Century" w:cs="Arabic Typesetting"/>
          <w:sz w:val="24"/>
          <w:szCs w:val="24"/>
        </w:rPr>
        <w:t>When laws are not ‘</w:t>
      </w:r>
      <w:r w:rsidR="000C2814">
        <w:rPr>
          <w:rFonts w:ascii="Century" w:hAnsi="Century" w:cs="Arabic Typesetting"/>
          <w:sz w:val="24"/>
          <w:szCs w:val="24"/>
        </w:rPr>
        <w:t xml:space="preserve">open and accessible, </w:t>
      </w:r>
      <w:r w:rsidR="00805BFB">
        <w:rPr>
          <w:rFonts w:ascii="Century" w:hAnsi="Century" w:cs="Arabic Typesetting"/>
          <w:sz w:val="24"/>
          <w:szCs w:val="24"/>
        </w:rPr>
        <w:t>clear and certain’</w:t>
      </w:r>
      <w:r w:rsidR="00805BFB" w:rsidRPr="00F32CF2">
        <w:rPr>
          <w:rStyle w:val="FootnoteReference"/>
          <w:rFonts w:ascii="Century" w:hAnsi="Century" w:cs="Arabic Typesetting"/>
          <w:sz w:val="24"/>
          <w:szCs w:val="24"/>
        </w:rPr>
        <w:footnoteReference w:id="42"/>
      </w:r>
      <w:r w:rsidR="00805BFB" w:rsidRPr="00F32CF2">
        <w:rPr>
          <w:rFonts w:ascii="Century" w:hAnsi="Century" w:cs="Arabic Typesetting"/>
          <w:sz w:val="24"/>
          <w:szCs w:val="24"/>
        </w:rPr>
        <w:t xml:space="preserve"> </w:t>
      </w:r>
      <w:r w:rsidR="00805BFB">
        <w:rPr>
          <w:rFonts w:ascii="Century" w:hAnsi="Century" w:cs="Arabic Typesetting"/>
          <w:sz w:val="24"/>
          <w:szCs w:val="24"/>
        </w:rPr>
        <w:t xml:space="preserve">then </w:t>
      </w:r>
      <w:r w:rsidR="00805BFB" w:rsidRPr="00F32CF2">
        <w:rPr>
          <w:rFonts w:ascii="Century" w:hAnsi="Century" w:cs="Arabic Typesetting"/>
          <w:sz w:val="24"/>
          <w:szCs w:val="24"/>
        </w:rPr>
        <w:t>there is a great possibility that persons would not comply.</w:t>
      </w:r>
      <w:r w:rsidR="00805BFB" w:rsidRPr="00F32CF2">
        <w:rPr>
          <w:rStyle w:val="FootnoteReference"/>
          <w:rFonts w:ascii="Century" w:hAnsi="Century" w:cs="Arabic Typesetting"/>
          <w:sz w:val="24"/>
          <w:szCs w:val="24"/>
        </w:rPr>
        <w:footnoteReference w:id="43"/>
      </w:r>
      <w:r w:rsidR="00805BFB">
        <w:rPr>
          <w:rFonts w:ascii="Century" w:hAnsi="Century" w:cs="Arabic Typesetting"/>
          <w:sz w:val="24"/>
          <w:szCs w:val="24"/>
        </w:rPr>
        <w:t xml:space="preserve"> </w:t>
      </w:r>
      <w:r w:rsidR="00151864">
        <w:rPr>
          <w:rFonts w:ascii="Century" w:hAnsi="Century" w:cs="Arabic Typesetting"/>
          <w:sz w:val="24"/>
          <w:szCs w:val="24"/>
        </w:rPr>
        <w:t>For Fuller persons would have no ‘moral obligation to obey’ laws they do not understand and this would result in failure of the legal system.</w:t>
      </w:r>
      <w:r w:rsidR="00151864">
        <w:rPr>
          <w:rStyle w:val="FootnoteReference"/>
          <w:rFonts w:ascii="Century" w:hAnsi="Century" w:cs="Arabic Typesetting"/>
          <w:sz w:val="24"/>
          <w:szCs w:val="24"/>
        </w:rPr>
        <w:footnoteReference w:id="44"/>
      </w:r>
      <w:r w:rsidR="00151864">
        <w:rPr>
          <w:rFonts w:ascii="Century" w:hAnsi="Century" w:cs="Arabic Typesetting"/>
          <w:sz w:val="24"/>
          <w:szCs w:val="24"/>
        </w:rPr>
        <w:t xml:space="preserve"> </w:t>
      </w:r>
      <w:r w:rsidR="00277DA9">
        <w:rPr>
          <w:rFonts w:ascii="Century" w:hAnsi="Century" w:cs="Arabic Typesetting"/>
          <w:sz w:val="24"/>
          <w:szCs w:val="24"/>
        </w:rPr>
        <w:t xml:space="preserve">Similarly, </w:t>
      </w:r>
      <w:r w:rsidR="002B395B">
        <w:rPr>
          <w:rFonts w:ascii="Century" w:hAnsi="Century" w:cs="Arabic Typesetting"/>
          <w:sz w:val="24"/>
          <w:szCs w:val="24"/>
        </w:rPr>
        <w:t>Sullivan</w:t>
      </w:r>
      <w:r w:rsidR="00277DA9">
        <w:rPr>
          <w:rFonts w:ascii="Century" w:hAnsi="Century" w:cs="Arabic Typesetting"/>
          <w:sz w:val="24"/>
          <w:szCs w:val="24"/>
        </w:rPr>
        <w:t xml:space="preserve"> states</w:t>
      </w:r>
      <w:r w:rsidR="0076636E">
        <w:rPr>
          <w:rFonts w:ascii="Century" w:hAnsi="Century" w:cs="Arabic Typesetting"/>
          <w:sz w:val="24"/>
          <w:szCs w:val="24"/>
        </w:rPr>
        <w:t xml:space="preserve"> that</w:t>
      </w:r>
      <w:r w:rsidR="00277DA9">
        <w:rPr>
          <w:rFonts w:ascii="Century" w:hAnsi="Century" w:cs="Arabic Typesetting"/>
          <w:sz w:val="24"/>
          <w:szCs w:val="24"/>
        </w:rPr>
        <w:t xml:space="preserve"> persons must be sure of what the law is for it to be effective.</w:t>
      </w:r>
      <w:r w:rsidR="00277DA9">
        <w:rPr>
          <w:rStyle w:val="FootnoteReference"/>
          <w:rFonts w:ascii="Century" w:hAnsi="Century" w:cs="Arabic Typesetting"/>
          <w:sz w:val="24"/>
          <w:szCs w:val="24"/>
        </w:rPr>
        <w:footnoteReference w:id="45"/>
      </w:r>
      <w:r w:rsidR="002732D7">
        <w:rPr>
          <w:rFonts w:ascii="Century" w:hAnsi="Century" w:cs="Arabic Typesetting"/>
          <w:sz w:val="24"/>
          <w:szCs w:val="24"/>
        </w:rPr>
        <w:t xml:space="preserve"> Likewise</w:t>
      </w:r>
      <w:r w:rsidR="00805BFB">
        <w:rPr>
          <w:rFonts w:ascii="Century" w:hAnsi="Century" w:cs="Arabic Typesetting"/>
          <w:sz w:val="24"/>
          <w:szCs w:val="24"/>
        </w:rPr>
        <w:t xml:space="preserve"> Murphy </w:t>
      </w:r>
      <w:r w:rsidR="002732D7">
        <w:rPr>
          <w:rFonts w:ascii="Century" w:hAnsi="Century" w:cs="Arabic Typesetting"/>
          <w:sz w:val="24"/>
          <w:szCs w:val="24"/>
        </w:rPr>
        <w:t xml:space="preserve">notes that </w:t>
      </w:r>
      <w:r w:rsidR="00805BFB">
        <w:rPr>
          <w:rFonts w:ascii="Century" w:hAnsi="Century" w:cs="Arabic Typesetting"/>
          <w:sz w:val="24"/>
          <w:szCs w:val="24"/>
        </w:rPr>
        <w:t>‘Citizens cannot</w:t>
      </w:r>
      <w:r w:rsidR="002732D7">
        <w:rPr>
          <w:rFonts w:ascii="Century" w:hAnsi="Century" w:cs="Arabic Typesetting"/>
          <w:sz w:val="24"/>
          <w:szCs w:val="24"/>
        </w:rPr>
        <w:t>…</w:t>
      </w:r>
      <w:r w:rsidR="00805BFB">
        <w:rPr>
          <w:rFonts w:ascii="Century" w:hAnsi="Century" w:cs="Arabic Typesetting"/>
          <w:sz w:val="24"/>
          <w:szCs w:val="24"/>
        </w:rPr>
        <w:t xml:space="preserve"> obey secret rules; if they do not know what the law requires when they deliberate about how to act, they cannot take that requirement into account’.</w:t>
      </w:r>
      <w:r w:rsidR="00805BFB">
        <w:rPr>
          <w:rStyle w:val="FootnoteReference"/>
          <w:rFonts w:ascii="Century" w:hAnsi="Century" w:cs="Arabic Typesetting"/>
          <w:sz w:val="24"/>
          <w:szCs w:val="24"/>
        </w:rPr>
        <w:footnoteReference w:id="46"/>
      </w:r>
      <w:r w:rsidR="00805BFB" w:rsidRPr="00F32CF2">
        <w:rPr>
          <w:rFonts w:ascii="Century" w:hAnsi="Century" w:cs="Arabic Typesetting"/>
          <w:sz w:val="24"/>
          <w:szCs w:val="24"/>
        </w:rPr>
        <w:t xml:space="preserve"> </w:t>
      </w:r>
      <w:r w:rsidR="002C0E3B">
        <w:rPr>
          <w:rFonts w:ascii="Century" w:hAnsi="Century" w:cs="Arabic Typesetting"/>
          <w:sz w:val="24"/>
          <w:szCs w:val="24"/>
        </w:rPr>
        <w:t>It is for this reason that Lord Diplock</w:t>
      </w:r>
      <w:r w:rsidR="00805BFB">
        <w:rPr>
          <w:rFonts w:ascii="Century" w:hAnsi="Century" w:cs="Arabic Typesetting"/>
          <w:sz w:val="24"/>
          <w:szCs w:val="24"/>
        </w:rPr>
        <w:t xml:space="preserve"> </w:t>
      </w:r>
      <w:r w:rsidR="00805BFB" w:rsidRPr="00F32CF2">
        <w:rPr>
          <w:rFonts w:ascii="Century" w:hAnsi="Century" w:cs="Arabic Typesetting"/>
          <w:sz w:val="24"/>
          <w:szCs w:val="24"/>
        </w:rPr>
        <w:t xml:space="preserve">in </w:t>
      </w:r>
      <w:r w:rsidR="00805BFB" w:rsidRPr="00F32CF2">
        <w:rPr>
          <w:rFonts w:ascii="Century" w:hAnsi="Century" w:cs="Arabic Typesetting"/>
          <w:b/>
          <w:sz w:val="24"/>
          <w:szCs w:val="24"/>
        </w:rPr>
        <w:t>Black Clawson v Papierwerke Waldhof</w:t>
      </w:r>
      <w:r w:rsidR="00805BFB" w:rsidRPr="00F32CF2">
        <w:rPr>
          <w:rFonts w:ascii="Century" w:hAnsi="Century" w:cs="Arabic Typesetting"/>
          <w:sz w:val="24"/>
          <w:szCs w:val="24"/>
        </w:rPr>
        <w:t xml:space="preserve"> </w:t>
      </w:r>
      <w:r w:rsidR="00F93598">
        <w:rPr>
          <w:rFonts w:ascii="Century" w:hAnsi="Century" w:cs="Arabic Typesetting"/>
          <w:sz w:val="24"/>
          <w:szCs w:val="24"/>
        </w:rPr>
        <w:t>stated</w:t>
      </w:r>
      <w:r w:rsidR="00805BFB">
        <w:rPr>
          <w:rFonts w:ascii="Century" w:hAnsi="Century" w:cs="Arabic Typesetting"/>
          <w:sz w:val="24"/>
          <w:szCs w:val="24"/>
        </w:rPr>
        <w:t xml:space="preserve"> that</w:t>
      </w:r>
      <w:r w:rsidR="00C53621">
        <w:rPr>
          <w:rFonts w:ascii="Century" w:hAnsi="Century" w:cs="Arabic Typesetting"/>
          <w:sz w:val="24"/>
          <w:szCs w:val="24"/>
        </w:rPr>
        <w:t>-</w:t>
      </w:r>
      <w:r w:rsidR="00805BFB" w:rsidRPr="00F32CF2">
        <w:rPr>
          <w:rFonts w:ascii="Century" w:hAnsi="Century" w:cs="Arabic Typesetting"/>
          <w:sz w:val="24"/>
          <w:szCs w:val="24"/>
        </w:rPr>
        <w:t xml:space="preserve"> </w:t>
      </w:r>
    </w:p>
    <w:p w:rsidR="00805BFB" w:rsidRDefault="0029001A" w:rsidP="00805BFB">
      <w:pPr>
        <w:spacing w:line="360" w:lineRule="auto"/>
        <w:ind w:left="720"/>
        <w:jc w:val="both"/>
        <w:rPr>
          <w:rFonts w:ascii="Century" w:hAnsi="Century" w:cs="Arabic Typesetting"/>
          <w:sz w:val="24"/>
          <w:szCs w:val="24"/>
        </w:rPr>
      </w:pPr>
      <w:r>
        <w:rPr>
          <w:rFonts w:ascii="Century" w:hAnsi="Century" w:cs="Arabic Typesetting"/>
          <w:sz w:val="24"/>
          <w:szCs w:val="24"/>
        </w:rPr>
        <w:t>T</w:t>
      </w:r>
      <w:r w:rsidR="00805BFB" w:rsidRPr="00F32CF2">
        <w:rPr>
          <w:rFonts w:ascii="Century" w:hAnsi="Century" w:cs="Arabic Typesetting"/>
          <w:sz w:val="24"/>
          <w:szCs w:val="24"/>
        </w:rPr>
        <w:t>he acceptance of the rule of law as a constitutional principle requires that a citizen, before committing himself to any course of action, should be able to know in advance what are the legal cons</w:t>
      </w:r>
      <w:r w:rsidR="00F93598">
        <w:rPr>
          <w:rFonts w:ascii="Century" w:hAnsi="Century" w:cs="Arabic Typesetting"/>
          <w:sz w:val="24"/>
          <w:szCs w:val="24"/>
        </w:rPr>
        <w:t>equences that will flow from it</w:t>
      </w:r>
      <w:r w:rsidR="00805BFB" w:rsidRPr="00F32CF2">
        <w:rPr>
          <w:rFonts w:ascii="Century" w:hAnsi="Century" w:cs="Arabic Typesetting"/>
          <w:sz w:val="24"/>
          <w:szCs w:val="24"/>
        </w:rPr>
        <w:t>.</w:t>
      </w:r>
      <w:r w:rsidR="00805BFB" w:rsidRPr="00F32CF2">
        <w:rPr>
          <w:rStyle w:val="FootnoteReference"/>
          <w:rFonts w:ascii="Century" w:hAnsi="Century" w:cs="Arabic Typesetting"/>
          <w:sz w:val="24"/>
          <w:szCs w:val="24"/>
        </w:rPr>
        <w:footnoteReference w:id="47"/>
      </w:r>
      <w:r w:rsidR="00805BFB">
        <w:rPr>
          <w:rFonts w:ascii="Century" w:hAnsi="Century" w:cs="Arabic Typesetting"/>
          <w:sz w:val="24"/>
          <w:szCs w:val="24"/>
        </w:rPr>
        <w:t xml:space="preserve"> </w:t>
      </w:r>
    </w:p>
    <w:p w:rsidR="00805BFB" w:rsidRDefault="00805BFB" w:rsidP="00E03272">
      <w:pPr>
        <w:spacing w:line="360" w:lineRule="auto"/>
        <w:jc w:val="both"/>
        <w:rPr>
          <w:rFonts w:ascii="Century" w:hAnsi="Century" w:cs="Arabic Typesetting"/>
          <w:sz w:val="24"/>
          <w:szCs w:val="24"/>
        </w:rPr>
      </w:pPr>
    </w:p>
    <w:p w:rsidR="00C0467C" w:rsidRDefault="002C0E3B" w:rsidP="00E03272">
      <w:pPr>
        <w:spacing w:line="360" w:lineRule="auto"/>
        <w:jc w:val="both"/>
        <w:rPr>
          <w:rFonts w:ascii="Century" w:hAnsi="Century" w:cs="Arabic Typesetting"/>
          <w:sz w:val="24"/>
          <w:szCs w:val="24"/>
        </w:rPr>
      </w:pPr>
      <w:r>
        <w:rPr>
          <w:rFonts w:ascii="Century" w:hAnsi="Century" w:cs="Arabic Typesetting"/>
          <w:sz w:val="24"/>
          <w:szCs w:val="24"/>
        </w:rPr>
        <w:t>Apart from non-compliance</w:t>
      </w:r>
      <w:r w:rsidR="00D95CD3">
        <w:rPr>
          <w:rFonts w:ascii="Century" w:hAnsi="Century" w:cs="Arabic Typesetting"/>
          <w:sz w:val="24"/>
          <w:szCs w:val="24"/>
        </w:rPr>
        <w:t>, f</w:t>
      </w:r>
      <w:r w:rsidR="00E03272">
        <w:rPr>
          <w:rFonts w:ascii="Century" w:hAnsi="Century" w:cs="Arabic Typesetting"/>
          <w:sz w:val="24"/>
          <w:szCs w:val="24"/>
        </w:rPr>
        <w:t xml:space="preserve">ailure to comprehend the law results in failure to </w:t>
      </w:r>
      <w:r w:rsidR="00EB79E7">
        <w:rPr>
          <w:rFonts w:ascii="Century" w:hAnsi="Century" w:cs="Arabic Typesetting"/>
          <w:sz w:val="24"/>
          <w:szCs w:val="24"/>
        </w:rPr>
        <w:t>exercise</w:t>
      </w:r>
      <w:r w:rsidR="00E03272">
        <w:rPr>
          <w:rFonts w:ascii="Century" w:hAnsi="Century" w:cs="Arabic Typesetting"/>
          <w:sz w:val="24"/>
          <w:szCs w:val="24"/>
        </w:rPr>
        <w:t xml:space="preserve"> one’s rights.</w:t>
      </w:r>
      <w:r w:rsidR="00EB79E7">
        <w:rPr>
          <w:rStyle w:val="FootnoteReference"/>
          <w:rFonts w:ascii="Century" w:hAnsi="Century" w:cs="Arabic Typesetting"/>
          <w:sz w:val="24"/>
          <w:szCs w:val="24"/>
        </w:rPr>
        <w:footnoteReference w:id="48"/>
      </w:r>
      <w:r w:rsidR="00E03272">
        <w:rPr>
          <w:rFonts w:ascii="Century" w:hAnsi="Century" w:cs="Arabic Typesetting"/>
          <w:sz w:val="24"/>
          <w:szCs w:val="24"/>
        </w:rPr>
        <w:t xml:space="preserve"> </w:t>
      </w:r>
      <w:r w:rsidR="00C0467C">
        <w:rPr>
          <w:rFonts w:ascii="Century" w:hAnsi="Century" w:cs="Arabic Typesetting"/>
          <w:sz w:val="24"/>
          <w:szCs w:val="24"/>
        </w:rPr>
        <w:t>This is because incomprehensible</w:t>
      </w:r>
      <w:r>
        <w:rPr>
          <w:rFonts w:ascii="Century" w:hAnsi="Century" w:cs="Arabic Typesetting"/>
          <w:sz w:val="24"/>
          <w:szCs w:val="24"/>
        </w:rPr>
        <w:t xml:space="preserve"> laws are the ideal tool to conceal bad policies</w:t>
      </w:r>
      <w:r>
        <w:rPr>
          <w:rFonts w:ascii="Century" w:hAnsi="Century"/>
          <w:sz w:val="24"/>
          <w:szCs w:val="24"/>
        </w:rPr>
        <w:t>.</w:t>
      </w:r>
      <w:r>
        <w:rPr>
          <w:rStyle w:val="FootnoteReference"/>
          <w:rFonts w:ascii="Century" w:hAnsi="Century"/>
          <w:sz w:val="24"/>
          <w:szCs w:val="24"/>
        </w:rPr>
        <w:footnoteReference w:id="49"/>
      </w:r>
      <w:r>
        <w:rPr>
          <w:rFonts w:ascii="Century" w:hAnsi="Century"/>
          <w:sz w:val="24"/>
          <w:szCs w:val="24"/>
        </w:rPr>
        <w:t xml:space="preserve"> When law</w:t>
      </w:r>
      <w:r w:rsidR="00C0467C">
        <w:rPr>
          <w:rFonts w:ascii="Century" w:hAnsi="Century"/>
          <w:sz w:val="24"/>
          <w:szCs w:val="24"/>
        </w:rPr>
        <w:t>s are</w:t>
      </w:r>
      <w:r>
        <w:rPr>
          <w:rFonts w:ascii="Century" w:hAnsi="Century"/>
          <w:sz w:val="24"/>
          <w:szCs w:val="24"/>
        </w:rPr>
        <w:t xml:space="preserve"> </w:t>
      </w:r>
      <w:r w:rsidR="00B5768F">
        <w:rPr>
          <w:rFonts w:ascii="Century" w:hAnsi="Century"/>
          <w:sz w:val="24"/>
          <w:szCs w:val="24"/>
        </w:rPr>
        <w:t>incomprehensible</w:t>
      </w:r>
      <w:r>
        <w:rPr>
          <w:rFonts w:ascii="Century" w:hAnsi="Century"/>
          <w:sz w:val="24"/>
          <w:szCs w:val="24"/>
        </w:rPr>
        <w:t xml:space="preserve"> </w:t>
      </w:r>
      <w:r w:rsidR="00D95CD3" w:rsidRPr="00F32CF2">
        <w:rPr>
          <w:rFonts w:ascii="Century" w:hAnsi="Century" w:cs="Arabic Typesetting"/>
          <w:sz w:val="24"/>
          <w:szCs w:val="24"/>
        </w:rPr>
        <w:t xml:space="preserve">citizens </w:t>
      </w:r>
      <w:r>
        <w:rPr>
          <w:rFonts w:ascii="Century" w:hAnsi="Century" w:cs="Arabic Typesetting"/>
          <w:sz w:val="24"/>
          <w:szCs w:val="24"/>
        </w:rPr>
        <w:t xml:space="preserve">are hindered </w:t>
      </w:r>
      <w:r w:rsidR="00D95CD3" w:rsidRPr="00F32CF2">
        <w:rPr>
          <w:rFonts w:ascii="Century" w:hAnsi="Century" w:cs="Arabic Typesetting"/>
          <w:sz w:val="24"/>
          <w:szCs w:val="24"/>
        </w:rPr>
        <w:t xml:space="preserve">from not only benefiting from the law but also challenging the laws if </w:t>
      </w:r>
      <w:r w:rsidR="00D95CD3">
        <w:rPr>
          <w:rFonts w:ascii="Century" w:hAnsi="Century" w:cs="Arabic Typesetting"/>
          <w:sz w:val="24"/>
          <w:szCs w:val="24"/>
        </w:rPr>
        <w:t xml:space="preserve">their </w:t>
      </w:r>
      <w:r w:rsidR="00D95CD3" w:rsidRPr="00F32CF2">
        <w:rPr>
          <w:rFonts w:ascii="Century" w:hAnsi="Century" w:cs="Arabic Typesetting"/>
          <w:sz w:val="24"/>
          <w:szCs w:val="24"/>
        </w:rPr>
        <w:t xml:space="preserve">rights are infringed upon. </w:t>
      </w:r>
      <w:r w:rsidR="00C0467C">
        <w:rPr>
          <w:rFonts w:ascii="Century" w:hAnsi="Century" w:cs="Arabic Typesetting"/>
          <w:sz w:val="24"/>
          <w:szCs w:val="24"/>
        </w:rPr>
        <w:t>As stated by authors Robinson, Bulkan and Saunders</w:t>
      </w:r>
      <w:r w:rsidR="00257DF0">
        <w:rPr>
          <w:rFonts w:ascii="Century" w:hAnsi="Century" w:cs="Arabic Typesetting"/>
          <w:sz w:val="24"/>
          <w:szCs w:val="24"/>
        </w:rPr>
        <w:t xml:space="preserve"> whe</w:t>
      </w:r>
      <w:r w:rsidR="00E15960">
        <w:rPr>
          <w:rFonts w:ascii="Century" w:hAnsi="Century" w:cs="Arabic Typesetting"/>
          <w:sz w:val="24"/>
          <w:szCs w:val="24"/>
        </w:rPr>
        <w:t>n</w:t>
      </w:r>
      <w:r w:rsidR="00257DF0">
        <w:rPr>
          <w:rFonts w:ascii="Century" w:hAnsi="Century" w:cs="Arabic Typesetting"/>
          <w:sz w:val="24"/>
          <w:szCs w:val="24"/>
        </w:rPr>
        <w:t xml:space="preserve"> laws ‘</w:t>
      </w:r>
      <w:r w:rsidR="00C0467C">
        <w:rPr>
          <w:rFonts w:ascii="Century" w:hAnsi="Century" w:cs="Arabic Typesetting"/>
          <w:sz w:val="24"/>
          <w:szCs w:val="24"/>
        </w:rPr>
        <w:t xml:space="preserve">limit fundamental rights and freedoms, they must be precise enough to allow </w:t>
      </w:r>
      <w:r w:rsidR="00985FBB">
        <w:rPr>
          <w:rFonts w:ascii="Century" w:hAnsi="Century" w:cs="Arabic Typesetting"/>
          <w:sz w:val="24"/>
          <w:szCs w:val="24"/>
        </w:rPr>
        <w:t>citizens</w:t>
      </w:r>
      <w:r w:rsidR="00C0467C">
        <w:rPr>
          <w:rFonts w:ascii="Century" w:hAnsi="Century" w:cs="Arabic Typesetting"/>
          <w:sz w:val="24"/>
          <w:szCs w:val="24"/>
        </w:rPr>
        <w:t xml:space="preserve"> to know what is being prohibited’.</w:t>
      </w:r>
      <w:r w:rsidR="00C0467C">
        <w:rPr>
          <w:rStyle w:val="FootnoteReference"/>
          <w:rFonts w:ascii="Century" w:hAnsi="Century" w:cs="Arabic Typesetting"/>
          <w:sz w:val="24"/>
          <w:szCs w:val="24"/>
        </w:rPr>
        <w:footnoteReference w:id="50"/>
      </w:r>
      <w:r w:rsidR="00C0467C">
        <w:rPr>
          <w:rFonts w:ascii="Century" w:hAnsi="Century" w:cs="Arabic Typesetting"/>
          <w:sz w:val="24"/>
          <w:szCs w:val="24"/>
        </w:rPr>
        <w:t xml:space="preserve"> It is only laws that are clear a</w:t>
      </w:r>
      <w:r w:rsidR="00BC6DFE">
        <w:rPr>
          <w:rFonts w:ascii="Century" w:hAnsi="Century" w:cs="Arabic Typesetting"/>
          <w:sz w:val="24"/>
          <w:szCs w:val="24"/>
        </w:rPr>
        <w:t>nd understandable that justifies</w:t>
      </w:r>
      <w:r w:rsidR="00C0467C">
        <w:rPr>
          <w:rFonts w:ascii="Century" w:hAnsi="Century" w:cs="Arabic Typesetting"/>
          <w:sz w:val="24"/>
          <w:szCs w:val="24"/>
        </w:rPr>
        <w:t xml:space="preserve"> any intrusion on the rights and freedoms of </w:t>
      </w:r>
      <w:r w:rsidR="00C32FF0">
        <w:rPr>
          <w:rFonts w:ascii="Century" w:hAnsi="Century" w:cs="Arabic Typesetting"/>
          <w:sz w:val="24"/>
          <w:szCs w:val="24"/>
        </w:rPr>
        <w:t>citizens</w:t>
      </w:r>
      <w:r w:rsidR="00C0467C">
        <w:rPr>
          <w:rFonts w:ascii="Century" w:hAnsi="Century" w:cs="Arabic Typesetting"/>
          <w:sz w:val="24"/>
          <w:szCs w:val="24"/>
        </w:rPr>
        <w:t>.</w:t>
      </w:r>
      <w:r w:rsidR="00C0467C">
        <w:rPr>
          <w:rStyle w:val="FootnoteReference"/>
          <w:rFonts w:ascii="Century" w:hAnsi="Century" w:cs="Arabic Typesetting"/>
          <w:sz w:val="24"/>
          <w:szCs w:val="24"/>
        </w:rPr>
        <w:footnoteReference w:id="51"/>
      </w:r>
      <w:r w:rsidR="00C0467C">
        <w:rPr>
          <w:rFonts w:ascii="Century" w:hAnsi="Century" w:cs="Arabic Typesetting"/>
          <w:sz w:val="24"/>
          <w:szCs w:val="24"/>
        </w:rPr>
        <w:t xml:space="preserve"> </w:t>
      </w:r>
    </w:p>
    <w:p w:rsidR="00C0467C" w:rsidRDefault="00C0467C" w:rsidP="00E03272">
      <w:pPr>
        <w:spacing w:line="360" w:lineRule="auto"/>
        <w:jc w:val="both"/>
        <w:rPr>
          <w:rFonts w:ascii="Century" w:hAnsi="Century" w:cs="Arabic Typesetting"/>
          <w:sz w:val="24"/>
          <w:szCs w:val="24"/>
        </w:rPr>
      </w:pPr>
    </w:p>
    <w:p w:rsidR="00683BE6" w:rsidRDefault="00E03272" w:rsidP="00683BE6">
      <w:pPr>
        <w:spacing w:line="360" w:lineRule="auto"/>
        <w:jc w:val="both"/>
        <w:rPr>
          <w:rFonts w:ascii="Century" w:hAnsi="Century" w:cs="Arabic Typesetting"/>
          <w:sz w:val="24"/>
          <w:szCs w:val="24"/>
        </w:rPr>
      </w:pPr>
      <w:r>
        <w:rPr>
          <w:rFonts w:ascii="Century" w:hAnsi="Century" w:cs="Arabic Typesetting"/>
          <w:sz w:val="24"/>
          <w:szCs w:val="24"/>
        </w:rPr>
        <w:t>Further, when laws are unclear it presents a problem of interpretation for the courts</w:t>
      </w:r>
      <w:r w:rsidRPr="00F32CF2">
        <w:rPr>
          <w:rFonts w:ascii="Century" w:hAnsi="Century" w:cs="Arabic Typesetting"/>
          <w:sz w:val="24"/>
          <w:szCs w:val="24"/>
        </w:rPr>
        <w:t>.</w:t>
      </w:r>
      <w:r w:rsidRPr="00F32CF2">
        <w:rPr>
          <w:rStyle w:val="FootnoteReference"/>
          <w:rFonts w:ascii="Century" w:hAnsi="Century" w:cs="Arabic Typesetting"/>
          <w:sz w:val="24"/>
          <w:szCs w:val="24"/>
        </w:rPr>
        <w:footnoteReference w:id="52"/>
      </w:r>
      <w:r w:rsidRPr="00F32CF2">
        <w:rPr>
          <w:rFonts w:ascii="Century" w:hAnsi="Century" w:cs="Arabic Typesetting"/>
          <w:sz w:val="24"/>
          <w:szCs w:val="24"/>
        </w:rPr>
        <w:t xml:space="preserve"> </w:t>
      </w:r>
      <w:r w:rsidR="00683BE6">
        <w:rPr>
          <w:rFonts w:ascii="Century" w:hAnsi="Century" w:cs="Arabic Typesetting"/>
          <w:sz w:val="24"/>
          <w:szCs w:val="24"/>
        </w:rPr>
        <w:t xml:space="preserve">The </w:t>
      </w:r>
      <w:r w:rsidR="002A387D">
        <w:rPr>
          <w:rFonts w:ascii="Century" w:hAnsi="Century" w:cs="Arabic Typesetting"/>
          <w:sz w:val="24"/>
          <w:szCs w:val="24"/>
        </w:rPr>
        <w:t>case</w:t>
      </w:r>
      <w:r w:rsidR="00683BE6">
        <w:rPr>
          <w:rFonts w:ascii="Century" w:hAnsi="Century" w:cs="Arabic Typesetting"/>
          <w:sz w:val="24"/>
          <w:szCs w:val="24"/>
        </w:rPr>
        <w:t xml:space="preserve"> </w:t>
      </w:r>
      <w:r w:rsidR="00683BE6" w:rsidRPr="00D95CD3">
        <w:rPr>
          <w:rFonts w:ascii="Century" w:hAnsi="Century" w:cs="Arabic Typesetting"/>
          <w:b/>
          <w:sz w:val="24"/>
          <w:szCs w:val="24"/>
        </w:rPr>
        <w:t>R v Bradley</w:t>
      </w:r>
      <w:r w:rsidR="00683BE6">
        <w:rPr>
          <w:rStyle w:val="FootnoteReference"/>
          <w:rFonts w:ascii="Century" w:hAnsi="Century" w:cs="Arabic Typesetting"/>
          <w:sz w:val="24"/>
          <w:szCs w:val="24"/>
        </w:rPr>
        <w:footnoteReference w:id="53"/>
      </w:r>
      <w:r w:rsidR="00683BE6">
        <w:rPr>
          <w:rFonts w:ascii="Century" w:hAnsi="Century" w:cs="Arabic Typesetting"/>
          <w:sz w:val="24"/>
          <w:szCs w:val="24"/>
        </w:rPr>
        <w:t xml:space="preserve"> is instructive.  This case concerned the Criminal Justice Act 2003 (UK) which contained provisions that were</w:t>
      </w:r>
      <w:r w:rsidR="002F37EA">
        <w:rPr>
          <w:rFonts w:ascii="Century" w:hAnsi="Century" w:cs="Arabic Typesetting"/>
          <w:sz w:val="24"/>
          <w:szCs w:val="24"/>
        </w:rPr>
        <w:t xml:space="preserve"> ‘obfuscatory’ and</w:t>
      </w:r>
      <w:r w:rsidR="00683BE6">
        <w:rPr>
          <w:rFonts w:ascii="Century" w:hAnsi="Century" w:cs="Arabic Typesetting"/>
          <w:sz w:val="24"/>
          <w:szCs w:val="24"/>
        </w:rPr>
        <w:t xml:space="preserve"> ‘conspicuously unclear...where clarity could have easily been achieved’.</w:t>
      </w:r>
      <w:r w:rsidR="002F37EA">
        <w:rPr>
          <w:rStyle w:val="FootnoteReference"/>
          <w:rFonts w:ascii="Century" w:hAnsi="Century" w:cs="Arabic Typesetting"/>
          <w:sz w:val="24"/>
          <w:szCs w:val="24"/>
        </w:rPr>
        <w:footnoteReference w:id="54"/>
      </w:r>
      <w:r w:rsidR="00683BE6">
        <w:rPr>
          <w:rFonts w:ascii="Century" w:hAnsi="Century" w:cs="Arabic Typesetting"/>
          <w:sz w:val="24"/>
          <w:szCs w:val="24"/>
        </w:rPr>
        <w:t xml:space="preserve"> According to Rose LJ-</w:t>
      </w:r>
    </w:p>
    <w:p w:rsidR="00683BE6" w:rsidRPr="002550F2" w:rsidRDefault="002F37EA" w:rsidP="00683BE6">
      <w:pPr>
        <w:spacing w:line="360" w:lineRule="auto"/>
        <w:ind w:left="720"/>
        <w:jc w:val="both"/>
        <w:rPr>
          <w:rFonts w:ascii="Century" w:hAnsi="Century"/>
        </w:rPr>
      </w:pPr>
      <w:r>
        <w:rPr>
          <w:rFonts w:ascii="Century" w:hAnsi="Century" w:cs="Arabic Typesetting"/>
          <w:sz w:val="24"/>
          <w:szCs w:val="24"/>
        </w:rPr>
        <w:t xml:space="preserve">It is in the public interest that the criminal law and its procedures, so far as possible, be clear and straightforward so that all those directly affected…should be readily able to understand it. </w:t>
      </w:r>
      <w:r w:rsidR="00683BE6">
        <w:rPr>
          <w:rFonts w:ascii="Century" w:hAnsi="Century" w:cs="Arabic Typesetting"/>
          <w:sz w:val="24"/>
          <w:szCs w:val="24"/>
        </w:rPr>
        <w:t xml:space="preserve">The public is entitled to know of the difficulties which such legislation creates for all concerned. The point is graphically highlighted in the present case, because the Crown have advanced to this Court a construction </w:t>
      </w:r>
      <w:r w:rsidR="00683BE6">
        <w:rPr>
          <w:rFonts w:ascii="Century" w:hAnsi="Century" w:cs="Arabic Typesetting"/>
          <w:sz w:val="24"/>
          <w:szCs w:val="24"/>
        </w:rPr>
        <w:lastRenderedPageBreak/>
        <w:t>of the statute which is completely contrary to that suggested by the Home Office press release on the day the provisions came into force.</w:t>
      </w:r>
      <w:r w:rsidR="00683BE6">
        <w:rPr>
          <w:rStyle w:val="FootnoteReference"/>
          <w:rFonts w:ascii="Century" w:hAnsi="Century" w:cs="Arabic Typesetting"/>
          <w:sz w:val="24"/>
          <w:szCs w:val="24"/>
        </w:rPr>
        <w:footnoteReference w:id="55"/>
      </w:r>
    </w:p>
    <w:p w:rsidR="00542544" w:rsidRPr="002550F2" w:rsidRDefault="00005145" w:rsidP="00542544">
      <w:pPr>
        <w:spacing w:line="360" w:lineRule="auto"/>
        <w:jc w:val="both"/>
        <w:rPr>
          <w:rFonts w:ascii="Century" w:hAnsi="Century"/>
        </w:rPr>
      </w:pPr>
      <w:r>
        <w:rPr>
          <w:rFonts w:ascii="Century" w:hAnsi="Century" w:cs="Arabic Typesetting"/>
          <w:sz w:val="24"/>
          <w:szCs w:val="24"/>
        </w:rPr>
        <w:t xml:space="preserve">The </w:t>
      </w:r>
      <w:r w:rsidR="00D46BA2">
        <w:rPr>
          <w:rFonts w:ascii="Century" w:hAnsi="Century" w:cs="Arabic Typesetting"/>
          <w:sz w:val="24"/>
          <w:szCs w:val="24"/>
        </w:rPr>
        <w:t>problem</w:t>
      </w:r>
      <w:r>
        <w:rPr>
          <w:rFonts w:ascii="Century" w:hAnsi="Century" w:cs="Arabic Typesetting"/>
          <w:sz w:val="24"/>
          <w:szCs w:val="24"/>
        </w:rPr>
        <w:t xml:space="preserve"> with unclear laws</w:t>
      </w:r>
      <w:r w:rsidR="00D46BA2">
        <w:rPr>
          <w:rFonts w:ascii="Century" w:hAnsi="Century" w:cs="Arabic Typesetting"/>
          <w:sz w:val="24"/>
          <w:szCs w:val="24"/>
        </w:rPr>
        <w:t xml:space="preserve"> is that </w:t>
      </w:r>
      <w:r w:rsidR="00E03208">
        <w:rPr>
          <w:rFonts w:ascii="Century" w:hAnsi="Century" w:cs="Arabic Typesetting"/>
          <w:sz w:val="24"/>
          <w:szCs w:val="24"/>
        </w:rPr>
        <w:t>they</w:t>
      </w:r>
      <w:r>
        <w:rPr>
          <w:rFonts w:ascii="Century" w:hAnsi="Century" w:cs="Arabic Typesetting"/>
          <w:sz w:val="24"/>
          <w:szCs w:val="24"/>
        </w:rPr>
        <w:t xml:space="preserve"> </w:t>
      </w:r>
      <w:r w:rsidR="00E03208">
        <w:rPr>
          <w:rFonts w:ascii="Century" w:hAnsi="Century" w:cs="Arabic Typesetting"/>
          <w:sz w:val="24"/>
          <w:szCs w:val="24"/>
        </w:rPr>
        <w:t>prevent</w:t>
      </w:r>
      <w:r w:rsidR="00065E78">
        <w:rPr>
          <w:rFonts w:ascii="Century" w:hAnsi="Century" w:cs="Arabic Typesetting"/>
          <w:sz w:val="24"/>
          <w:szCs w:val="24"/>
        </w:rPr>
        <w:t xml:space="preserve"> access to justice as</w:t>
      </w:r>
      <w:r w:rsidR="00683BE6">
        <w:rPr>
          <w:rFonts w:ascii="Century" w:hAnsi="Century" w:cs="Arabic Typesetting"/>
          <w:sz w:val="24"/>
          <w:szCs w:val="24"/>
        </w:rPr>
        <w:t xml:space="preserve"> citizens </w:t>
      </w:r>
      <w:r w:rsidR="000D650F">
        <w:rPr>
          <w:rFonts w:ascii="Century" w:hAnsi="Century" w:cs="Arabic Typesetting"/>
          <w:sz w:val="24"/>
          <w:szCs w:val="24"/>
        </w:rPr>
        <w:t>should be able to have their matter heard without undue difficulty.</w:t>
      </w:r>
      <w:r w:rsidR="000D650F">
        <w:rPr>
          <w:rStyle w:val="FootnoteReference"/>
          <w:rFonts w:ascii="Century" w:hAnsi="Century" w:cs="Arabic Typesetting"/>
          <w:sz w:val="24"/>
          <w:szCs w:val="24"/>
        </w:rPr>
        <w:footnoteReference w:id="56"/>
      </w:r>
      <w:r w:rsidR="000D650F">
        <w:rPr>
          <w:rFonts w:ascii="Century" w:hAnsi="Century" w:cs="Arabic Typesetting"/>
          <w:sz w:val="24"/>
          <w:szCs w:val="24"/>
        </w:rPr>
        <w:t xml:space="preserve"> </w:t>
      </w:r>
      <w:r w:rsidR="00D23C5D">
        <w:rPr>
          <w:rFonts w:ascii="Century" w:hAnsi="Century" w:cs="Arabic Typesetting"/>
          <w:sz w:val="24"/>
          <w:szCs w:val="24"/>
        </w:rPr>
        <w:t>Unclear</w:t>
      </w:r>
      <w:r w:rsidR="00542544" w:rsidRPr="00D46BA2">
        <w:rPr>
          <w:rFonts w:ascii="Century" w:hAnsi="Century" w:cs="Arabic Typesetting"/>
          <w:sz w:val="24"/>
          <w:szCs w:val="24"/>
        </w:rPr>
        <w:t xml:space="preserve"> statutes will either delay or deny </w:t>
      </w:r>
      <w:r w:rsidR="00D23C5D">
        <w:rPr>
          <w:rFonts w:ascii="Century" w:hAnsi="Century" w:cs="Arabic Typesetting"/>
          <w:sz w:val="24"/>
          <w:szCs w:val="24"/>
        </w:rPr>
        <w:t>citizens a remedy under the law</w:t>
      </w:r>
      <w:r w:rsidR="00502FFB">
        <w:rPr>
          <w:rFonts w:ascii="Century" w:hAnsi="Century" w:cs="Arabic Typesetting"/>
          <w:sz w:val="24"/>
          <w:szCs w:val="24"/>
        </w:rPr>
        <w:t>.</w:t>
      </w:r>
      <w:r w:rsidR="00A37527">
        <w:rPr>
          <w:rFonts w:ascii="Century" w:hAnsi="Century" w:cs="Arabic Typesetting"/>
          <w:sz w:val="24"/>
          <w:szCs w:val="24"/>
        </w:rPr>
        <w:t xml:space="preserve"> For instance, the longer </w:t>
      </w:r>
      <w:r w:rsidR="00DF027B">
        <w:rPr>
          <w:rFonts w:ascii="Century" w:hAnsi="Century" w:cs="Arabic Typesetting"/>
          <w:sz w:val="24"/>
          <w:szCs w:val="24"/>
        </w:rPr>
        <w:t>J</w:t>
      </w:r>
      <w:r w:rsidR="00A37527">
        <w:rPr>
          <w:rFonts w:ascii="Century" w:hAnsi="Century" w:cs="Arabic Typesetting"/>
          <w:sz w:val="24"/>
          <w:szCs w:val="24"/>
        </w:rPr>
        <w:t>udges take to decode statute</w:t>
      </w:r>
      <w:r w:rsidR="00DF027B">
        <w:rPr>
          <w:rFonts w:ascii="Century" w:hAnsi="Century" w:cs="Arabic Typesetting"/>
          <w:sz w:val="24"/>
          <w:szCs w:val="24"/>
        </w:rPr>
        <w:t>s</w:t>
      </w:r>
      <w:r w:rsidR="00A37527">
        <w:rPr>
          <w:rFonts w:ascii="Century" w:hAnsi="Century" w:cs="Arabic Typesetting"/>
          <w:sz w:val="24"/>
          <w:szCs w:val="24"/>
        </w:rPr>
        <w:t xml:space="preserve">, the longer the matter takes </w:t>
      </w:r>
      <w:r w:rsidR="005534BA">
        <w:rPr>
          <w:rFonts w:ascii="Century" w:hAnsi="Century" w:cs="Arabic Typesetting"/>
          <w:sz w:val="24"/>
          <w:szCs w:val="24"/>
        </w:rPr>
        <w:t>resulting</w:t>
      </w:r>
      <w:r w:rsidR="00A37527">
        <w:rPr>
          <w:rFonts w:ascii="Century" w:hAnsi="Century" w:cs="Arabic Typesetting"/>
          <w:sz w:val="24"/>
          <w:szCs w:val="24"/>
        </w:rPr>
        <w:t xml:space="preserve"> </w:t>
      </w:r>
      <w:r w:rsidR="0073119D">
        <w:rPr>
          <w:rFonts w:ascii="Century" w:hAnsi="Century" w:cs="Arabic Typesetting"/>
          <w:sz w:val="24"/>
          <w:szCs w:val="24"/>
        </w:rPr>
        <w:t>in excessive cost to citizens</w:t>
      </w:r>
      <w:r w:rsidR="00DF027B">
        <w:rPr>
          <w:rFonts w:ascii="Century" w:hAnsi="Century" w:cs="Arabic Typesetting"/>
          <w:sz w:val="24"/>
          <w:szCs w:val="24"/>
        </w:rPr>
        <w:t>.</w:t>
      </w:r>
      <w:r w:rsidR="00165087">
        <w:rPr>
          <w:rStyle w:val="FootnoteReference"/>
          <w:rFonts w:ascii="Century" w:hAnsi="Century" w:cs="Arabic Typesetting"/>
          <w:sz w:val="24"/>
          <w:szCs w:val="24"/>
        </w:rPr>
        <w:footnoteReference w:id="57"/>
      </w:r>
    </w:p>
    <w:p w:rsidR="00E03272" w:rsidRPr="002550F2" w:rsidRDefault="00E03272" w:rsidP="00683BE6">
      <w:pPr>
        <w:spacing w:line="360" w:lineRule="auto"/>
        <w:jc w:val="both"/>
        <w:rPr>
          <w:rFonts w:ascii="Century" w:hAnsi="Century"/>
        </w:rPr>
      </w:pPr>
    </w:p>
    <w:p w:rsidR="00055BD4" w:rsidRDefault="00F22259" w:rsidP="00FB0852">
      <w:pPr>
        <w:spacing w:line="360" w:lineRule="auto"/>
        <w:jc w:val="both"/>
        <w:rPr>
          <w:rFonts w:ascii="Century" w:hAnsi="Century" w:cs="Arabic Typesetting"/>
          <w:sz w:val="24"/>
          <w:szCs w:val="24"/>
        </w:rPr>
      </w:pPr>
      <w:r>
        <w:rPr>
          <w:rFonts w:ascii="Century" w:hAnsi="Century" w:cs="Arabic Typesetting"/>
          <w:sz w:val="24"/>
          <w:szCs w:val="24"/>
        </w:rPr>
        <w:t>On the other hand</w:t>
      </w:r>
      <w:r w:rsidR="00FD390B">
        <w:rPr>
          <w:rFonts w:ascii="Century" w:hAnsi="Century" w:cs="Arabic Typesetting"/>
          <w:sz w:val="24"/>
          <w:szCs w:val="24"/>
        </w:rPr>
        <w:t xml:space="preserve">, </w:t>
      </w:r>
      <w:r w:rsidR="004453AE">
        <w:rPr>
          <w:rFonts w:ascii="Century" w:hAnsi="Century" w:cs="Arabic Typesetting"/>
          <w:sz w:val="24"/>
          <w:szCs w:val="24"/>
        </w:rPr>
        <w:t>i</w:t>
      </w:r>
      <w:r w:rsidR="004453AE" w:rsidRPr="00F32CF2">
        <w:rPr>
          <w:rFonts w:ascii="Century" w:hAnsi="Century" w:cs="Arabic Typesetting"/>
          <w:sz w:val="24"/>
          <w:szCs w:val="24"/>
        </w:rPr>
        <w:t xml:space="preserve">ntelligent and clear laws </w:t>
      </w:r>
      <w:r w:rsidR="004453AE">
        <w:rPr>
          <w:rFonts w:ascii="Century" w:hAnsi="Century" w:cs="Arabic Typesetting"/>
          <w:sz w:val="24"/>
          <w:szCs w:val="24"/>
        </w:rPr>
        <w:t>enable</w:t>
      </w:r>
      <w:r w:rsidR="00FD390B">
        <w:rPr>
          <w:rFonts w:ascii="Century" w:hAnsi="Century" w:cs="Arabic Typesetting"/>
          <w:sz w:val="24"/>
          <w:szCs w:val="24"/>
        </w:rPr>
        <w:t xml:space="preserve"> the</w:t>
      </w:r>
      <w:r w:rsidR="00FD390B" w:rsidRPr="00F32CF2">
        <w:rPr>
          <w:rFonts w:ascii="Century" w:hAnsi="Century" w:cs="Arabic Typesetting"/>
          <w:sz w:val="24"/>
          <w:szCs w:val="24"/>
        </w:rPr>
        <w:t xml:space="preserve"> average </w:t>
      </w:r>
      <w:r w:rsidR="00FD390B">
        <w:rPr>
          <w:rFonts w:ascii="Century" w:hAnsi="Century" w:cs="Arabic Typesetting"/>
          <w:sz w:val="24"/>
          <w:szCs w:val="24"/>
        </w:rPr>
        <w:t xml:space="preserve">person with average intellect </w:t>
      </w:r>
      <w:r w:rsidR="00FD390B" w:rsidRPr="00F32CF2">
        <w:rPr>
          <w:rFonts w:ascii="Century" w:hAnsi="Century" w:cs="Arabic Typesetting"/>
          <w:sz w:val="24"/>
          <w:szCs w:val="24"/>
        </w:rPr>
        <w:t xml:space="preserve">to read and understand the </w:t>
      </w:r>
      <w:r w:rsidR="00FD390B" w:rsidRPr="00BE3F22">
        <w:rPr>
          <w:rFonts w:ascii="Century" w:hAnsi="Century" w:cs="Arabic Typesetting"/>
          <w:sz w:val="24"/>
          <w:szCs w:val="24"/>
        </w:rPr>
        <w:t xml:space="preserve">law and </w:t>
      </w:r>
      <w:r w:rsidR="001932F3">
        <w:rPr>
          <w:rFonts w:ascii="Century" w:hAnsi="Century" w:cs="Arabic Typesetting"/>
          <w:sz w:val="24"/>
          <w:szCs w:val="24"/>
        </w:rPr>
        <w:t>apply it</w:t>
      </w:r>
      <w:r w:rsidR="00FD390B" w:rsidRPr="00BE3F22">
        <w:rPr>
          <w:rFonts w:ascii="Century" w:hAnsi="Century" w:cs="Arabic Typesetting"/>
          <w:sz w:val="24"/>
          <w:szCs w:val="24"/>
        </w:rPr>
        <w:t xml:space="preserve"> to their peculiar circumstances.</w:t>
      </w:r>
      <w:r w:rsidR="00FD390B" w:rsidRPr="00BE3F22">
        <w:rPr>
          <w:rFonts w:ascii="Century" w:hAnsi="Century" w:cs="Arabic Typesetting"/>
          <w:sz w:val="24"/>
          <w:szCs w:val="24"/>
          <w:vertAlign w:val="superscript"/>
        </w:rPr>
        <w:footnoteReference w:id="58"/>
      </w:r>
      <w:r w:rsidR="00FD390B" w:rsidRPr="00BE3F22">
        <w:rPr>
          <w:rFonts w:ascii="Century" w:hAnsi="Century" w:cs="Arabic Typesetting"/>
          <w:sz w:val="24"/>
          <w:szCs w:val="24"/>
        </w:rPr>
        <w:t xml:space="preserve"> </w:t>
      </w:r>
      <w:r w:rsidR="00BC6FA7">
        <w:rPr>
          <w:rFonts w:ascii="Century" w:hAnsi="Century" w:cs="Arabic Typesetting"/>
          <w:sz w:val="24"/>
          <w:szCs w:val="24"/>
        </w:rPr>
        <w:t>Intelligent and clear laws amount to certainty in the law as citizens would be able to</w:t>
      </w:r>
      <w:r w:rsidR="0020000E">
        <w:rPr>
          <w:rFonts w:ascii="Century" w:hAnsi="Century" w:cs="Arabic Typesetting"/>
          <w:sz w:val="24"/>
          <w:szCs w:val="24"/>
        </w:rPr>
        <w:t xml:space="preserve"> predict </w:t>
      </w:r>
      <w:r w:rsidR="006B21D6">
        <w:rPr>
          <w:rFonts w:ascii="Century" w:hAnsi="Century" w:cs="Arabic Typesetting"/>
          <w:sz w:val="24"/>
          <w:szCs w:val="24"/>
        </w:rPr>
        <w:t>the government’s response to their conduct</w:t>
      </w:r>
      <w:r w:rsidR="00FD390B" w:rsidRPr="00BE3F22">
        <w:rPr>
          <w:rFonts w:ascii="Century" w:hAnsi="Century" w:cs="Arabic Typesetting"/>
          <w:sz w:val="24"/>
          <w:szCs w:val="24"/>
        </w:rPr>
        <w:t>.</w:t>
      </w:r>
      <w:r w:rsidR="00FD390B" w:rsidRPr="00BE3F22">
        <w:rPr>
          <w:rFonts w:ascii="Century" w:hAnsi="Century" w:cs="Arabic Typesetting"/>
          <w:sz w:val="24"/>
          <w:szCs w:val="24"/>
          <w:vertAlign w:val="superscript"/>
        </w:rPr>
        <w:footnoteReference w:id="59"/>
      </w:r>
      <w:r w:rsidR="00FD390B" w:rsidRPr="00BE3F22">
        <w:rPr>
          <w:rFonts w:ascii="Century" w:hAnsi="Century" w:cs="Arabic Typesetting"/>
          <w:sz w:val="24"/>
          <w:szCs w:val="24"/>
        </w:rPr>
        <w:t xml:space="preserve"> </w:t>
      </w:r>
      <w:r w:rsidR="00BC6FA7">
        <w:rPr>
          <w:rFonts w:ascii="Century" w:hAnsi="Century" w:cs="Arabic Typesetting"/>
          <w:sz w:val="24"/>
          <w:szCs w:val="24"/>
        </w:rPr>
        <w:t xml:space="preserve">Laws drafted in conformity with Lord Bingham’s criteria allow citizens to accept and trust </w:t>
      </w:r>
      <w:r w:rsidR="0008008A">
        <w:rPr>
          <w:rFonts w:ascii="Century" w:hAnsi="Century" w:cs="Arabic Typesetting"/>
          <w:sz w:val="24"/>
          <w:szCs w:val="24"/>
        </w:rPr>
        <w:t xml:space="preserve">the </w:t>
      </w:r>
      <w:r w:rsidR="00BC6FA7">
        <w:rPr>
          <w:rFonts w:ascii="Century" w:hAnsi="Century" w:cs="Arabic Typesetting"/>
          <w:sz w:val="24"/>
          <w:szCs w:val="24"/>
        </w:rPr>
        <w:t xml:space="preserve">governing </w:t>
      </w:r>
      <w:r w:rsidR="0008008A">
        <w:rPr>
          <w:rFonts w:ascii="Century" w:hAnsi="Century" w:cs="Arabic Typesetting"/>
          <w:sz w:val="24"/>
          <w:szCs w:val="24"/>
        </w:rPr>
        <w:t xml:space="preserve">rules and </w:t>
      </w:r>
      <w:r w:rsidR="00DD0AE6">
        <w:rPr>
          <w:rFonts w:ascii="Century" w:hAnsi="Century" w:cs="Arabic Typesetting"/>
          <w:sz w:val="24"/>
          <w:szCs w:val="24"/>
        </w:rPr>
        <w:t>institutions</w:t>
      </w:r>
      <w:r w:rsidR="0008008A">
        <w:rPr>
          <w:rFonts w:ascii="Century" w:hAnsi="Century" w:cs="Arabic Typesetting"/>
          <w:sz w:val="24"/>
          <w:szCs w:val="24"/>
        </w:rPr>
        <w:t>.</w:t>
      </w:r>
      <w:r w:rsidR="0008008A">
        <w:rPr>
          <w:rStyle w:val="FootnoteReference"/>
          <w:rFonts w:ascii="Century" w:hAnsi="Century" w:cs="Arabic Typesetting"/>
          <w:sz w:val="24"/>
          <w:szCs w:val="24"/>
        </w:rPr>
        <w:footnoteReference w:id="60"/>
      </w:r>
      <w:r w:rsidR="00DD0AE6">
        <w:rPr>
          <w:rFonts w:ascii="Century" w:hAnsi="Century" w:cs="Arabic Typesetting"/>
          <w:sz w:val="24"/>
          <w:szCs w:val="24"/>
        </w:rPr>
        <w:t xml:space="preserve"> </w:t>
      </w:r>
      <w:r w:rsidR="00BC6FA7">
        <w:rPr>
          <w:rFonts w:ascii="Century" w:hAnsi="Century" w:cs="Arabic Typesetting"/>
          <w:sz w:val="24"/>
          <w:szCs w:val="24"/>
        </w:rPr>
        <w:t>They encourage citizens</w:t>
      </w:r>
      <w:r w:rsidR="00DA51AF">
        <w:rPr>
          <w:rFonts w:ascii="Century" w:hAnsi="Century" w:cs="Arabic Typesetting"/>
          <w:sz w:val="24"/>
          <w:szCs w:val="24"/>
        </w:rPr>
        <w:t xml:space="preserve"> to participate in decision making which is necessary for democracy and good governance.</w:t>
      </w:r>
      <w:r w:rsidR="00DA51AF">
        <w:rPr>
          <w:rStyle w:val="FootnoteReference"/>
          <w:rFonts w:ascii="Century" w:hAnsi="Century" w:cs="Arabic Typesetting"/>
          <w:sz w:val="24"/>
          <w:szCs w:val="24"/>
        </w:rPr>
        <w:footnoteReference w:id="61"/>
      </w:r>
      <w:r w:rsidR="00DA51AF">
        <w:rPr>
          <w:rFonts w:ascii="Century" w:hAnsi="Century" w:cs="Arabic Typesetting"/>
          <w:sz w:val="24"/>
          <w:szCs w:val="24"/>
        </w:rPr>
        <w:t xml:space="preserve"> In essence, l</w:t>
      </w:r>
      <w:r w:rsidR="0008008A" w:rsidRPr="00F32CF2">
        <w:rPr>
          <w:rFonts w:ascii="Century" w:hAnsi="Century" w:cs="Arabic Typesetting"/>
          <w:sz w:val="24"/>
          <w:szCs w:val="24"/>
        </w:rPr>
        <w:t xml:space="preserve">aws that are intelligible, clear and </w:t>
      </w:r>
      <w:r w:rsidR="0008008A">
        <w:rPr>
          <w:rFonts w:ascii="Century" w:hAnsi="Century" w:cs="Arabic Typesetting"/>
          <w:sz w:val="24"/>
          <w:szCs w:val="24"/>
        </w:rPr>
        <w:t>predictable</w:t>
      </w:r>
      <w:r w:rsidR="0008008A" w:rsidRPr="00F32CF2">
        <w:rPr>
          <w:rFonts w:ascii="Century" w:hAnsi="Century" w:cs="Arabic Typesetting"/>
          <w:sz w:val="24"/>
          <w:szCs w:val="24"/>
        </w:rPr>
        <w:t xml:space="preserve"> are beneficial as it </w:t>
      </w:r>
      <w:r w:rsidR="0008008A">
        <w:rPr>
          <w:rFonts w:ascii="Century" w:hAnsi="Century" w:cs="Arabic Typesetting"/>
          <w:sz w:val="24"/>
          <w:szCs w:val="24"/>
        </w:rPr>
        <w:t xml:space="preserve">empowers citizens and </w:t>
      </w:r>
      <w:r w:rsidR="00DD0AE6">
        <w:rPr>
          <w:rFonts w:ascii="Century" w:hAnsi="Century" w:cs="Arabic Typesetting"/>
          <w:sz w:val="24"/>
          <w:szCs w:val="24"/>
        </w:rPr>
        <w:t>gives</w:t>
      </w:r>
      <w:r w:rsidR="0008008A">
        <w:rPr>
          <w:rFonts w:ascii="Century" w:hAnsi="Century" w:cs="Arabic Typesetting"/>
          <w:sz w:val="24"/>
          <w:szCs w:val="24"/>
        </w:rPr>
        <w:t xml:space="preserve"> them </w:t>
      </w:r>
      <w:r w:rsidR="00231594">
        <w:rPr>
          <w:rFonts w:ascii="Century" w:hAnsi="Century" w:cs="Arabic Typesetting"/>
          <w:sz w:val="24"/>
          <w:szCs w:val="24"/>
        </w:rPr>
        <w:t xml:space="preserve">access </w:t>
      </w:r>
      <w:r w:rsidR="00A7139F">
        <w:rPr>
          <w:rFonts w:ascii="Century" w:hAnsi="Century" w:cs="Arabic Typesetting"/>
          <w:sz w:val="24"/>
          <w:szCs w:val="24"/>
        </w:rPr>
        <w:t>to</w:t>
      </w:r>
      <w:r w:rsidR="00231594">
        <w:rPr>
          <w:rFonts w:ascii="Century" w:hAnsi="Century" w:cs="Arabic Typesetting"/>
          <w:sz w:val="24"/>
          <w:szCs w:val="24"/>
        </w:rPr>
        <w:t xml:space="preserve"> enjoy all that </w:t>
      </w:r>
      <w:r w:rsidR="0008008A">
        <w:rPr>
          <w:rFonts w:ascii="Century" w:hAnsi="Century" w:cs="Arabic Typesetting"/>
          <w:sz w:val="24"/>
          <w:szCs w:val="24"/>
        </w:rPr>
        <w:t>the law affords.</w:t>
      </w:r>
    </w:p>
    <w:p w:rsidR="00663107" w:rsidRDefault="00663107" w:rsidP="00FB0852">
      <w:pPr>
        <w:spacing w:line="360" w:lineRule="auto"/>
        <w:jc w:val="both"/>
        <w:rPr>
          <w:rFonts w:ascii="Century" w:hAnsi="Century" w:cs="Arabic Typesetting"/>
          <w:sz w:val="24"/>
          <w:szCs w:val="24"/>
        </w:rPr>
      </w:pPr>
    </w:p>
    <w:p w:rsidR="00663107" w:rsidRDefault="00663107" w:rsidP="00FB0852">
      <w:pPr>
        <w:spacing w:line="360" w:lineRule="auto"/>
        <w:jc w:val="both"/>
        <w:rPr>
          <w:rFonts w:ascii="Century" w:hAnsi="Century" w:cs="Arabic Typesetting"/>
          <w:sz w:val="24"/>
          <w:szCs w:val="24"/>
        </w:rPr>
      </w:pPr>
    </w:p>
    <w:p w:rsidR="00663107" w:rsidRDefault="00663107" w:rsidP="00FB0852">
      <w:pPr>
        <w:spacing w:line="360" w:lineRule="auto"/>
        <w:jc w:val="both"/>
        <w:rPr>
          <w:rFonts w:ascii="Century" w:hAnsi="Century" w:cs="Arabic Typesetting"/>
          <w:sz w:val="24"/>
          <w:szCs w:val="24"/>
        </w:rPr>
      </w:pPr>
    </w:p>
    <w:p w:rsidR="00663107" w:rsidRDefault="00663107" w:rsidP="00FB0852">
      <w:pPr>
        <w:spacing w:line="360" w:lineRule="auto"/>
        <w:jc w:val="both"/>
        <w:rPr>
          <w:rFonts w:ascii="Century" w:hAnsi="Century" w:cs="Arabic Typesetting"/>
          <w:sz w:val="24"/>
          <w:szCs w:val="24"/>
        </w:rPr>
      </w:pPr>
    </w:p>
    <w:p w:rsidR="001C759E" w:rsidRDefault="001C759E" w:rsidP="00FB0852">
      <w:pPr>
        <w:spacing w:line="360" w:lineRule="auto"/>
        <w:jc w:val="both"/>
        <w:rPr>
          <w:rFonts w:ascii="Century" w:hAnsi="Century" w:cs="Arabic Typesetting"/>
          <w:sz w:val="24"/>
          <w:szCs w:val="24"/>
        </w:rPr>
      </w:pPr>
    </w:p>
    <w:p w:rsidR="001C759E" w:rsidRDefault="001C759E" w:rsidP="00FB0852">
      <w:pPr>
        <w:spacing w:line="360" w:lineRule="auto"/>
        <w:jc w:val="both"/>
        <w:rPr>
          <w:rFonts w:ascii="Century" w:hAnsi="Century" w:cs="Arabic Typesetting"/>
          <w:sz w:val="24"/>
          <w:szCs w:val="24"/>
        </w:rPr>
      </w:pPr>
    </w:p>
    <w:p w:rsidR="00DE56D7" w:rsidRPr="00B044AF" w:rsidRDefault="00DE56D7" w:rsidP="00FB0852">
      <w:pPr>
        <w:spacing w:line="360" w:lineRule="auto"/>
        <w:jc w:val="both"/>
        <w:rPr>
          <w:rFonts w:ascii="Century" w:hAnsi="Century" w:cs="Arabic Typesetting"/>
          <w:sz w:val="24"/>
          <w:szCs w:val="24"/>
        </w:rPr>
      </w:pPr>
    </w:p>
    <w:p w:rsidR="00FD2B70" w:rsidRPr="00B044AF" w:rsidRDefault="0049683B" w:rsidP="00B044AF">
      <w:pPr>
        <w:pStyle w:val="Heading4"/>
        <w:numPr>
          <w:ilvl w:val="0"/>
          <w:numId w:val="20"/>
        </w:numPr>
        <w:rPr>
          <w:color w:val="auto"/>
        </w:rPr>
      </w:pPr>
      <w:bookmarkStart w:id="16" w:name="_Toc427272655"/>
      <w:bookmarkStart w:id="17" w:name="_Toc427597735"/>
      <w:r w:rsidRPr="00B044AF">
        <w:rPr>
          <w:color w:val="auto"/>
        </w:rPr>
        <w:t>Legislative Drafter</w:t>
      </w:r>
      <w:r w:rsidR="00001759" w:rsidRPr="00B044AF">
        <w:rPr>
          <w:color w:val="auto"/>
        </w:rPr>
        <w:t xml:space="preserve">s – Guardians of the </w:t>
      </w:r>
      <w:r w:rsidRPr="00B044AF">
        <w:rPr>
          <w:color w:val="auto"/>
        </w:rPr>
        <w:t>Rule of Law</w:t>
      </w:r>
      <w:bookmarkEnd w:id="16"/>
      <w:bookmarkEnd w:id="17"/>
    </w:p>
    <w:p w:rsidR="0082418A" w:rsidRDefault="0082418A" w:rsidP="000F4847">
      <w:pPr>
        <w:shd w:val="clear" w:color="auto" w:fill="FFFFFF"/>
        <w:spacing w:after="100" w:line="360" w:lineRule="auto"/>
        <w:jc w:val="both"/>
        <w:rPr>
          <w:rFonts w:ascii="Century" w:hAnsi="Century" w:cs="Arabic Typesetting"/>
          <w:sz w:val="24"/>
          <w:szCs w:val="24"/>
        </w:rPr>
      </w:pPr>
    </w:p>
    <w:p w:rsidR="000A3220" w:rsidRDefault="00FD2B70" w:rsidP="000A3220">
      <w:pPr>
        <w:shd w:val="clear" w:color="auto" w:fill="FFFFFF"/>
        <w:spacing w:after="100" w:line="360" w:lineRule="auto"/>
        <w:jc w:val="both"/>
        <w:rPr>
          <w:rFonts w:ascii="Century" w:hAnsi="Century"/>
          <w:sz w:val="24"/>
          <w:szCs w:val="24"/>
        </w:rPr>
      </w:pPr>
      <w:r w:rsidRPr="00F32CF2">
        <w:rPr>
          <w:rFonts w:ascii="Century" w:hAnsi="Century" w:cs="Arabic Typesetting"/>
          <w:sz w:val="24"/>
          <w:szCs w:val="24"/>
        </w:rPr>
        <w:t xml:space="preserve">Legislative drafters have been called </w:t>
      </w:r>
      <w:r w:rsidR="00B0060B" w:rsidRPr="00F32CF2">
        <w:rPr>
          <w:rFonts w:ascii="Century" w:hAnsi="Century"/>
          <w:sz w:val="24"/>
          <w:szCs w:val="24"/>
        </w:rPr>
        <w:t>‘guardians of the rule of law’,</w:t>
      </w:r>
      <w:r w:rsidR="00B0060B" w:rsidRPr="00F32CF2">
        <w:rPr>
          <w:rStyle w:val="FootnoteReference"/>
          <w:rFonts w:ascii="Century" w:hAnsi="Century"/>
          <w:sz w:val="24"/>
          <w:szCs w:val="24"/>
        </w:rPr>
        <w:footnoteReference w:id="62"/>
      </w:r>
      <w:r w:rsidR="00B0060B" w:rsidRPr="00F32CF2">
        <w:rPr>
          <w:rFonts w:ascii="Century" w:hAnsi="Century"/>
          <w:sz w:val="24"/>
          <w:szCs w:val="24"/>
        </w:rPr>
        <w:t xml:space="preserve"> </w:t>
      </w:r>
      <w:r w:rsidR="004D05C9">
        <w:rPr>
          <w:rFonts w:ascii="Century" w:hAnsi="Century"/>
          <w:sz w:val="24"/>
          <w:szCs w:val="24"/>
        </w:rPr>
        <w:t>‘the gatekeeper</w:t>
      </w:r>
      <w:r w:rsidRPr="00F32CF2">
        <w:rPr>
          <w:rFonts w:ascii="Century" w:hAnsi="Century"/>
          <w:sz w:val="24"/>
          <w:szCs w:val="24"/>
        </w:rPr>
        <w:t>’,</w:t>
      </w:r>
      <w:r w:rsidRPr="00F32CF2">
        <w:rPr>
          <w:rStyle w:val="FootnoteReference"/>
          <w:rFonts w:ascii="Century" w:hAnsi="Century"/>
          <w:sz w:val="24"/>
          <w:szCs w:val="24"/>
        </w:rPr>
        <w:footnoteReference w:id="63"/>
      </w:r>
      <w:r w:rsidRPr="00F32CF2">
        <w:rPr>
          <w:rFonts w:ascii="Century" w:hAnsi="Century"/>
          <w:sz w:val="24"/>
          <w:szCs w:val="24"/>
        </w:rPr>
        <w:t xml:space="preserve"> ‘keepers of the statute book’</w:t>
      </w:r>
      <w:r w:rsidR="00A0629E" w:rsidRPr="00F32CF2">
        <w:rPr>
          <w:rFonts w:ascii="Century" w:hAnsi="Century"/>
          <w:sz w:val="24"/>
          <w:szCs w:val="24"/>
        </w:rPr>
        <w:t>,</w:t>
      </w:r>
      <w:r w:rsidRPr="00F32CF2">
        <w:rPr>
          <w:rStyle w:val="FootnoteReference"/>
          <w:rFonts w:ascii="Century" w:hAnsi="Century"/>
          <w:sz w:val="24"/>
          <w:szCs w:val="24"/>
        </w:rPr>
        <w:footnoteReference w:id="64"/>
      </w:r>
      <w:r w:rsidRPr="00F32CF2">
        <w:rPr>
          <w:rFonts w:ascii="Century" w:hAnsi="Century"/>
          <w:sz w:val="24"/>
          <w:szCs w:val="24"/>
        </w:rPr>
        <w:t xml:space="preserve"> </w:t>
      </w:r>
      <w:r w:rsidR="000F4847" w:rsidRPr="00F32CF2">
        <w:rPr>
          <w:rFonts w:ascii="Century" w:hAnsi="Century"/>
          <w:sz w:val="24"/>
          <w:szCs w:val="24"/>
        </w:rPr>
        <w:t xml:space="preserve">and </w:t>
      </w:r>
      <w:r w:rsidR="00314EDE">
        <w:rPr>
          <w:rFonts w:ascii="Century" w:hAnsi="Century"/>
          <w:sz w:val="24"/>
          <w:szCs w:val="24"/>
        </w:rPr>
        <w:t>‘</w:t>
      </w:r>
      <w:r w:rsidR="000F4847" w:rsidRPr="00F32CF2">
        <w:rPr>
          <w:rFonts w:ascii="Century" w:hAnsi="Century"/>
          <w:sz w:val="24"/>
          <w:szCs w:val="24"/>
        </w:rPr>
        <w:t>advocates</w:t>
      </w:r>
      <w:r w:rsidR="00314EDE">
        <w:rPr>
          <w:rFonts w:ascii="Century" w:hAnsi="Century"/>
          <w:sz w:val="24"/>
          <w:szCs w:val="24"/>
        </w:rPr>
        <w:t>’</w:t>
      </w:r>
      <w:r w:rsidR="000F4847" w:rsidRPr="00F32CF2">
        <w:rPr>
          <w:rFonts w:ascii="Century" w:hAnsi="Century"/>
          <w:sz w:val="24"/>
          <w:szCs w:val="24"/>
        </w:rPr>
        <w:t xml:space="preserve"> who must maintain and secure ‘the integrity of the statue book’.</w:t>
      </w:r>
      <w:r w:rsidR="000F4847" w:rsidRPr="00F32CF2">
        <w:rPr>
          <w:rStyle w:val="FootnoteReference"/>
          <w:rFonts w:ascii="Century" w:hAnsi="Century"/>
          <w:sz w:val="24"/>
          <w:szCs w:val="24"/>
        </w:rPr>
        <w:footnoteReference w:id="65"/>
      </w:r>
      <w:r w:rsidR="000F4847" w:rsidRPr="00F32CF2">
        <w:rPr>
          <w:rFonts w:ascii="Century" w:hAnsi="Century"/>
          <w:sz w:val="24"/>
          <w:szCs w:val="24"/>
        </w:rPr>
        <w:t xml:space="preserve"> </w:t>
      </w:r>
      <w:r w:rsidRPr="00F32CF2">
        <w:rPr>
          <w:rFonts w:ascii="Century" w:hAnsi="Century"/>
          <w:sz w:val="24"/>
          <w:szCs w:val="24"/>
        </w:rPr>
        <w:t>These titles are bestowed upon drafter</w:t>
      </w:r>
      <w:r w:rsidR="00E547BD">
        <w:rPr>
          <w:rFonts w:ascii="Century" w:hAnsi="Century"/>
          <w:sz w:val="24"/>
          <w:szCs w:val="24"/>
        </w:rPr>
        <w:t>s</w:t>
      </w:r>
      <w:r w:rsidRPr="00F32CF2">
        <w:rPr>
          <w:rFonts w:ascii="Century" w:hAnsi="Century"/>
          <w:sz w:val="24"/>
          <w:szCs w:val="24"/>
        </w:rPr>
        <w:t xml:space="preserve"> because of their </w:t>
      </w:r>
      <w:r w:rsidR="0094186B">
        <w:rPr>
          <w:rFonts w:ascii="Century" w:hAnsi="Century"/>
          <w:sz w:val="24"/>
          <w:szCs w:val="24"/>
        </w:rPr>
        <w:t>‘</w:t>
      </w:r>
      <w:r w:rsidRPr="00F32CF2">
        <w:rPr>
          <w:rFonts w:ascii="Century" w:hAnsi="Century"/>
          <w:sz w:val="24"/>
          <w:szCs w:val="24"/>
        </w:rPr>
        <w:t>unique position within the legislative process</w:t>
      </w:r>
      <w:r w:rsidR="0094186B">
        <w:rPr>
          <w:rFonts w:ascii="Century" w:hAnsi="Century"/>
          <w:sz w:val="24"/>
          <w:szCs w:val="24"/>
        </w:rPr>
        <w:t>’</w:t>
      </w:r>
      <w:r w:rsidRPr="00F32CF2">
        <w:rPr>
          <w:rFonts w:ascii="Century" w:hAnsi="Century"/>
          <w:sz w:val="24"/>
          <w:szCs w:val="24"/>
        </w:rPr>
        <w:t>.</w:t>
      </w:r>
      <w:r w:rsidRPr="00F32CF2">
        <w:rPr>
          <w:rStyle w:val="FootnoteReference"/>
          <w:rFonts w:ascii="Century" w:hAnsi="Century"/>
          <w:sz w:val="24"/>
          <w:szCs w:val="24"/>
        </w:rPr>
        <w:footnoteReference w:id="66"/>
      </w:r>
      <w:r w:rsidRPr="00F32CF2">
        <w:rPr>
          <w:rFonts w:ascii="Century" w:hAnsi="Century"/>
          <w:sz w:val="24"/>
          <w:szCs w:val="24"/>
        </w:rPr>
        <w:t xml:space="preserve"> </w:t>
      </w:r>
      <w:r w:rsidR="00623407">
        <w:rPr>
          <w:rFonts w:ascii="Century" w:hAnsi="Century"/>
          <w:sz w:val="24"/>
          <w:szCs w:val="24"/>
        </w:rPr>
        <w:t xml:space="preserve">For Thornton, it is drafters who play ‘the </w:t>
      </w:r>
      <w:r w:rsidR="00623407" w:rsidRPr="00F32CF2">
        <w:rPr>
          <w:rFonts w:ascii="Century" w:hAnsi="Century" w:cs="Arabic Typesetting"/>
          <w:sz w:val="24"/>
          <w:szCs w:val="24"/>
        </w:rPr>
        <w:t>leadi</w:t>
      </w:r>
      <w:r w:rsidR="00623407">
        <w:rPr>
          <w:rFonts w:ascii="Century" w:hAnsi="Century" w:cs="Arabic Typesetting"/>
          <w:sz w:val="24"/>
          <w:szCs w:val="24"/>
        </w:rPr>
        <w:t>ng role in the drafting process’.</w:t>
      </w:r>
      <w:r w:rsidR="00623407" w:rsidRPr="00F32CF2">
        <w:rPr>
          <w:rStyle w:val="FootnoteReference"/>
          <w:rFonts w:ascii="Century" w:hAnsi="Century" w:cs="Arabic Typesetting"/>
          <w:sz w:val="24"/>
          <w:szCs w:val="24"/>
        </w:rPr>
        <w:footnoteReference w:id="67"/>
      </w:r>
      <w:r w:rsidR="00623407" w:rsidRPr="00F32CF2">
        <w:rPr>
          <w:rFonts w:ascii="Century" w:hAnsi="Century" w:cs="Arabic Typesetting"/>
          <w:sz w:val="24"/>
          <w:szCs w:val="24"/>
        </w:rPr>
        <w:t xml:space="preserve"> </w:t>
      </w:r>
      <w:r w:rsidR="00623407">
        <w:rPr>
          <w:rFonts w:ascii="Century" w:hAnsi="Century" w:cs="Arabic Typesetting"/>
          <w:sz w:val="24"/>
          <w:szCs w:val="24"/>
        </w:rPr>
        <w:t xml:space="preserve">As </w:t>
      </w:r>
      <w:r w:rsidR="00623407" w:rsidRPr="00F32CF2">
        <w:rPr>
          <w:rFonts w:ascii="Century" w:hAnsi="Century" w:cs="Arabic Typesetting"/>
          <w:sz w:val="24"/>
          <w:szCs w:val="24"/>
        </w:rPr>
        <w:t>Ismail</w:t>
      </w:r>
      <w:r w:rsidR="00623407">
        <w:rPr>
          <w:rFonts w:ascii="Century" w:hAnsi="Century" w:cs="Arabic Typesetting"/>
          <w:sz w:val="24"/>
          <w:szCs w:val="24"/>
        </w:rPr>
        <w:t xml:space="preserve"> </w:t>
      </w:r>
      <w:r w:rsidR="004E1D18">
        <w:rPr>
          <w:rFonts w:ascii="Century" w:hAnsi="Century" w:cs="Arabic Typesetting"/>
          <w:sz w:val="24"/>
          <w:szCs w:val="24"/>
        </w:rPr>
        <w:t>states</w:t>
      </w:r>
      <w:r w:rsidR="00623407">
        <w:rPr>
          <w:rFonts w:ascii="Century" w:hAnsi="Century" w:cs="Arabic Typesetting"/>
          <w:sz w:val="24"/>
          <w:szCs w:val="24"/>
        </w:rPr>
        <w:t xml:space="preserve"> </w:t>
      </w:r>
      <w:r w:rsidR="00623407" w:rsidRPr="00F32CF2">
        <w:rPr>
          <w:rFonts w:ascii="Century" w:hAnsi="Century" w:cs="Arabic Typesetting"/>
          <w:sz w:val="24"/>
          <w:szCs w:val="24"/>
        </w:rPr>
        <w:t>drafters have ‘a significant impact on the interpretation and the implementation of the law’.</w:t>
      </w:r>
      <w:r w:rsidR="00623407" w:rsidRPr="00F32CF2">
        <w:rPr>
          <w:rStyle w:val="FootnoteReference"/>
          <w:rFonts w:ascii="Century" w:hAnsi="Century" w:cs="Arabic Typesetting"/>
          <w:sz w:val="24"/>
          <w:szCs w:val="24"/>
        </w:rPr>
        <w:footnoteReference w:id="68"/>
      </w:r>
      <w:r w:rsidR="00623407">
        <w:rPr>
          <w:rFonts w:ascii="Century" w:hAnsi="Century"/>
          <w:sz w:val="24"/>
          <w:szCs w:val="24"/>
        </w:rPr>
        <w:t xml:space="preserve"> Marchant, echoed the same sentiment when he declared that drafters ‘</w:t>
      </w:r>
      <w:r w:rsidR="00623407" w:rsidRPr="00F32CF2">
        <w:rPr>
          <w:rFonts w:ascii="Century" w:hAnsi="Century"/>
          <w:sz w:val="24"/>
          <w:szCs w:val="24"/>
        </w:rPr>
        <w:t>play an instrumental role in the development and enactment of laws</w:t>
      </w:r>
      <w:r w:rsidR="00623407">
        <w:rPr>
          <w:rFonts w:ascii="Century" w:hAnsi="Century"/>
          <w:sz w:val="24"/>
          <w:szCs w:val="24"/>
        </w:rPr>
        <w:t>’</w:t>
      </w:r>
      <w:r w:rsidR="00623407" w:rsidRPr="00F32CF2">
        <w:rPr>
          <w:rFonts w:ascii="Century" w:hAnsi="Century"/>
          <w:sz w:val="24"/>
          <w:szCs w:val="24"/>
        </w:rPr>
        <w:t>.</w:t>
      </w:r>
      <w:r w:rsidR="00623407" w:rsidRPr="00F32CF2">
        <w:rPr>
          <w:rStyle w:val="FootnoteReference"/>
          <w:rFonts w:ascii="Century" w:hAnsi="Century"/>
          <w:sz w:val="24"/>
          <w:szCs w:val="24"/>
        </w:rPr>
        <w:footnoteReference w:id="69"/>
      </w:r>
      <w:r w:rsidR="00623407" w:rsidRPr="00F32CF2">
        <w:rPr>
          <w:rFonts w:ascii="Century" w:hAnsi="Century"/>
          <w:sz w:val="24"/>
          <w:szCs w:val="24"/>
        </w:rPr>
        <w:t xml:space="preserve"> </w:t>
      </w:r>
      <w:r w:rsidR="00623407">
        <w:rPr>
          <w:rFonts w:ascii="Century" w:hAnsi="Century"/>
          <w:sz w:val="24"/>
          <w:szCs w:val="24"/>
        </w:rPr>
        <w:t>It is because of this unique position that</w:t>
      </w:r>
      <w:r w:rsidR="000A3220">
        <w:rPr>
          <w:rFonts w:ascii="Century" w:hAnsi="Century"/>
          <w:sz w:val="24"/>
          <w:szCs w:val="24"/>
        </w:rPr>
        <w:t xml:space="preserve"> Nz</w:t>
      </w:r>
      <w:r w:rsidR="005F2EAF">
        <w:rPr>
          <w:rFonts w:ascii="Century" w:hAnsi="Century"/>
          <w:sz w:val="24"/>
          <w:szCs w:val="24"/>
        </w:rPr>
        <w:t>ere</w:t>
      </w:r>
      <w:r w:rsidR="000A3220">
        <w:rPr>
          <w:rFonts w:ascii="Century" w:hAnsi="Century"/>
          <w:sz w:val="24"/>
          <w:szCs w:val="24"/>
        </w:rPr>
        <w:t xml:space="preserve">m and Xanthaki, </w:t>
      </w:r>
      <w:r w:rsidR="00623407">
        <w:rPr>
          <w:rFonts w:ascii="Century" w:hAnsi="Century"/>
          <w:sz w:val="24"/>
          <w:szCs w:val="24"/>
        </w:rPr>
        <w:t xml:space="preserve">see </w:t>
      </w:r>
      <w:r w:rsidR="000A3220">
        <w:rPr>
          <w:rFonts w:ascii="Century" w:hAnsi="Century"/>
          <w:sz w:val="24"/>
          <w:szCs w:val="24"/>
        </w:rPr>
        <w:t xml:space="preserve">drafters </w:t>
      </w:r>
      <w:r w:rsidR="00623407">
        <w:rPr>
          <w:rFonts w:ascii="Century" w:hAnsi="Century"/>
          <w:sz w:val="24"/>
          <w:szCs w:val="24"/>
        </w:rPr>
        <w:t xml:space="preserve">as </w:t>
      </w:r>
      <w:r w:rsidR="00623407">
        <w:rPr>
          <w:rFonts w:ascii="Century" w:hAnsi="Century"/>
          <w:sz w:val="24"/>
          <w:szCs w:val="24"/>
        </w:rPr>
        <w:lastRenderedPageBreak/>
        <w:t>being c</w:t>
      </w:r>
      <w:r w:rsidR="000A3220">
        <w:rPr>
          <w:rFonts w:ascii="Century" w:hAnsi="Century"/>
          <w:sz w:val="24"/>
          <w:szCs w:val="24"/>
        </w:rPr>
        <w:t xml:space="preserve">harged with the responsibility </w:t>
      </w:r>
      <w:r w:rsidR="00623407">
        <w:rPr>
          <w:rFonts w:ascii="Century" w:hAnsi="Century" w:cs="Arabic Typesetting"/>
          <w:sz w:val="24"/>
          <w:szCs w:val="24"/>
        </w:rPr>
        <w:t>of</w:t>
      </w:r>
      <w:r w:rsidR="000A3220">
        <w:rPr>
          <w:rFonts w:ascii="Century" w:hAnsi="Century" w:cs="Arabic Typesetting"/>
          <w:sz w:val="24"/>
          <w:szCs w:val="24"/>
        </w:rPr>
        <w:t xml:space="preserve"> effectively accomplish</w:t>
      </w:r>
      <w:r w:rsidR="00623407">
        <w:rPr>
          <w:rFonts w:ascii="Century" w:hAnsi="Century" w:cs="Arabic Typesetting"/>
          <w:sz w:val="24"/>
          <w:szCs w:val="24"/>
        </w:rPr>
        <w:t>ing</w:t>
      </w:r>
      <w:r w:rsidR="000A3220">
        <w:rPr>
          <w:rFonts w:ascii="Century" w:hAnsi="Century" w:cs="Arabic Typesetting"/>
          <w:sz w:val="24"/>
          <w:szCs w:val="24"/>
        </w:rPr>
        <w:t xml:space="preserve"> the policy objectives that the government hopes to achieve.</w:t>
      </w:r>
      <w:r w:rsidR="000A3220" w:rsidRPr="00F32CF2">
        <w:rPr>
          <w:rStyle w:val="FootnoteReference"/>
          <w:rFonts w:ascii="Century" w:hAnsi="Century" w:cs="Arabic Typesetting"/>
          <w:sz w:val="24"/>
          <w:szCs w:val="24"/>
        </w:rPr>
        <w:footnoteReference w:id="70"/>
      </w:r>
      <w:r w:rsidR="000A3220" w:rsidRPr="00F32CF2">
        <w:rPr>
          <w:rFonts w:ascii="Century" w:hAnsi="Century"/>
          <w:sz w:val="24"/>
          <w:szCs w:val="24"/>
        </w:rPr>
        <w:t xml:space="preserve"> </w:t>
      </w:r>
    </w:p>
    <w:p w:rsidR="00623407" w:rsidRDefault="00623407" w:rsidP="000A3220">
      <w:pPr>
        <w:shd w:val="clear" w:color="auto" w:fill="FFFFFF"/>
        <w:spacing w:after="100" w:line="360" w:lineRule="auto"/>
        <w:jc w:val="both"/>
        <w:rPr>
          <w:rFonts w:ascii="Century" w:hAnsi="Century"/>
          <w:sz w:val="24"/>
          <w:szCs w:val="24"/>
        </w:rPr>
      </w:pPr>
    </w:p>
    <w:p w:rsidR="009B175C" w:rsidRDefault="000A3220" w:rsidP="009B175C">
      <w:pPr>
        <w:shd w:val="clear" w:color="auto" w:fill="FFFFFF"/>
        <w:spacing w:after="100" w:line="360" w:lineRule="auto"/>
        <w:jc w:val="both"/>
        <w:rPr>
          <w:rFonts w:ascii="Century" w:hAnsi="Century"/>
          <w:sz w:val="24"/>
          <w:szCs w:val="24"/>
        </w:rPr>
      </w:pPr>
      <w:r>
        <w:rPr>
          <w:rFonts w:ascii="Century" w:hAnsi="Century"/>
          <w:sz w:val="24"/>
          <w:szCs w:val="24"/>
        </w:rPr>
        <w:t>Levert QC</w:t>
      </w:r>
      <w:r w:rsidR="00623407">
        <w:rPr>
          <w:rFonts w:ascii="Century" w:hAnsi="Century"/>
          <w:sz w:val="24"/>
          <w:szCs w:val="24"/>
        </w:rPr>
        <w:t xml:space="preserve"> however,</w:t>
      </w:r>
      <w:r>
        <w:rPr>
          <w:rFonts w:ascii="Century" w:hAnsi="Century"/>
          <w:sz w:val="24"/>
          <w:szCs w:val="24"/>
        </w:rPr>
        <w:t xml:space="preserve"> sees the </w:t>
      </w:r>
      <w:r w:rsidR="00623407">
        <w:rPr>
          <w:rFonts w:ascii="Century" w:hAnsi="Century"/>
          <w:sz w:val="24"/>
          <w:szCs w:val="24"/>
        </w:rPr>
        <w:t>responsibilities</w:t>
      </w:r>
      <w:r>
        <w:rPr>
          <w:rFonts w:ascii="Century" w:hAnsi="Century"/>
          <w:sz w:val="24"/>
          <w:szCs w:val="24"/>
        </w:rPr>
        <w:t xml:space="preserve"> of drafters as multifaceted. For him drafter</w:t>
      </w:r>
      <w:r w:rsidR="00A32443">
        <w:rPr>
          <w:rFonts w:ascii="Century" w:hAnsi="Century"/>
          <w:sz w:val="24"/>
          <w:szCs w:val="24"/>
        </w:rPr>
        <w:t>s</w:t>
      </w:r>
      <w:r>
        <w:rPr>
          <w:rFonts w:ascii="Century" w:hAnsi="Century"/>
          <w:sz w:val="24"/>
          <w:szCs w:val="24"/>
        </w:rPr>
        <w:t xml:space="preserve"> must maintain </w:t>
      </w:r>
      <w:r w:rsidR="001B5B2B">
        <w:rPr>
          <w:rFonts w:ascii="Century" w:hAnsi="Century"/>
          <w:sz w:val="24"/>
          <w:szCs w:val="24"/>
        </w:rPr>
        <w:t>‘</w:t>
      </w:r>
      <w:r>
        <w:rPr>
          <w:rFonts w:ascii="Century" w:hAnsi="Century"/>
          <w:sz w:val="24"/>
          <w:szCs w:val="24"/>
        </w:rPr>
        <w:t>the quality, consistency and integrity of the statute book</w:t>
      </w:r>
      <w:r w:rsidR="001B5B2B">
        <w:rPr>
          <w:rFonts w:ascii="Century" w:hAnsi="Century"/>
          <w:sz w:val="24"/>
          <w:szCs w:val="24"/>
        </w:rPr>
        <w:t>’</w:t>
      </w:r>
      <w:r>
        <w:rPr>
          <w:rFonts w:ascii="Century" w:hAnsi="Century"/>
          <w:sz w:val="24"/>
          <w:szCs w:val="24"/>
        </w:rPr>
        <w:t>, execute the government’s objects yet at the same time ensure that</w:t>
      </w:r>
      <w:r w:rsidR="00597750">
        <w:rPr>
          <w:rFonts w:ascii="Century" w:hAnsi="Century"/>
          <w:sz w:val="24"/>
          <w:szCs w:val="24"/>
        </w:rPr>
        <w:t xml:space="preserve"> the legislation is accessible, ‘both</w:t>
      </w:r>
      <w:r>
        <w:rPr>
          <w:rFonts w:ascii="Century" w:hAnsi="Century"/>
          <w:sz w:val="24"/>
          <w:szCs w:val="24"/>
        </w:rPr>
        <w:t xml:space="preserve"> materially and intellectually’.</w:t>
      </w:r>
      <w:r>
        <w:rPr>
          <w:rStyle w:val="FootnoteReference"/>
          <w:rFonts w:ascii="Century" w:hAnsi="Century"/>
          <w:sz w:val="24"/>
          <w:szCs w:val="24"/>
        </w:rPr>
        <w:footnoteReference w:id="71"/>
      </w:r>
      <w:r w:rsidR="00CC5AEE">
        <w:rPr>
          <w:rFonts w:ascii="Century" w:hAnsi="Century"/>
          <w:sz w:val="24"/>
          <w:szCs w:val="24"/>
        </w:rPr>
        <w:t xml:space="preserve"> </w:t>
      </w:r>
      <w:r w:rsidR="00623407">
        <w:rPr>
          <w:rFonts w:ascii="Century" w:hAnsi="Century"/>
          <w:sz w:val="24"/>
          <w:szCs w:val="24"/>
        </w:rPr>
        <w:t>T</w:t>
      </w:r>
      <w:r w:rsidR="005C1F61">
        <w:rPr>
          <w:rFonts w:ascii="Century" w:hAnsi="Century"/>
          <w:sz w:val="24"/>
          <w:szCs w:val="24"/>
        </w:rPr>
        <w:t>he</w:t>
      </w:r>
      <w:r w:rsidR="00A32443">
        <w:rPr>
          <w:rFonts w:ascii="Century" w:hAnsi="Century"/>
          <w:sz w:val="24"/>
          <w:szCs w:val="24"/>
        </w:rPr>
        <w:t>refore, the job of drafters</w:t>
      </w:r>
      <w:r w:rsidR="005C1F61">
        <w:rPr>
          <w:rFonts w:ascii="Century" w:hAnsi="Century"/>
          <w:sz w:val="24"/>
          <w:szCs w:val="24"/>
        </w:rPr>
        <w:t xml:space="preserve"> is not</w:t>
      </w:r>
      <w:r w:rsidR="00515CF7">
        <w:rPr>
          <w:rFonts w:ascii="Century" w:hAnsi="Century"/>
          <w:sz w:val="24"/>
          <w:szCs w:val="24"/>
        </w:rPr>
        <w:t xml:space="preserve"> simply to transcribe the government’s policy into legislative text. </w:t>
      </w:r>
      <w:r w:rsidR="00623407">
        <w:rPr>
          <w:rFonts w:ascii="Century" w:hAnsi="Century"/>
          <w:sz w:val="24"/>
          <w:szCs w:val="24"/>
        </w:rPr>
        <w:t xml:space="preserve">To be effective in </w:t>
      </w:r>
      <w:r w:rsidR="00D10576">
        <w:rPr>
          <w:rFonts w:ascii="Century" w:hAnsi="Century"/>
          <w:sz w:val="24"/>
          <w:szCs w:val="24"/>
        </w:rPr>
        <w:t>discharging their responsibilities</w:t>
      </w:r>
      <w:r w:rsidR="00623407">
        <w:rPr>
          <w:rFonts w:ascii="Century" w:hAnsi="Century"/>
          <w:sz w:val="24"/>
          <w:szCs w:val="24"/>
        </w:rPr>
        <w:t>, drafters must be effective communicators and</w:t>
      </w:r>
      <w:r w:rsidR="00515CF7">
        <w:rPr>
          <w:rFonts w:ascii="Century" w:hAnsi="Century"/>
          <w:sz w:val="24"/>
          <w:szCs w:val="24"/>
        </w:rPr>
        <w:t xml:space="preserve"> ensure</w:t>
      </w:r>
      <w:r w:rsidR="005C1F61" w:rsidRPr="005C1F61">
        <w:rPr>
          <w:rFonts w:ascii="Century" w:hAnsi="Century"/>
          <w:sz w:val="24"/>
          <w:szCs w:val="24"/>
        </w:rPr>
        <w:t xml:space="preserve"> </w:t>
      </w:r>
      <w:r w:rsidR="00515CF7">
        <w:rPr>
          <w:rFonts w:ascii="Century" w:hAnsi="Century"/>
          <w:sz w:val="24"/>
          <w:szCs w:val="24"/>
        </w:rPr>
        <w:t>that the regulatory message in the law</w:t>
      </w:r>
      <w:r w:rsidR="005C1F61">
        <w:rPr>
          <w:rFonts w:ascii="Century" w:hAnsi="Century"/>
          <w:sz w:val="24"/>
          <w:szCs w:val="24"/>
        </w:rPr>
        <w:t xml:space="preserve"> is effectively </w:t>
      </w:r>
      <w:r w:rsidR="005C1F61" w:rsidRPr="005C1F61">
        <w:rPr>
          <w:rFonts w:ascii="Century" w:hAnsi="Century"/>
          <w:sz w:val="24"/>
          <w:szCs w:val="24"/>
        </w:rPr>
        <w:t>communicate</w:t>
      </w:r>
      <w:r w:rsidR="005C1F61">
        <w:rPr>
          <w:rFonts w:ascii="Century" w:hAnsi="Century"/>
          <w:sz w:val="24"/>
          <w:szCs w:val="24"/>
        </w:rPr>
        <w:t>d</w:t>
      </w:r>
      <w:r w:rsidR="005C1F61" w:rsidRPr="005C1F61">
        <w:rPr>
          <w:rFonts w:ascii="Century" w:hAnsi="Century"/>
          <w:sz w:val="24"/>
          <w:szCs w:val="24"/>
        </w:rPr>
        <w:t xml:space="preserve"> to </w:t>
      </w:r>
      <w:r w:rsidR="005C1F61">
        <w:rPr>
          <w:rFonts w:ascii="Century" w:hAnsi="Century"/>
          <w:sz w:val="24"/>
          <w:szCs w:val="24"/>
        </w:rPr>
        <w:t xml:space="preserve">its intended recipients. </w:t>
      </w:r>
      <w:r w:rsidR="005C1F61" w:rsidRPr="005C1F61">
        <w:rPr>
          <w:rFonts w:ascii="Century" w:hAnsi="Century"/>
          <w:sz w:val="24"/>
          <w:szCs w:val="24"/>
        </w:rPr>
        <w:t xml:space="preserve"> </w:t>
      </w:r>
      <w:r w:rsidR="005C1F61">
        <w:rPr>
          <w:rFonts w:ascii="Century" w:hAnsi="Century"/>
          <w:sz w:val="24"/>
          <w:szCs w:val="24"/>
        </w:rPr>
        <w:t xml:space="preserve">As </w:t>
      </w:r>
      <w:r w:rsidR="000D33B1">
        <w:rPr>
          <w:rFonts w:ascii="Century" w:hAnsi="Century"/>
          <w:sz w:val="24"/>
          <w:szCs w:val="24"/>
        </w:rPr>
        <w:t>Eagleson notes ‘</w:t>
      </w:r>
      <w:r w:rsidR="005C1F61" w:rsidRPr="005C1F61">
        <w:rPr>
          <w:rFonts w:ascii="Century" w:hAnsi="Century"/>
          <w:sz w:val="24"/>
          <w:szCs w:val="24"/>
        </w:rPr>
        <w:t>It cannot be said that an act of language has really occurred unless the message is comprehended; and no law can accomplish its task of regulating behaviour unless it can be understood</w:t>
      </w:r>
      <w:r w:rsidR="000D33B1">
        <w:rPr>
          <w:rFonts w:ascii="Century" w:hAnsi="Century"/>
          <w:sz w:val="24"/>
          <w:szCs w:val="24"/>
        </w:rPr>
        <w:t>’</w:t>
      </w:r>
      <w:r w:rsidR="005C1F61" w:rsidRPr="005C1F61">
        <w:rPr>
          <w:rFonts w:ascii="Century" w:hAnsi="Century"/>
          <w:sz w:val="24"/>
          <w:szCs w:val="24"/>
        </w:rPr>
        <w:t>.</w:t>
      </w:r>
      <w:r w:rsidR="000D33B1">
        <w:rPr>
          <w:rStyle w:val="FootnoteReference"/>
          <w:rFonts w:ascii="Century" w:hAnsi="Century"/>
          <w:sz w:val="24"/>
          <w:szCs w:val="24"/>
        </w:rPr>
        <w:footnoteReference w:id="72"/>
      </w:r>
    </w:p>
    <w:p w:rsidR="009B175C" w:rsidRDefault="009B175C" w:rsidP="009B175C">
      <w:pPr>
        <w:shd w:val="clear" w:color="auto" w:fill="FFFFFF"/>
        <w:spacing w:after="100" w:line="360" w:lineRule="auto"/>
        <w:jc w:val="both"/>
        <w:rPr>
          <w:rFonts w:ascii="Century" w:hAnsi="Century"/>
          <w:sz w:val="24"/>
          <w:szCs w:val="24"/>
        </w:rPr>
      </w:pPr>
    </w:p>
    <w:p w:rsidR="00010017" w:rsidRPr="009B175C" w:rsidRDefault="00BD7C54" w:rsidP="009B175C">
      <w:pPr>
        <w:shd w:val="clear" w:color="auto" w:fill="FFFFFF"/>
        <w:spacing w:after="100" w:line="360" w:lineRule="auto"/>
        <w:jc w:val="both"/>
        <w:rPr>
          <w:rFonts w:ascii="Century" w:hAnsi="Century"/>
          <w:sz w:val="24"/>
          <w:szCs w:val="24"/>
        </w:rPr>
      </w:pPr>
      <w:r w:rsidRPr="00F32CF2">
        <w:rPr>
          <w:rFonts w:ascii="Century" w:eastAsia="Times New Roman" w:hAnsi="Century" w:cs="Arial"/>
          <w:sz w:val="24"/>
          <w:szCs w:val="24"/>
        </w:rPr>
        <w:t>Scrutton</w:t>
      </w:r>
      <w:r w:rsidR="0054374F">
        <w:rPr>
          <w:rFonts w:ascii="Century" w:eastAsia="Times New Roman" w:hAnsi="Century" w:cs="Arial"/>
          <w:sz w:val="24"/>
          <w:szCs w:val="24"/>
        </w:rPr>
        <w:t xml:space="preserve"> LJ</w:t>
      </w:r>
      <w:r w:rsidRPr="00F32CF2">
        <w:rPr>
          <w:rFonts w:ascii="Century" w:eastAsia="Times New Roman" w:hAnsi="Century" w:cs="Arial"/>
          <w:sz w:val="24"/>
          <w:szCs w:val="24"/>
        </w:rPr>
        <w:t xml:space="preserve"> </w:t>
      </w:r>
      <w:r w:rsidR="00D10576">
        <w:rPr>
          <w:rFonts w:ascii="Century" w:eastAsia="Times New Roman" w:hAnsi="Century" w:cs="Arial"/>
          <w:sz w:val="24"/>
          <w:szCs w:val="24"/>
        </w:rPr>
        <w:t xml:space="preserve">in recognising the responsibilities of drafters </w:t>
      </w:r>
      <w:r w:rsidRPr="00F32CF2">
        <w:rPr>
          <w:rFonts w:ascii="Century" w:eastAsia="Times New Roman" w:hAnsi="Century" w:cs="Arial"/>
          <w:sz w:val="24"/>
          <w:szCs w:val="24"/>
        </w:rPr>
        <w:t>remarked i</w:t>
      </w:r>
      <w:r w:rsidR="00010017" w:rsidRPr="00F32CF2">
        <w:rPr>
          <w:rFonts w:ascii="Century" w:eastAsia="Times New Roman" w:hAnsi="Century" w:cs="Arial"/>
          <w:sz w:val="24"/>
          <w:szCs w:val="24"/>
        </w:rPr>
        <w:t xml:space="preserve">n </w:t>
      </w:r>
      <w:r w:rsidR="00010017" w:rsidRPr="00F32CF2">
        <w:rPr>
          <w:rFonts w:ascii="Century" w:eastAsia="Times New Roman" w:hAnsi="Century" w:cs="Arial"/>
          <w:b/>
          <w:sz w:val="24"/>
          <w:szCs w:val="24"/>
        </w:rPr>
        <w:t>Roe v Russel</w:t>
      </w:r>
      <w:r w:rsidR="00F52105">
        <w:rPr>
          <w:rFonts w:ascii="Century" w:eastAsia="Times New Roman" w:hAnsi="Century" w:cs="Arial"/>
          <w:b/>
          <w:sz w:val="24"/>
          <w:szCs w:val="24"/>
        </w:rPr>
        <w:t xml:space="preserve"> </w:t>
      </w:r>
      <w:r w:rsidRPr="00F32CF2">
        <w:rPr>
          <w:rFonts w:ascii="Century" w:eastAsia="Times New Roman" w:hAnsi="Century" w:cs="Arial"/>
          <w:sz w:val="24"/>
          <w:szCs w:val="24"/>
        </w:rPr>
        <w:t>that</w:t>
      </w:r>
      <w:r w:rsidR="00327C7D">
        <w:rPr>
          <w:rFonts w:ascii="Century" w:eastAsia="Times New Roman" w:hAnsi="Century" w:cs="Arial"/>
          <w:sz w:val="24"/>
          <w:szCs w:val="24"/>
        </w:rPr>
        <w:t>-</w:t>
      </w:r>
    </w:p>
    <w:p w:rsidR="00536C5B" w:rsidRPr="00F32CF2" w:rsidRDefault="00010017" w:rsidP="00536C5B">
      <w:pPr>
        <w:shd w:val="clear" w:color="auto" w:fill="FFFFFF"/>
        <w:spacing w:after="100" w:line="360" w:lineRule="auto"/>
        <w:ind w:left="720"/>
        <w:jc w:val="both"/>
        <w:rPr>
          <w:rFonts w:ascii="Century" w:eastAsia="Times New Roman" w:hAnsi="Century" w:cs="Arial"/>
          <w:sz w:val="24"/>
          <w:szCs w:val="24"/>
        </w:rPr>
      </w:pPr>
      <w:r w:rsidRPr="00F32CF2">
        <w:rPr>
          <w:rFonts w:ascii="Century" w:eastAsia="Times New Roman" w:hAnsi="Century" w:cs="Arial"/>
          <w:sz w:val="24"/>
          <w:szCs w:val="24"/>
        </w:rPr>
        <w:t>I regret that I cannot order the cost to be paid by the draftsman of the Rent Restriction Acts, and the members of the Legislature who passed them, and are responsible</w:t>
      </w:r>
      <w:r w:rsidR="006C788C">
        <w:rPr>
          <w:rFonts w:ascii="Century" w:eastAsia="Times New Roman" w:hAnsi="Century" w:cs="Arial"/>
          <w:sz w:val="24"/>
          <w:szCs w:val="24"/>
        </w:rPr>
        <w:t xml:space="preserve"> for the obscurity of the Acts.</w:t>
      </w:r>
      <w:r w:rsidR="006316B9">
        <w:rPr>
          <w:rStyle w:val="FootnoteReference"/>
          <w:rFonts w:ascii="Century" w:eastAsia="Times New Roman" w:hAnsi="Century" w:cs="Arial"/>
          <w:sz w:val="24"/>
          <w:szCs w:val="24"/>
        </w:rPr>
        <w:footnoteReference w:id="73"/>
      </w:r>
      <w:r w:rsidR="00536C5B" w:rsidRPr="00F32CF2">
        <w:rPr>
          <w:rFonts w:ascii="Century" w:eastAsia="Times New Roman" w:hAnsi="Century" w:cs="Arial"/>
          <w:sz w:val="24"/>
          <w:szCs w:val="24"/>
        </w:rPr>
        <w:t xml:space="preserve"> </w:t>
      </w:r>
    </w:p>
    <w:p w:rsidR="00A0629E" w:rsidRDefault="0054374F" w:rsidP="00881F13">
      <w:pPr>
        <w:shd w:val="clear" w:color="auto" w:fill="FFFFFF"/>
        <w:spacing w:after="100" w:line="360" w:lineRule="auto"/>
        <w:jc w:val="both"/>
        <w:rPr>
          <w:rFonts w:ascii="Century" w:hAnsi="Century"/>
          <w:sz w:val="24"/>
          <w:szCs w:val="24"/>
        </w:rPr>
      </w:pPr>
      <w:r>
        <w:rPr>
          <w:rFonts w:ascii="Century" w:hAnsi="Century" w:cs="Arabic Typesetting"/>
          <w:sz w:val="24"/>
          <w:szCs w:val="24"/>
        </w:rPr>
        <w:lastRenderedPageBreak/>
        <w:t>The Honourable Lord Justice’s remarks might seem harsh but when one considers that the</w:t>
      </w:r>
      <w:r w:rsidR="000E407B" w:rsidRPr="00F32CF2">
        <w:rPr>
          <w:rFonts w:ascii="Century" w:hAnsi="Century" w:cs="Arabic Typesetting"/>
          <w:sz w:val="24"/>
          <w:szCs w:val="24"/>
        </w:rPr>
        <w:t xml:space="preserve"> responsibility</w:t>
      </w:r>
      <w:r w:rsidR="00CB6AD6">
        <w:rPr>
          <w:rFonts w:ascii="Century" w:hAnsi="Century" w:cs="Arabic Typesetting"/>
          <w:sz w:val="24"/>
          <w:szCs w:val="24"/>
        </w:rPr>
        <w:t xml:space="preserve"> of drafter</w:t>
      </w:r>
      <w:r w:rsidR="00091486">
        <w:rPr>
          <w:rFonts w:ascii="Century" w:hAnsi="Century" w:cs="Arabic Typesetting"/>
          <w:sz w:val="24"/>
          <w:szCs w:val="24"/>
        </w:rPr>
        <w:t>s</w:t>
      </w:r>
      <w:r w:rsidR="00CB6AD6">
        <w:rPr>
          <w:rFonts w:ascii="Century" w:hAnsi="Century" w:cs="Arabic Typesetting"/>
          <w:sz w:val="24"/>
          <w:szCs w:val="24"/>
        </w:rPr>
        <w:t xml:space="preserve"> is</w:t>
      </w:r>
      <w:r w:rsidR="00F63A81">
        <w:rPr>
          <w:rFonts w:ascii="Century" w:hAnsi="Century" w:cs="Arabic Typesetting"/>
          <w:sz w:val="24"/>
          <w:szCs w:val="24"/>
        </w:rPr>
        <w:t xml:space="preserve"> to</w:t>
      </w:r>
      <w:r>
        <w:rPr>
          <w:rFonts w:ascii="Century" w:hAnsi="Century" w:cs="Arabic Typesetting"/>
          <w:sz w:val="24"/>
          <w:szCs w:val="24"/>
        </w:rPr>
        <w:t xml:space="preserve"> </w:t>
      </w:r>
      <w:r w:rsidR="003D78A1">
        <w:rPr>
          <w:rFonts w:ascii="Century" w:hAnsi="Century" w:cs="Arabic Typesetting"/>
          <w:sz w:val="24"/>
          <w:szCs w:val="24"/>
        </w:rPr>
        <w:t>effectively convey the policies that have</w:t>
      </w:r>
      <w:r w:rsidR="004A783B">
        <w:rPr>
          <w:rFonts w:ascii="Century" w:hAnsi="Century" w:cs="Arabic Typesetting"/>
          <w:sz w:val="24"/>
          <w:szCs w:val="24"/>
        </w:rPr>
        <w:t xml:space="preserve"> </w:t>
      </w:r>
      <w:r w:rsidR="003D78A1">
        <w:rPr>
          <w:rFonts w:ascii="Century" w:hAnsi="Century" w:cs="Arabic Typesetting"/>
          <w:sz w:val="24"/>
          <w:szCs w:val="24"/>
        </w:rPr>
        <w:t>‘</w:t>
      </w:r>
      <w:r w:rsidR="004A783B">
        <w:rPr>
          <w:rFonts w:ascii="Century" w:hAnsi="Century" w:cs="Arabic Typesetting"/>
          <w:sz w:val="24"/>
          <w:szCs w:val="24"/>
        </w:rPr>
        <w:t>legal consequences</w:t>
      </w:r>
      <w:r w:rsidR="003D78A1">
        <w:rPr>
          <w:rFonts w:ascii="Century" w:hAnsi="Century" w:cs="Arabic Typesetting"/>
          <w:sz w:val="24"/>
          <w:szCs w:val="24"/>
        </w:rPr>
        <w:t>’</w:t>
      </w:r>
      <w:r w:rsidR="004A783B">
        <w:rPr>
          <w:rFonts w:ascii="Century" w:hAnsi="Century" w:cs="Arabic Typesetting"/>
          <w:sz w:val="24"/>
          <w:szCs w:val="24"/>
        </w:rPr>
        <w:t xml:space="preserve"> to </w:t>
      </w:r>
      <w:r w:rsidR="003D78A1">
        <w:rPr>
          <w:rFonts w:ascii="Century" w:hAnsi="Century" w:cs="Arabic Typesetting"/>
          <w:sz w:val="24"/>
          <w:szCs w:val="24"/>
        </w:rPr>
        <w:t>citizens</w:t>
      </w:r>
      <w:r w:rsidR="004A783B">
        <w:rPr>
          <w:rStyle w:val="FootnoteReference"/>
          <w:rFonts w:ascii="Century" w:hAnsi="Century" w:cs="Arabic Typesetting"/>
          <w:sz w:val="24"/>
          <w:szCs w:val="24"/>
        </w:rPr>
        <w:footnoteReference w:id="74"/>
      </w:r>
      <w:r w:rsidR="004A783B">
        <w:rPr>
          <w:rFonts w:ascii="Century" w:hAnsi="Century" w:cs="Arabic Typesetting"/>
          <w:sz w:val="24"/>
          <w:szCs w:val="24"/>
        </w:rPr>
        <w:t xml:space="preserve"> it is reasonable to understand </w:t>
      </w:r>
      <w:r w:rsidR="004F132B">
        <w:rPr>
          <w:rFonts w:ascii="Century" w:hAnsi="Century" w:cs="Arabic Typesetting"/>
          <w:sz w:val="24"/>
          <w:szCs w:val="24"/>
        </w:rPr>
        <w:t>his</w:t>
      </w:r>
      <w:r w:rsidR="004A783B">
        <w:rPr>
          <w:rFonts w:ascii="Century" w:hAnsi="Century" w:cs="Arabic Typesetting"/>
          <w:sz w:val="24"/>
          <w:szCs w:val="24"/>
        </w:rPr>
        <w:t xml:space="preserve"> frustration. </w:t>
      </w:r>
      <w:r>
        <w:rPr>
          <w:rFonts w:ascii="Century" w:hAnsi="Century" w:cs="Arabic Typesetting"/>
          <w:sz w:val="24"/>
          <w:szCs w:val="24"/>
        </w:rPr>
        <w:t>A</w:t>
      </w:r>
      <w:r w:rsidR="00BD7C54" w:rsidRPr="00F32CF2">
        <w:rPr>
          <w:rFonts w:ascii="Century" w:hAnsi="Century" w:cs="Arabic Typesetting"/>
          <w:sz w:val="24"/>
          <w:szCs w:val="24"/>
        </w:rPr>
        <w:t xml:space="preserve">s noted by Krongold it is </w:t>
      </w:r>
      <w:r w:rsidR="000E407B" w:rsidRPr="00F32CF2">
        <w:rPr>
          <w:rFonts w:ascii="Century" w:hAnsi="Century" w:cs="Arabic Typesetting"/>
          <w:sz w:val="24"/>
          <w:szCs w:val="24"/>
        </w:rPr>
        <w:t>the drafter</w:t>
      </w:r>
      <w:r w:rsidR="00BD7C54" w:rsidRPr="00F32CF2">
        <w:rPr>
          <w:rFonts w:ascii="Century" w:hAnsi="Century" w:cs="Arabic Typesetting"/>
          <w:sz w:val="24"/>
          <w:szCs w:val="24"/>
        </w:rPr>
        <w:t xml:space="preserve"> who</w:t>
      </w:r>
      <w:r w:rsidR="000E407B" w:rsidRPr="00F32CF2">
        <w:rPr>
          <w:rFonts w:ascii="Century" w:hAnsi="Century" w:cs="Arabic Typesetting"/>
          <w:sz w:val="24"/>
          <w:szCs w:val="24"/>
        </w:rPr>
        <w:t xml:space="preserve"> is responsible for making sure </w:t>
      </w:r>
      <w:r w:rsidR="00BD7C54" w:rsidRPr="00F32CF2">
        <w:rPr>
          <w:rFonts w:ascii="Century" w:hAnsi="Century" w:cs="Arabic Typesetting"/>
          <w:sz w:val="24"/>
          <w:szCs w:val="24"/>
        </w:rPr>
        <w:t>that the law is comprehensible</w:t>
      </w:r>
      <w:r w:rsidR="000E407B" w:rsidRPr="00F32CF2">
        <w:rPr>
          <w:rFonts w:ascii="Century" w:hAnsi="Century" w:cs="Arabic Typesetting"/>
          <w:sz w:val="24"/>
          <w:szCs w:val="24"/>
        </w:rPr>
        <w:t>.</w:t>
      </w:r>
      <w:r w:rsidR="000E407B" w:rsidRPr="00F32CF2">
        <w:rPr>
          <w:rStyle w:val="FootnoteReference"/>
          <w:rFonts w:ascii="Century" w:hAnsi="Century" w:cs="Arabic Typesetting"/>
          <w:sz w:val="24"/>
          <w:szCs w:val="24"/>
        </w:rPr>
        <w:footnoteReference w:id="75"/>
      </w:r>
      <w:r w:rsidR="00FD2B70" w:rsidRPr="00F32CF2">
        <w:rPr>
          <w:rFonts w:ascii="Century" w:hAnsi="Century" w:cs="Arabic Typesetting"/>
          <w:sz w:val="24"/>
          <w:szCs w:val="24"/>
        </w:rPr>
        <w:t xml:space="preserve"> </w:t>
      </w:r>
      <w:r w:rsidR="00F93598">
        <w:rPr>
          <w:rFonts w:ascii="Century" w:hAnsi="Century" w:cs="Arabic Typesetting"/>
          <w:sz w:val="24"/>
          <w:szCs w:val="24"/>
        </w:rPr>
        <w:t xml:space="preserve">According to </w:t>
      </w:r>
      <w:r w:rsidR="000F4847" w:rsidRPr="00303291">
        <w:rPr>
          <w:rFonts w:ascii="Century" w:hAnsi="Century"/>
          <w:sz w:val="24"/>
          <w:szCs w:val="24"/>
        </w:rPr>
        <w:t xml:space="preserve">Driedger </w:t>
      </w:r>
      <w:r w:rsidR="00F93598">
        <w:rPr>
          <w:rFonts w:ascii="Century" w:hAnsi="Century"/>
          <w:sz w:val="24"/>
          <w:szCs w:val="24"/>
        </w:rPr>
        <w:t>‘t</w:t>
      </w:r>
      <w:r w:rsidR="000F4847" w:rsidRPr="00303291">
        <w:rPr>
          <w:rFonts w:ascii="Century" w:hAnsi="Century"/>
          <w:sz w:val="24"/>
          <w:szCs w:val="24"/>
        </w:rPr>
        <w:t>he perfe</w:t>
      </w:r>
      <w:r w:rsidR="00693480" w:rsidRPr="00303291">
        <w:rPr>
          <w:rFonts w:ascii="Century" w:hAnsi="Century"/>
          <w:sz w:val="24"/>
          <w:szCs w:val="24"/>
        </w:rPr>
        <w:t>ct bill has never been written, and never will be</w:t>
      </w:r>
      <w:r w:rsidR="00F93598">
        <w:rPr>
          <w:rFonts w:ascii="Century" w:hAnsi="Century"/>
          <w:sz w:val="24"/>
          <w:szCs w:val="24"/>
        </w:rPr>
        <w:t>’,</w:t>
      </w:r>
      <w:r w:rsidR="005C3E7E" w:rsidRPr="00303291">
        <w:rPr>
          <w:rStyle w:val="FootnoteReference"/>
          <w:rFonts w:ascii="Century" w:hAnsi="Century"/>
          <w:sz w:val="24"/>
          <w:szCs w:val="24"/>
        </w:rPr>
        <w:footnoteReference w:id="76"/>
      </w:r>
      <w:r w:rsidR="00F93598">
        <w:rPr>
          <w:rFonts w:ascii="Century" w:hAnsi="Century"/>
          <w:sz w:val="24"/>
          <w:szCs w:val="24"/>
        </w:rPr>
        <w:t xml:space="preserve"> h</w:t>
      </w:r>
      <w:r w:rsidR="00693480">
        <w:rPr>
          <w:rFonts w:ascii="Century" w:hAnsi="Century"/>
          <w:sz w:val="24"/>
          <w:szCs w:val="24"/>
        </w:rPr>
        <w:t>owever, he did recognize that ‘the most a draftsman can do is try to reduce doubt, ambiguity and foreseeable problems …his success depends upon the extent to which he has done so’</w:t>
      </w:r>
      <w:r w:rsidR="000F4847" w:rsidRPr="00F32CF2">
        <w:rPr>
          <w:rFonts w:ascii="Century" w:hAnsi="Century"/>
          <w:sz w:val="24"/>
          <w:szCs w:val="24"/>
        </w:rPr>
        <w:t>.</w:t>
      </w:r>
      <w:r w:rsidR="000F4847" w:rsidRPr="00F32CF2">
        <w:rPr>
          <w:rStyle w:val="FootnoteReference"/>
          <w:rFonts w:ascii="Century" w:hAnsi="Century"/>
          <w:sz w:val="24"/>
          <w:szCs w:val="24"/>
        </w:rPr>
        <w:footnoteReference w:id="77"/>
      </w:r>
      <w:r w:rsidR="000F4847" w:rsidRPr="00F32CF2">
        <w:rPr>
          <w:rFonts w:ascii="Century" w:hAnsi="Century"/>
          <w:sz w:val="24"/>
          <w:szCs w:val="24"/>
        </w:rPr>
        <w:t xml:space="preserve"> </w:t>
      </w:r>
      <w:r w:rsidR="003D78A1">
        <w:rPr>
          <w:rFonts w:ascii="Century" w:hAnsi="Century"/>
          <w:sz w:val="24"/>
          <w:szCs w:val="24"/>
        </w:rPr>
        <w:t>Therefore, it is a ‘key responsibility’ of drafters to ensure that the</w:t>
      </w:r>
      <w:r w:rsidR="000E195A">
        <w:rPr>
          <w:rFonts w:ascii="Century" w:hAnsi="Century"/>
          <w:sz w:val="24"/>
          <w:szCs w:val="24"/>
        </w:rPr>
        <w:t xml:space="preserve"> </w:t>
      </w:r>
      <w:r w:rsidR="007C51B3">
        <w:rPr>
          <w:rFonts w:ascii="Century" w:hAnsi="Century"/>
          <w:sz w:val="24"/>
          <w:szCs w:val="24"/>
        </w:rPr>
        <w:t>effect</w:t>
      </w:r>
      <w:r w:rsidR="000E195A">
        <w:rPr>
          <w:rFonts w:ascii="Century" w:hAnsi="Century"/>
          <w:sz w:val="24"/>
          <w:szCs w:val="24"/>
        </w:rPr>
        <w:t xml:space="preserve"> of the law is</w:t>
      </w:r>
      <w:r w:rsidR="003D78A1">
        <w:rPr>
          <w:rFonts w:ascii="Century" w:hAnsi="Century"/>
          <w:sz w:val="24"/>
          <w:szCs w:val="24"/>
        </w:rPr>
        <w:t xml:space="preserve"> communicated in a way that </w:t>
      </w:r>
      <w:r w:rsidR="00B95449">
        <w:rPr>
          <w:rFonts w:ascii="Century" w:hAnsi="Century"/>
          <w:sz w:val="24"/>
          <w:szCs w:val="24"/>
        </w:rPr>
        <w:t>can be</w:t>
      </w:r>
      <w:r w:rsidR="003D78A1">
        <w:rPr>
          <w:rFonts w:ascii="Century" w:hAnsi="Century"/>
          <w:sz w:val="24"/>
          <w:szCs w:val="24"/>
        </w:rPr>
        <w:t xml:space="preserve"> easily </w:t>
      </w:r>
      <w:r w:rsidR="00A50D3B">
        <w:rPr>
          <w:rFonts w:ascii="Century" w:hAnsi="Century"/>
          <w:sz w:val="24"/>
          <w:szCs w:val="24"/>
        </w:rPr>
        <w:t>understood</w:t>
      </w:r>
      <w:r w:rsidR="00B8003F">
        <w:rPr>
          <w:rFonts w:ascii="Century" w:hAnsi="Century"/>
          <w:sz w:val="24"/>
          <w:szCs w:val="24"/>
        </w:rPr>
        <w:t xml:space="preserve"> by users</w:t>
      </w:r>
      <w:r w:rsidR="00536C5B" w:rsidRPr="00F32CF2">
        <w:rPr>
          <w:rFonts w:ascii="Century" w:hAnsi="Century"/>
          <w:sz w:val="24"/>
          <w:szCs w:val="24"/>
        </w:rPr>
        <w:t>.</w:t>
      </w:r>
      <w:r w:rsidR="00536C5B" w:rsidRPr="00F32CF2">
        <w:rPr>
          <w:rStyle w:val="FootnoteReference"/>
          <w:rFonts w:ascii="Century" w:hAnsi="Century"/>
          <w:sz w:val="24"/>
          <w:szCs w:val="24"/>
        </w:rPr>
        <w:footnoteReference w:id="78"/>
      </w:r>
      <w:r w:rsidR="00536C5B" w:rsidRPr="00F32CF2">
        <w:rPr>
          <w:rFonts w:ascii="Century" w:hAnsi="Century"/>
          <w:sz w:val="24"/>
          <w:szCs w:val="24"/>
        </w:rPr>
        <w:t xml:space="preserve"> </w:t>
      </w:r>
      <w:r w:rsidR="003D78A1">
        <w:rPr>
          <w:rFonts w:ascii="Century" w:hAnsi="Century"/>
          <w:sz w:val="24"/>
          <w:szCs w:val="24"/>
        </w:rPr>
        <w:t xml:space="preserve">Why then is this responsibility </w:t>
      </w:r>
      <w:r w:rsidR="00B075A0">
        <w:rPr>
          <w:rFonts w:ascii="Century" w:hAnsi="Century"/>
          <w:sz w:val="24"/>
          <w:szCs w:val="24"/>
        </w:rPr>
        <w:t>thrust</w:t>
      </w:r>
      <w:r w:rsidR="003D78A1">
        <w:rPr>
          <w:rFonts w:ascii="Century" w:hAnsi="Century"/>
          <w:sz w:val="24"/>
          <w:szCs w:val="24"/>
        </w:rPr>
        <w:t xml:space="preserve"> upon drafters</w:t>
      </w:r>
      <w:r w:rsidR="00D96E59" w:rsidRPr="00F32CF2">
        <w:rPr>
          <w:rFonts w:ascii="Century" w:hAnsi="Century"/>
          <w:sz w:val="24"/>
          <w:szCs w:val="24"/>
        </w:rPr>
        <w:t>?</w:t>
      </w:r>
      <w:r w:rsidR="00536C5B" w:rsidRPr="00F32CF2">
        <w:rPr>
          <w:rFonts w:ascii="Century" w:hAnsi="Century"/>
          <w:sz w:val="24"/>
          <w:szCs w:val="24"/>
        </w:rPr>
        <w:t xml:space="preserve"> </w:t>
      </w:r>
    </w:p>
    <w:p w:rsidR="00881F13" w:rsidRPr="00F32CF2" w:rsidRDefault="00881F13" w:rsidP="00881F13">
      <w:pPr>
        <w:shd w:val="clear" w:color="auto" w:fill="FFFFFF"/>
        <w:spacing w:after="100" w:line="360" w:lineRule="auto"/>
        <w:jc w:val="both"/>
        <w:rPr>
          <w:rFonts w:ascii="Century" w:hAnsi="Century"/>
          <w:sz w:val="24"/>
          <w:szCs w:val="24"/>
        </w:rPr>
      </w:pPr>
    </w:p>
    <w:p w:rsidR="00245816" w:rsidRPr="003D78A1" w:rsidRDefault="005C6644" w:rsidP="003D78A1">
      <w:pPr>
        <w:shd w:val="clear" w:color="auto" w:fill="FFFFFF"/>
        <w:spacing w:after="100" w:line="360" w:lineRule="auto"/>
        <w:jc w:val="both"/>
        <w:rPr>
          <w:rFonts w:ascii="Century" w:hAnsi="Century"/>
          <w:sz w:val="24"/>
          <w:szCs w:val="24"/>
        </w:rPr>
      </w:pPr>
      <w:r w:rsidRPr="002B6290">
        <w:rPr>
          <w:rFonts w:ascii="Century" w:hAnsi="Century"/>
          <w:sz w:val="24"/>
          <w:szCs w:val="24"/>
        </w:rPr>
        <w:t xml:space="preserve">Drafters have the requisite skills and expertise </w:t>
      </w:r>
      <w:r w:rsidRPr="002B6290">
        <w:rPr>
          <w:rFonts w:ascii="Century" w:hAnsi="Century" w:cs="Arial"/>
          <w:sz w:val="24"/>
          <w:szCs w:val="24"/>
          <w:shd w:val="clear" w:color="auto" w:fill="FFFFFF"/>
          <w:lang w:val="en-US"/>
        </w:rPr>
        <w:t>to make the necessary choices that result in</w:t>
      </w:r>
      <w:r w:rsidR="00D3083A">
        <w:rPr>
          <w:rFonts w:ascii="Century" w:hAnsi="Century" w:cs="Arial"/>
          <w:sz w:val="24"/>
          <w:szCs w:val="24"/>
          <w:shd w:val="clear" w:color="auto" w:fill="FFFFFF"/>
          <w:lang w:val="en-US"/>
        </w:rPr>
        <w:t xml:space="preserve"> the</w:t>
      </w:r>
      <w:r w:rsidRPr="002B6290">
        <w:rPr>
          <w:rFonts w:ascii="Century" w:hAnsi="Century" w:cs="Arial"/>
          <w:sz w:val="24"/>
          <w:szCs w:val="24"/>
          <w:shd w:val="clear" w:color="auto" w:fill="FFFFFF"/>
          <w:lang w:val="en-US"/>
        </w:rPr>
        <w:t xml:space="preserve"> greatest level of comprehensibility.</w:t>
      </w:r>
      <w:r w:rsidR="002B6290">
        <w:rPr>
          <w:rFonts w:ascii="Century" w:eastAsia="Times New Roman" w:hAnsi="Century" w:cs="Arial"/>
          <w:sz w:val="24"/>
          <w:szCs w:val="24"/>
        </w:rPr>
        <w:t xml:space="preserve"> </w:t>
      </w:r>
      <w:r w:rsidR="006512FE">
        <w:rPr>
          <w:rFonts w:ascii="Century" w:eastAsia="Times New Roman" w:hAnsi="Century" w:cs="Arial"/>
          <w:sz w:val="24"/>
          <w:szCs w:val="24"/>
        </w:rPr>
        <w:t xml:space="preserve">According to </w:t>
      </w:r>
      <w:r w:rsidR="006512FE" w:rsidRPr="00F32CF2">
        <w:rPr>
          <w:rFonts w:ascii="Century" w:hAnsi="Century"/>
          <w:sz w:val="24"/>
          <w:szCs w:val="24"/>
        </w:rPr>
        <w:t>Horn, ‘the drafter’s expertise is the ability to deploy the English language to write effective legal rules with clarity and force’.</w:t>
      </w:r>
      <w:r w:rsidR="006512FE" w:rsidRPr="00F32CF2">
        <w:rPr>
          <w:rStyle w:val="FootnoteReference"/>
          <w:rFonts w:ascii="Century" w:hAnsi="Century"/>
          <w:sz w:val="24"/>
          <w:szCs w:val="24"/>
        </w:rPr>
        <w:footnoteReference w:id="79"/>
      </w:r>
      <w:r w:rsidR="006512FE">
        <w:rPr>
          <w:rFonts w:ascii="Century" w:hAnsi="Century"/>
          <w:sz w:val="24"/>
          <w:szCs w:val="24"/>
        </w:rPr>
        <w:t xml:space="preserve"> </w:t>
      </w:r>
      <w:r w:rsidR="00A0629E" w:rsidRPr="00F32CF2">
        <w:rPr>
          <w:rFonts w:ascii="Century" w:hAnsi="Century"/>
          <w:sz w:val="24"/>
          <w:szCs w:val="24"/>
        </w:rPr>
        <w:t>From the moment drafter</w:t>
      </w:r>
      <w:r w:rsidR="00CF5E86">
        <w:rPr>
          <w:rFonts w:ascii="Century" w:hAnsi="Century"/>
          <w:sz w:val="24"/>
          <w:szCs w:val="24"/>
        </w:rPr>
        <w:t>s</w:t>
      </w:r>
      <w:r w:rsidR="00A0629E" w:rsidRPr="00F32CF2">
        <w:rPr>
          <w:rFonts w:ascii="Century" w:hAnsi="Century"/>
          <w:sz w:val="24"/>
          <w:szCs w:val="24"/>
        </w:rPr>
        <w:t xml:space="preserve"> </w:t>
      </w:r>
      <w:r w:rsidR="00CF5E86">
        <w:rPr>
          <w:rFonts w:ascii="Century" w:hAnsi="Century"/>
          <w:sz w:val="24"/>
          <w:szCs w:val="24"/>
        </w:rPr>
        <w:t>are</w:t>
      </w:r>
      <w:r w:rsidR="00A0629E" w:rsidRPr="00F32CF2">
        <w:rPr>
          <w:rFonts w:ascii="Century" w:hAnsi="Century"/>
          <w:sz w:val="24"/>
          <w:szCs w:val="24"/>
        </w:rPr>
        <w:t xml:space="preserve"> presented with instructions </w:t>
      </w:r>
      <w:r w:rsidR="00CF5E86">
        <w:rPr>
          <w:rFonts w:ascii="Century" w:hAnsi="Century"/>
          <w:sz w:val="24"/>
          <w:szCs w:val="24"/>
        </w:rPr>
        <w:t>they make</w:t>
      </w:r>
      <w:r w:rsidR="00A0629E" w:rsidRPr="00F32CF2">
        <w:rPr>
          <w:rFonts w:ascii="Century" w:hAnsi="Century"/>
          <w:sz w:val="24"/>
          <w:szCs w:val="24"/>
        </w:rPr>
        <w:t xml:space="preserve"> a series of </w:t>
      </w:r>
      <w:r w:rsidR="00DC23E2" w:rsidRPr="00F32CF2">
        <w:rPr>
          <w:rFonts w:ascii="Century" w:hAnsi="Century"/>
          <w:sz w:val="24"/>
          <w:szCs w:val="24"/>
        </w:rPr>
        <w:t>judgments</w:t>
      </w:r>
      <w:r w:rsidR="00CF5E86">
        <w:rPr>
          <w:rFonts w:ascii="Century" w:hAnsi="Century"/>
          <w:sz w:val="24"/>
          <w:szCs w:val="24"/>
        </w:rPr>
        <w:t xml:space="preserve"> that</w:t>
      </w:r>
      <w:r w:rsidR="00A0629E" w:rsidRPr="00F32CF2">
        <w:rPr>
          <w:rFonts w:ascii="Century" w:hAnsi="Century"/>
          <w:sz w:val="24"/>
          <w:szCs w:val="24"/>
        </w:rPr>
        <w:t xml:space="preserve"> either </w:t>
      </w:r>
      <w:r w:rsidR="00CF5E86">
        <w:rPr>
          <w:rFonts w:ascii="Century" w:hAnsi="Century"/>
          <w:sz w:val="24"/>
          <w:szCs w:val="24"/>
        </w:rPr>
        <w:t>contributes to the accessibility or inaccessibility of the future law. D</w:t>
      </w:r>
      <w:r w:rsidR="000F4847" w:rsidRPr="00F32CF2">
        <w:rPr>
          <w:rFonts w:ascii="Century" w:hAnsi="Century"/>
          <w:sz w:val="24"/>
          <w:szCs w:val="24"/>
        </w:rPr>
        <w:t xml:space="preserve">rafters </w:t>
      </w:r>
      <w:r w:rsidR="00CF5E86">
        <w:rPr>
          <w:rFonts w:ascii="Century" w:hAnsi="Century"/>
          <w:sz w:val="24"/>
          <w:szCs w:val="24"/>
        </w:rPr>
        <w:t>have</w:t>
      </w:r>
      <w:r w:rsidR="000F4847" w:rsidRPr="00F32CF2">
        <w:rPr>
          <w:rFonts w:ascii="Century" w:hAnsi="Century"/>
          <w:sz w:val="24"/>
          <w:szCs w:val="24"/>
        </w:rPr>
        <w:t xml:space="preserve"> ‘principal</w:t>
      </w:r>
      <w:r w:rsidR="00A0629E" w:rsidRPr="00F32CF2">
        <w:rPr>
          <w:rFonts w:ascii="Century" w:hAnsi="Century"/>
          <w:sz w:val="24"/>
          <w:szCs w:val="24"/>
        </w:rPr>
        <w:t xml:space="preserve"> influence on and control</w:t>
      </w:r>
      <w:r w:rsidR="00CF5E86">
        <w:rPr>
          <w:rFonts w:ascii="Century" w:hAnsi="Century"/>
          <w:sz w:val="24"/>
          <w:szCs w:val="24"/>
        </w:rPr>
        <w:t>’ over the words</w:t>
      </w:r>
      <w:r w:rsidR="00794A68">
        <w:rPr>
          <w:rFonts w:ascii="Century" w:hAnsi="Century"/>
          <w:sz w:val="24"/>
          <w:szCs w:val="24"/>
        </w:rPr>
        <w:t xml:space="preserve"> of the legislation.</w:t>
      </w:r>
      <w:r w:rsidR="00A0629E" w:rsidRPr="00F32CF2">
        <w:rPr>
          <w:rStyle w:val="FootnoteReference"/>
          <w:rFonts w:ascii="Century" w:hAnsi="Century"/>
          <w:sz w:val="24"/>
          <w:szCs w:val="24"/>
        </w:rPr>
        <w:footnoteReference w:id="80"/>
      </w:r>
      <w:r w:rsidR="000F4847" w:rsidRPr="00F32CF2">
        <w:rPr>
          <w:rFonts w:ascii="Century" w:hAnsi="Century"/>
          <w:sz w:val="24"/>
          <w:szCs w:val="24"/>
        </w:rPr>
        <w:t xml:space="preserve"> </w:t>
      </w:r>
      <w:r w:rsidR="00794A68">
        <w:rPr>
          <w:rFonts w:ascii="Century" w:hAnsi="Century"/>
          <w:sz w:val="24"/>
          <w:szCs w:val="24"/>
        </w:rPr>
        <w:t xml:space="preserve">Additionally, </w:t>
      </w:r>
      <w:r w:rsidR="00DC23E2" w:rsidRPr="00F32CF2">
        <w:rPr>
          <w:rFonts w:ascii="Century" w:hAnsi="Century"/>
          <w:sz w:val="24"/>
          <w:szCs w:val="24"/>
        </w:rPr>
        <w:t xml:space="preserve">structure </w:t>
      </w:r>
      <w:r w:rsidR="00CF5E86">
        <w:rPr>
          <w:rFonts w:ascii="Century" w:hAnsi="Century"/>
          <w:sz w:val="24"/>
          <w:szCs w:val="24"/>
        </w:rPr>
        <w:t xml:space="preserve">of the bill </w:t>
      </w:r>
      <w:r w:rsidR="00794A68">
        <w:rPr>
          <w:rFonts w:ascii="Century" w:hAnsi="Century"/>
          <w:sz w:val="24"/>
          <w:szCs w:val="24"/>
        </w:rPr>
        <w:t xml:space="preserve">is also within the control of drafters. </w:t>
      </w:r>
      <w:r w:rsidR="008856AA" w:rsidRPr="00F32CF2">
        <w:rPr>
          <w:rFonts w:ascii="Century" w:hAnsi="Century"/>
          <w:sz w:val="24"/>
          <w:szCs w:val="24"/>
        </w:rPr>
        <w:t xml:space="preserve">As </w:t>
      </w:r>
      <w:r w:rsidR="003D78A1">
        <w:rPr>
          <w:rFonts w:ascii="Century" w:hAnsi="Century"/>
          <w:sz w:val="24"/>
          <w:szCs w:val="24"/>
        </w:rPr>
        <w:t xml:space="preserve">Sir </w:t>
      </w:r>
      <w:r w:rsidR="008856AA" w:rsidRPr="00F32CF2">
        <w:rPr>
          <w:rFonts w:ascii="Century" w:hAnsi="Century"/>
          <w:sz w:val="24"/>
          <w:szCs w:val="24"/>
        </w:rPr>
        <w:t xml:space="preserve">Geoffrey Bowman </w:t>
      </w:r>
      <w:r w:rsidR="00794A68">
        <w:rPr>
          <w:rFonts w:ascii="Century" w:hAnsi="Century"/>
          <w:sz w:val="24"/>
          <w:szCs w:val="24"/>
        </w:rPr>
        <w:t>notes</w:t>
      </w:r>
      <w:r w:rsidR="008856AA" w:rsidRPr="00F32CF2">
        <w:rPr>
          <w:rFonts w:ascii="Century" w:hAnsi="Century"/>
          <w:sz w:val="24"/>
          <w:szCs w:val="24"/>
        </w:rPr>
        <w:t xml:space="preserve"> ‘the choice of </w:t>
      </w:r>
      <w:r w:rsidR="000D34C7">
        <w:rPr>
          <w:rFonts w:ascii="Century" w:hAnsi="Century"/>
          <w:sz w:val="24"/>
          <w:szCs w:val="24"/>
        </w:rPr>
        <w:t xml:space="preserve">how to </w:t>
      </w:r>
      <w:r w:rsidR="008856AA" w:rsidRPr="00F32CF2">
        <w:rPr>
          <w:rFonts w:ascii="Century" w:hAnsi="Century"/>
          <w:sz w:val="24"/>
          <w:szCs w:val="24"/>
        </w:rPr>
        <w:t xml:space="preserve">structure the draft is generally for the drafter.  It involves judgment, and there are no </w:t>
      </w:r>
      <w:r w:rsidR="008856AA" w:rsidRPr="00F32CF2">
        <w:rPr>
          <w:rFonts w:ascii="Century" w:hAnsi="Century"/>
          <w:sz w:val="24"/>
          <w:szCs w:val="24"/>
        </w:rPr>
        <w:lastRenderedPageBreak/>
        <w:t>hard and fast rules’.</w:t>
      </w:r>
      <w:r w:rsidR="008856AA" w:rsidRPr="00F32CF2">
        <w:rPr>
          <w:rStyle w:val="FootnoteReference"/>
          <w:rFonts w:ascii="Century" w:hAnsi="Century"/>
          <w:sz w:val="24"/>
          <w:szCs w:val="24"/>
        </w:rPr>
        <w:footnoteReference w:id="81"/>
      </w:r>
      <w:r w:rsidR="008856AA" w:rsidRPr="00F32CF2">
        <w:rPr>
          <w:rFonts w:ascii="Century" w:hAnsi="Century" w:cs="Arial"/>
          <w:sz w:val="24"/>
          <w:szCs w:val="24"/>
          <w:shd w:val="clear" w:color="auto" w:fill="FFFFFF"/>
          <w:lang w:val="en-US"/>
        </w:rPr>
        <w:t xml:space="preserve"> </w:t>
      </w:r>
      <w:r w:rsidR="0008532D" w:rsidRPr="00F32CF2">
        <w:rPr>
          <w:rFonts w:ascii="Century" w:hAnsi="Century"/>
          <w:sz w:val="24"/>
          <w:szCs w:val="24"/>
        </w:rPr>
        <w:t xml:space="preserve">Therefore, </w:t>
      </w:r>
      <w:r w:rsidR="0008532D" w:rsidRPr="00F32CF2">
        <w:rPr>
          <w:rFonts w:ascii="Century" w:hAnsi="Century" w:cs="Arabic Typesetting"/>
          <w:sz w:val="24"/>
          <w:szCs w:val="24"/>
        </w:rPr>
        <w:t>d</w:t>
      </w:r>
      <w:r w:rsidR="00A0629E" w:rsidRPr="00F32CF2">
        <w:rPr>
          <w:rFonts w:ascii="Century" w:hAnsi="Century" w:cs="Arabic Typesetting"/>
          <w:sz w:val="24"/>
          <w:szCs w:val="24"/>
        </w:rPr>
        <w:t xml:space="preserve">rafters </w:t>
      </w:r>
      <w:r w:rsidR="00794A68">
        <w:rPr>
          <w:rFonts w:ascii="Century" w:hAnsi="Century" w:cs="Arabic Typesetting"/>
          <w:sz w:val="24"/>
          <w:szCs w:val="24"/>
        </w:rPr>
        <w:t xml:space="preserve">can </w:t>
      </w:r>
      <w:r w:rsidR="00A0629E" w:rsidRPr="00F32CF2">
        <w:rPr>
          <w:rFonts w:ascii="Century" w:hAnsi="Century" w:cs="Arabic Typesetting"/>
          <w:sz w:val="24"/>
          <w:szCs w:val="24"/>
        </w:rPr>
        <w:t>contribute to</w:t>
      </w:r>
      <w:r w:rsidR="004D1A04">
        <w:rPr>
          <w:rFonts w:ascii="Century" w:hAnsi="Century" w:cs="Arabic Typesetting"/>
          <w:sz w:val="24"/>
          <w:szCs w:val="24"/>
        </w:rPr>
        <w:t xml:space="preserve"> Lord</w:t>
      </w:r>
      <w:r w:rsidR="00A0629E" w:rsidRPr="00F32CF2">
        <w:rPr>
          <w:rFonts w:ascii="Century" w:hAnsi="Century" w:cs="Arabic Typesetting"/>
          <w:sz w:val="24"/>
          <w:szCs w:val="24"/>
        </w:rPr>
        <w:t xml:space="preserve"> Bingham’s first principle </w:t>
      </w:r>
      <w:r w:rsidR="00794A68">
        <w:rPr>
          <w:rFonts w:ascii="Century" w:hAnsi="Century" w:cs="Arabic Typesetting"/>
          <w:sz w:val="24"/>
          <w:szCs w:val="24"/>
        </w:rPr>
        <w:t>based on the choices they make.</w:t>
      </w:r>
      <w:r w:rsidR="00352C28" w:rsidRPr="00352C28">
        <w:rPr>
          <w:rFonts w:ascii="Century" w:hAnsi="Century" w:cs="Arabic Typesetting"/>
          <w:sz w:val="24"/>
          <w:szCs w:val="24"/>
        </w:rPr>
        <w:t xml:space="preserve"> </w:t>
      </w:r>
      <w:r w:rsidR="00352C28">
        <w:rPr>
          <w:rFonts w:ascii="Century" w:hAnsi="Century" w:cs="Arabic Typesetting"/>
          <w:sz w:val="24"/>
          <w:szCs w:val="24"/>
        </w:rPr>
        <w:t>These</w:t>
      </w:r>
      <w:r w:rsidR="00352C28" w:rsidRPr="00F32CF2">
        <w:rPr>
          <w:rFonts w:ascii="Century" w:hAnsi="Century" w:cs="Arabic Typesetting"/>
          <w:sz w:val="24"/>
          <w:szCs w:val="24"/>
        </w:rPr>
        <w:t xml:space="preserve"> choices influence</w:t>
      </w:r>
      <w:r w:rsidR="00352C28">
        <w:rPr>
          <w:rFonts w:ascii="Century" w:hAnsi="Century" w:cs="Arabic Typesetting"/>
          <w:sz w:val="24"/>
          <w:szCs w:val="24"/>
        </w:rPr>
        <w:t xml:space="preserve"> the words and</w:t>
      </w:r>
      <w:r w:rsidR="00352C28" w:rsidRPr="00F32CF2">
        <w:rPr>
          <w:rFonts w:ascii="Century" w:hAnsi="Century" w:cs="Arabic Typesetting"/>
          <w:sz w:val="24"/>
          <w:szCs w:val="24"/>
        </w:rPr>
        <w:t xml:space="preserve"> st</w:t>
      </w:r>
      <w:r w:rsidR="00352C28">
        <w:rPr>
          <w:rFonts w:ascii="Century" w:hAnsi="Century" w:cs="Arabic Typesetting"/>
          <w:sz w:val="24"/>
          <w:szCs w:val="24"/>
        </w:rPr>
        <w:t xml:space="preserve">ructure of the legislation and will be </w:t>
      </w:r>
      <w:r w:rsidR="00352C28">
        <w:rPr>
          <w:rFonts w:ascii="Century" w:eastAsia="Times New Roman" w:hAnsi="Century" w:cs="Times New Roman"/>
          <w:sz w:val="24"/>
          <w:szCs w:val="24"/>
          <w:lang w:eastAsia="en-GB"/>
        </w:rPr>
        <w:t xml:space="preserve">based on the audience that the drafter is communicating with and their need for laws that are </w:t>
      </w:r>
      <w:r w:rsidR="00352C28">
        <w:rPr>
          <w:rFonts w:ascii="Century" w:hAnsi="Century"/>
          <w:sz w:val="24"/>
          <w:szCs w:val="24"/>
        </w:rPr>
        <w:t>‘</w:t>
      </w:r>
      <w:r w:rsidR="00352C28" w:rsidRPr="00F32CF2">
        <w:rPr>
          <w:rFonts w:ascii="Century" w:hAnsi="Century"/>
          <w:sz w:val="24"/>
          <w:szCs w:val="24"/>
        </w:rPr>
        <w:t xml:space="preserve">simple, accessible, and easy to comply with and not </w:t>
      </w:r>
      <w:r w:rsidR="007855AE">
        <w:rPr>
          <w:rFonts w:ascii="Century" w:hAnsi="Century"/>
          <w:sz w:val="24"/>
          <w:szCs w:val="24"/>
        </w:rPr>
        <w:t>un</w:t>
      </w:r>
      <w:r w:rsidR="00352C28" w:rsidRPr="00F32CF2">
        <w:rPr>
          <w:rFonts w:ascii="Century" w:hAnsi="Century"/>
          <w:sz w:val="24"/>
          <w:szCs w:val="24"/>
        </w:rPr>
        <w:t>necessarily burdensome</w:t>
      </w:r>
      <w:r w:rsidR="00352C28">
        <w:rPr>
          <w:rFonts w:ascii="Century" w:hAnsi="Century"/>
          <w:sz w:val="24"/>
          <w:szCs w:val="24"/>
        </w:rPr>
        <w:t>’</w:t>
      </w:r>
      <w:r w:rsidR="00352C28" w:rsidRPr="00F32CF2">
        <w:rPr>
          <w:rFonts w:ascii="Century" w:hAnsi="Century"/>
          <w:sz w:val="24"/>
          <w:szCs w:val="24"/>
        </w:rPr>
        <w:t>.</w:t>
      </w:r>
      <w:r w:rsidR="00352C28" w:rsidRPr="00F32CF2">
        <w:rPr>
          <w:rStyle w:val="FootnoteReference"/>
          <w:rFonts w:ascii="Century" w:hAnsi="Century"/>
          <w:sz w:val="24"/>
          <w:szCs w:val="24"/>
        </w:rPr>
        <w:footnoteReference w:id="82"/>
      </w:r>
      <w:r w:rsidR="00352C28" w:rsidRPr="00F32CF2">
        <w:rPr>
          <w:rFonts w:ascii="Century" w:hAnsi="Century"/>
          <w:sz w:val="24"/>
          <w:szCs w:val="24"/>
        </w:rPr>
        <w:t xml:space="preserve"> </w:t>
      </w:r>
      <w:r w:rsidR="00794A68">
        <w:rPr>
          <w:rFonts w:ascii="Century" w:hAnsi="Century" w:cs="Arabic Typesetting"/>
          <w:sz w:val="24"/>
          <w:szCs w:val="24"/>
        </w:rPr>
        <w:t>If the appropriate judgments are made then drafter</w:t>
      </w:r>
      <w:r w:rsidR="00390ADD">
        <w:rPr>
          <w:rFonts w:ascii="Century" w:hAnsi="Century" w:cs="Arabic Typesetting"/>
          <w:sz w:val="24"/>
          <w:szCs w:val="24"/>
        </w:rPr>
        <w:t>s</w:t>
      </w:r>
      <w:r w:rsidR="00794A68">
        <w:rPr>
          <w:rFonts w:ascii="Century" w:hAnsi="Century" w:cs="Arabic Typesetting"/>
          <w:sz w:val="24"/>
          <w:szCs w:val="24"/>
        </w:rPr>
        <w:t xml:space="preserve"> will be well on their way to ensuring that the legislation is </w:t>
      </w:r>
      <w:r w:rsidR="00583A69">
        <w:rPr>
          <w:rFonts w:ascii="Century" w:hAnsi="Century" w:cs="Arabic Typesetting"/>
          <w:sz w:val="24"/>
          <w:szCs w:val="24"/>
        </w:rPr>
        <w:t>accessible</w:t>
      </w:r>
      <w:r w:rsidR="00A0629E" w:rsidRPr="00F32CF2">
        <w:rPr>
          <w:rFonts w:ascii="Century" w:hAnsi="Century" w:cs="Arabic Typesetting"/>
          <w:sz w:val="24"/>
          <w:szCs w:val="24"/>
        </w:rPr>
        <w:t xml:space="preserve">. </w:t>
      </w:r>
      <w:r w:rsidR="00245816">
        <w:rPr>
          <w:rFonts w:ascii="Century" w:hAnsi="Century" w:cs="Arabic Typesetting"/>
          <w:sz w:val="24"/>
          <w:szCs w:val="24"/>
        </w:rPr>
        <w:t xml:space="preserve"> </w:t>
      </w:r>
      <w:r w:rsidR="00D10576">
        <w:rPr>
          <w:rFonts w:ascii="Century" w:hAnsi="Century"/>
          <w:sz w:val="24"/>
          <w:szCs w:val="24"/>
        </w:rPr>
        <w:t>Perhaps this is why</w:t>
      </w:r>
      <w:r w:rsidR="00D10576" w:rsidRPr="00F32CF2">
        <w:rPr>
          <w:rFonts w:ascii="Century" w:hAnsi="Century"/>
          <w:sz w:val="24"/>
          <w:szCs w:val="24"/>
        </w:rPr>
        <w:t xml:space="preserve"> </w:t>
      </w:r>
      <w:r w:rsidR="00D10576" w:rsidRPr="008A0463">
        <w:rPr>
          <w:rFonts w:ascii="Century" w:hAnsi="Century"/>
          <w:sz w:val="24"/>
          <w:szCs w:val="24"/>
        </w:rPr>
        <w:t>Arden LJ</w:t>
      </w:r>
      <w:r w:rsidR="00D10576" w:rsidRPr="00F32CF2">
        <w:rPr>
          <w:rFonts w:ascii="Century" w:hAnsi="Century"/>
          <w:sz w:val="24"/>
          <w:szCs w:val="24"/>
        </w:rPr>
        <w:t xml:space="preserve"> posits that </w:t>
      </w:r>
      <w:r w:rsidR="00D10576">
        <w:rPr>
          <w:rFonts w:ascii="Century" w:hAnsi="Century"/>
          <w:sz w:val="24"/>
          <w:szCs w:val="24"/>
        </w:rPr>
        <w:t>‘</w:t>
      </w:r>
      <w:r w:rsidR="00D10576" w:rsidRPr="00F32CF2">
        <w:rPr>
          <w:rFonts w:ascii="Century" w:hAnsi="Century"/>
          <w:sz w:val="24"/>
          <w:szCs w:val="24"/>
        </w:rPr>
        <w:t xml:space="preserve">the rule of law is very relevant to the task </w:t>
      </w:r>
      <w:r w:rsidR="00D10576">
        <w:rPr>
          <w:rFonts w:ascii="Century" w:hAnsi="Century"/>
          <w:sz w:val="24"/>
          <w:szCs w:val="24"/>
        </w:rPr>
        <w:t>of</w:t>
      </w:r>
      <w:r w:rsidR="00D10576" w:rsidRPr="00F32CF2">
        <w:rPr>
          <w:rFonts w:ascii="Century" w:hAnsi="Century"/>
          <w:sz w:val="24"/>
          <w:szCs w:val="24"/>
        </w:rPr>
        <w:t xml:space="preserve"> drafters</w:t>
      </w:r>
      <w:r w:rsidR="00D10576">
        <w:rPr>
          <w:rFonts w:ascii="Century" w:hAnsi="Century"/>
          <w:sz w:val="24"/>
          <w:szCs w:val="24"/>
        </w:rPr>
        <w:t>’</w:t>
      </w:r>
      <w:r w:rsidR="00D10576" w:rsidRPr="00F32CF2">
        <w:rPr>
          <w:rFonts w:ascii="Century" w:hAnsi="Century"/>
          <w:sz w:val="24"/>
          <w:szCs w:val="24"/>
        </w:rPr>
        <w:t>.</w:t>
      </w:r>
      <w:r w:rsidR="00D10576" w:rsidRPr="00F32CF2">
        <w:rPr>
          <w:rStyle w:val="FootnoteReference"/>
          <w:rFonts w:ascii="Century" w:hAnsi="Century"/>
          <w:sz w:val="24"/>
          <w:szCs w:val="24"/>
        </w:rPr>
        <w:footnoteReference w:id="83"/>
      </w:r>
    </w:p>
    <w:p w:rsidR="00CB71FD" w:rsidRDefault="00245816" w:rsidP="00DD26E2">
      <w:pPr>
        <w:spacing w:line="360" w:lineRule="auto"/>
        <w:jc w:val="both"/>
        <w:rPr>
          <w:rFonts w:ascii="Century" w:hAnsi="Century" w:cs="Arabic Typesetting"/>
          <w:sz w:val="24"/>
          <w:szCs w:val="24"/>
        </w:rPr>
      </w:pPr>
      <w:r>
        <w:rPr>
          <w:rFonts w:ascii="Century" w:hAnsi="Century" w:cs="Arabic Typesetting"/>
          <w:sz w:val="24"/>
          <w:szCs w:val="24"/>
        </w:rPr>
        <w:t xml:space="preserve">We will now look at the various judgments that drafters can make </w:t>
      </w:r>
      <w:r w:rsidR="0089594C">
        <w:rPr>
          <w:rFonts w:ascii="Century" w:hAnsi="Century" w:cs="Arabic Typesetting"/>
          <w:sz w:val="24"/>
          <w:szCs w:val="24"/>
        </w:rPr>
        <w:t xml:space="preserve">to </w:t>
      </w:r>
      <w:r>
        <w:rPr>
          <w:rFonts w:ascii="Century" w:hAnsi="Century" w:cs="Arabic Typesetting"/>
          <w:sz w:val="24"/>
          <w:szCs w:val="24"/>
        </w:rPr>
        <w:t xml:space="preserve">contribute to accessibility in legislation. </w:t>
      </w:r>
    </w:p>
    <w:p w:rsidR="00030E57" w:rsidRDefault="00030E57" w:rsidP="00DD26E2">
      <w:pPr>
        <w:spacing w:line="360" w:lineRule="auto"/>
        <w:jc w:val="both"/>
        <w:rPr>
          <w:rFonts w:ascii="Century" w:hAnsi="Century" w:cs="Arabic Typesetting"/>
          <w:sz w:val="24"/>
          <w:szCs w:val="24"/>
        </w:rPr>
      </w:pPr>
    </w:p>
    <w:p w:rsidR="00030E57" w:rsidRDefault="00030E57" w:rsidP="00DD26E2">
      <w:pPr>
        <w:spacing w:line="360" w:lineRule="auto"/>
        <w:jc w:val="both"/>
        <w:rPr>
          <w:rFonts w:ascii="Century" w:hAnsi="Century" w:cs="Arabic Typesetting"/>
          <w:sz w:val="24"/>
          <w:szCs w:val="24"/>
        </w:rPr>
      </w:pPr>
    </w:p>
    <w:p w:rsidR="00030E57" w:rsidRDefault="00030E57"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Default="00C73D1A" w:rsidP="00DD26E2">
      <w:pPr>
        <w:spacing w:line="360" w:lineRule="auto"/>
        <w:jc w:val="both"/>
        <w:rPr>
          <w:rFonts w:ascii="Century" w:hAnsi="Century" w:cs="Arial"/>
          <w:sz w:val="24"/>
          <w:szCs w:val="24"/>
          <w:shd w:val="clear" w:color="auto" w:fill="FFFFFF"/>
          <w:lang w:val="en-US"/>
        </w:rPr>
      </w:pPr>
    </w:p>
    <w:p w:rsidR="00C73D1A" w:rsidRPr="00F32CF2" w:rsidRDefault="00C73D1A" w:rsidP="00DD26E2">
      <w:pPr>
        <w:spacing w:line="360" w:lineRule="auto"/>
        <w:jc w:val="both"/>
        <w:rPr>
          <w:rFonts w:ascii="Century" w:hAnsi="Century" w:cs="Arial"/>
          <w:sz w:val="24"/>
          <w:szCs w:val="24"/>
          <w:shd w:val="clear" w:color="auto" w:fill="FFFFFF"/>
          <w:lang w:val="en-US"/>
        </w:rPr>
      </w:pPr>
    </w:p>
    <w:p w:rsidR="00902B00" w:rsidRPr="00D47BE8" w:rsidRDefault="00902B00" w:rsidP="00D47BE8">
      <w:pPr>
        <w:pStyle w:val="Heading1"/>
        <w:jc w:val="center"/>
        <w:rPr>
          <w:color w:val="auto"/>
        </w:rPr>
      </w:pPr>
      <w:bookmarkStart w:id="18" w:name="_Toc427272175"/>
      <w:bookmarkStart w:id="19" w:name="_Toc427272656"/>
      <w:bookmarkStart w:id="20" w:name="_Toc427597736"/>
      <w:r w:rsidRPr="00D47BE8">
        <w:rPr>
          <w:color w:val="auto"/>
        </w:rPr>
        <w:t xml:space="preserve">CHAPTER </w:t>
      </w:r>
      <w:r w:rsidR="00EB50F3" w:rsidRPr="00D47BE8">
        <w:rPr>
          <w:color w:val="auto"/>
        </w:rPr>
        <w:t>THREE</w:t>
      </w:r>
      <w:bookmarkEnd w:id="18"/>
      <w:bookmarkEnd w:id="19"/>
      <w:bookmarkEnd w:id="20"/>
    </w:p>
    <w:p w:rsidR="00902B00" w:rsidRPr="00D47BE8" w:rsidRDefault="00902B00" w:rsidP="00D47BE8">
      <w:pPr>
        <w:pStyle w:val="Heading1"/>
        <w:jc w:val="center"/>
        <w:rPr>
          <w:color w:val="auto"/>
        </w:rPr>
      </w:pPr>
      <w:bookmarkStart w:id="21" w:name="_Toc427272176"/>
      <w:bookmarkStart w:id="22" w:name="_Toc427272657"/>
      <w:bookmarkStart w:id="23" w:name="_Toc427597737"/>
      <w:r w:rsidRPr="00D47BE8">
        <w:rPr>
          <w:color w:val="auto"/>
        </w:rPr>
        <w:t xml:space="preserve">THE </w:t>
      </w:r>
      <w:r w:rsidR="000A48E5" w:rsidRPr="00D47BE8">
        <w:rPr>
          <w:color w:val="auto"/>
        </w:rPr>
        <w:t>DRAFTING PROCESS</w:t>
      </w:r>
      <w:bookmarkEnd w:id="21"/>
      <w:bookmarkEnd w:id="22"/>
      <w:bookmarkEnd w:id="23"/>
    </w:p>
    <w:p w:rsidR="0049683B" w:rsidRPr="00D47BE8" w:rsidRDefault="0049683B" w:rsidP="00D47BE8">
      <w:pPr>
        <w:pStyle w:val="Heading1"/>
        <w:jc w:val="center"/>
        <w:rPr>
          <w:rFonts w:cs="Arabic Typesetting"/>
          <w:color w:val="auto"/>
        </w:rPr>
      </w:pPr>
    </w:p>
    <w:p w:rsidR="00255ADA" w:rsidRPr="00B044AF" w:rsidRDefault="00F30E49" w:rsidP="00B044AF">
      <w:pPr>
        <w:pStyle w:val="Heading4"/>
        <w:jc w:val="center"/>
        <w:rPr>
          <w:color w:val="auto"/>
        </w:rPr>
      </w:pPr>
      <w:bookmarkStart w:id="24" w:name="_Toc427272658"/>
      <w:bookmarkStart w:id="25" w:name="_Toc427597738"/>
      <w:r w:rsidRPr="00B044AF">
        <w:rPr>
          <w:color w:val="auto"/>
        </w:rPr>
        <w:t>Overview of t</w:t>
      </w:r>
      <w:r w:rsidR="003E7353" w:rsidRPr="00B044AF">
        <w:rPr>
          <w:color w:val="auto"/>
        </w:rPr>
        <w:t>he Drafting Process</w:t>
      </w:r>
      <w:bookmarkEnd w:id="24"/>
      <w:bookmarkEnd w:id="25"/>
    </w:p>
    <w:p w:rsidR="00B044AF" w:rsidRDefault="00B044AF" w:rsidP="00BC79B6">
      <w:pPr>
        <w:spacing w:line="360" w:lineRule="auto"/>
        <w:jc w:val="both"/>
        <w:rPr>
          <w:rFonts w:ascii="Century" w:hAnsi="Century"/>
          <w:sz w:val="24"/>
          <w:szCs w:val="24"/>
        </w:rPr>
      </w:pPr>
    </w:p>
    <w:p w:rsidR="00BC79B6" w:rsidRPr="00F32CF2" w:rsidRDefault="008509C4" w:rsidP="00BC79B6">
      <w:pPr>
        <w:spacing w:line="360" w:lineRule="auto"/>
        <w:jc w:val="both"/>
        <w:rPr>
          <w:rFonts w:ascii="Century" w:hAnsi="Century"/>
          <w:sz w:val="24"/>
          <w:szCs w:val="24"/>
        </w:rPr>
      </w:pPr>
      <w:r w:rsidRPr="00F32CF2">
        <w:rPr>
          <w:rFonts w:ascii="Century" w:hAnsi="Century"/>
          <w:sz w:val="24"/>
          <w:szCs w:val="24"/>
        </w:rPr>
        <w:t xml:space="preserve">Thornton’s five drafting stages </w:t>
      </w:r>
      <w:r w:rsidR="000A0A2E" w:rsidRPr="00F32CF2">
        <w:rPr>
          <w:rFonts w:ascii="Century" w:hAnsi="Century"/>
          <w:sz w:val="24"/>
          <w:szCs w:val="24"/>
        </w:rPr>
        <w:t xml:space="preserve">are (i) understanding the </w:t>
      </w:r>
      <w:r w:rsidR="00FA5A4A">
        <w:rPr>
          <w:rFonts w:ascii="Century" w:hAnsi="Century"/>
          <w:sz w:val="24"/>
          <w:szCs w:val="24"/>
        </w:rPr>
        <w:t>legislative proposal</w:t>
      </w:r>
      <w:r w:rsidR="000A0A2E" w:rsidRPr="00F32CF2">
        <w:rPr>
          <w:rFonts w:ascii="Century" w:hAnsi="Century"/>
          <w:sz w:val="24"/>
          <w:szCs w:val="24"/>
        </w:rPr>
        <w:t>, (ii) analysing the</w:t>
      </w:r>
      <w:r w:rsidR="00FA5A4A">
        <w:rPr>
          <w:rFonts w:ascii="Century" w:hAnsi="Century"/>
          <w:sz w:val="24"/>
          <w:szCs w:val="24"/>
        </w:rPr>
        <w:t xml:space="preserve"> legislative</w:t>
      </w:r>
      <w:r w:rsidR="000A0A2E" w:rsidRPr="00F32CF2">
        <w:rPr>
          <w:rFonts w:ascii="Century" w:hAnsi="Century"/>
          <w:sz w:val="24"/>
          <w:szCs w:val="24"/>
        </w:rPr>
        <w:t xml:space="preserve"> proposal, (iii) designing the bill, (iv) composing and developing the bill and (v) scrutinizing</w:t>
      </w:r>
      <w:r w:rsidR="00F44AF7">
        <w:rPr>
          <w:rFonts w:ascii="Century" w:hAnsi="Century"/>
          <w:sz w:val="24"/>
          <w:szCs w:val="24"/>
        </w:rPr>
        <w:t xml:space="preserve"> and testing</w:t>
      </w:r>
      <w:r w:rsidR="000A0A2E" w:rsidRPr="00F32CF2">
        <w:rPr>
          <w:rFonts w:ascii="Century" w:hAnsi="Century"/>
          <w:sz w:val="24"/>
          <w:szCs w:val="24"/>
        </w:rPr>
        <w:t xml:space="preserve"> the bill.</w:t>
      </w:r>
      <w:r w:rsidR="00DF290F" w:rsidRPr="00F32CF2">
        <w:rPr>
          <w:rFonts w:ascii="Century" w:hAnsi="Century"/>
          <w:sz w:val="24"/>
          <w:szCs w:val="24"/>
        </w:rPr>
        <w:t xml:space="preserve">  </w:t>
      </w:r>
      <w:r w:rsidR="002711FD" w:rsidRPr="00F32CF2">
        <w:rPr>
          <w:rFonts w:ascii="Century" w:hAnsi="Century"/>
          <w:sz w:val="24"/>
          <w:szCs w:val="24"/>
        </w:rPr>
        <w:t>As Miers and Page acknowledge</w:t>
      </w:r>
      <w:r w:rsidR="005D7151">
        <w:rPr>
          <w:rFonts w:ascii="Century" w:hAnsi="Century"/>
          <w:sz w:val="24"/>
          <w:szCs w:val="24"/>
        </w:rPr>
        <w:t>,</w:t>
      </w:r>
      <w:r w:rsidR="00B043D2">
        <w:rPr>
          <w:rFonts w:ascii="Century" w:hAnsi="Century"/>
          <w:sz w:val="24"/>
          <w:szCs w:val="24"/>
        </w:rPr>
        <w:t xml:space="preserve"> </w:t>
      </w:r>
      <w:r w:rsidR="002711FD" w:rsidRPr="00F32CF2">
        <w:rPr>
          <w:rFonts w:ascii="Century" w:hAnsi="Century"/>
          <w:sz w:val="24"/>
          <w:szCs w:val="24"/>
        </w:rPr>
        <w:t>Thornton</w:t>
      </w:r>
      <w:r w:rsidR="004C7657">
        <w:rPr>
          <w:rFonts w:ascii="Century" w:hAnsi="Century"/>
          <w:sz w:val="24"/>
          <w:szCs w:val="24"/>
        </w:rPr>
        <w:t>’s</w:t>
      </w:r>
      <w:r w:rsidR="002711FD" w:rsidRPr="00F32CF2">
        <w:rPr>
          <w:rFonts w:ascii="Century" w:hAnsi="Century"/>
          <w:sz w:val="24"/>
          <w:szCs w:val="24"/>
        </w:rPr>
        <w:t xml:space="preserve"> stages ‘do not so much represent clearly defined divisions but are rather recognisable points along a continuum.’</w:t>
      </w:r>
      <w:r w:rsidR="002711FD" w:rsidRPr="00F32CF2">
        <w:rPr>
          <w:rStyle w:val="FootnoteReference"/>
          <w:rFonts w:ascii="Century" w:hAnsi="Century"/>
          <w:sz w:val="24"/>
          <w:szCs w:val="24"/>
        </w:rPr>
        <w:footnoteReference w:id="84"/>
      </w:r>
      <w:r w:rsidR="002711FD" w:rsidRPr="00F32CF2">
        <w:rPr>
          <w:rFonts w:ascii="Century" w:hAnsi="Century"/>
          <w:sz w:val="24"/>
          <w:szCs w:val="24"/>
        </w:rPr>
        <w:t xml:space="preserve"> </w:t>
      </w:r>
      <w:r w:rsidR="00BC79B6" w:rsidRPr="00F32CF2">
        <w:rPr>
          <w:rFonts w:ascii="Century" w:hAnsi="Century"/>
          <w:sz w:val="24"/>
          <w:szCs w:val="24"/>
        </w:rPr>
        <w:t>For instance, the drafter never stops understanding or analysing the policy and although</w:t>
      </w:r>
      <w:r w:rsidR="00BD1D65">
        <w:rPr>
          <w:rFonts w:ascii="Century" w:hAnsi="Century"/>
          <w:sz w:val="24"/>
          <w:szCs w:val="24"/>
        </w:rPr>
        <w:t xml:space="preserve"> scrutiny and</w:t>
      </w:r>
      <w:r w:rsidR="00BC79B6" w:rsidRPr="00F32CF2">
        <w:rPr>
          <w:rFonts w:ascii="Century" w:hAnsi="Century"/>
          <w:sz w:val="24"/>
          <w:szCs w:val="24"/>
        </w:rPr>
        <w:t xml:space="preserve"> </w:t>
      </w:r>
      <w:r w:rsidR="00BD1D65">
        <w:rPr>
          <w:rFonts w:ascii="Century" w:hAnsi="Century"/>
          <w:sz w:val="24"/>
          <w:szCs w:val="24"/>
        </w:rPr>
        <w:t>testing</w:t>
      </w:r>
      <w:r w:rsidR="00BC79B6" w:rsidRPr="00F32CF2">
        <w:rPr>
          <w:rFonts w:ascii="Century" w:hAnsi="Century"/>
          <w:sz w:val="24"/>
          <w:szCs w:val="24"/>
        </w:rPr>
        <w:t xml:space="preserve"> is the last stage;</w:t>
      </w:r>
      <w:r w:rsidR="00BC79B6">
        <w:rPr>
          <w:rFonts w:ascii="Century" w:hAnsi="Century"/>
          <w:sz w:val="24"/>
          <w:szCs w:val="24"/>
        </w:rPr>
        <w:t xml:space="preserve"> at each stage drafters </w:t>
      </w:r>
      <w:r w:rsidR="0060108F">
        <w:rPr>
          <w:rFonts w:ascii="Century" w:hAnsi="Century"/>
          <w:sz w:val="24"/>
          <w:szCs w:val="24"/>
        </w:rPr>
        <w:t>scrutinise</w:t>
      </w:r>
      <w:r w:rsidR="00BC79B6">
        <w:rPr>
          <w:rFonts w:ascii="Century" w:hAnsi="Century"/>
          <w:sz w:val="24"/>
          <w:szCs w:val="24"/>
        </w:rPr>
        <w:t xml:space="preserve"> and </w:t>
      </w:r>
      <w:r w:rsidR="0060108F">
        <w:rPr>
          <w:rFonts w:ascii="Century" w:hAnsi="Century"/>
          <w:sz w:val="24"/>
          <w:szCs w:val="24"/>
        </w:rPr>
        <w:t>test</w:t>
      </w:r>
      <w:r w:rsidR="00BC79B6" w:rsidRPr="00F32CF2">
        <w:rPr>
          <w:rFonts w:ascii="Century" w:hAnsi="Century"/>
          <w:sz w:val="24"/>
          <w:szCs w:val="24"/>
        </w:rPr>
        <w:t xml:space="preserve"> their work.</w:t>
      </w:r>
    </w:p>
    <w:p w:rsidR="00BC79B6" w:rsidRDefault="00BC79B6" w:rsidP="00A644CF">
      <w:pPr>
        <w:spacing w:line="360" w:lineRule="auto"/>
        <w:jc w:val="both"/>
        <w:rPr>
          <w:rFonts w:ascii="Century" w:hAnsi="Century"/>
          <w:sz w:val="24"/>
          <w:szCs w:val="24"/>
        </w:rPr>
      </w:pPr>
    </w:p>
    <w:p w:rsidR="00571A03" w:rsidRDefault="00A644CF" w:rsidP="00A644CF">
      <w:pPr>
        <w:spacing w:line="360" w:lineRule="auto"/>
        <w:jc w:val="both"/>
        <w:rPr>
          <w:rFonts w:ascii="Century" w:hAnsi="Century"/>
          <w:sz w:val="24"/>
          <w:szCs w:val="24"/>
        </w:rPr>
      </w:pPr>
      <w:r>
        <w:rPr>
          <w:rFonts w:ascii="Century" w:hAnsi="Century"/>
          <w:sz w:val="24"/>
          <w:szCs w:val="24"/>
        </w:rPr>
        <w:t>The</w:t>
      </w:r>
      <w:r w:rsidR="00DF290F" w:rsidRPr="00F32CF2">
        <w:rPr>
          <w:rFonts w:ascii="Century" w:hAnsi="Century"/>
          <w:sz w:val="24"/>
          <w:szCs w:val="24"/>
        </w:rPr>
        <w:t xml:space="preserve"> </w:t>
      </w:r>
      <w:r w:rsidR="008509C4" w:rsidRPr="00F32CF2">
        <w:rPr>
          <w:rFonts w:ascii="Century" w:hAnsi="Century"/>
          <w:sz w:val="24"/>
          <w:szCs w:val="24"/>
        </w:rPr>
        <w:t xml:space="preserve">stages are the logical sequence of the drafting process that </w:t>
      </w:r>
      <w:r w:rsidR="00DF290F" w:rsidRPr="00F32CF2">
        <w:rPr>
          <w:rFonts w:ascii="Century" w:hAnsi="Century"/>
          <w:sz w:val="24"/>
          <w:szCs w:val="24"/>
        </w:rPr>
        <w:t>highlight</w:t>
      </w:r>
      <w:r w:rsidR="00F44AF7">
        <w:rPr>
          <w:rFonts w:ascii="Century" w:hAnsi="Century"/>
          <w:sz w:val="24"/>
          <w:szCs w:val="24"/>
        </w:rPr>
        <w:t>s</w:t>
      </w:r>
      <w:r w:rsidR="008509C4" w:rsidRPr="00F32CF2">
        <w:rPr>
          <w:rFonts w:ascii="Century" w:hAnsi="Century"/>
          <w:sz w:val="24"/>
          <w:szCs w:val="24"/>
        </w:rPr>
        <w:t xml:space="preserve"> the importance of drafters</w:t>
      </w:r>
      <w:r w:rsidR="00DF290F" w:rsidRPr="00F32CF2">
        <w:rPr>
          <w:rFonts w:ascii="Century" w:hAnsi="Century"/>
          <w:sz w:val="24"/>
          <w:szCs w:val="24"/>
        </w:rPr>
        <w:t>’</w:t>
      </w:r>
      <w:r w:rsidR="008509C4" w:rsidRPr="00F32CF2">
        <w:rPr>
          <w:rFonts w:ascii="Century" w:hAnsi="Century"/>
          <w:sz w:val="24"/>
          <w:szCs w:val="24"/>
        </w:rPr>
        <w:t xml:space="preserve"> </w:t>
      </w:r>
      <w:r w:rsidR="00DF290F" w:rsidRPr="00F32CF2">
        <w:rPr>
          <w:rFonts w:ascii="Century" w:hAnsi="Century"/>
          <w:sz w:val="24"/>
          <w:szCs w:val="24"/>
        </w:rPr>
        <w:t xml:space="preserve">contribution to </w:t>
      </w:r>
      <w:r w:rsidR="00FA5A4A">
        <w:rPr>
          <w:rFonts w:ascii="Century" w:hAnsi="Century"/>
          <w:sz w:val="24"/>
          <w:szCs w:val="24"/>
        </w:rPr>
        <w:t xml:space="preserve">the rule of law. </w:t>
      </w:r>
      <w:r w:rsidR="007C6BFB">
        <w:rPr>
          <w:rFonts w:ascii="Century" w:hAnsi="Century"/>
          <w:sz w:val="24"/>
          <w:szCs w:val="24"/>
        </w:rPr>
        <w:t>According to Omal, these stages enable drafters to achieve ‘an effective legislative measure’.</w:t>
      </w:r>
      <w:r w:rsidR="007C6BFB">
        <w:rPr>
          <w:rStyle w:val="FootnoteReference"/>
          <w:rFonts w:ascii="Century" w:hAnsi="Century"/>
          <w:sz w:val="24"/>
          <w:szCs w:val="24"/>
        </w:rPr>
        <w:footnoteReference w:id="85"/>
      </w:r>
      <w:r w:rsidR="007C6BFB">
        <w:rPr>
          <w:rFonts w:ascii="Century" w:hAnsi="Century"/>
          <w:sz w:val="24"/>
          <w:szCs w:val="24"/>
        </w:rPr>
        <w:t xml:space="preserve"> </w:t>
      </w:r>
      <w:r w:rsidR="00FA5A4A" w:rsidRPr="00F32CF2">
        <w:rPr>
          <w:rFonts w:ascii="Century" w:hAnsi="Century"/>
          <w:sz w:val="24"/>
          <w:szCs w:val="24"/>
        </w:rPr>
        <w:t>Through</w:t>
      </w:r>
      <w:r w:rsidR="00DF290F" w:rsidRPr="00F32CF2">
        <w:rPr>
          <w:rFonts w:ascii="Century" w:hAnsi="Century"/>
          <w:sz w:val="24"/>
          <w:szCs w:val="24"/>
        </w:rPr>
        <w:t xml:space="preserve"> these stages we witness the many opportunities afford</w:t>
      </w:r>
      <w:r w:rsidR="00FA5A4A">
        <w:rPr>
          <w:rFonts w:ascii="Century" w:hAnsi="Century"/>
          <w:sz w:val="24"/>
          <w:szCs w:val="24"/>
        </w:rPr>
        <w:t>ed</w:t>
      </w:r>
      <w:r w:rsidR="00DF290F" w:rsidRPr="00F32CF2">
        <w:rPr>
          <w:rFonts w:ascii="Century" w:hAnsi="Century"/>
          <w:sz w:val="24"/>
          <w:szCs w:val="24"/>
        </w:rPr>
        <w:t xml:space="preserve"> to drafter</w:t>
      </w:r>
      <w:r w:rsidR="00FA5A4A">
        <w:rPr>
          <w:rFonts w:ascii="Century" w:hAnsi="Century"/>
          <w:sz w:val="24"/>
          <w:szCs w:val="24"/>
        </w:rPr>
        <w:t>s</w:t>
      </w:r>
      <w:r w:rsidR="00DF290F" w:rsidRPr="00F32CF2">
        <w:rPr>
          <w:rFonts w:ascii="Century" w:hAnsi="Century"/>
          <w:sz w:val="24"/>
          <w:szCs w:val="24"/>
        </w:rPr>
        <w:t xml:space="preserve"> to make the law accessible for users.</w:t>
      </w:r>
      <w:r w:rsidR="008509C4" w:rsidRPr="00F32CF2">
        <w:rPr>
          <w:rFonts w:ascii="Century" w:hAnsi="Century"/>
          <w:sz w:val="24"/>
          <w:szCs w:val="24"/>
        </w:rPr>
        <w:t xml:space="preserve"> </w:t>
      </w:r>
      <w:r w:rsidR="00FA5A4A">
        <w:rPr>
          <w:rFonts w:ascii="Century" w:hAnsi="Century"/>
          <w:sz w:val="24"/>
          <w:szCs w:val="24"/>
        </w:rPr>
        <w:t xml:space="preserve">Thornton’s </w:t>
      </w:r>
      <w:r w:rsidR="00FA5A4A" w:rsidRPr="00F32CF2">
        <w:rPr>
          <w:rFonts w:ascii="Century" w:hAnsi="Century"/>
          <w:sz w:val="24"/>
          <w:szCs w:val="24"/>
        </w:rPr>
        <w:t>stages</w:t>
      </w:r>
      <w:r w:rsidR="008509C4" w:rsidRPr="00F32CF2">
        <w:rPr>
          <w:rFonts w:ascii="Century" w:hAnsi="Century"/>
          <w:sz w:val="24"/>
          <w:szCs w:val="24"/>
        </w:rPr>
        <w:t xml:space="preserve"> </w:t>
      </w:r>
      <w:r w:rsidR="00FA5A4A">
        <w:rPr>
          <w:rFonts w:ascii="Century" w:hAnsi="Century"/>
          <w:sz w:val="24"/>
          <w:szCs w:val="24"/>
        </w:rPr>
        <w:lastRenderedPageBreak/>
        <w:t>prove that drafters are</w:t>
      </w:r>
      <w:r w:rsidR="008509C4" w:rsidRPr="00F32CF2">
        <w:rPr>
          <w:rFonts w:ascii="Century" w:hAnsi="Century"/>
          <w:sz w:val="24"/>
          <w:szCs w:val="24"/>
        </w:rPr>
        <w:t xml:space="preserve"> more than </w:t>
      </w:r>
      <w:r w:rsidR="00FA5A4A" w:rsidRPr="00F32CF2">
        <w:rPr>
          <w:rFonts w:ascii="Century" w:hAnsi="Century"/>
          <w:sz w:val="24"/>
          <w:szCs w:val="24"/>
        </w:rPr>
        <w:t>scribe</w:t>
      </w:r>
      <w:r w:rsidR="00FA5A4A">
        <w:rPr>
          <w:rFonts w:ascii="Century" w:hAnsi="Century"/>
          <w:sz w:val="24"/>
          <w:szCs w:val="24"/>
        </w:rPr>
        <w:t>s;</w:t>
      </w:r>
      <w:r w:rsidR="008509C4" w:rsidRPr="00F32CF2">
        <w:rPr>
          <w:rFonts w:ascii="Century" w:hAnsi="Century"/>
          <w:sz w:val="24"/>
          <w:szCs w:val="24"/>
        </w:rPr>
        <w:t xml:space="preserve"> </w:t>
      </w:r>
      <w:r w:rsidR="00FA5A4A">
        <w:rPr>
          <w:rFonts w:ascii="Century" w:hAnsi="Century"/>
          <w:sz w:val="24"/>
          <w:szCs w:val="24"/>
        </w:rPr>
        <w:t>they are</w:t>
      </w:r>
      <w:r w:rsidR="008509C4" w:rsidRPr="00F32CF2">
        <w:rPr>
          <w:rFonts w:ascii="Century" w:hAnsi="Century"/>
          <w:sz w:val="24"/>
          <w:szCs w:val="24"/>
        </w:rPr>
        <w:t xml:space="preserve"> </w:t>
      </w:r>
      <w:r w:rsidR="00DF290F" w:rsidRPr="00F32CF2">
        <w:rPr>
          <w:rFonts w:ascii="Century" w:hAnsi="Century"/>
          <w:sz w:val="24"/>
          <w:szCs w:val="24"/>
        </w:rPr>
        <w:t>legal professionals,</w:t>
      </w:r>
      <w:r w:rsidR="008509C4" w:rsidRPr="00F32CF2">
        <w:rPr>
          <w:rFonts w:ascii="Century" w:hAnsi="Century"/>
          <w:sz w:val="24"/>
          <w:szCs w:val="24"/>
        </w:rPr>
        <w:t xml:space="preserve"> who </w:t>
      </w:r>
      <w:r w:rsidR="00DF290F" w:rsidRPr="00F32CF2">
        <w:rPr>
          <w:rFonts w:ascii="Century" w:hAnsi="Century"/>
          <w:sz w:val="24"/>
          <w:szCs w:val="24"/>
        </w:rPr>
        <w:t>advise, design and compose</w:t>
      </w:r>
      <w:r w:rsidR="008509C4" w:rsidRPr="00F32CF2">
        <w:rPr>
          <w:rFonts w:ascii="Century" w:hAnsi="Century"/>
          <w:sz w:val="24"/>
          <w:szCs w:val="24"/>
        </w:rPr>
        <w:t xml:space="preserve">. </w:t>
      </w:r>
      <w:r w:rsidR="00F51EAB">
        <w:rPr>
          <w:rFonts w:ascii="Century" w:hAnsi="Century"/>
          <w:sz w:val="24"/>
          <w:szCs w:val="24"/>
        </w:rPr>
        <w:t>The</w:t>
      </w:r>
      <w:r w:rsidR="001D4D3E">
        <w:rPr>
          <w:rFonts w:ascii="Century" w:hAnsi="Century"/>
          <w:sz w:val="24"/>
          <w:szCs w:val="24"/>
        </w:rPr>
        <w:t xml:space="preserve"> stages demonstrate that the effort of drafter</w:t>
      </w:r>
      <w:r w:rsidR="00F44AF7">
        <w:rPr>
          <w:rFonts w:ascii="Century" w:hAnsi="Century"/>
          <w:sz w:val="24"/>
          <w:szCs w:val="24"/>
        </w:rPr>
        <w:t>s</w:t>
      </w:r>
      <w:r w:rsidR="001D4D3E">
        <w:rPr>
          <w:rFonts w:ascii="Century" w:hAnsi="Century"/>
          <w:sz w:val="24"/>
          <w:szCs w:val="24"/>
        </w:rPr>
        <w:t xml:space="preserve"> to make laws accessible is not confined to one stage. Therefore, no stage can be seen as more important </w:t>
      </w:r>
      <w:r w:rsidR="00C90BE4">
        <w:rPr>
          <w:rFonts w:ascii="Century" w:hAnsi="Century"/>
          <w:sz w:val="24"/>
          <w:szCs w:val="24"/>
        </w:rPr>
        <w:t xml:space="preserve">than </w:t>
      </w:r>
      <w:r w:rsidR="001D4D3E">
        <w:rPr>
          <w:rFonts w:ascii="Century" w:hAnsi="Century"/>
          <w:sz w:val="24"/>
          <w:szCs w:val="24"/>
        </w:rPr>
        <w:t xml:space="preserve">the other. Each stage serves a unique purpose that leads to the ultimate goal i.e. accessibility. </w:t>
      </w:r>
      <w:r w:rsidR="008509C4" w:rsidRPr="00F32CF2">
        <w:rPr>
          <w:rFonts w:ascii="Century" w:hAnsi="Century"/>
          <w:sz w:val="24"/>
          <w:szCs w:val="24"/>
        </w:rPr>
        <w:t xml:space="preserve"> </w:t>
      </w:r>
    </w:p>
    <w:p w:rsidR="00BE15D9" w:rsidRPr="00F32CF2" w:rsidRDefault="00DF290F" w:rsidP="00A644CF">
      <w:pPr>
        <w:spacing w:line="360" w:lineRule="auto"/>
        <w:jc w:val="both"/>
        <w:rPr>
          <w:rFonts w:ascii="Century" w:hAnsi="Century"/>
          <w:sz w:val="24"/>
          <w:szCs w:val="24"/>
        </w:rPr>
      </w:pPr>
      <w:r w:rsidRPr="00F32CF2">
        <w:rPr>
          <w:rFonts w:ascii="Century" w:hAnsi="Century"/>
          <w:sz w:val="24"/>
          <w:szCs w:val="24"/>
        </w:rPr>
        <w:t xml:space="preserve">We will now look at each </w:t>
      </w:r>
      <w:r w:rsidR="00FA5A4A">
        <w:rPr>
          <w:rFonts w:ascii="Century" w:hAnsi="Century"/>
          <w:sz w:val="24"/>
          <w:szCs w:val="24"/>
        </w:rPr>
        <w:t>stage</w:t>
      </w:r>
      <w:r w:rsidRPr="00F32CF2">
        <w:rPr>
          <w:rFonts w:ascii="Century" w:hAnsi="Century"/>
          <w:sz w:val="24"/>
          <w:szCs w:val="24"/>
        </w:rPr>
        <w:t>.</w:t>
      </w:r>
      <w:r w:rsidR="00396490" w:rsidRPr="00F32CF2">
        <w:rPr>
          <w:rFonts w:ascii="Century" w:hAnsi="Century"/>
          <w:sz w:val="24"/>
          <w:szCs w:val="24"/>
        </w:rPr>
        <w:t xml:space="preserve"> </w:t>
      </w:r>
    </w:p>
    <w:p w:rsidR="0009163A" w:rsidRPr="00F32CF2" w:rsidRDefault="0009163A" w:rsidP="008509C4">
      <w:pPr>
        <w:spacing w:line="360" w:lineRule="auto"/>
        <w:jc w:val="both"/>
        <w:rPr>
          <w:rFonts w:ascii="Century" w:hAnsi="Century"/>
          <w:sz w:val="24"/>
          <w:szCs w:val="24"/>
        </w:rPr>
      </w:pPr>
    </w:p>
    <w:p w:rsidR="0049683B" w:rsidRPr="008D3BD6" w:rsidRDefault="0065279A" w:rsidP="008D3BD6">
      <w:pPr>
        <w:pStyle w:val="Heading1"/>
        <w:jc w:val="center"/>
        <w:rPr>
          <w:color w:val="auto"/>
        </w:rPr>
      </w:pPr>
      <w:bookmarkStart w:id="26" w:name="_Toc427272177"/>
      <w:bookmarkStart w:id="27" w:name="_Toc427272659"/>
      <w:bookmarkStart w:id="28" w:name="_Toc427597739"/>
      <w:r w:rsidRPr="008D3BD6">
        <w:rPr>
          <w:color w:val="auto"/>
        </w:rPr>
        <w:t xml:space="preserve">STAGE </w:t>
      </w:r>
      <w:r w:rsidR="0009163A" w:rsidRPr="008D3BD6">
        <w:rPr>
          <w:color w:val="auto"/>
        </w:rPr>
        <w:t>1</w:t>
      </w:r>
      <w:r w:rsidR="000243A9" w:rsidRPr="008D3BD6">
        <w:rPr>
          <w:color w:val="auto"/>
        </w:rPr>
        <w:t>-</w:t>
      </w:r>
      <w:r w:rsidR="0049683B" w:rsidRPr="008D3BD6">
        <w:rPr>
          <w:color w:val="auto"/>
        </w:rPr>
        <w:t xml:space="preserve">Understanding </w:t>
      </w:r>
      <w:r w:rsidR="00607AA0" w:rsidRPr="008D3BD6">
        <w:rPr>
          <w:color w:val="auto"/>
        </w:rPr>
        <w:t>the</w:t>
      </w:r>
      <w:r w:rsidR="000A48E5" w:rsidRPr="008D3BD6">
        <w:rPr>
          <w:color w:val="auto"/>
        </w:rPr>
        <w:t xml:space="preserve"> Legislative</w:t>
      </w:r>
      <w:r w:rsidR="0049683B" w:rsidRPr="008D3BD6">
        <w:rPr>
          <w:color w:val="auto"/>
        </w:rPr>
        <w:t xml:space="preserve"> Proposal</w:t>
      </w:r>
      <w:bookmarkEnd w:id="26"/>
      <w:bookmarkEnd w:id="27"/>
      <w:bookmarkEnd w:id="28"/>
    </w:p>
    <w:p w:rsidR="00150D1D" w:rsidRPr="0009163A" w:rsidRDefault="00150D1D" w:rsidP="00706AD9">
      <w:pPr>
        <w:spacing w:line="360" w:lineRule="auto"/>
        <w:jc w:val="both"/>
        <w:rPr>
          <w:rFonts w:ascii="Century" w:hAnsi="Century"/>
          <w:sz w:val="24"/>
          <w:szCs w:val="24"/>
        </w:rPr>
      </w:pPr>
    </w:p>
    <w:p w:rsidR="00AA328A" w:rsidRPr="008D3BD6" w:rsidRDefault="00AA328A" w:rsidP="008D3BD6">
      <w:pPr>
        <w:pStyle w:val="Heading4"/>
        <w:numPr>
          <w:ilvl w:val="0"/>
          <w:numId w:val="21"/>
        </w:numPr>
        <w:rPr>
          <w:color w:val="auto"/>
        </w:rPr>
      </w:pPr>
      <w:bookmarkStart w:id="29" w:name="_Toc427272660"/>
      <w:bookmarkStart w:id="30" w:name="_Toc427597740"/>
      <w:r w:rsidRPr="008D3BD6">
        <w:rPr>
          <w:color w:val="auto"/>
        </w:rPr>
        <w:t xml:space="preserve">What is the Understanding </w:t>
      </w:r>
      <w:r w:rsidR="00C90BE4" w:rsidRPr="008D3BD6">
        <w:rPr>
          <w:color w:val="auto"/>
        </w:rPr>
        <w:t>S</w:t>
      </w:r>
      <w:r w:rsidRPr="008D3BD6">
        <w:rPr>
          <w:color w:val="auto"/>
        </w:rPr>
        <w:t>tage?</w:t>
      </w:r>
      <w:bookmarkEnd w:id="29"/>
      <w:bookmarkEnd w:id="30"/>
    </w:p>
    <w:p w:rsidR="008D3BD6" w:rsidRDefault="008D3BD6" w:rsidP="00A644CF">
      <w:pPr>
        <w:spacing w:line="360" w:lineRule="auto"/>
        <w:jc w:val="both"/>
        <w:rPr>
          <w:rFonts w:ascii="Century" w:hAnsi="Century"/>
          <w:sz w:val="24"/>
          <w:szCs w:val="24"/>
        </w:rPr>
      </w:pPr>
    </w:p>
    <w:p w:rsidR="00D97EE6" w:rsidRPr="00F32CF2" w:rsidRDefault="00F44AF7" w:rsidP="00A644CF">
      <w:pPr>
        <w:spacing w:line="360" w:lineRule="auto"/>
        <w:jc w:val="both"/>
        <w:rPr>
          <w:rFonts w:ascii="Century" w:hAnsi="Century"/>
          <w:sz w:val="24"/>
          <w:szCs w:val="24"/>
        </w:rPr>
      </w:pPr>
      <w:r>
        <w:rPr>
          <w:rFonts w:ascii="Century" w:hAnsi="Century"/>
          <w:sz w:val="24"/>
          <w:szCs w:val="24"/>
        </w:rPr>
        <w:t>According to Mac</w:t>
      </w:r>
      <w:r w:rsidR="000160D3">
        <w:rPr>
          <w:rFonts w:ascii="Century" w:hAnsi="Century"/>
          <w:sz w:val="24"/>
          <w:szCs w:val="24"/>
        </w:rPr>
        <w:t>C</w:t>
      </w:r>
      <w:r>
        <w:rPr>
          <w:rFonts w:ascii="Century" w:hAnsi="Century"/>
          <w:sz w:val="24"/>
          <w:szCs w:val="24"/>
        </w:rPr>
        <w:t>or</w:t>
      </w:r>
      <w:r w:rsidR="000160D3">
        <w:rPr>
          <w:rFonts w:ascii="Century" w:hAnsi="Century"/>
          <w:sz w:val="24"/>
          <w:szCs w:val="24"/>
        </w:rPr>
        <w:t>mick and Keyes ‘drafting is not just writing words to express ideas. It begins with understanding what is to be expressed’.</w:t>
      </w:r>
      <w:r w:rsidR="000160D3">
        <w:rPr>
          <w:rStyle w:val="FootnoteReference"/>
          <w:rFonts w:ascii="Century" w:hAnsi="Century"/>
          <w:sz w:val="24"/>
          <w:szCs w:val="24"/>
        </w:rPr>
        <w:footnoteReference w:id="86"/>
      </w:r>
      <w:r w:rsidR="000160D3">
        <w:rPr>
          <w:rFonts w:ascii="Century" w:hAnsi="Century"/>
          <w:sz w:val="24"/>
          <w:szCs w:val="24"/>
        </w:rPr>
        <w:t xml:space="preserve"> Therefore, the starting point </w:t>
      </w:r>
      <w:r w:rsidR="000835DC">
        <w:rPr>
          <w:rFonts w:ascii="Century" w:hAnsi="Century"/>
          <w:sz w:val="24"/>
          <w:szCs w:val="24"/>
        </w:rPr>
        <w:t>for producing</w:t>
      </w:r>
      <w:r w:rsidR="000160D3">
        <w:rPr>
          <w:rFonts w:ascii="Century" w:hAnsi="Century"/>
          <w:sz w:val="24"/>
          <w:szCs w:val="24"/>
        </w:rPr>
        <w:t xml:space="preserve"> legislation that is</w:t>
      </w:r>
      <w:r w:rsidR="00A14EFC" w:rsidRPr="00F32CF2">
        <w:rPr>
          <w:rFonts w:ascii="Century" w:hAnsi="Century"/>
          <w:sz w:val="24"/>
          <w:szCs w:val="24"/>
        </w:rPr>
        <w:t xml:space="preserve"> </w:t>
      </w:r>
      <w:r w:rsidR="00D143E4">
        <w:rPr>
          <w:rFonts w:ascii="Century" w:hAnsi="Century"/>
          <w:sz w:val="24"/>
          <w:szCs w:val="24"/>
        </w:rPr>
        <w:t>intelligible, clear and predictable</w:t>
      </w:r>
      <w:r w:rsidR="00A14EFC" w:rsidRPr="00F32CF2">
        <w:rPr>
          <w:rFonts w:ascii="Century" w:hAnsi="Century"/>
          <w:sz w:val="24"/>
          <w:szCs w:val="24"/>
        </w:rPr>
        <w:t xml:space="preserve"> </w:t>
      </w:r>
      <w:r w:rsidR="000160D3">
        <w:rPr>
          <w:rFonts w:ascii="Century" w:hAnsi="Century"/>
          <w:sz w:val="24"/>
          <w:szCs w:val="24"/>
        </w:rPr>
        <w:t xml:space="preserve">must be </w:t>
      </w:r>
      <w:r w:rsidR="00A14EFC" w:rsidRPr="00F32CF2">
        <w:rPr>
          <w:rFonts w:ascii="Century" w:hAnsi="Century"/>
          <w:sz w:val="24"/>
          <w:szCs w:val="24"/>
        </w:rPr>
        <w:t>the drafter understand</w:t>
      </w:r>
      <w:r w:rsidR="000160D3">
        <w:rPr>
          <w:rFonts w:ascii="Century" w:hAnsi="Century"/>
          <w:sz w:val="24"/>
          <w:szCs w:val="24"/>
        </w:rPr>
        <w:t>ing</w:t>
      </w:r>
      <w:r w:rsidR="00A14EFC" w:rsidRPr="00F32CF2">
        <w:rPr>
          <w:rFonts w:ascii="Century" w:hAnsi="Century"/>
          <w:sz w:val="24"/>
          <w:szCs w:val="24"/>
        </w:rPr>
        <w:t xml:space="preserve"> the purpose for the new proposed legislation.</w:t>
      </w:r>
      <w:r w:rsidRPr="00F44AF7">
        <w:rPr>
          <w:rFonts w:ascii="Century" w:hAnsi="Century"/>
          <w:sz w:val="24"/>
          <w:szCs w:val="24"/>
        </w:rPr>
        <w:t xml:space="preserve"> </w:t>
      </w:r>
      <w:r>
        <w:rPr>
          <w:rFonts w:ascii="Century" w:hAnsi="Century"/>
          <w:sz w:val="24"/>
          <w:szCs w:val="24"/>
        </w:rPr>
        <w:t>How much the drafter understands is re</w:t>
      </w:r>
      <w:r w:rsidR="000835DC">
        <w:rPr>
          <w:rFonts w:ascii="Century" w:hAnsi="Century"/>
          <w:sz w:val="24"/>
          <w:szCs w:val="24"/>
        </w:rPr>
        <w:t xml:space="preserve">flective in the choices that he or </w:t>
      </w:r>
      <w:r>
        <w:rPr>
          <w:rFonts w:ascii="Century" w:hAnsi="Century"/>
          <w:sz w:val="24"/>
          <w:szCs w:val="24"/>
        </w:rPr>
        <w:t>she makes in the other stages to ensure accessibility.</w:t>
      </w:r>
      <w:r w:rsidR="00A14EFC" w:rsidRPr="00F32CF2">
        <w:rPr>
          <w:rFonts w:ascii="Century" w:hAnsi="Century"/>
          <w:sz w:val="24"/>
          <w:szCs w:val="24"/>
        </w:rPr>
        <w:t xml:space="preserve"> </w:t>
      </w:r>
      <w:r w:rsidR="002C2374" w:rsidRPr="00F32CF2">
        <w:rPr>
          <w:rFonts w:ascii="Century" w:hAnsi="Century"/>
          <w:sz w:val="24"/>
          <w:szCs w:val="24"/>
        </w:rPr>
        <w:t>This stage</w:t>
      </w:r>
      <w:r w:rsidR="00FC692C" w:rsidRPr="00F32CF2">
        <w:rPr>
          <w:rFonts w:ascii="Century" w:hAnsi="Century"/>
          <w:sz w:val="24"/>
          <w:szCs w:val="24"/>
        </w:rPr>
        <w:t xml:space="preserve"> </w:t>
      </w:r>
      <w:r w:rsidR="002C2374" w:rsidRPr="00F32CF2">
        <w:rPr>
          <w:rFonts w:ascii="Century" w:hAnsi="Century"/>
          <w:sz w:val="24"/>
          <w:szCs w:val="24"/>
        </w:rPr>
        <w:t xml:space="preserve">sets the tone for the entire drafting process because it is </w:t>
      </w:r>
      <w:r w:rsidR="00A14EFC">
        <w:rPr>
          <w:rFonts w:ascii="Century" w:hAnsi="Century"/>
          <w:sz w:val="24"/>
          <w:szCs w:val="24"/>
        </w:rPr>
        <w:t>here that</w:t>
      </w:r>
      <w:r w:rsidR="002C2374" w:rsidRPr="00F32CF2">
        <w:rPr>
          <w:rFonts w:ascii="Century" w:hAnsi="Century"/>
          <w:sz w:val="24"/>
          <w:szCs w:val="24"/>
        </w:rPr>
        <w:t xml:space="preserve"> the drafter </w:t>
      </w:r>
      <w:r w:rsidR="00A14EFC">
        <w:rPr>
          <w:rFonts w:ascii="Century" w:hAnsi="Century"/>
          <w:sz w:val="24"/>
          <w:szCs w:val="24"/>
        </w:rPr>
        <w:t>will begin</w:t>
      </w:r>
      <w:r w:rsidR="002C2374" w:rsidRPr="00F32CF2">
        <w:rPr>
          <w:rFonts w:ascii="Century" w:hAnsi="Century"/>
          <w:sz w:val="24"/>
          <w:szCs w:val="24"/>
        </w:rPr>
        <w:t xml:space="preserve"> to get ‘a feel’ for the policy and its objectives. </w:t>
      </w:r>
      <w:r>
        <w:rPr>
          <w:rFonts w:ascii="Century" w:hAnsi="Century"/>
          <w:sz w:val="24"/>
          <w:szCs w:val="24"/>
        </w:rPr>
        <w:t>It is about</w:t>
      </w:r>
      <w:r w:rsidR="002D631B" w:rsidRPr="00F32CF2">
        <w:rPr>
          <w:rFonts w:ascii="Century" w:hAnsi="Century"/>
          <w:sz w:val="24"/>
          <w:szCs w:val="24"/>
        </w:rPr>
        <w:t xml:space="preserve"> the drafter understand</w:t>
      </w:r>
      <w:r>
        <w:rPr>
          <w:rFonts w:ascii="Century" w:hAnsi="Century"/>
          <w:sz w:val="24"/>
          <w:szCs w:val="24"/>
        </w:rPr>
        <w:t>ing</w:t>
      </w:r>
      <w:r w:rsidR="002D631B" w:rsidRPr="00F32CF2">
        <w:rPr>
          <w:rFonts w:ascii="Century" w:hAnsi="Century"/>
          <w:sz w:val="24"/>
          <w:szCs w:val="24"/>
        </w:rPr>
        <w:t xml:space="preserve"> what the</w:t>
      </w:r>
      <w:r w:rsidR="00A644CF">
        <w:rPr>
          <w:rFonts w:ascii="Century" w:hAnsi="Century"/>
          <w:sz w:val="24"/>
          <w:szCs w:val="24"/>
        </w:rPr>
        <w:t xml:space="preserve"> present</w:t>
      </w:r>
      <w:r>
        <w:rPr>
          <w:rFonts w:ascii="Century" w:hAnsi="Century"/>
          <w:sz w:val="24"/>
          <w:szCs w:val="24"/>
        </w:rPr>
        <w:t xml:space="preserve"> la</w:t>
      </w:r>
      <w:r w:rsidR="009E0760">
        <w:rPr>
          <w:rFonts w:ascii="Century" w:hAnsi="Century"/>
          <w:sz w:val="24"/>
          <w:szCs w:val="24"/>
        </w:rPr>
        <w:t xml:space="preserve">w is, </w:t>
      </w:r>
      <w:r w:rsidR="00067D0D">
        <w:rPr>
          <w:rFonts w:ascii="Century" w:hAnsi="Century"/>
          <w:sz w:val="24"/>
          <w:szCs w:val="24"/>
        </w:rPr>
        <w:t>how the proposed law will change it</w:t>
      </w:r>
      <w:r w:rsidR="009E0760">
        <w:rPr>
          <w:rFonts w:ascii="Century" w:hAnsi="Century"/>
          <w:sz w:val="24"/>
          <w:szCs w:val="24"/>
        </w:rPr>
        <w:t>,</w:t>
      </w:r>
      <w:r w:rsidR="002D631B" w:rsidRPr="00F32CF2">
        <w:rPr>
          <w:rStyle w:val="FootnoteReference"/>
          <w:rFonts w:ascii="Century" w:hAnsi="Century"/>
          <w:sz w:val="24"/>
          <w:szCs w:val="24"/>
        </w:rPr>
        <w:footnoteReference w:id="87"/>
      </w:r>
      <w:r w:rsidR="003520E4" w:rsidRPr="00F32CF2">
        <w:rPr>
          <w:rFonts w:ascii="Century" w:hAnsi="Century"/>
          <w:sz w:val="24"/>
          <w:szCs w:val="24"/>
        </w:rPr>
        <w:t xml:space="preserve"> </w:t>
      </w:r>
      <w:r>
        <w:rPr>
          <w:rFonts w:ascii="Century" w:hAnsi="Century"/>
          <w:sz w:val="24"/>
          <w:szCs w:val="24"/>
        </w:rPr>
        <w:t>the reasons</w:t>
      </w:r>
      <w:r w:rsidR="007C4BE8">
        <w:rPr>
          <w:rFonts w:ascii="Century" w:hAnsi="Century"/>
          <w:sz w:val="24"/>
          <w:szCs w:val="24"/>
        </w:rPr>
        <w:t xml:space="preserve"> for</w:t>
      </w:r>
      <w:r w:rsidR="009E0760">
        <w:rPr>
          <w:rFonts w:ascii="Century" w:hAnsi="Century"/>
          <w:sz w:val="24"/>
          <w:szCs w:val="24"/>
        </w:rPr>
        <w:t xml:space="preserve"> those changes</w:t>
      </w:r>
      <w:r w:rsidR="007C4BE8">
        <w:rPr>
          <w:rFonts w:ascii="Century" w:hAnsi="Century"/>
          <w:sz w:val="24"/>
          <w:szCs w:val="24"/>
        </w:rPr>
        <w:t xml:space="preserve"> and </w:t>
      </w:r>
      <w:r w:rsidR="009E0760">
        <w:rPr>
          <w:rFonts w:ascii="Century" w:hAnsi="Century"/>
          <w:sz w:val="24"/>
          <w:szCs w:val="24"/>
        </w:rPr>
        <w:t>any implications</w:t>
      </w:r>
      <w:r>
        <w:rPr>
          <w:rFonts w:ascii="Century" w:hAnsi="Century"/>
          <w:sz w:val="24"/>
          <w:szCs w:val="24"/>
        </w:rPr>
        <w:t xml:space="preserve"> </w:t>
      </w:r>
      <w:r w:rsidR="009E0760">
        <w:rPr>
          <w:rFonts w:ascii="Century" w:hAnsi="Century"/>
          <w:sz w:val="24"/>
          <w:szCs w:val="24"/>
        </w:rPr>
        <w:t>that may derive from this change</w:t>
      </w:r>
      <w:r w:rsidR="0003312C" w:rsidRPr="00F32CF2">
        <w:rPr>
          <w:rFonts w:ascii="Century" w:hAnsi="Century"/>
          <w:sz w:val="24"/>
          <w:szCs w:val="24"/>
        </w:rPr>
        <w:t>.</w:t>
      </w:r>
      <w:r w:rsidR="0003312C" w:rsidRPr="00F32CF2">
        <w:rPr>
          <w:rStyle w:val="FootnoteReference"/>
          <w:rFonts w:ascii="Century" w:hAnsi="Century"/>
          <w:sz w:val="24"/>
          <w:szCs w:val="24"/>
        </w:rPr>
        <w:footnoteReference w:id="88"/>
      </w:r>
      <w:r w:rsidR="0003312C">
        <w:rPr>
          <w:rFonts w:ascii="Century" w:hAnsi="Century"/>
          <w:sz w:val="24"/>
          <w:szCs w:val="24"/>
        </w:rPr>
        <w:t xml:space="preserve"> </w:t>
      </w:r>
    </w:p>
    <w:p w:rsidR="00BA2902" w:rsidRPr="00F32CF2" w:rsidRDefault="00BA2902" w:rsidP="009735F4">
      <w:pPr>
        <w:spacing w:line="360" w:lineRule="auto"/>
        <w:ind w:firstLine="720"/>
        <w:jc w:val="both"/>
        <w:rPr>
          <w:rFonts w:ascii="Century" w:hAnsi="Century"/>
          <w:sz w:val="24"/>
          <w:szCs w:val="24"/>
        </w:rPr>
      </w:pPr>
    </w:p>
    <w:p w:rsidR="00150D1D" w:rsidRPr="008D3BD6" w:rsidRDefault="00EC162D" w:rsidP="008D3BD6">
      <w:pPr>
        <w:pStyle w:val="Heading4"/>
        <w:numPr>
          <w:ilvl w:val="0"/>
          <w:numId w:val="21"/>
        </w:numPr>
        <w:rPr>
          <w:color w:val="auto"/>
        </w:rPr>
      </w:pPr>
      <w:bookmarkStart w:id="31" w:name="_Toc427272661"/>
      <w:bookmarkStart w:id="32" w:name="_Toc427597741"/>
      <w:r>
        <w:rPr>
          <w:color w:val="auto"/>
        </w:rPr>
        <w:t xml:space="preserve">How do </w:t>
      </w:r>
      <w:r w:rsidR="00BE7240">
        <w:rPr>
          <w:color w:val="auto"/>
        </w:rPr>
        <w:t>D</w:t>
      </w:r>
      <w:r w:rsidR="00726DD0" w:rsidRPr="008D3BD6">
        <w:rPr>
          <w:color w:val="auto"/>
        </w:rPr>
        <w:t>rafter</w:t>
      </w:r>
      <w:r>
        <w:rPr>
          <w:color w:val="auto"/>
        </w:rPr>
        <w:t>s</w:t>
      </w:r>
      <w:r w:rsidR="00726DD0" w:rsidRPr="008D3BD6">
        <w:rPr>
          <w:color w:val="auto"/>
        </w:rPr>
        <w:t xml:space="preserve"> </w:t>
      </w:r>
      <w:r w:rsidR="00BE7240">
        <w:rPr>
          <w:color w:val="auto"/>
        </w:rPr>
        <w:t>C</w:t>
      </w:r>
      <w:r w:rsidR="00726DD0" w:rsidRPr="008D3BD6">
        <w:rPr>
          <w:color w:val="auto"/>
        </w:rPr>
        <w:t xml:space="preserve">ontribute to </w:t>
      </w:r>
      <w:r w:rsidR="00BE7240">
        <w:rPr>
          <w:color w:val="auto"/>
        </w:rPr>
        <w:t>A</w:t>
      </w:r>
      <w:r w:rsidR="00726DD0" w:rsidRPr="008D3BD6">
        <w:rPr>
          <w:color w:val="auto"/>
        </w:rPr>
        <w:t xml:space="preserve">ccessibility at this </w:t>
      </w:r>
      <w:r w:rsidR="00BE7240">
        <w:rPr>
          <w:color w:val="auto"/>
        </w:rPr>
        <w:t>S</w:t>
      </w:r>
      <w:r w:rsidR="00726DD0" w:rsidRPr="008D3BD6">
        <w:rPr>
          <w:color w:val="auto"/>
        </w:rPr>
        <w:t>tage?</w:t>
      </w:r>
      <w:bookmarkEnd w:id="31"/>
      <w:bookmarkEnd w:id="32"/>
      <w:r w:rsidR="00726DD0" w:rsidRPr="008D3BD6">
        <w:rPr>
          <w:color w:val="auto"/>
        </w:rPr>
        <w:t xml:space="preserve">  </w:t>
      </w:r>
    </w:p>
    <w:p w:rsidR="00D20C8D" w:rsidRDefault="00D20C8D" w:rsidP="00D20C8D">
      <w:pPr>
        <w:spacing w:line="360" w:lineRule="auto"/>
        <w:jc w:val="both"/>
        <w:rPr>
          <w:rFonts w:ascii="Century" w:hAnsi="Century"/>
          <w:sz w:val="24"/>
          <w:szCs w:val="24"/>
        </w:rPr>
      </w:pPr>
    </w:p>
    <w:p w:rsidR="0003312C" w:rsidRDefault="00452689" w:rsidP="00D20C8D">
      <w:pPr>
        <w:spacing w:line="360" w:lineRule="auto"/>
        <w:jc w:val="both"/>
        <w:rPr>
          <w:rFonts w:ascii="Century" w:hAnsi="Century"/>
          <w:sz w:val="24"/>
          <w:szCs w:val="24"/>
        </w:rPr>
      </w:pPr>
      <w:r w:rsidRPr="00F32CF2">
        <w:rPr>
          <w:rFonts w:ascii="Century" w:hAnsi="Century"/>
          <w:sz w:val="24"/>
          <w:szCs w:val="24"/>
        </w:rPr>
        <w:lastRenderedPageBreak/>
        <w:t>One of the factors that can hinder the drafter from making the legislation accessible is</w:t>
      </w:r>
      <w:r w:rsidR="00C90BE4">
        <w:rPr>
          <w:rFonts w:ascii="Century" w:hAnsi="Century"/>
          <w:sz w:val="24"/>
          <w:szCs w:val="24"/>
        </w:rPr>
        <w:t xml:space="preserve"> failure</w:t>
      </w:r>
      <w:r w:rsidRPr="00F32CF2">
        <w:rPr>
          <w:rFonts w:ascii="Century" w:hAnsi="Century"/>
          <w:sz w:val="24"/>
          <w:szCs w:val="24"/>
        </w:rPr>
        <w:t xml:space="preserve"> </w:t>
      </w:r>
      <w:r w:rsidR="00C90BE4">
        <w:rPr>
          <w:rFonts w:ascii="Century" w:hAnsi="Century"/>
          <w:sz w:val="24"/>
          <w:szCs w:val="24"/>
        </w:rPr>
        <w:t>to</w:t>
      </w:r>
      <w:r w:rsidRPr="00F32CF2">
        <w:rPr>
          <w:rFonts w:ascii="Century" w:hAnsi="Century"/>
          <w:sz w:val="24"/>
          <w:szCs w:val="24"/>
        </w:rPr>
        <w:t xml:space="preserve"> do proper research to understand the </w:t>
      </w:r>
      <w:r w:rsidR="009E0760">
        <w:rPr>
          <w:rFonts w:ascii="Century" w:hAnsi="Century"/>
          <w:sz w:val="24"/>
          <w:szCs w:val="24"/>
        </w:rPr>
        <w:t>proposal</w:t>
      </w:r>
      <w:r w:rsidRPr="00F32CF2">
        <w:rPr>
          <w:rFonts w:ascii="Century" w:hAnsi="Century"/>
          <w:sz w:val="24"/>
          <w:szCs w:val="24"/>
        </w:rPr>
        <w:t xml:space="preserve">. </w:t>
      </w:r>
      <w:r>
        <w:rPr>
          <w:rFonts w:ascii="Century" w:hAnsi="Century"/>
          <w:sz w:val="24"/>
          <w:szCs w:val="24"/>
        </w:rPr>
        <w:t>As stated by</w:t>
      </w:r>
      <w:r w:rsidR="00E465F1">
        <w:rPr>
          <w:rFonts w:ascii="Century" w:hAnsi="Century"/>
          <w:sz w:val="24"/>
          <w:szCs w:val="24"/>
        </w:rPr>
        <w:t xml:space="preserve"> </w:t>
      </w:r>
      <w:r w:rsidRPr="004006A3">
        <w:rPr>
          <w:rFonts w:ascii="Century" w:hAnsi="Century"/>
          <w:sz w:val="24"/>
          <w:szCs w:val="24"/>
        </w:rPr>
        <w:t>Stefanou</w:t>
      </w:r>
      <w:r>
        <w:rPr>
          <w:rFonts w:ascii="Century" w:hAnsi="Century"/>
          <w:sz w:val="24"/>
          <w:szCs w:val="24"/>
        </w:rPr>
        <w:t>, ‘</w:t>
      </w:r>
      <w:r w:rsidR="000C2F11">
        <w:rPr>
          <w:rFonts w:ascii="Century" w:hAnsi="Century"/>
          <w:sz w:val="24"/>
          <w:szCs w:val="24"/>
        </w:rPr>
        <w:t>a</w:t>
      </w:r>
      <w:r w:rsidRPr="00F32CF2">
        <w:rPr>
          <w:rFonts w:ascii="Century" w:hAnsi="Century"/>
          <w:sz w:val="24"/>
          <w:szCs w:val="24"/>
        </w:rPr>
        <w:t xml:space="preserve"> good draft </w:t>
      </w:r>
      <w:r w:rsidR="00E465F1">
        <w:rPr>
          <w:rFonts w:ascii="Century" w:hAnsi="Century"/>
          <w:sz w:val="24"/>
          <w:szCs w:val="24"/>
        </w:rPr>
        <w:t xml:space="preserve">is above all an indication that the drafter has </w:t>
      </w:r>
      <w:r w:rsidRPr="00F32CF2">
        <w:rPr>
          <w:rFonts w:ascii="Century" w:hAnsi="Century"/>
          <w:sz w:val="24"/>
          <w:szCs w:val="24"/>
        </w:rPr>
        <w:t xml:space="preserve">understood </w:t>
      </w:r>
      <w:r w:rsidR="00E465F1">
        <w:rPr>
          <w:rFonts w:ascii="Century" w:hAnsi="Century"/>
          <w:sz w:val="24"/>
          <w:szCs w:val="24"/>
        </w:rPr>
        <w:t xml:space="preserve">well </w:t>
      </w:r>
      <w:r w:rsidRPr="00F32CF2">
        <w:rPr>
          <w:rFonts w:ascii="Century" w:hAnsi="Century"/>
          <w:sz w:val="24"/>
          <w:szCs w:val="24"/>
        </w:rPr>
        <w:t>the issues</w:t>
      </w:r>
      <w:r w:rsidR="00E465F1">
        <w:rPr>
          <w:rFonts w:ascii="Century" w:hAnsi="Century"/>
          <w:sz w:val="24"/>
          <w:szCs w:val="24"/>
        </w:rPr>
        <w:t>/circumstances</w:t>
      </w:r>
      <w:r w:rsidR="000C2F11">
        <w:rPr>
          <w:rFonts w:ascii="Century" w:hAnsi="Century"/>
          <w:sz w:val="24"/>
          <w:szCs w:val="24"/>
        </w:rPr>
        <w:t xml:space="preserve"> involved</w:t>
      </w:r>
      <w:r w:rsidR="00E465F1">
        <w:rPr>
          <w:rFonts w:ascii="Century" w:hAnsi="Century"/>
          <w:sz w:val="24"/>
          <w:szCs w:val="24"/>
        </w:rPr>
        <w:t>,</w:t>
      </w:r>
      <w:r w:rsidRPr="00F32CF2">
        <w:rPr>
          <w:rFonts w:ascii="Century" w:hAnsi="Century"/>
          <w:sz w:val="24"/>
          <w:szCs w:val="24"/>
        </w:rPr>
        <w:t xml:space="preserve"> as well as what </w:t>
      </w:r>
      <w:r w:rsidR="00E465F1">
        <w:rPr>
          <w:rFonts w:ascii="Century" w:hAnsi="Century"/>
          <w:sz w:val="24"/>
          <w:szCs w:val="24"/>
        </w:rPr>
        <w:t xml:space="preserve">is required of him/her according to the </w:t>
      </w:r>
      <w:r w:rsidRPr="00F32CF2">
        <w:rPr>
          <w:rFonts w:ascii="Century" w:hAnsi="Century"/>
          <w:sz w:val="24"/>
          <w:szCs w:val="24"/>
        </w:rPr>
        <w:t>instructions</w:t>
      </w:r>
      <w:r w:rsidR="00E465F1">
        <w:rPr>
          <w:rFonts w:ascii="Century" w:hAnsi="Century"/>
          <w:sz w:val="24"/>
          <w:szCs w:val="24"/>
        </w:rPr>
        <w:t>’</w:t>
      </w:r>
      <w:r w:rsidRPr="00F32CF2">
        <w:rPr>
          <w:rFonts w:ascii="Century" w:hAnsi="Century"/>
          <w:sz w:val="24"/>
          <w:szCs w:val="24"/>
        </w:rPr>
        <w:t>.</w:t>
      </w:r>
      <w:r w:rsidRPr="00F32CF2">
        <w:rPr>
          <w:rStyle w:val="FootnoteReference"/>
          <w:rFonts w:ascii="Century" w:hAnsi="Century"/>
          <w:sz w:val="24"/>
          <w:szCs w:val="24"/>
        </w:rPr>
        <w:footnoteReference w:id="89"/>
      </w:r>
      <w:r w:rsidRPr="00F32CF2">
        <w:rPr>
          <w:rFonts w:ascii="Century" w:hAnsi="Century"/>
          <w:sz w:val="24"/>
          <w:szCs w:val="24"/>
        </w:rPr>
        <w:t xml:space="preserve"> </w:t>
      </w:r>
      <w:r w:rsidR="00163CCA" w:rsidRPr="00F32CF2">
        <w:rPr>
          <w:rFonts w:ascii="Century" w:hAnsi="Century"/>
          <w:sz w:val="24"/>
          <w:szCs w:val="24"/>
        </w:rPr>
        <w:t xml:space="preserve">If the drafter is not clear on the </w:t>
      </w:r>
      <w:r w:rsidR="00163CCA">
        <w:rPr>
          <w:rFonts w:ascii="Century" w:hAnsi="Century"/>
          <w:sz w:val="24"/>
          <w:szCs w:val="24"/>
        </w:rPr>
        <w:t xml:space="preserve">policy </w:t>
      </w:r>
      <w:r w:rsidR="00163CCA" w:rsidRPr="00F32CF2">
        <w:rPr>
          <w:rFonts w:ascii="Century" w:hAnsi="Century"/>
          <w:sz w:val="24"/>
          <w:szCs w:val="24"/>
        </w:rPr>
        <w:t xml:space="preserve">then it will be very difficult for the drafter to make the policy clear to users, thus hindering accessibility from the very beginning. </w:t>
      </w:r>
      <w:r>
        <w:rPr>
          <w:rFonts w:ascii="Century" w:hAnsi="Century"/>
          <w:sz w:val="24"/>
          <w:szCs w:val="24"/>
        </w:rPr>
        <w:t>Therefore,</w:t>
      </w:r>
      <w:r w:rsidR="00C90BE4">
        <w:rPr>
          <w:rFonts w:ascii="Century" w:hAnsi="Century"/>
          <w:sz w:val="24"/>
          <w:szCs w:val="24"/>
        </w:rPr>
        <w:t xml:space="preserve"> the</w:t>
      </w:r>
      <w:r>
        <w:rPr>
          <w:rFonts w:ascii="Century" w:hAnsi="Century"/>
          <w:sz w:val="24"/>
          <w:szCs w:val="24"/>
        </w:rPr>
        <w:t xml:space="preserve"> </w:t>
      </w:r>
      <w:r w:rsidR="00E77894" w:rsidRPr="00F32CF2">
        <w:rPr>
          <w:rFonts w:ascii="Century" w:hAnsi="Century"/>
          <w:sz w:val="24"/>
          <w:szCs w:val="24"/>
        </w:rPr>
        <w:t xml:space="preserve">drafter </w:t>
      </w:r>
      <w:r>
        <w:rPr>
          <w:rFonts w:ascii="Century" w:hAnsi="Century"/>
          <w:sz w:val="24"/>
          <w:szCs w:val="24"/>
        </w:rPr>
        <w:t xml:space="preserve">must commence </w:t>
      </w:r>
      <w:r w:rsidR="00E77894" w:rsidRPr="00F32CF2">
        <w:rPr>
          <w:rFonts w:ascii="Century" w:hAnsi="Century"/>
          <w:sz w:val="24"/>
          <w:szCs w:val="24"/>
        </w:rPr>
        <w:t xml:space="preserve">the research and information gathering </w:t>
      </w:r>
      <w:r>
        <w:rPr>
          <w:rFonts w:ascii="Century" w:hAnsi="Century"/>
          <w:sz w:val="24"/>
          <w:szCs w:val="24"/>
        </w:rPr>
        <w:t>from the moment drafting instructions is given</w:t>
      </w:r>
      <w:r w:rsidR="00E77894" w:rsidRPr="00F32CF2">
        <w:rPr>
          <w:rFonts w:ascii="Century" w:hAnsi="Century"/>
          <w:sz w:val="24"/>
          <w:szCs w:val="24"/>
        </w:rPr>
        <w:t xml:space="preserve">. </w:t>
      </w:r>
      <w:r>
        <w:rPr>
          <w:rFonts w:ascii="Century" w:hAnsi="Century"/>
          <w:sz w:val="24"/>
          <w:szCs w:val="24"/>
        </w:rPr>
        <w:t>It is this</w:t>
      </w:r>
      <w:r w:rsidR="00E77894" w:rsidRPr="00F32CF2">
        <w:rPr>
          <w:rFonts w:ascii="Century" w:hAnsi="Century"/>
          <w:sz w:val="24"/>
          <w:szCs w:val="24"/>
        </w:rPr>
        <w:t xml:space="preserve"> stage </w:t>
      </w:r>
      <w:r>
        <w:rPr>
          <w:rFonts w:ascii="Century" w:hAnsi="Century"/>
          <w:sz w:val="24"/>
          <w:szCs w:val="24"/>
        </w:rPr>
        <w:t>that will enable</w:t>
      </w:r>
      <w:r w:rsidR="00E77894" w:rsidRPr="00F32CF2">
        <w:rPr>
          <w:rFonts w:ascii="Century" w:hAnsi="Century"/>
          <w:sz w:val="24"/>
          <w:szCs w:val="24"/>
        </w:rPr>
        <w:t xml:space="preserve"> the drafter to sift through the issues, setting a firm foundation to </w:t>
      </w:r>
      <w:r w:rsidR="003372A4">
        <w:rPr>
          <w:rFonts w:ascii="Century" w:hAnsi="Century"/>
          <w:sz w:val="24"/>
          <w:szCs w:val="24"/>
        </w:rPr>
        <w:t>draft the law</w:t>
      </w:r>
      <w:r w:rsidR="00E77894" w:rsidRPr="00F32CF2">
        <w:rPr>
          <w:rFonts w:ascii="Century" w:hAnsi="Century"/>
          <w:sz w:val="24"/>
          <w:szCs w:val="24"/>
        </w:rPr>
        <w:t xml:space="preserve">. </w:t>
      </w:r>
      <w:r w:rsidR="004F6635" w:rsidRPr="00F32CF2">
        <w:rPr>
          <w:rFonts w:ascii="Century" w:hAnsi="Century"/>
          <w:sz w:val="24"/>
          <w:szCs w:val="24"/>
        </w:rPr>
        <w:t>As posited by</w:t>
      </w:r>
      <w:r w:rsidR="00BC2FF3" w:rsidRPr="00F32CF2">
        <w:rPr>
          <w:rFonts w:ascii="Century" w:hAnsi="Century"/>
          <w:sz w:val="24"/>
          <w:szCs w:val="24"/>
        </w:rPr>
        <w:t xml:space="preserve"> Vanterpool, ‘the drafter’s understanding of the proposal is the central focus of this stage in the drafting process, as the quality of the output is directly related to the quality of the input at this stage’.</w:t>
      </w:r>
      <w:r w:rsidR="00BC2FF3" w:rsidRPr="00F32CF2">
        <w:rPr>
          <w:rStyle w:val="FootnoteReference"/>
          <w:rFonts w:ascii="Century" w:hAnsi="Century"/>
          <w:sz w:val="24"/>
          <w:szCs w:val="24"/>
        </w:rPr>
        <w:footnoteReference w:id="90"/>
      </w:r>
      <w:r w:rsidR="00BC2FF3" w:rsidRPr="00F32CF2">
        <w:rPr>
          <w:rFonts w:ascii="Century" w:hAnsi="Century"/>
          <w:sz w:val="24"/>
          <w:szCs w:val="24"/>
        </w:rPr>
        <w:t xml:space="preserve"> </w:t>
      </w:r>
      <w:r w:rsidR="004F6635" w:rsidRPr="00F32CF2">
        <w:rPr>
          <w:rFonts w:ascii="Century" w:hAnsi="Century"/>
          <w:sz w:val="24"/>
          <w:szCs w:val="24"/>
        </w:rPr>
        <w:t xml:space="preserve">Therefore, </w:t>
      </w:r>
      <w:r w:rsidR="00664375">
        <w:rPr>
          <w:rFonts w:ascii="Century" w:hAnsi="Century"/>
          <w:sz w:val="24"/>
          <w:szCs w:val="24"/>
        </w:rPr>
        <w:t>d</w:t>
      </w:r>
      <w:r w:rsidR="00BC2FF3" w:rsidRPr="00F32CF2">
        <w:rPr>
          <w:rFonts w:ascii="Century" w:hAnsi="Century"/>
          <w:sz w:val="24"/>
          <w:szCs w:val="24"/>
        </w:rPr>
        <w:t xml:space="preserve">rafters must </w:t>
      </w:r>
      <w:r w:rsidR="009E0760">
        <w:rPr>
          <w:rFonts w:ascii="Century" w:hAnsi="Century"/>
          <w:sz w:val="24"/>
          <w:szCs w:val="24"/>
        </w:rPr>
        <w:t>seek to have</w:t>
      </w:r>
      <w:r w:rsidR="004B73F4" w:rsidRPr="00F32CF2">
        <w:rPr>
          <w:rFonts w:ascii="Century" w:hAnsi="Century"/>
          <w:sz w:val="24"/>
          <w:szCs w:val="24"/>
        </w:rPr>
        <w:t xml:space="preserve"> an </w:t>
      </w:r>
      <w:r w:rsidR="00D16C55">
        <w:rPr>
          <w:rFonts w:ascii="Century" w:hAnsi="Century"/>
          <w:sz w:val="24"/>
          <w:szCs w:val="24"/>
        </w:rPr>
        <w:t>‘</w:t>
      </w:r>
      <w:r w:rsidR="004B73F4" w:rsidRPr="00F32CF2">
        <w:rPr>
          <w:rFonts w:ascii="Century" w:hAnsi="Century"/>
          <w:sz w:val="24"/>
          <w:szCs w:val="24"/>
        </w:rPr>
        <w:t>accurate and complete</w:t>
      </w:r>
      <w:r w:rsidR="00D16C55">
        <w:rPr>
          <w:rFonts w:ascii="Century" w:hAnsi="Century"/>
          <w:sz w:val="24"/>
          <w:szCs w:val="24"/>
        </w:rPr>
        <w:t>’</w:t>
      </w:r>
      <w:r w:rsidR="00DF3283" w:rsidRPr="00F32CF2">
        <w:rPr>
          <w:rStyle w:val="FootnoteReference"/>
          <w:rFonts w:ascii="Century" w:hAnsi="Century"/>
          <w:sz w:val="24"/>
          <w:szCs w:val="24"/>
        </w:rPr>
        <w:footnoteReference w:id="91"/>
      </w:r>
      <w:r w:rsidR="009E0760">
        <w:rPr>
          <w:rFonts w:ascii="Century" w:hAnsi="Century"/>
          <w:sz w:val="24"/>
          <w:szCs w:val="24"/>
        </w:rPr>
        <w:t xml:space="preserve"> appreciation of the issues</w:t>
      </w:r>
      <w:r w:rsidR="004B73F4" w:rsidRPr="00F32CF2">
        <w:rPr>
          <w:rFonts w:ascii="Century" w:hAnsi="Century"/>
          <w:sz w:val="24"/>
          <w:szCs w:val="24"/>
        </w:rPr>
        <w:t xml:space="preserve"> </w:t>
      </w:r>
      <w:r w:rsidR="009E0760">
        <w:rPr>
          <w:rFonts w:ascii="Century" w:hAnsi="Century"/>
          <w:sz w:val="24"/>
          <w:szCs w:val="24"/>
        </w:rPr>
        <w:t>so that they can know what problem the new proposed law is being introduced to solve</w:t>
      </w:r>
      <w:r w:rsidR="006F7E2E" w:rsidRPr="00F32CF2">
        <w:rPr>
          <w:rFonts w:ascii="Century" w:hAnsi="Century"/>
          <w:sz w:val="24"/>
          <w:szCs w:val="24"/>
        </w:rPr>
        <w:t>.</w:t>
      </w:r>
      <w:r w:rsidR="006F7E2E" w:rsidRPr="00F32CF2">
        <w:rPr>
          <w:rStyle w:val="FootnoteReference"/>
          <w:rFonts w:ascii="Century" w:hAnsi="Century"/>
          <w:sz w:val="24"/>
          <w:szCs w:val="24"/>
        </w:rPr>
        <w:footnoteReference w:id="92"/>
      </w:r>
      <w:r w:rsidR="006F7E2E" w:rsidRPr="00F32CF2">
        <w:rPr>
          <w:rFonts w:ascii="Century" w:hAnsi="Century"/>
          <w:sz w:val="24"/>
          <w:szCs w:val="24"/>
        </w:rPr>
        <w:t xml:space="preserve"> </w:t>
      </w:r>
      <w:r w:rsidR="009E0760">
        <w:rPr>
          <w:rFonts w:ascii="Century" w:hAnsi="Century"/>
          <w:sz w:val="24"/>
          <w:szCs w:val="24"/>
        </w:rPr>
        <w:t>This requires drafters to</w:t>
      </w:r>
      <w:r w:rsidR="009735F4" w:rsidRPr="00F32CF2">
        <w:rPr>
          <w:rFonts w:ascii="Century" w:hAnsi="Century"/>
          <w:sz w:val="24"/>
          <w:szCs w:val="24"/>
        </w:rPr>
        <w:t xml:space="preserve"> </w:t>
      </w:r>
      <w:r w:rsidR="002E2846" w:rsidRPr="00F32CF2">
        <w:rPr>
          <w:rFonts w:ascii="Century" w:hAnsi="Century"/>
          <w:sz w:val="24"/>
          <w:szCs w:val="24"/>
        </w:rPr>
        <w:t xml:space="preserve">exercise due diligence and commit themselves to understanding the </w:t>
      </w:r>
      <w:r w:rsidR="00BC2FF3" w:rsidRPr="00F32CF2">
        <w:rPr>
          <w:rFonts w:ascii="Century" w:hAnsi="Century"/>
          <w:sz w:val="24"/>
          <w:szCs w:val="24"/>
        </w:rPr>
        <w:t>objectives of the policy.</w:t>
      </w:r>
      <w:r w:rsidR="009735F4" w:rsidRPr="00F32CF2">
        <w:rPr>
          <w:rFonts w:ascii="Century" w:hAnsi="Century"/>
          <w:sz w:val="24"/>
          <w:szCs w:val="24"/>
        </w:rPr>
        <w:t xml:space="preserve"> </w:t>
      </w:r>
    </w:p>
    <w:p w:rsidR="00E77894" w:rsidRDefault="00E77894" w:rsidP="00D20C8D">
      <w:pPr>
        <w:spacing w:line="360" w:lineRule="auto"/>
        <w:jc w:val="both"/>
        <w:rPr>
          <w:rFonts w:ascii="Century" w:hAnsi="Century"/>
          <w:sz w:val="24"/>
          <w:szCs w:val="24"/>
        </w:rPr>
      </w:pPr>
    </w:p>
    <w:p w:rsidR="00F26A37" w:rsidRPr="00F32CF2" w:rsidRDefault="00206C2D" w:rsidP="00030E57">
      <w:pPr>
        <w:spacing w:line="360" w:lineRule="auto"/>
        <w:jc w:val="both"/>
        <w:rPr>
          <w:rFonts w:ascii="Century" w:hAnsi="Century"/>
          <w:sz w:val="24"/>
          <w:szCs w:val="24"/>
        </w:rPr>
      </w:pPr>
      <w:r w:rsidRPr="00F32CF2">
        <w:rPr>
          <w:rFonts w:ascii="Century" w:hAnsi="Century"/>
          <w:sz w:val="24"/>
          <w:szCs w:val="24"/>
        </w:rPr>
        <w:t>A deep understanding of the policy issues will help drafter</w:t>
      </w:r>
      <w:r w:rsidR="00207229">
        <w:rPr>
          <w:rFonts w:ascii="Century" w:hAnsi="Century"/>
          <w:sz w:val="24"/>
          <w:szCs w:val="24"/>
        </w:rPr>
        <w:t>s</w:t>
      </w:r>
      <w:r w:rsidRPr="00F32CF2">
        <w:rPr>
          <w:rFonts w:ascii="Century" w:hAnsi="Century"/>
          <w:sz w:val="24"/>
          <w:szCs w:val="24"/>
        </w:rPr>
        <w:t xml:space="preserve"> to immediately </w:t>
      </w:r>
      <w:r w:rsidR="00C90BE4">
        <w:rPr>
          <w:rFonts w:ascii="Century" w:hAnsi="Century"/>
          <w:sz w:val="24"/>
          <w:szCs w:val="24"/>
        </w:rPr>
        <w:t>recognise</w:t>
      </w:r>
      <w:r w:rsidRPr="00F32CF2">
        <w:rPr>
          <w:rFonts w:ascii="Century" w:hAnsi="Century"/>
          <w:sz w:val="24"/>
          <w:szCs w:val="24"/>
        </w:rPr>
        <w:t xml:space="preserve"> any inconsistency in the policy.</w:t>
      </w:r>
      <w:r w:rsidR="0049683B" w:rsidRPr="00F32CF2">
        <w:rPr>
          <w:rFonts w:ascii="Century" w:hAnsi="Century"/>
          <w:sz w:val="24"/>
          <w:szCs w:val="24"/>
        </w:rPr>
        <w:t xml:space="preserve"> </w:t>
      </w:r>
      <w:r w:rsidR="006F7E2E" w:rsidRPr="00F32CF2">
        <w:rPr>
          <w:rFonts w:ascii="Century" w:hAnsi="Century"/>
          <w:sz w:val="24"/>
          <w:szCs w:val="24"/>
        </w:rPr>
        <w:t xml:space="preserve">Further, </w:t>
      </w:r>
      <w:r w:rsidR="00401044" w:rsidRPr="00F32CF2">
        <w:rPr>
          <w:rFonts w:ascii="Century" w:hAnsi="Century"/>
          <w:sz w:val="24"/>
          <w:szCs w:val="24"/>
        </w:rPr>
        <w:t>if the policy deals with</w:t>
      </w:r>
      <w:r w:rsidR="0049683B" w:rsidRPr="00F32CF2">
        <w:rPr>
          <w:rFonts w:ascii="Century" w:hAnsi="Century"/>
          <w:sz w:val="24"/>
          <w:szCs w:val="24"/>
        </w:rPr>
        <w:t xml:space="preserve"> </w:t>
      </w:r>
      <w:r w:rsidR="00CE6D0F" w:rsidRPr="00F32CF2">
        <w:rPr>
          <w:rFonts w:ascii="Century" w:hAnsi="Century"/>
          <w:sz w:val="24"/>
          <w:szCs w:val="24"/>
        </w:rPr>
        <w:t>a</w:t>
      </w:r>
      <w:r w:rsidR="00CE6D0F">
        <w:rPr>
          <w:rFonts w:ascii="Century" w:hAnsi="Century"/>
          <w:sz w:val="24"/>
          <w:szCs w:val="24"/>
        </w:rPr>
        <w:t>n</w:t>
      </w:r>
      <w:r w:rsidR="00401044" w:rsidRPr="00F32CF2">
        <w:rPr>
          <w:rFonts w:ascii="Century" w:hAnsi="Century"/>
          <w:sz w:val="24"/>
          <w:szCs w:val="24"/>
        </w:rPr>
        <w:t xml:space="preserve"> </w:t>
      </w:r>
      <w:r w:rsidR="00CE6D0F">
        <w:rPr>
          <w:rFonts w:ascii="Century" w:hAnsi="Century"/>
          <w:sz w:val="24"/>
          <w:szCs w:val="24"/>
        </w:rPr>
        <w:t xml:space="preserve">unfamiliar </w:t>
      </w:r>
      <w:r w:rsidR="00401044" w:rsidRPr="00F32CF2">
        <w:rPr>
          <w:rFonts w:ascii="Century" w:hAnsi="Century"/>
          <w:sz w:val="24"/>
          <w:szCs w:val="24"/>
        </w:rPr>
        <w:t xml:space="preserve">area </w:t>
      </w:r>
      <w:r w:rsidRPr="00F32CF2">
        <w:rPr>
          <w:rFonts w:ascii="Century" w:hAnsi="Century"/>
          <w:sz w:val="24"/>
          <w:szCs w:val="24"/>
        </w:rPr>
        <w:t>then</w:t>
      </w:r>
      <w:r w:rsidR="00CE6D0F">
        <w:rPr>
          <w:rFonts w:ascii="Century" w:hAnsi="Century"/>
          <w:sz w:val="24"/>
          <w:szCs w:val="24"/>
        </w:rPr>
        <w:t xml:space="preserve"> drafter</w:t>
      </w:r>
      <w:r w:rsidR="00207229">
        <w:rPr>
          <w:rFonts w:ascii="Century" w:hAnsi="Century"/>
          <w:sz w:val="24"/>
          <w:szCs w:val="24"/>
        </w:rPr>
        <w:t>s</w:t>
      </w:r>
      <w:r w:rsidR="00CE6D0F">
        <w:rPr>
          <w:rFonts w:ascii="Century" w:hAnsi="Century"/>
          <w:sz w:val="24"/>
          <w:szCs w:val="24"/>
        </w:rPr>
        <w:t xml:space="preserve"> </w:t>
      </w:r>
      <w:r w:rsidR="006F7E2E" w:rsidRPr="00F32CF2">
        <w:rPr>
          <w:rFonts w:ascii="Century" w:hAnsi="Century"/>
          <w:sz w:val="24"/>
          <w:szCs w:val="24"/>
        </w:rPr>
        <w:t>should seek clarification from the instructing officer in order to fully understand the proposal.</w:t>
      </w:r>
      <w:r w:rsidR="006F7E2E" w:rsidRPr="00F32CF2">
        <w:rPr>
          <w:rStyle w:val="FootnoteReference"/>
          <w:rFonts w:ascii="Century" w:hAnsi="Century"/>
          <w:sz w:val="24"/>
          <w:szCs w:val="24"/>
        </w:rPr>
        <w:footnoteReference w:id="93"/>
      </w:r>
      <w:r w:rsidR="006F7E2E" w:rsidRPr="00F32CF2">
        <w:rPr>
          <w:rFonts w:ascii="Century" w:hAnsi="Century"/>
          <w:sz w:val="24"/>
          <w:szCs w:val="24"/>
        </w:rPr>
        <w:t xml:space="preserve"> </w:t>
      </w:r>
      <w:r w:rsidR="00926718">
        <w:rPr>
          <w:rFonts w:ascii="Century" w:hAnsi="Century"/>
          <w:sz w:val="24"/>
          <w:szCs w:val="24"/>
        </w:rPr>
        <w:t>Additionally, drafter</w:t>
      </w:r>
      <w:r w:rsidR="00A65E4B">
        <w:rPr>
          <w:rFonts w:ascii="Century" w:hAnsi="Century"/>
          <w:sz w:val="24"/>
          <w:szCs w:val="24"/>
        </w:rPr>
        <w:t>s</w:t>
      </w:r>
      <w:r w:rsidR="00926718">
        <w:rPr>
          <w:rFonts w:ascii="Century" w:hAnsi="Century"/>
          <w:sz w:val="24"/>
          <w:szCs w:val="24"/>
        </w:rPr>
        <w:t xml:space="preserve"> should be in consultation with any other person who might be able to help with understanding the policy better</w:t>
      </w:r>
      <w:r w:rsidR="00926718" w:rsidRPr="00F32CF2">
        <w:rPr>
          <w:rFonts w:ascii="Century" w:hAnsi="Century"/>
          <w:sz w:val="24"/>
          <w:szCs w:val="24"/>
        </w:rPr>
        <w:t>.</w:t>
      </w:r>
      <w:r w:rsidR="00926718" w:rsidRPr="00F32CF2">
        <w:rPr>
          <w:rStyle w:val="FootnoteReference"/>
          <w:rFonts w:ascii="Century" w:hAnsi="Century"/>
          <w:sz w:val="24"/>
          <w:szCs w:val="24"/>
        </w:rPr>
        <w:footnoteReference w:id="94"/>
      </w:r>
      <w:r w:rsidR="00926718">
        <w:rPr>
          <w:rFonts w:ascii="Century" w:hAnsi="Century"/>
          <w:sz w:val="24"/>
          <w:szCs w:val="24"/>
        </w:rPr>
        <w:t xml:space="preserve"> </w:t>
      </w:r>
      <w:r w:rsidR="00143B9F">
        <w:rPr>
          <w:rFonts w:ascii="Century" w:hAnsi="Century"/>
          <w:sz w:val="24"/>
          <w:szCs w:val="24"/>
        </w:rPr>
        <w:t>In circumstances</w:t>
      </w:r>
      <w:r w:rsidR="00B42859" w:rsidRPr="00F32CF2">
        <w:rPr>
          <w:rFonts w:ascii="Century" w:hAnsi="Century"/>
          <w:sz w:val="24"/>
          <w:szCs w:val="24"/>
        </w:rPr>
        <w:t xml:space="preserve"> where </w:t>
      </w:r>
      <w:r w:rsidR="00B42859" w:rsidRPr="00F32CF2">
        <w:rPr>
          <w:rFonts w:ascii="Century" w:hAnsi="Century"/>
          <w:sz w:val="24"/>
          <w:szCs w:val="24"/>
        </w:rPr>
        <w:lastRenderedPageBreak/>
        <w:t>drafting instructions are not in a complete manner</w:t>
      </w:r>
      <w:r w:rsidR="00B42859" w:rsidRPr="00F32CF2">
        <w:rPr>
          <w:rStyle w:val="FootnoteReference"/>
          <w:rFonts w:ascii="Century" w:hAnsi="Century"/>
          <w:sz w:val="24"/>
          <w:szCs w:val="24"/>
        </w:rPr>
        <w:footnoteReference w:id="95"/>
      </w:r>
      <w:r w:rsidR="00B42859" w:rsidRPr="00F32CF2">
        <w:rPr>
          <w:rFonts w:ascii="Century" w:hAnsi="Century"/>
          <w:sz w:val="24"/>
          <w:szCs w:val="24"/>
        </w:rPr>
        <w:t xml:space="preserve"> the drafter will have to ask for more information from the instructing officer to compe</w:t>
      </w:r>
      <w:r w:rsidR="000631F1" w:rsidRPr="00F32CF2">
        <w:rPr>
          <w:rFonts w:ascii="Century" w:hAnsi="Century"/>
          <w:sz w:val="24"/>
          <w:szCs w:val="24"/>
        </w:rPr>
        <w:t xml:space="preserve">nsate for lack of instructions. </w:t>
      </w:r>
      <w:r w:rsidR="00ED1467">
        <w:rPr>
          <w:rFonts w:ascii="Century" w:hAnsi="Century"/>
          <w:sz w:val="24"/>
          <w:szCs w:val="24"/>
        </w:rPr>
        <w:t xml:space="preserve">Contributing to </w:t>
      </w:r>
      <w:r w:rsidR="006F7E2E" w:rsidRPr="00F32CF2">
        <w:rPr>
          <w:rFonts w:ascii="Century" w:hAnsi="Century"/>
          <w:sz w:val="24"/>
          <w:szCs w:val="24"/>
        </w:rPr>
        <w:t xml:space="preserve">the rule of law </w:t>
      </w:r>
      <w:r w:rsidR="000631F1" w:rsidRPr="00F32CF2">
        <w:rPr>
          <w:rFonts w:ascii="Century" w:hAnsi="Century"/>
          <w:sz w:val="24"/>
          <w:szCs w:val="24"/>
        </w:rPr>
        <w:t>requires drafter</w:t>
      </w:r>
      <w:r w:rsidR="00A65E4B">
        <w:rPr>
          <w:rFonts w:ascii="Century" w:hAnsi="Century"/>
          <w:sz w:val="24"/>
          <w:szCs w:val="24"/>
        </w:rPr>
        <w:t>s</w:t>
      </w:r>
      <w:r w:rsidR="000631F1" w:rsidRPr="00F32CF2">
        <w:rPr>
          <w:rFonts w:ascii="Century" w:hAnsi="Century"/>
          <w:sz w:val="24"/>
          <w:szCs w:val="24"/>
        </w:rPr>
        <w:t xml:space="preserve"> to </w:t>
      </w:r>
      <w:r w:rsidR="005E5759">
        <w:rPr>
          <w:rFonts w:ascii="Century" w:hAnsi="Century"/>
          <w:sz w:val="24"/>
          <w:szCs w:val="24"/>
        </w:rPr>
        <w:t>keep asking questions</w:t>
      </w:r>
      <w:r w:rsidR="006F7E2E" w:rsidRPr="00F32CF2">
        <w:rPr>
          <w:rFonts w:ascii="Century" w:hAnsi="Century"/>
          <w:sz w:val="24"/>
          <w:szCs w:val="24"/>
        </w:rPr>
        <w:t xml:space="preserve"> until all the necessary information</w:t>
      </w:r>
      <w:r w:rsidR="005E5759">
        <w:rPr>
          <w:rFonts w:ascii="Century" w:hAnsi="Century"/>
          <w:sz w:val="24"/>
          <w:szCs w:val="24"/>
        </w:rPr>
        <w:t xml:space="preserve"> </w:t>
      </w:r>
      <w:r w:rsidR="00143B9F">
        <w:rPr>
          <w:rFonts w:ascii="Century" w:hAnsi="Century"/>
          <w:sz w:val="24"/>
          <w:szCs w:val="24"/>
        </w:rPr>
        <w:t xml:space="preserve">is </w:t>
      </w:r>
      <w:r w:rsidR="005E5759">
        <w:rPr>
          <w:rFonts w:ascii="Century" w:hAnsi="Century"/>
          <w:sz w:val="24"/>
          <w:szCs w:val="24"/>
        </w:rPr>
        <w:t>provided</w:t>
      </w:r>
      <w:r w:rsidR="006F7E2E" w:rsidRPr="00F32CF2">
        <w:rPr>
          <w:rFonts w:ascii="Century" w:hAnsi="Century"/>
          <w:sz w:val="24"/>
          <w:szCs w:val="24"/>
        </w:rPr>
        <w:t>.</w:t>
      </w:r>
      <w:r w:rsidR="006F7E2E" w:rsidRPr="00F32CF2">
        <w:rPr>
          <w:rStyle w:val="FootnoteReference"/>
          <w:rFonts w:ascii="Century" w:hAnsi="Century"/>
          <w:sz w:val="24"/>
          <w:szCs w:val="24"/>
        </w:rPr>
        <w:footnoteReference w:id="96"/>
      </w:r>
      <w:r w:rsidR="006F7E2E" w:rsidRPr="00F32CF2">
        <w:rPr>
          <w:rFonts w:ascii="Century" w:hAnsi="Century"/>
          <w:sz w:val="24"/>
          <w:szCs w:val="24"/>
        </w:rPr>
        <w:t xml:space="preserve"> </w:t>
      </w:r>
      <w:r w:rsidR="009735F4" w:rsidRPr="00F32CF2">
        <w:rPr>
          <w:rFonts w:ascii="Century" w:hAnsi="Century"/>
          <w:sz w:val="24"/>
          <w:szCs w:val="24"/>
        </w:rPr>
        <w:t xml:space="preserve">It is only when a complete understanding of the legislative proposal </w:t>
      </w:r>
      <w:r w:rsidR="000631F1" w:rsidRPr="00F32CF2">
        <w:rPr>
          <w:rFonts w:ascii="Century" w:hAnsi="Century"/>
          <w:sz w:val="24"/>
          <w:szCs w:val="24"/>
        </w:rPr>
        <w:t xml:space="preserve">is gained </w:t>
      </w:r>
      <w:r w:rsidR="00143B9F">
        <w:rPr>
          <w:rFonts w:ascii="Century" w:hAnsi="Century"/>
          <w:sz w:val="24"/>
          <w:szCs w:val="24"/>
        </w:rPr>
        <w:t>then drafter</w:t>
      </w:r>
      <w:r w:rsidR="00A65E4B">
        <w:rPr>
          <w:rFonts w:ascii="Century" w:hAnsi="Century"/>
          <w:sz w:val="24"/>
          <w:szCs w:val="24"/>
        </w:rPr>
        <w:t>s</w:t>
      </w:r>
      <w:r w:rsidR="00143B9F">
        <w:rPr>
          <w:rFonts w:ascii="Century" w:hAnsi="Century"/>
          <w:sz w:val="24"/>
          <w:szCs w:val="24"/>
        </w:rPr>
        <w:t xml:space="preserve"> can successfully manage the other stages.</w:t>
      </w:r>
    </w:p>
    <w:p w:rsidR="000243A9" w:rsidRPr="008D3BD6" w:rsidRDefault="00E6503F" w:rsidP="008D3BD6">
      <w:pPr>
        <w:pStyle w:val="Heading1"/>
        <w:jc w:val="center"/>
        <w:rPr>
          <w:rFonts w:cs="Arabic Typesetting"/>
          <w:color w:val="auto"/>
        </w:rPr>
      </w:pPr>
      <w:bookmarkStart w:id="33" w:name="_Toc427272178"/>
      <w:bookmarkStart w:id="34" w:name="_Toc427272662"/>
      <w:bookmarkStart w:id="35" w:name="_Toc427597742"/>
      <w:r w:rsidRPr="008D3BD6">
        <w:rPr>
          <w:color w:val="auto"/>
        </w:rPr>
        <w:t>STAGE</w:t>
      </w:r>
      <w:r w:rsidR="000243A9" w:rsidRPr="008D3BD6">
        <w:rPr>
          <w:color w:val="auto"/>
        </w:rPr>
        <w:t xml:space="preserve"> 2-</w:t>
      </w:r>
      <w:r w:rsidR="0049683B" w:rsidRPr="008D3BD6">
        <w:rPr>
          <w:color w:val="auto"/>
        </w:rPr>
        <w:t>Analyzing the</w:t>
      </w:r>
      <w:r w:rsidR="001F1431" w:rsidRPr="008D3BD6">
        <w:rPr>
          <w:color w:val="auto"/>
        </w:rPr>
        <w:t xml:space="preserve"> Legislative</w:t>
      </w:r>
      <w:r w:rsidR="0049683B" w:rsidRPr="008D3BD6">
        <w:rPr>
          <w:color w:val="auto"/>
        </w:rPr>
        <w:t xml:space="preserve"> Proposal</w:t>
      </w:r>
      <w:bookmarkEnd w:id="33"/>
      <w:bookmarkEnd w:id="34"/>
      <w:bookmarkEnd w:id="35"/>
    </w:p>
    <w:p w:rsidR="00F94461" w:rsidRPr="00F32CF2" w:rsidRDefault="00F94461" w:rsidP="00F94461">
      <w:pPr>
        <w:pStyle w:val="ListParagraph"/>
        <w:spacing w:line="360" w:lineRule="auto"/>
        <w:ind w:left="2160"/>
        <w:jc w:val="both"/>
        <w:rPr>
          <w:rFonts w:ascii="Century" w:hAnsi="Century" w:cs="Arabic Typesetting"/>
          <w:sz w:val="24"/>
          <w:szCs w:val="24"/>
        </w:rPr>
      </w:pPr>
    </w:p>
    <w:p w:rsidR="003813ED" w:rsidRPr="008D3BD6" w:rsidRDefault="003813ED" w:rsidP="008D3BD6">
      <w:pPr>
        <w:pStyle w:val="Heading4"/>
        <w:numPr>
          <w:ilvl w:val="0"/>
          <w:numId w:val="22"/>
        </w:numPr>
        <w:rPr>
          <w:color w:val="auto"/>
        </w:rPr>
      </w:pPr>
      <w:bookmarkStart w:id="36" w:name="_Toc427272663"/>
      <w:bookmarkStart w:id="37" w:name="_Toc427597743"/>
      <w:r w:rsidRPr="008D3BD6">
        <w:rPr>
          <w:color w:val="auto"/>
        </w:rPr>
        <w:t>What is the Analysis Stage?</w:t>
      </w:r>
      <w:bookmarkEnd w:id="36"/>
      <w:bookmarkEnd w:id="37"/>
    </w:p>
    <w:p w:rsidR="008D3BD6" w:rsidRDefault="008D3BD6" w:rsidP="00A423E9">
      <w:pPr>
        <w:spacing w:line="360" w:lineRule="auto"/>
        <w:jc w:val="both"/>
        <w:rPr>
          <w:rFonts w:ascii="Century" w:hAnsi="Century" w:cs="Arabic Typesetting"/>
          <w:sz w:val="24"/>
          <w:szCs w:val="24"/>
        </w:rPr>
      </w:pPr>
    </w:p>
    <w:p w:rsidR="004006A3" w:rsidRDefault="00341D95" w:rsidP="003813ED">
      <w:pPr>
        <w:spacing w:line="360" w:lineRule="auto"/>
        <w:jc w:val="both"/>
        <w:rPr>
          <w:rFonts w:ascii="Century" w:hAnsi="Century" w:cs="Arabic Typesetting"/>
          <w:sz w:val="24"/>
          <w:szCs w:val="24"/>
        </w:rPr>
      </w:pPr>
      <w:r>
        <w:rPr>
          <w:rFonts w:ascii="Century" w:hAnsi="Century" w:cs="Arabic Typesetting"/>
          <w:sz w:val="24"/>
          <w:szCs w:val="24"/>
        </w:rPr>
        <w:t>One of the main responsibilities of drafters is to subject the legislative proposal to a</w:t>
      </w:r>
      <w:r w:rsidR="003913AB">
        <w:rPr>
          <w:rFonts w:ascii="Century" w:hAnsi="Century" w:cs="Arabic Typesetting"/>
          <w:sz w:val="24"/>
          <w:szCs w:val="24"/>
        </w:rPr>
        <w:t xml:space="preserve"> ‘rigorous intellectual and legal analysis’</w:t>
      </w:r>
      <w:r w:rsidR="000C48BC" w:rsidRPr="00F32CF2">
        <w:rPr>
          <w:rFonts w:ascii="Century" w:hAnsi="Century" w:cs="Arabic Typesetting"/>
          <w:sz w:val="24"/>
          <w:szCs w:val="24"/>
        </w:rPr>
        <w:t>.</w:t>
      </w:r>
      <w:r w:rsidR="000C48BC" w:rsidRPr="00F32CF2">
        <w:rPr>
          <w:rStyle w:val="FootnoteReference"/>
          <w:rFonts w:ascii="Century" w:hAnsi="Century" w:cs="Arabic Typesetting"/>
          <w:sz w:val="24"/>
          <w:szCs w:val="24"/>
        </w:rPr>
        <w:footnoteReference w:id="97"/>
      </w:r>
      <w:r w:rsidR="000C48BC" w:rsidRPr="00F32CF2">
        <w:rPr>
          <w:rFonts w:ascii="Century" w:hAnsi="Century" w:cs="Arabic Typesetting"/>
          <w:sz w:val="24"/>
          <w:szCs w:val="24"/>
        </w:rPr>
        <w:t xml:space="preserve"> </w:t>
      </w:r>
      <w:r w:rsidR="003913AB" w:rsidRPr="00F32CF2">
        <w:rPr>
          <w:rFonts w:ascii="Century" w:hAnsi="Century" w:cs="Arabic Typesetting"/>
          <w:sz w:val="24"/>
          <w:szCs w:val="24"/>
        </w:rPr>
        <w:t>Analysing the legislative proposal is an extens</w:t>
      </w:r>
      <w:r w:rsidR="0006389F">
        <w:rPr>
          <w:rFonts w:ascii="Century" w:hAnsi="Century" w:cs="Arabic Typesetting"/>
          <w:sz w:val="24"/>
          <w:szCs w:val="24"/>
        </w:rPr>
        <w:t xml:space="preserve">ion of the understanding stage as it </w:t>
      </w:r>
      <w:r w:rsidR="00FB4612" w:rsidRPr="00F32CF2">
        <w:rPr>
          <w:rFonts w:ascii="Century" w:hAnsi="Century" w:cs="Arabic Typesetting"/>
          <w:sz w:val="24"/>
          <w:szCs w:val="24"/>
        </w:rPr>
        <w:t>builds on what has been understood.</w:t>
      </w:r>
      <w:r w:rsidR="00FB4612" w:rsidRPr="00FB4612">
        <w:rPr>
          <w:rFonts w:ascii="Century" w:hAnsi="Century" w:cs="Arabic Typesetting"/>
          <w:sz w:val="24"/>
          <w:szCs w:val="24"/>
        </w:rPr>
        <w:t xml:space="preserve"> </w:t>
      </w:r>
      <w:r w:rsidR="00A57FE1">
        <w:rPr>
          <w:rFonts w:ascii="Century" w:hAnsi="Century" w:cs="Arabic Typesetting"/>
          <w:sz w:val="24"/>
          <w:szCs w:val="24"/>
        </w:rPr>
        <w:t>W</w:t>
      </w:r>
      <w:r w:rsidR="0006389F">
        <w:rPr>
          <w:rFonts w:ascii="Century" w:hAnsi="Century" w:cs="Arabic Typesetting"/>
          <w:sz w:val="24"/>
          <w:szCs w:val="24"/>
        </w:rPr>
        <w:t>ith the use of the drafting instructions</w:t>
      </w:r>
      <w:r w:rsidR="0006389F" w:rsidRPr="00F32CF2">
        <w:rPr>
          <w:rStyle w:val="FootnoteReference"/>
          <w:rFonts w:ascii="Century" w:hAnsi="Century" w:cs="Arabic Typesetting"/>
          <w:sz w:val="24"/>
          <w:szCs w:val="24"/>
        </w:rPr>
        <w:footnoteReference w:id="98"/>
      </w:r>
      <w:r w:rsidR="0006389F">
        <w:rPr>
          <w:rFonts w:ascii="Century" w:hAnsi="Century" w:cs="Arabic Typesetting"/>
          <w:sz w:val="24"/>
          <w:szCs w:val="24"/>
        </w:rPr>
        <w:t xml:space="preserve"> </w:t>
      </w:r>
      <w:r w:rsidR="00A57FE1">
        <w:rPr>
          <w:rFonts w:ascii="Century" w:hAnsi="Century" w:cs="Arabic Typesetting"/>
          <w:sz w:val="24"/>
          <w:szCs w:val="24"/>
        </w:rPr>
        <w:t xml:space="preserve">the drafter </w:t>
      </w:r>
      <w:r w:rsidR="003913AB">
        <w:rPr>
          <w:rFonts w:ascii="Century" w:hAnsi="Century"/>
          <w:sz w:val="24"/>
          <w:szCs w:val="24"/>
        </w:rPr>
        <w:t xml:space="preserve">will analyse the </w:t>
      </w:r>
      <w:r w:rsidR="00887866">
        <w:rPr>
          <w:rFonts w:ascii="Century" w:hAnsi="Century"/>
          <w:sz w:val="24"/>
          <w:szCs w:val="24"/>
        </w:rPr>
        <w:t>proposal</w:t>
      </w:r>
      <w:r w:rsidR="00D67097" w:rsidRPr="00F32CF2">
        <w:rPr>
          <w:rFonts w:ascii="Century" w:hAnsi="Century"/>
          <w:sz w:val="24"/>
          <w:szCs w:val="24"/>
        </w:rPr>
        <w:t xml:space="preserve"> and </w:t>
      </w:r>
      <w:r w:rsidR="00D5166D">
        <w:rPr>
          <w:rFonts w:ascii="Century" w:hAnsi="Century"/>
          <w:sz w:val="24"/>
          <w:szCs w:val="24"/>
        </w:rPr>
        <w:t>‘</w:t>
      </w:r>
      <w:r w:rsidR="00D67097" w:rsidRPr="00F32CF2">
        <w:rPr>
          <w:rFonts w:ascii="Century" w:hAnsi="Century"/>
          <w:sz w:val="24"/>
          <w:szCs w:val="24"/>
        </w:rPr>
        <w:t xml:space="preserve">identify </w:t>
      </w:r>
      <w:r w:rsidR="003913AB">
        <w:rPr>
          <w:rFonts w:ascii="Century" w:hAnsi="Century"/>
          <w:sz w:val="24"/>
          <w:szCs w:val="24"/>
        </w:rPr>
        <w:t>and evaluate</w:t>
      </w:r>
      <w:r w:rsidR="00D5166D">
        <w:rPr>
          <w:rFonts w:ascii="Century" w:hAnsi="Century"/>
          <w:sz w:val="24"/>
          <w:szCs w:val="24"/>
        </w:rPr>
        <w:t>’</w:t>
      </w:r>
      <w:r w:rsidR="003913AB">
        <w:rPr>
          <w:rFonts w:ascii="Century" w:hAnsi="Century"/>
          <w:sz w:val="24"/>
          <w:szCs w:val="24"/>
        </w:rPr>
        <w:t xml:space="preserve"> </w:t>
      </w:r>
      <w:r w:rsidR="00D5166D">
        <w:rPr>
          <w:rFonts w:ascii="Century" w:hAnsi="Century"/>
          <w:sz w:val="24"/>
          <w:szCs w:val="24"/>
        </w:rPr>
        <w:t>any</w:t>
      </w:r>
      <w:r w:rsidR="005C5869">
        <w:rPr>
          <w:rFonts w:ascii="Century" w:hAnsi="Century"/>
          <w:sz w:val="24"/>
          <w:szCs w:val="24"/>
        </w:rPr>
        <w:t xml:space="preserve"> defect</w:t>
      </w:r>
      <w:r w:rsidR="00DD0531">
        <w:rPr>
          <w:rFonts w:ascii="Century" w:hAnsi="Century"/>
          <w:sz w:val="24"/>
          <w:szCs w:val="24"/>
        </w:rPr>
        <w:t xml:space="preserve"> and</w:t>
      </w:r>
      <w:r w:rsidR="003913AB">
        <w:rPr>
          <w:rFonts w:ascii="Century" w:hAnsi="Century"/>
          <w:sz w:val="24"/>
          <w:szCs w:val="24"/>
        </w:rPr>
        <w:t xml:space="preserve"> </w:t>
      </w:r>
      <w:r w:rsidR="00D5166D">
        <w:rPr>
          <w:rFonts w:ascii="Century" w:hAnsi="Century"/>
          <w:sz w:val="24"/>
          <w:szCs w:val="24"/>
        </w:rPr>
        <w:t xml:space="preserve">offer </w:t>
      </w:r>
      <w:r w:rsidR="003913AB">
        <w:rPr>
          <w:rFonts w:ascii="Century" w:hAnsi="Century"/>
          <w:sz w:val="24"/>
          <w:szCs w:val="24"/>
        </w:rPr>
        <w:t>solutions</w:t>
      </w:r>
      <w:r w:rsidR="005C5869">
        <w:rPr>
          <w:rFonts w:ascii="Century" w:hAnsi="Century"/>
          <w:sz w:val="24"/>
          <w:szCs w:val="24"/>
        </w:rPr>
        <w:t xml:space="preserve"> to remedy the defect</w:t>
      </w:r>
      <w:r w:rsidR="00DD0531">
        <w:rPr>
          <w:rFonts w:ascii="Century" w:hAnsi="Century"/>
          <w:sz w:val="24"/>
          <w:szCs w:val="24"/>
        </w:rPr>
        <w:t>.</w:t>
      </w:r>
      <w:r w:rsidR="00D67097" w:rsidRPr="00F32CF2">
        <w:rPr>
          <w:rStyle w:val="FootnoteReference"/>
          <w:rFonts w:ascii="Century" w:hAnsi="Century"/>
          <w:sz w:val="24"/>
          <w:szCs w:val="24"/>
        </w:rPr>
        <w:footnoteReference w:id="99"/>
      </w:r>
      <w:r w:rsidR="0006389F">
        <w:rPr>
          <w:rFonts w:ascii="Century" w:hAnsi="Century" w:cs="Arabic Typesetting"/>
          <w:sz w:val="24"/>
          <w:szCs w:val="24"/>
        </w:rPr>
        <w:t xml:space="preserve"> </w:t>
      </w:r>
      <w:r w:rsidR="00101C12">
        <w:rPr>
          <w:rFonts w:ascii="Century" w:hAnsi="Century" w:cs="Arabic Typesetting"/>
          <w:sz w:val="24"/>
          <w:szCs w:val="24"/>
        </w:rPr>
        <w:t>W</w:t>
      </w:r>
      <w:r w:rsidR="000334C4" w:rsidRPr="00F32CF2">
        <w:rPr>
          <w:rFonts w:ascii="Century" w:hAnsi="Century" w:cs="Arabic Typesetting"/>
          <w:sz w:val="24"/>
          <w:szCs w:val="24"/>
        </w:rPr>
        <w:t xml:space="preserve">ithout a thorough analysis the strong possibility exists that issues pertinent to </w:t>
      </w:r>
      <w:r w:rsidR="00952D64" w:rsidRPr="00F32CF2">
        <w:rPr>
          <w:rFonts w:ascii="Century" w:hAnsi="Century" w:cs="Arabic Typesetting"/>
          <w:sz w:val="24"/>
          <w:szCs w:val="24"/>
        </w:rPr>
        <w:t xml:space="preserve">making the bill accessible </w:t>
      </w:r>
      <w:r w:rsidR="000334C4" w:rsidRPr="00F32CF2">
        <w:rPr>
          <w:rFonts w:ascii="Century" w:hAnsi="Century" w:cs="Arabic Typesetting"/>
          <w:sz w:val="24"/>
          <w:szCs w:val="24"/>
        </w:rPr>
        <w:t>will ‘slip through the net’.</w:t>
      </w:r>
      <w:r w:rsidR="000334C4" w:rsidRPr="00F32CF2">
        <w:rPr>
          <w:rStyle w:val="FootnoteReference"/>
          <w:rFonts w:ascii="Century" w:hAnsi="Century" w:cs="Arabic Typesetting"/>
          <w:sz w:val="24"/>
          <w:szCs w:val="24"/>
        </w:rPr>
        <w:footnoteReference w:id="100"/>
      </w:r>
      <w:r w:rsidR="000334C4" w:rsidRPr="00F32CF2">
        <w:rPr>
          <w:rFonts w:ascii="Century" w:hAnsi="Century" w:cs="Arabic Typesetting"/>
          <w:sz w:val="24"/>
          <w:szCs w:val="24"/>
        </w:rPr>
        <w:t xml:space="preserve"> </w:t>
      </w:r>
      <w:r w:rsidR="00776982">
        <w:rPr>
          <w:rFonts w:ascii="Century" w:hAnsi="Century" w:cs="Arabic Typesetting"/>
          <w:sz w:val="24"/>
          <w:szCs w:val="24"/>
        </w:rPr>
        <w:t>This stage also sees the drafter, though not a policy expert, raising questions on the policy to ensure complete understanding as well as the effectiveness of the legislative proposal.</w:t>
      </w:r>
      <w:r w:rsidR="00776982">
        <w:rPr>
          <w:rStyle w:val="FootnoteReference"/>
          <w:rFonts w:ascii="Century" w:hAnsi="Century" w:cs="Arabic Typesetting"/>
          <w:sz w:val="24"/>
          <w:szCs w:val="24"/>
        </w:rPr>
        <w:footnoteReference w:id="101"/>
      </w:r>
    </w:p>
    <w:p w:rsidR="00986215" w:rsidRDefault="00986215" w:rsidP="003813ED">
      <w:pPr>
        <w:spacing w:line="360" w:lineRule="auto"/>
        <w:jc w:val="both"/>
        <w:rPr>
          <w:rFonts w:ascii="Century" w:hAnsi="Century" w:cs="Arabic Typesetting"/>
          <w:sz w:val="24"/>
          <w:szCs w:val="24"/>
        </w:rPr>
      </w:pPr>
    </w:p>
    <w:p w:rsidR="00F26A37" w:rsidRPr="00F32CF2" w:rsidRDefault="00F26A37" w:rsidP="003813ED">
      <w:pPr>
        <w:spacing w:line="360" w:lineRule="auto"/>
        <w:jc w:val="both"/>
        <w:rPr>
          <w:rFonts w:ascii="Century" w:hAnsi="Century" w:cs="Arabic Typesetting"/>
          <w:sz w:val="24"/>
          <w:szCs w:val="24"/>
        </w:rPr>
      </w:pPr>
    </w:p>
    <w:p w:rsidR="00726DD0" w:rsidRPr="008D3BD6" w:rsidRDefault="00EC162D" w:rsidP="008D3BD6">
      <w:pPr>
        <w:pStyle w:val="Heading4"/>
        <w:numPr>
          <w:ilvl w:val="0"/>
          <w:numId w:val="22"/>
        </w:numPr>
        <w:rPr>
          <w:color w:val="auto"/>
        </w:rPr>
      </w:pPr>
      <w:bookmarkStart w:id="38" w:name="_Toc427272664"/>
      <w:bookmarkStart w:id="39" w:name="_Toc427597744"/>
      <w:r>
        <w:rPr>
          <w:color w:val="auto"/>
        </w:rPr>
        <w:t>How do</w:t>
      </w:r>
      <w:r w:rsidR="00726DD0" w:rsidRPr="008D3BD6">
        <w:rPr>
          <w:color w:val="auto"/>
        </w:rPr>
        <w:t xml:space="preserve"> </w:t>
      </w:r>
      <w:r w:rsidR="00BE7240">
        <w:rPr>
          <w:color w:val="auto"/>
        </w:rPr>
        <w:t>D</w:t>
      </w:r>
      <w:r w:rsidR="00726DD0" w:rsidRPr="008D3BD6">
        <w:rPr>
          <w:color w:val="auto"/>
        </w:rPr>
        <w:t>rafter</w:t>
      </w:r>
      <w:r>
        <w:rPr>
          <w:color w:val="auto"/>
        </w:rPr>
        <w:t>s</w:t>
      </w:r>
      <w:r w:rsidR="00986215">
        <w:rPr>
          <w:color w:val="auto"/>
        </w:rPr>
        <w:t xml:space="preserve"> </w:t>
      </w:r>
      <w:r w:rsidR="00BE7240">
        <w:rPr>
          <w:color w:val="auto"/>
        </w:rPr>
        <w:t>C</w:t>
      </w:r>
      <w:r w:rsidR="00726DD0" w:rsidRPr="008D3BD6">
        <w:rPr>
          <w:color w:val="auto"/>
        </w:rPr>
        <w:t xml:space="preserve">ontribute to </w:t>
      </w:r>
      <w:r w:rsidR="00BE7240">
        <w:rPr>
          <w:color w:val="auto"/>
        </w:rPr>
        <w:t>A</w:t>
      </w:r>
      <w:r w:rsidR="00726DD0" w:rsidRPr="008D3BD6">
        <w:rPr>
          <w:color w:val="auto"/>
        </w:rPr>
        <w:t>ccessibility</w:t>
      </w:r>
      <w:r w:rsidR="00986215">
        <w:rPr>
          <w:color w:val="auto"/>
        </w:rPr>
        <w:t xml:space="preserve"> at this </w:t>
      </w:r>
      <w:r w:rsidR="00BE7240">
        <w:rPr>
          <w:color w:val="auto"/>
        </w:rPr>
        <w:t>S</w:t>
      </w:r>
      <w:r w:rsidR="00986215">
        <w:rPr>
          <w:color w:val="auto"/>
        </w:rPr>
        <w:t>tage</w:t>
      </w:r>
      <w:r w:rsidR="00726DD0" w:rsidRPr="008D3BD6">
        <w:rPr>
          <w:color w:val="auto"/>
        </w:rPr>
        <w:t>?</w:t>
      </w:r>
      <w:bookmarkEnd w:id="38"/>
      <w:bookmarkEnd w:id="39"/>
    </w:p>
    <w:p w:rsidR="003813ED" w:rsidRDefault="003813ED" w:rsidP="00401AE7">
      <w:pPr>
        <w:pStyle w:val="ListParagraph"/>
        <w:spacing w:line="360" w:lineRule="auto"/>
        <w:ind w:left="1080"/>
        <w:jc w:val="both"/>
        <w:rPr>
          <w:rFonts w:ascii="Century" w:hAnsi="Century" w:cs="Arabic Typesetting"/>
          <w:b/>
          <w:sz w:val="24"/>
          <w:szCs w:val="24"/>
        </w:rPr>
      </w:pPr>
    </w:p>
    <w:p w:rsidR="003813ED" w:rsidRDefault="008543B0" w:rsidP="003813ED">
      <w:pPr>
        <w:spacing w:line="360" w:lineRule="auto"/>
        <w:jc w:val="both"/>
        <w:rPr>
          <w:rFonts w:ascii="Century" w:hAnsi="Century" w:cs="Arabic Typesetting"/>
          <w:sz w:val="24"/>
          <w:szCs w:val="24"/>
        </w:rPr>
      </w:pPr>
      <w:r>
        <w:rPr>
          <w:rFonts w:ascii="Century" w:hAnsi="Century" w:cs="Arabic Typesetting"/>
          <w:sz w:val="24"/>
          <w:szCs w:val="24"/>
        </w:rPr>
        <w:t>D</w:t>
      </w:r>
      <w:r w:rsidR="00BF1430">
        <w:rPr>
          <w:rFonts w:ascii="Century" w:hAnsi="Century" w:cs="Arabic Typesetting"/>
          <w:sz w:val="24"/>
          <w:szCs w:val="24"/>
        </w:rPr>
        <w:t>rafter</w:t>
      </w:r>
      <w:r>
        <w:rPr>
          <w:rFonts w:ascii="Century" w:hAnsi="Century" w:cs="Arabic Typesetting"/>
          <w:sz w:val="24"/>
          <w:szCs w:val="24"/>
        </w:rPr>
        <w:t>s</w:t>
      </w:r>
      <w:r w:rsidR="00392D26">
        <w:rPr>
          <w:rFonts w:ascii="Century" w:hAnsi="Century" w:cs="Arabic Typesetting"/>
          <w:sz w:val="24"/>
          <w:szCs w:val="24"/>
        </w:rPr>
        <w:t xml:space="preserve"> contribute</w:t>
      </w:r>
      <w:r w:rsidR="00BF1430">
        <w:rPr>
          <w:rFonts w:ascii="Century" w:hAnsi="Century" w:cs="Arabic Typesetting"/>
          <w:sz w:val="24"/>
          <w:szCs w:val="24"/>
        </w:rPr>
        <w:t xml:space="preserve"> to accessibility</w:t>
      </w:r>
      <w:r w:rsidR="003813ED">
        <w:rPr>
          <w:rFonts w:ascii="Century" w:hAnsi="Century" w:cs="Arabic Typesetting"/>
          <w:sz w:val="24"/>
          <w:szCs w:val="24"/>
        </w:rPr>
        <w:t xml:space="preserve"> in this second stage by carrying out an in-depth analysis</w:t>
      </w:r>
      <w:r w:rsidR="003813ED" w:rsidRPr="00F32CF2">
        <w:rPr>
          <w:rFonts w:ascii="Century" w:hAnsi="Century" w:cs="Arabic Typesetting"/>
          <w:sz w:val="24"/>
          <w:szCs w:val="24"/>
        </w:rPr>
        <w:t xml:space="preserve"> to ascertain</w:t>
      </w:r>
      <w:r w:rsidR="003813ED">
        <w:rPr>
          <w:rFonts w:ascii="Century" w:hAnsi="Century" w:cs="Arabic Typesetting"/>
          <w:sz w:val="24"/>
          <w:szCs w:val="24"/>
        </w:rPr>
        <w:t xml:space="preserve"> (a) </w:t>
      </w:r>
      <w:r w:rsidR="00031DDA">
        <w:rPr>
          <w:rFonts w:ascii="Century" w:hAnsi="Century" w:cs="Arabic Typesetting"/>
          <w:sz w:val="24"/>
          <w:szCs w:val="24"/>
        </w:rPr>
        <w:t>the necessity of the proposal</w:t>
      </w:r>
      <w:r w:rsidR="003813ED" w:rsidRPr="00F32CF2">
        <w:rPr>
          <w:rFonts w:ascii="Century" w:hAnsi="Century" w:cs="Arabic Typesetting"/>
          <w:sz w:val="24"/>
          <w:szCs w:val="24"/>
        </w:rPr>
        <w:t xml:space="preserve"> </w:t>
      </w:r>
      <w:r w:rsidR="003813ED">
        <w:rPr>
          <w:rFonts w:ascii="Century" w:hAnsi="Century" w:cs="Arabic Typesetting"/>
          <w:sz w:val="24"/>
          <w:szCs w:val="24"/>
        </w:rPr>
        <w:t xml:space="preserve">(b) </w:t>
      </w:r>
      <w:r w:rsidR="003813ED" w:rsidRPr="00F32CF2">
        <w:rPr>
          <w:rFonts w:ascii="Century" w:hAnsi="Century" w:cs="Arabic Typesetting"/>
          <w:sz w:val="24"/>
          <w:szCs w:val="24"/>
        </w:rPr>
        <w:t xml:space="preserve">the </w:t>
      </w:r>
      <w:r w:rsidR="00031DDA">
        <w:rPr>
          <w:rFonts w:ascii="Century" w:hAnsi="Century" w:cs="Arabic Typesetting"/>
          <w:sz w:val="24"/>
          <w:szCs w:val="24"/>
        </w:rPr>
        <w:t>proposal</w:t>
      </w:r>
      <w:r w:rsidR="00B76133">
        <w:rPr>
          <w:rFonts w:ascii="Century" w:hAnsi="Century" w:cs="Arabic Typesetting"/>
          <w:sz w:val="24"/>
          <w:szCs w:val="24"/>
        </w:rPr>
        <w:t>’s</w:t>
      </w:r>
      <w:r w:rsidR="00031DDA">
        <w:rPr>
          <w:rFonts w:ascii="Century" w:hAnsi="Century" w:cs="Arabic Typesetting"/>
          <w:sz w:val="24"/>
          <w:szCs w:val="24"/>
        </w:rPr>
        <w:t xml:space="preserve"> consistency</w:t>
      </w:r>
      <w:r w:rsidR="003813ED">
        <w:rPr>
          <w:rFonts w:ascii="Century" w:hAnsi="Century" w:cs="Arabic Typesetting"/>
          <w:sz w:val="24"/>
          <w:szCs w:val="24"/>
        </w:rPr>
        <w:t xml:space="preserve"> with</w:t>
      </w:r>
      <w:r w:rsidR="003813ED" w:rsidRPr="00F32CF2">
        <w:rPr>
          <w:rFonts w:ascii="Century" w:hAnsi="Century" w:cs="Arabic Typesetting"/>
          <w:sz w:val="24"/>
          <w:szCs w:val="24"/>
        </w:rPr>
        <w:t xml:space="preserve"> the existing law</w:t>
      </w:r>
      <w:r w:rsidR="003813ED">
        <w:rPr>
          <w:rFonts w:ascii="Century" w:hAnsi="Century" w:cs="Arabic Typesetting"/>
          <w:sz w:val="24"/>
          <w:szCs w:val="24"/>
        </w:rPr>
        <w:t>,</w:t>
      </w:r>
      <w:r w:rsidR="003813ED" w:rsidRPr="00F32CF2">
        <w:rPr>
          <w:rFonts w:ascii="Century" w:hAnsi="Century" w:cs="Arabic Typesetting"/>
          <w:sz w:val="24"/>
          <w:szCs w:val="24"/>
        </w:rPr>
        <w:t xml:space="preserve"> </w:t>
      </w:r>
      <w:r w:rsidR="003813ED">
        <w:rPr>
          <w:rFonts w:ascii="Century" w:hAnsi="Century" w:cs="Arabic Typesetting"/>
          <w:sz w:val="24"/>
          <w:szCs w:val="24"/>
        </w:rPr>
        <w:t xml:space="preserve">(c) </w:t>
      </w:r>
      <w:r w:rsidR="004C7657">
        <w:rPr>
          <w:rFonts w:ascii="Century" w:hAnsi="Century" w:cs="Arabic Typesetting"/>
          <w:sz w:val="24"/>
          <w:szCs w:val="24"/>
        </w:rPr>
        <w:t>special responsibility</w:t>
      </w:r>
      <w:r w:rsidR="00031DDA">
        <w:rPr>
          <w:rFonts w:ascii="Century" w:hAnsi="Century" w:cs="Arabic Typesetting"/>
          <w:sz w:val="24"/>
          <w:szCs w:val="24"/>
        </w:rPr>
        <w:t xml:space="preserve"> areas </w:t>
      </w:r>
      <w:r w:rsidR="003813ED">
        <w:rPr>
          <w:rFonts w:ascii="Century" w:hAnsi="Century" w:cs="Arabic Typesetting"/>
          <w:sz w:val="24"/>
          <w:szCs w:val="24"/>
        </w:rPr>
        <w:t xml:space="preserve">and (d) </w:t>
      </w:r>
      <w:r w:rsidR="003813ED" w:rsidRPr="00F32CF2">
        <w:rPr>
          <w:rFonts w:ascii="Century" w:hAnsi="Century" w:cs="Arabic Typesetting"/>
          <w:sz w:val="24"/>
          <w:szCs w:val="24"/>
        </w:rPr>
        <w:t>the audience</w:t>
      </w:r>
      <w:r w:rsidR="003813ED">
        <w:rPr>
          <w:rFonts w:ascii="Century" w:hAnsi="Century" w:cs="Arabic Typesetting"/>
          <w:sz w:val="24"/>
          <w:szCs w:val="24"/>
        </w:rPr>
        <w:t xml:space="preserve"> of the proposed legislation</w:t>
      </w:r>
      <w:r w:rsidR="00031DDA">
        <w:rPr>
          <w:rFonts w:ascii="Century" w:hAnsi="Century" w:cs="Arabic Typesetting"/>
          <w:sz w:val="24"/>
          <w:szCs w:val="24"/>
        </w:rPr>
        <w:t>.</w:t>
      </w:r>
    </w:p>
    <w:p w:rsidR="00D536D1" w:rsidRDefault="00D536D1" w:rsidP="003813ED">
      <w:pPr>
        <w:spacing w:line="360" w:lineRule="auto"/>
        <w:jc w:val="both"/>
        <w:rPr>
          <w:rFonts w:ascii="Century" w:hAnsi="Century" w:cs="Arabic Typesetting"/>
          <w:sz w:val="24"/>
          <w:szCs w:val="24"/>
        </w:rPr>
      </w:pPr>
    </w:p>
    <w:p w:rsidR="00D536D1" w:rsidRPr="00F32CF2" w:rsidRDefault="00D536D1" w:rsidP="003813ED">
      <w:pPr>
        <w:spacing w:line="360" w:lineRule="auto"/>
        <w:jc w:val="both"/>
        <w:rPr>
          <w:rFonts w:ascii="Century" w:hAnsi="Century" w:cs="Arabic Typesetting"/>
          <w:sz w:val="24"/>
          <w:szCs w:val="24"/>
        </w:rPr>
      </w:pPr>
    </w:p>
    <w:p w:rsidR="00706AD9" w:rsidRPr="00F32CF2" w:rsidRDefault="00726DD0" w:rsidP="00401AE7">
      <w:pPr>
        <w:pStyle w:val="ListParagraph"/>
        <w:spacing w:line="360" w:lineRule="auto"/>
        <w:ind w:left="1080"/>
        <w:jc w:val="both"/>
        <w:rPr>
          <w:rFonts w:ascii="Century" w:hAnsi="Century" w:cs="Arabic Typesetting"/>
          <w:b/>
          <w:sz w:val="24"/>
          <w:szCs w:val="24"/>
        </w:rPr>
      </w:pPr>
      <w:r>
        <w:rPr>
          <w:rFonts w:ascii="Century" w:hAnsi="Century" w:cs="Arabic Typesetting"/>
          <w:b/>
          <w:sz w:val="24"/>
          <w:szCs w:val="24"/>
        </w:rPr>
        <w:t xml:space="preserve"> </w:t>
      </w:r>
    </w:p>
    <w:p w:rsidR="00706AD9" w:rsidRPr="00F32CF2" w:rsidRDefault="00F3456A" w:rsidP="0022254C">
      <w:pPr>
        <w:pStyle w:val="ListParagraph"/>
        <w:numPr>
          <w:ilvl w:val="0"/>
          <w:numId w:val="2"/>
        </w:numPr>
        <w:spacing w:line="360" w:lineRule="auto"/>
        <w:jc w:val="both"/>
        <w:rPr>
          <w:rFonts w:ascii="Century" w:hAnsi="Century" w:cs="Arabic Typesetting"/>
          <w:sz w:val="24"/>
          <w:szCs w:val="24"/>
        </w:rPr>
      </w:pPr>
      <w:r>
        <w:rPr>
          <w:rFonts w:ascii="Century" w:hAnsi="Century" w:cs="Arabic Typesetting"/>
          <w:b/>
          <w:sz w:val="24"/>
          <w:szCs w:val="24"/>
        </w:rPr>
        <w:t>Necessity</w:t>
      </w:r>
      <w:r w:rsidR="00706AD9" w:rsidRPr="00F32CF2">
        <w:rPr>
          <w:rFonts w:ascii="Century" w:hAnsi="Century" w:cs="Arabic Typesetting"/>
          <w:b/>
          <w:sz w:val="24"/>
          <w:szCs w:val="24"/>
        </w:rPr>
        <w:t xml:space="preserve"> </w:t>
      </w:r>
    </w:p>
    <w:p w:rsidR="000C7B13" w:rsidRDefault="00D7621A" w:rsidP="00A423E9">
      <w:pPr>
        <w:spacing w:line="360" w:lineRule="auto"/>
        <w:jc w:val="both"/>
        <w:rPr>
          <w:rFonts w:ascii="Century" w:hAnsi="Century" w:cs="Arabic Typesetting"/>
          <w:sz w:val="24"/>
          <w:szCs w:val="24"/>
        </w:rPr>
      </w:pPr>
      <w:r w:rsidRPr="00F32CF2">
        <w:rPr>
          <w:rFonts w:ascii="Century" w:hAnsi="Century" w:cs="Arabic Typesetting"/>
          <w:sz w:val="24"/>
          <w:szCs w:val="24"/>
        </w:rPr>
        <w:t xml:space="preserve">According to Marcello </w:t>
      </w:r>
      <w:r w:rsidR="002A6ED2">
        <w:rPr>
          <w:rFonts w:ascii="Century" w:hAnsi="Century" w:cs="Arabic Typesetting"/>
          <w:sz w:val="24"/>
          <w:szCs w:val="24"/>
        </w:rPr>
        <w:t xml:space="preserve">drafters should commence their work by asking </w:t>
      </w:r>
      <w:r w:rsidR="00540877">
        <w:rPr>
          <w:rFonts w:ascii="Century" w:hAnsi="Century" w:cs="Arabic Typesetting"/>
          <w:sz w:val="24"/>
          <w:szCs w:val="24"/>
        </w:rPr>
        <w:t>‘</w:t>
      </w:r>
      <w:r w:rsidRPr="00F32CF2">
        <w:rPr>
          <w:rFonts w:ascii="Century" w:hAnsi="Century" w:cs="Arabic Typesetting"/>
          <w:sz w:val="24"/>
          <w:szCs w:val="24"/>
        </w:rPr>
        <w:t xml:space="preserve">How </w:t>
      </w:r>
      <w:r w:rsidR="00DB5337">
        <w:rPr>
          <w:rFonts w:ascii="Century" w:hAnsi="Century" w:cs="Arabic Typesetting"/>
          <w:sz w:val="24"/>
          <w:szCs w:val="24"/>
        </w:rPr>
        <w:t xml:space="preserve">can </w:t>
      </w:r>
      <w:r w:rsidR="00540877">
        <w:rPr>
          <w:rFonts w:ascii="Century" w:hAnsi="Century" w:cs="Arabic Typesetting"/>
          <w:sz w:val="24"/>
          <w:szCs w:val="24"/>
        </w:rPr>
        <w:t>I avoid drafting this bill?’</w:t>
      </w:r>
      <w:r w:rsidR="002A6ED2">
        <w:rPr>
          <w:rStyle w:val="FootnoteReference"/>
          <w:rFonts w:ascii="Century" w:hAnsi="Century" w:cs="Arabic Typesetting"/>
          <w:sz w:val="24"/>
          <w:szCs w:val="24"/>
        </w:rPr>
        <w:footnoteReference w:id="102"/>
      </w:r>
      <w:r w:rsidRPr="00F32CF2">
        <w:rPr>
          <w:rFonts w:ascii="Century" w:hAnsi="Century" w:cs="Arabic Typesetting"/>
          <w:sz w:val="24"/>
          <w:szCs w:val="24"/>
        </w:rPr>
        <w:t xml:space="preserve"> </w:t>
      </w:r>
      <w:r w:rsidR="007C5240">
        <w:rPr>
          <w:rFonts w:ascii="Century" w:hAnsi="Century" w:cs="Arabic Typesetting"/>
          <w:sz w:val="24"/>
          <w:szCs w:val="24"/>
        </w:rPr>
        <w:t>I</w:t>
      </w:r>
      <w:r w:rsidRPr="00F32CF2">
        <w:rPr>
          <w:rFonts w:ascii="Century" w:hAnsi="Century" w:cs="Arabic Typesetting"/>
          <w:sz w:val="24"/>
          <w:szCs w:val="24"/>
        </w:rPr>
        <w:t>f the</w:t>
      </w:r>
      <w:r w:rsidR="002A6ED2">
        <w:rPr>
          <w:rFonts w:ascii="Century" w:hAnsi="Century" w:cs="Arabic Typesetting"/>
          <w:sz w:val="24"/>
          <w:szCs w:val="24"/>
        </w:rPr>
        <w:t>y</w:t>
      </w:r>
      <w:r w:rsidRPr="00F32CF2">
        <w:rPr>
          <w:rFonts w:ascii="Century" w:hAnsi="Century" w:cs="Arabic Typesetting"/>
          <w:sz w:val="24"/>
          <w:szCs w:val="24"/>
        </w:rPr>
        <w:t xml:space="preserve"> </w:t>
      </w:r>
      <w:r w:rsidR="002A6ED2">
        <w:rPr>
          <w:rFonts w:ascii="Century" w:hAnsi="Century" w:cs="Arabic Typesetting"/>
          <w:sz w:val="24"/>
          <w:szCs w:val="24"/>
        </w:rPr>
        <w:t>proceed</w:t>
      </w:r>
      <w:r w:rsidRPr="00F32CF2">
        <w:rPr>
          <w:rFonts w:ascii="Century" w:hAnsi="Century" w:cs="Arabic Typesetting"/>
          <w:sz w:val="24"/>
          <w:szCs w:val="24"/>
        </w:rPr>
        <w:t xml:space="preserve"> to draft</w:t>
      </w:r>
      <w:r w:rsidR="000A6FA6">
        <w:rPr>
          <w:rFonts w:ascii="Century" w:hAnsi="Century" w:cs="Arabic Typesetting"/>
          <w:sz w:val="24"/>
          <w:szCs w:val="24"/>
        </w:rPr>
        <w:t>ing</w:t>
      </w:r>
      <w:r w:rsidRPr="00F32CF2">
        <w:rPr>
          <w:rFonts w:ascii="Century" w:hAnsi="Century" w:cs="Arabic Typesetting"/>
          <w:sz w:val="24"/>
          <w:szCs w:val="24"/>
        </w:rPr>
        <w:t xml:space="preserve"> without considering and suggesting other effective methods to give effect to the legislative proposal then the</w:t>
      </w:r>
      <w:r w:rsidR="002A6ED2">
        <w:rPr>
          <w:rFonts w:ascii="Century" w:hAnsi="Century" w:cs="Arabic Typesetting"/>
          <w:sz w:val="24"/>
          <w:szCs w:val="24"/>
        </w:rPr>
        <w:t>y</w:t>
      </w:r>
      <w:r w:rsidRPr="00F32CF2">
        <w:rPr>
          <w:rFonts w:ascii="Century" w:hAnsi="Century" w:cs="Arabic Typesetting"/>
          <w:sz w:val="24"/>
          <w:szCs w:val="24"/>
        </w:rPr>
        <w:t xml:space="preserve"> would have failed to discharge </w:t>
      </w:r>
      <w:r w:rsidR="002A6ED2">
        <w:rPr>
          <w:rFonts w:ascii="Century" w:hAnsi="Century" w:cs="Arabic Typesetting"/>
          <w:sz w:val="24"/>
          <w:szCs w:val="24"/>
        </w:rPr>
        <w:t>their duties</w:t>
      </w:r>
      <w:r w:rsidR="00BD1C9F">
        <w:rPr>
          <w:rFonts w:ascii="Century" w:hAnsi="Century" w:cs="Arabic Typesetting"/>
          <w:sz w:val="24"/>
          <w:szCs w:val="24"/>
        </w:rPr>
        <w:t>.</w:t>
      </w:r>
      <w:r w:rsidRPr="00F32CF2">
        <w:rPr>
          <w:rStyle w:val="FootnoteReference"/>
          <w:rFonts w:ascii="Century" w:hAnsi="Century" w:cs="Arabic Typesetting"/>
          <w:sz w:val="24"/>
          <w:szCs w:val="24"/>
        </w:rPr>
        <w:footnoteReference w:id="103"/>
      </w:r>
      <w:r w:rsidRPr="00F32CF2">
        <w:rPr>
          <w:rFonts w:ascii="Century" w:hAnsi="Century" w:cs="Arabic Typesetting"/>
          <w:sz w:val="24"/>
          <w:szCs w:val="24"/>
        </w:rPr>
        <w:t xml:space="preserve"> </w:t>
      </w:r>
      <w:r w:rsidR="002A6ED2">
        <w:rPr>
          <w:rFonts w:ascii="Century" w:hAnsi="Century" w:cs="Arabic Typesetting"/>
          <w:sz w:val="24"/>
          <w:szCs w:val="24"/>
        </w:rPr>
        <w:t>D</w:t>
      </w:r>
      <w:r w:rsidRPr="00F32CF2">
        <w:rPr>
          <w:rFonts w:ascii="Century" w:hAnsi="Century" w:cs="Arabic Typesetting"/>
          <w:sz w:val="24"/>
          <w:szCs w:val="24"/>
        </w:rPr>
        <w:t>rafter</w:t>
      </w:r>
      <w:r w:rsidR="002A6ED2">
        <w:rPr>
          <w:rFonts w:ascii="Century" w:hAnsi="Century" w:cs="Arabic Typesetting"/>
          <w:sz w:val="24"/>
          <w:szCs w:val="24"/>
        </w:rPr>
        <w:t>s</w:t>
      </w:r>
      <w:r w:rsidRPr="00F32CF2">
        <w:rPr>
          <w:rFonts w:ascii="Century" w:hAnsi="Century" w:cs="Arabic Typesetting"/>
          <w:sz w:val="24"/>
          <w:szCs w:val="24"/>
        </w:rPr>
        <w:t xml:space="preserve"> would have failed because o</w:t>
      </w:r>
      <w:r w:rsidR="00706AD9" w:rsidRPr="00F32CF2">
        <w:rPr>
          <w:rFonts w:ascii="Century" w:hAnsi="Century" w:cs="Arabic Typesetting"/>
          <w:sz w:val="24"/>
          <w:szCs w:val="24"/>
        </w:rPr>
        <w:t>ne of the causes of complexity in legislation is unnecessary legislation.</w:t>
      </w:r>
      <w:r w:rsidR="00BD1C9F">
        <w:rPr>
          <w:rStyle w:val="FootnoteReference"/>
          <w:rFonts w:ascii="Century" w:hAnsi="Century" w:cs="Arabic Typesetting"/>
          <w:sz w:val="24"/>
          <w:szCs w:val="24"/>
        </w:rPr>
        <w:footnoteReference w:id="104"/>
      </w:r>
      <w:r w:rsidR="00706AD9" w:rsidRPr="00F32CF2">
        <w:rPr>
          <w:rFonts w:ascii="Century" w:hAnsi="Century" w:cs="Arabic Typesetting"/>
          <w:sz w:val="24"/>
          <w:szCs w:val="24"/>
        </w:rPr>
        <w:t xml:space="preserve"> </w:t>
      </w:r>
    </w:p>
    <w:p w:rsidR="000C7B13" w:rsidRDefault="000C7B13" w:rsidP="00A423E9">
      <w:pPr>
        <w:spacing w:line="360" w:lineRule="auto"/>
        <w:jc w:val="both"/>
        <w:rPr>
          <w:rFonts w:ascii="Century" w:hAnsi="Century" w:cs="Arabic Typesetting"/>
          <w:sz w:val="24"/>
          <w:szCs w:val="24"/>
        </w:rPr>
      </w:pPr>
    </w:p>
    <w:p w:rsidR="003D67F3" w:rsidRPr="003F3100" w:rsidRDefault="000C7B13" w:rsidP="006D6B6C">
      <w:pPr>
        <w:spacing w:line="360" w:lineRule="auto"/>
        <w:jc w:val="both"/>
        <w:rPr>
          <w:rFonts w:ascii="Century" w:hAnsi="Century" w:cs="Arabic Typesetting"/>
          <w:sz w:val="24"/>
          <w:szCs w:val="24"/>
        </w:rPr>
      </w:pPr>
      <w:r>
        <w:rPr>
          <w:rFonts w:ascii="Century" w:hAnsi="Century" w:cs="Arabic Typesetting"/>
          <w:sz w:val="24"/>
          <w:szCs w:val="24"/>
        </w:rPr>
        <w:t>An unnecessary law has</w:t>
      </w:r>
      <w:r w:rsidR="00BC6485" w:rsidRPr="00F32CF2">
        <w:rPr>
          <w:rFonts w:ascii="Century" w:hAnsi="Century" w:cs="Arabic Typesetting"/>
          <w:sz w:val="24"/>
          <w:szCs w:val="24"/>
        </w:rPr>
        <w:t xml:space="preserve"> no practical </w:t>
      </w:r>
      <w:r w:rsidR="00AE3750">
        <w:rPr>
          <w:rFonts w:ascii="Century" w:hAnsi="Century" w:cs="Arabic Typesetting"/>
          <w:sz w:val="24"/>
          <w:szCs w:val="24"/>
        </w:rPr>
        <w:t>value</w:t>
      </w:r>
      <w:r w:rsidR="00BC6485" w:rsidRPr="00F32CF2">
        <w:rPr>
          <w:rFonts w:ascii="Century" w:hAnsi="Century" w:cs="Arabic Typesetting"/>
          <w:sz w:val="24"/>
          <w:szCs w:val="24"/>
        </w:rPr>
        <w:t xml:space="preserve">. </w:t>
      </w:r>
      <w:r w:rsidR="00BD1C9F">
        <w:rPr>
          <w:rFonts w:ascii="Century" w:hAnsi="Century" w:cs="Arabic Typesetting"/>
          <w:sz w:val="24"/>
          <w:szCs w:val="24"/>
        </w:rPr>
        <w:t>It is</w:t>
      </w:r>
      <w:r w:rsidR="00D7621A" w:rsidRPr="00F32CF2">
        <w:rPr>
          <w:rFonts w:ascii="Century" w:hAnsi="Century" w:cs="Arabic Typesetting"/>
          <w:sz w:val="24"/>
          <w:szCs w:val="24"/>
        </w:rPr>
        <w:t xml:space="preserve"> </w:t>
      </w:r>
      <w:r w:rsidR="00AE3750">
        <w:rPr>
          <w:rFonts w:ascii="Century" w:hAnsi="Century" w:cs="Arabic Typesetting"/>
          <w:sz w:val="24"/>
          <w:szCs w:val="24"/>
        </w:rPr>
        <w:t>simply a</w:t>
      </w:r>
      <w:r w:rsidR="000C48BC" w:rsidRPr="00F32CF2">
        <w:rPr>
          <w:rFonts w:ascii="Century" w:hAnsi="Century" w:cs="Arabic Typesetting"/>
          <w:sz w:val="24"/>
          <w:szCs w:val="24"/>
        </w:rPr>
        <w:t xml:space="preserve"> bu</w:t>
      </w:r>
      <w:r w:rsidR="00D7621A" w:rsidRPr="00F32CF2">
        <w:rPr>
          <w:rFonts w:ascii="Century" w:hAnsi="Century" w:cs="Arabic Typesetting"/>
          <w:sz w:val="24"/>
          <w:szCs w:val="24"/>
        </w:rPr>
        <w:t xml:space="preserve">rden </w:t>
      </w:r>
      <w:r w:rsidR="00BD1C9F">
        <w:rPr>
          <w:rFonts w:ascii="Century" w:hAnsi="Century" w:cs="Arabic Typesetting"/>
          <w:sz w:val="24"/>
          <w:szCs w:val="24"/>
        </w:rPr>
        <w:t>on</w:t>
      </w:r>
      <w:r w:rsidR="00D7621A" w:rsidRPr="00F32CF2">
        <w:rPr>
          <w:rFonts w:ascii="Century" w:hAnsi="Century" w:cs="Arabic Typesetting"/>
          <w:sz w:val="24"/>
          <w:szCs w:val="24"/>
        </w:rPr>
        <w:t xml:space="preserve"> the economy and society</w:t>
      </w:r>
      <w:r w:rsidR="000C48BC" w:rsidRPr="00F32CF2">
        <w:rPr>
          <w:rStyle w:val="FootnoteReference"/>
          <w:rFonts w:ascii="Century" w:hAnsi="Century" w:cs="Arabic Typesetting"/>
          <w:sz w:val="24"/>
          <w:szCs w:val="24"/>
        </w:rPr>
        <w:footnoteReference w:id="105"/>
      </w:r>
      <w:r>
        <w:rPr>
          <w:rFonts w:ascii="Century" w:hAnsi="Century" w:cs="Arabic Typesetting"/>
          <w:sz w:val="24"/>
          <w:szCs w:val="24"/>
        </w:rPr>
        <w:t xml:space="preserve"> and</w:t>
      </w:r>
      <w:r w:rsidR="000C48BC" w:rsidRPr="00F32CF2">
        <w:rPr>
          <w:rFonts w:ascii="Century" w:hAnsi="Century" w:cs="Arabic Typesetting"/>
          <w:sz w:val="24"/>
          <w:szCs w:val="24"/>
        </w:rPr>
        <w:t xml:space="preserve"> </w:t>
      </w:r>
      <w:r w:rsidR="00BC6485" w:rsidRPr="00F32CF2">
        <w:rPr>
          <w:rFonts w:ascii="Century" w:hAnsi="Century" w:cs="Arabic Typesetting"/>
          <w:sz w:val="24"/>
          <w:szCs w:val="24"/>
        </w:rPr>
        <w:t xml:space="preserve">adds volume </w:t>
      </w:r>
      <w:r>
        <w:rPr>
          <w:rFonts w:ascii="Century" w:hAnsi="Century" w:cs="Arabic Typesetting"/>
          <w:sz w:val="24"/>
          <w:szCs w:val="24"/>
        </w:rPr>
        <w:t>to</w:t>
      </w:r>
      <w:r w:rsidR="00BC6485" w:rsidRPr="00F32CF2">
        <w:rPr>
          <w:rFonts w:ascii="Century" w:hAnsi="Century" w:cs="Arabic Typesetting"/>
          <w:sz w:val="24"/>
          <w:szCs w:val="24"/>
        </w:rPr>
        <w:t xml:space="preserve"> the statute book</w:t>
      </w:r>
      <w:r w:rsidR="003F2315">
        <w:rPr>
          <w:rFonts w:ascii="Century" w:hAnsi="Century" w:cs="Arabic Typesetting"/>
          <w:sz w:val="24"/>
          <w:szCs w:val="24"/>
        </w:rPr>
        <w:t xml:space="preserve"> which</w:t>
      </w:r>
      <w:r w:rsidR="00BD1C9F">
        <w:rPr>
          <w:rFonts w:ascii="Century" w:hAnsi="Century" w:cs="Arabic Typesetting"/>
          <w:sz w:val="24"/>
          <w:szCs w:val="24"/>
        </w:rPr>
        <w:t xml:space="preserve"> contributes to </w:t>
      </w:r>
      <w:r w:rsidR="00BC6485" w:rsidRPr="00F32CF2">
        <w:rPr>
          <w:rFonts w:ascii="Century" w:hAnsi="Century" w:cs="Arabic Typesetting"/>
          <w:sz w:val="24"/>
          <w:szCs w:val="24"/>
        </w:rPr>
        <w:t>inaccessibility.</w:t>
      </w:r>
      <w:r w:rsidR="00BC6485" w:rsidRPr="00F32CF2">
        <w:rPr>
          <w:rStyle w:val="FootnoteReference"/>
          <w:rFonts w:ascii="Century" w:hAnsi="Century" w:cs="Arabic Typesetting"/>
          <w:sz w:val="24"/>
          <w:szCs w:val="24"/>
        </w:rPr>
        <w:footnoteReference w:id="106"/>
      </w:r>
      <w:r w:rsidR="00D7621A" w:rsidRPr="00F32CF2">
        <w:rPr>
          <w:rFonts w:ascii="Century" w:hAnsi="Century" w:cs="Arabic Typesetting"/>
          <w:sz w:val="24"/>
          <w:szCs w:val="24"/>
        </w:rPr>
        <w:t xml:space="preserve"> </w:t>
      </w:r>
      <w:r w:rsidR="005E03DD">
        <w:rPr>
          <w:rFonts w:ascii="Century" w:hAnsi="Century" w:cs="Arabic Typesetting"/>
          <w:sz w:val="24"/>
          <w:szCs w:val="24"/>
        </w:rPr>
        <w:t>Therefore, d</w:t>
      </w:r>
      <w:r w:rsidR="00BD1C9F" w:rsidRPr="00ED1BEF">
        <w:rPr>
          <w:rFonts w:ascii="Century" w:hAnsi="Century" w:cs="Arabic Typesetting"/>
          <w:sz w:val="24"/>
          <w:szCs w:val="24"/>
        </w:rPr>
        <w:t xml:space="preserve">rafters </w:t>
      </w:r>
      <w:r w:rsidR="003F2315" w:rsidRPr="00ED1BEF">
        <w:rPr>
          <w:rFonts w:ascii="Century" w:hAnsi="Century" w:cs="Arabic Typesetting"/>
          <w:sz w:val="24"/>
          <w:szCs w:val="24"/>
        </w:rPr>
        <w:t xml:space="preserve">must consider any new law as forming part of the statute book and any addition must be </w:t>
      </w:r>
      <w:r w:rsidR="00B056AF" w:rsidRPr="00ED1BEF">
        <w:rPr>
          <w:rFonts w:ascii="Century" w:hAnsi="Century" w:cs="Arabic Typesetting"/>
          <w:sz w:val="24"/>
          <w:szCs w:val="24"/>
        </w:rPr>
        <w:t xml:space="preserve">one that fulfils </w:t>
      </w:r>
      <w:r w:rsidR="004356A9" w:rsidRPr="00ED1BEF">
        <w:rPr>
          <w:rFonts w:ascii="Century" w:hAnsi="Century" w:cs="Arabic Typesetting"/>
          <w:sz w:val="24"/>
          <w:szCs w:val="24"/>
        </w:rPr>
        <w:t xml:space="preserve">a </w:t>
      </w:r>
      <w:r w:rsidR="00B056AF" w:rsidRPr="00ED1BEF">
        <w:rPr>
          <w:rFonts w:ascii="Century" w:hAnsi="Century" w:cs="Arabic Typesetting"/>
          <w:sz w:val="24"/>
          <w:szCs w:val="24"/>
        </w:rPr>
        <w:t>purpose</w:t>
      </w:r>
      <w:r w:rsidR="004356A9" w:rsidRPr="00ED1BEF">
        <w:rPr>
          <w:rFonts w:ascii="Century" w:hAnsi="Century" w:cs="Arabic Typesetting"/>
          <w:sz w:val="24"/>
          <w:szCs w:val="24"/>
        </w:rPr>
        <w:t xml:space="preserve"> that can only be solved through legislation</w:t>
      </w:r>
      <w:r w:rsidR="00B056AF" w:rsidRPr="00ED1BEF">
        <w:rPr>
          <w:rFonts w:ascii="Century" w:hAnsi="Century" w:cs="Arabic Typesetting"/>
          <w:sz w:val="24"/>
          <w:szCs w:val="24"/>
        </w:rPr>
        <w:t>.</w:t>
      </w:r>
      <w:r w:rsidR="004356A9" w:rsidRPr="004356A9">
        <w:rPr>
          <w:rStyle w:val="FootnoteReference"/>
          <w:rFonts w:ascii="Century" w:hAnsi="Century" w:cs="Arabic Typesetting"/>
          <w:sz w:val="24"/>
          <w:szCs w:val="24"/>
        </w:rPr>
        <w:t xml:space="preserve"> </w:t>
      </w:r>
      <w:r w:rsidR="004356A9" w:rsidRPr="00F32CF2">
        <w:rPr>
          <w:rStyle w:val="FootnoteReference"/>
          <w:rFonts w:ascii="Century" w:hAnsi="Century" w:cs="Arabic Typesetting"/>
          <w:sz w:val="24"/>
          <w:szCs w:val="24"/>
        </w:rPr>
        <w:footnoteReference w:id="107"/>
      </w:r>
      <w:r w:rsidR="00F54021">
        <w:rPr>
          <w:rFonts w:ascii="Century" w:hAnsi="Century" w:cs="Arabic Typesetting"/>
          <w:sz w:val="24"/>
          <w:szCs w:val="24"/>
        </w:rPr>
        <w:t xml:space="preserve"> Because laws are intrusive and restrictive, </w:t>
      </w:r>
      <w:r w:rsidR="004356A9">
        <w:rPr>
          <w:rFonts w:ascii="Century" w:hAnsi="Century" w:cs="Arabic Typesetting"/>
          <w:sz w:val="24"/>
          <w:szCs w:val="24"/>
        </w:rPr>
        <w:t>they need</w:t>
      </w:r>
      <w:r w:rsidR="00F54021">
        <w:rPr>
          <w:rFonts w:ascii="Century" w:hAnsi="Century" w:cs="Arabic Typesetting"/>
          <w:sz w:val="24"/>
          <w:szCs w:val="24"/>
        </w:rPr>
        <w:t xml:space="preserve"> to be necessary.</w:t>
      </w:r>
      <w:r w:rsidR="003F2315">
        <w:rPr>
          <w:rFonts w:ascii="Century" w:hAnsi="Century" w:cs="Arabic Typesetting"/>
          <w:sz w:val="24"/>
          <w:szCs w:val="24"/>
        </w:rPr>
        <w:t xml:space="preserve"> </w:t>
      </w:r>
      <w:r>
        <w:rPr>
          <w:rFonts w:ascii="Century" w:hAnsi="Century" w:cs="Arabic Typesetting"/>
          <w:sz w:val="24"/>
          <w:szCs w:val="24"/>
        </w:rPr>
        <w:t xml:space="preserve">An </w:t>
      </w:r>
      <w:r>
        <w:rPr>
          <w:rFonts w:ascii="Century" w:hAnsi="Century" w:cs="Arabic Typesetting"/>
          <w:sz w:val="24"/>
          <w:szCs w:val="24"/>
        </w:rPr>
        <w:lastRenderedPageBreak/>
        <w:t xml:space="preserve">unnecessary law </w:t>
      </w:r>
      <w:r w:rsidR="002C18DB">
        <w:rPr>
          <w:rFonts w:ascii="Century" w:hAnsi="Century" w:cs="Arabic Typesetting"/>
          <w:sz w:val="24"/>
          <w:szCs w:val="24"/>
        </w:rPr>
        <w:t xml:space="preserve">possesses the same regulatory nature as a necessary </w:t>
      </w:r>
      <w:r w:rsidR="00A45C29">
        <w:rPr>
          <w:rFonts w:ascii="Century" w:hAnsi="Century" w:cs="Arabic Typesetting"/>
          <w:sz w:val="24"/>
          <w:szCs w:val="24"/>
        </w:rPr>
        <w:t>one</w:t>
      </w:r>
      <w:r w:rsidR="00F54021">
        <w:rPr>
          <w:rFonts w:ascii="Century" w:hAnsi="Century" w:cs="Arabic Typesetting"/>
          <w:sz w:val="24"/>
          <w:szCs w:val="24"/>
        </w:rPr>
        <w:t>.</w:t>
      </w:r>
      <w:r w:rsidR="004356A9">
        <w:rPr>
          <w:rFonts w:ascii="Century" w:hAnsi="Century" w:cs="Arabic Typesetting"/>
          <w:sz w:val="24"/>
          <w:szCs w:val="24"/>
        </w:rPr>
        <w:t xml:space="preserve"> </w:t>
      </w:r>
      <w:r w:rsidR="00F54021">
        <w:rPr>
          <w:rFonts w:ascii="Century" w:hAnsi="Century" w:cs="Arabic Typesetting"/>
          <w:sz w:val="24"/>
          <w:szCs w:val="24"/>
        </w:rPr>
        <w:t>Therefore, drafters must</w:t>
      </w:r>
      <w:r w:rsidR="00D7621A" w:rsidRPr="00F32CF2">
        <w:rPr>
          <w:rFonts w:ascii="Century" w:hAnsi="Century" w:cs="Arabic Typesetting"/>
          <w:sz w:val="24"/>
          <w:szCs w:val="24"/>
        </w:rPr>
        <w:t xml:space="preserve"> rigorously scrutinise the legislative proposal to ensure that legislating is the best option. </w:t>
      </w:r>
      <w:r w:rsidR="004356A9">
        <w:rPr>
          <w:rFonts w:ascii="Century" w:hAnsi="Century" w:cs="Arabic Typesetting"/>
          <w:sz w:val="24"/>
          <w:szCs w:val="24"/>
        </w:rPr>
        <w:t>If a law is not necessary then it represents a policy that has not been properly thought out and although drafter</w:t>
      </w:r>
      <w:r w:rsidR="00614338">
        <w:rPr>
          <w:rFonts w:ascii="Century" w:hAnsi="Century" w:cs="Arabic Typesetting"/>
          <w:sz w:val="24"/>
          <w:szCs w:val="24"/>
        </w:rPr>
        <w:t>s</w:t>
      </w:r>
      <w:r w:rsidR="004356A9">
        <w:rPr>
          <w:rFonts w:ascii="Century" w:hAnsi="Century" w:cs="Arabic Typesetting"/>
          <w:sz w:val="24"/>
          <w:szCs w:val="24"/>
        </w:rPr>
        <w:t xml:space="preserve"> </w:t>
      </w:r>
      <w:r w:rsidR="00614338">
        <w:rPr>
          <w:rFonts w:ascii="Century" w:hAnsi="Century" w:cs="Arabic Typesetting"/>
          <w:sz w:val="24"/>
          <w:szCs w:val="24"/>
        </w:rPr>
        <w:t>are</w:t>
      </w:r>
      <w:r w:rsidR="004356A9">
        <w:rPr>
          <w:rFonts w:ascii="Century" w:hAnsi="Century" w:cs="Arabic Typesetting"/>
          <w:sz w:val="24"/>
          <w:szCs w:val="24"/>
        </w:rPr>
        <w:t xml:space="preserve"> often cautioned not to get involved in </w:t>
      </w:r>
      <w:r w:rsidR="008E3BCE">
        <w:rPr>
          <w:rFonts w:ascii="Century" w:hAnsi="Century" w:cs="Arabic Typesetting"/>
          <w:sz w:val="24"/>
          <w:szCs w:val="24"/>
        </w:rPr>
        <w:t xml:space="preserve">policy, this is one of the </w:t>
      </w:r>
      <w:r w:rsidR="00575D3F">
        <w:rPr>
          <w:rFonts w:ascii="Century" w:hAnsi="Century" w:cs="Arabic Typesetting"/>
          <w:sz w:val="24"/>
          <w:szCs w:val="24"/>
        </w:rPr>
        <w:t>areas</w:t>
      </w:r>
      <w:r w:rsidR="004356A9">
        <w:rPr>
          <w:rFonts w:ascii="Century" w:hAnsi="Century" w:cs="Arabic Typesetting"/>
          <w:sz w:val="24"/>
          <w:szCs w:val="24"/>
        </w:rPr>
        <w:t xml:space="preserve"> where the</w:t>
      </w:r>
      <w:r w:rsidR="00614338">
        <w:rPr>
          <w:rFonts w:ascii="Century" w:hAnsi="Century" w:cs="Arabic Typesetting"/>
          <w:sz w:val="24"/>
          <w:szCs w:val="24"/>
        </w:rPr>
        <w:t>y</w:t>
      </w:r>
      <w:r w:rsidR="004356A9">
        <w:rPr>
          <w:rFonts w:ascii="Century" w:hAnsi="Century" w:cs="Arabic Typesetting"/>
          <w:sz w:val="24"/>
          <w:szCs w:val="24"/>
        </w:rPr>
        <w:t xml:space="preserve"> </w:t>
      </w:r>
      <w:r w:rsidR="00A94367">
        <w:rPr>
          <w:rFonts w:ascii="Century" w:hAnsi="Century" w:cs="Arabic Typesetting"/>
          <w:sz w:val="24"/>
          <w:szCs w:val="24"/>
        </w:rPr>
        <w:t>should</w:t>
      </w:r>
      <w:r w:rsidR="004356A9">
        <w:rPr>
          <w:rFonts w:ascii="Century" w:hAnsi="Century" w:cs="Arabic Typesetting"/>
          <w:sz w:val="24"/>
          <w:szCs w:val="24"/>
        </w:rPr>
        <w:t xml:space="preserve"> offer advice.</w:t>
      </w:r>
      <w:r w:rsidR="00055BD4">
        <w:rPr>
          <w:rStyle w:val="FootnoteReference"/>
          <w:rFonts w:ascii="Century" w:hAnsi="Century" w:cs="Arabic Typesetting"/>
          <w:sz w:val="24"/>
          <w:szCs w:val="24"/>
        </w:rPr>
        <w:footnoteReference w:id="108"/>
      </w:r>
    </w:p>
    <w:p w:rsidR="00F3456A" w:rsidRDefault="00F3456A" w:rsidP="00401AE7">
      <w:pPr>
        <w:pStyle w:val="ListParagraph"/>
        <w:spacing w:line="360" w:lineRule="auto"/>
        <w:ind w:left="1080"/>
        <w:jc w:val="both"/>
        <w:rPr>
          <w:rFonts w:ascii="Century" w:hAnsi="Century" w:cs="Arabic Typesetting"/>
          <w:b/>
          <w:sz w:val="24"/>
          <w:szCs w:val="24"/>
        </w:rPr>
      </w:pPr>
    </w:p>
    <w:p w:rsidR="00D536D1" w:rsidRDefault="00D536D1" w:rsidP="00401AE7">
      <w:pPr>
        <w:pStyle w:val="ListParagraph"/>
        <w:spacing w:line="360" w:lineRule="auto"/>
        <w:ind w:left="1080"/>
        <w:jc w:val="both"/>
        <w:rPr>
          <w:rFonts w:ascii="Century" w:hAnsi="Century" w:cs="Arabic Typesetting"/>
          <w:b/>
          <w:sz w:val="24"/>
          <w:szCs w:val="24"/>
        </w:rPr>
      </w:pPr>
    </w:p>
    <w:p w:rsidR="00D536D1" w:rsidRDefault="00D536D1" w:rsidP="00401AE7">
      <w:pPr>
        <w:pStyle w:val="ListParagraph"/>
        <w:spacing w:line="360" w:lineRule="auto"/>
        <w:ind w:left="1080"/>
        <w:jc w:val="both"/>
        <w:rPr>
          <w:rFonts w:ascii="Century" w:hAnsi="Century" w:cs="Arabic Typesetting"/>
          <w:b/>
          <w:sz w:val="24"/>
          <w:szCs w:val="24"/>
        </w:rPr>
      </w:pPr>
    </w:p>
    <w:p w:rsidR="00D536D1" w:rsidRDefault="00D536D1" w:rsidP="00401AE7">
      <w:pPr>
        <w:pStyle w:val="ListParagraph"/>
        <w:spacing w:line="360" w:lineRule="auto"/>
        <w:ind w:left="1080"/>
        <w:jc w:val="both"/>
        <w:rPr>
          <w:rFonts w:ascii="Century" w:hAnsi="Century" w:cs="Arabic Typesetting"/>
          <w:b/>
          <w:sz w:val="24"/>
          <w:szCs w:val="24"/>
        </w:rPr>
      </w:pPr>
    </w:p>
    <w:p w:rsidR="00D536D1" w:rsidRDefault="00D536D1" w:rsidP="00401AE7">
      <w:pPr>
        <w:pStyle w:val="ListParagraph"/>
        <w:spacing w:line="360" w:lineRule="auto"/>
        <w:ind w:left="1080"/>
        <w:jc w:val="both"/>
        <w:rPr>
          <w:rFonts w:ascii="Century" w:hAnsi="Century" w:cs="Arabic Typesetting"/>
          <w:b/>
          <w:sz w:val="24"/>
          <w:szCs w:val="24"/>
        </w:rPr>
      </w:pPr>
    </w:p>
    <w:p w:rsidR="00D536D1" w:rsidRPr="00F32CF2" w:rsidRDefault="00D536D1" w:rsidP="00401AE7">
      <w:pPr>
        <w:pStyle w:val="ListParagraph"/>
        <w:spacing w:line="360" w:lineRule="auto"/>
        <w:ind w:left="1080"/>
        <w:jc w:val="both"/>
        <w:rPr>
          <w:rFonts w:ascii="Century" w:hAnsi="Century" w:cs="Arabic Typesetting"/>
          <w:b/>
          <w:sz w:val="24"/>
          <w:szCs w:val="24"/>
        </w:rPr>
      </w:pPr>
    </w:p>
    <w:p w:rsidR="00401AE7" w:rsidRPr="00F32CF2" w:rsidRDefault="00B32998" w:rsidP="0022254C">
      <w:pPr>
        <w:pStyle w:val="ListParagraph"/>
        <w:numPr>
          <w:ilvl w:val="0"/>
          <w:numId w:val="2"/>
        </w:numPr>
        <w:spacing w:line="360" w:lineRule="auto"/>
        <w:jc w:val="both"/>
        <w:rPr>
          <w:rFonts w:ascii="Century" w:hAnsi="Century" w:cs="Arabic Typesetting"/>
          <w:b/>
          <w:sz w:val="24"/>
          <w:szCs w:val="24"/>
        </w:rPr>
      </w:pPr>
      <w:r w:rsidRPr="00F32CF2">
        <w:rPr>
          <w:rFonts w:ascii="Century" w:hAnsi="Century" w:cs="Arabic Typesetting"/>
          <w:b/>
          <w:sz w:val="24"/>
          <w:szCs w:val="24"/>
        </w:rPr>
        <w:t>Existing Legal Framework</w:t>
      </w:r>
      <w:r w:rsidR="00401AE7" w:rsidRPr="00F32CF2">
        <w:rPr>
          <w:rFonts w:ascii="Century" w:hAnsi="Century" w:cs="Arabic Typesetting"/>
          <w:b/>
          <w:sz w:val="24"/>
          <w:szCs w:val="24"/>
        </w:rPr>
        <w:t xml:space="preserve"> </w:t>
      </w:r>
    </w:p>
    <w:p w:rsidR="00401AE7" w:rsidRPr="00F32CF2" w:rsidRDefault="00401AE7" w:rsidP="00401AE7">
      <w:pPr>
        <w:spacing w:line="360" w:lineRule="auto"/>
        <w:jc w:val="both"/>
        <w:rPr>
          <w:rFonts w:ascii="Century" w:hAnsi="Century" w:cs="Arabic Typesetting"/>
          <w:b/>
          <w:sz w:val="24"/>
          <w:szCs w:val="24"/>
        </w:rPr>
      </w:pPr>
    </w:p>
    <w:p w:rsidR="008F6322" w:rsidRDefault="00E451BB" w:rsidP="008F6322">
      <w:pPr>
        <w:spacing w:line="360" w:lineRule="auto"/>
        <w:jc w:val="both"/>
        <w:rPr>
          <w:rFonts w:ascii="Century" w:hAnsi="Century" w:cs="Arabic Typesetting"/>
          <w:sz w:val="24"/>
          <w:szCs w:val="24"/>
        </w:rPr>
      </w:pPr>
      <w:r>
        <w:rPr>
          <w:rFonts w:ascii="Century" w:hAnsi="Century" w:cs="Arabic Typesetting"/>
          <w:sz w:val="24"/>
          <w:szCs w:val="24"/>
        </w:rPr>
        <w:t>Analysis</w:t>
      </w:r>
      <w:r w:rsidRPr="00F32CF2">
        <w:rPr>
          <w:rFonts w:ascii="Century" w:hAnsi="Century" w:cs="Arabic Typesetting"/>
          <w:sz w:val="24"/>
          <w:szCs w:val="24"/>
        </w:rPr>
        <w:t xml:space="preserve"> of the existing legal framework enables the drafter to determine whether the new legislation will conflict with existing laws.</w:t>
      </w:r>
      <w:r w:rsidRPr="00F32CF2">
        <w:rPr>
          <w:rStyle w:val="FootnoteReference"/>
          <w:rFonts w:ascii="Century" w:hAnsi="Century" w:cs="Arabic Typesetting"/>
          <w:sz w:val="24"/>
          <w:szCs w:val="24"/>
        </w:rPr>
        <w:footnoteReference w:id="109"/>
      </w:r>
      <w:r w:rsidR="001A5C55">
        <w:rPr>
          <w:rFonts w:ascii="Century" w:hAnsi="Century" w:cs="Arabic Typesetting"/>
          <w:sz w:val="24"/>
          <w:szCs w:val="24"/>
        </w:rPr>
        <w:t xml:space="preserve"> </w:t>
      </w:r>
      <w:r w:rsidR="00DE31B6" w:rsidRPr="00F32CF2">
        <w:rPr>
          <w:rFonts w:ascii="Century" w:hAnsi="Century" w:cs="Arabic Typesetting"/>
          <w:sz w:val="24"/>
          <w:szCs w:val="24"/>
        </w:rPr>
        <w:t xml:space="preserve">This is </w:t>
      </w:r>
      <w:r w:rsidR="00C96E06">
        <w:rPr>
          <w:rFonts w:ascii="Century" w:hAnsi="Century" w:cs="Arabic Typesetting"/>
          <w:sz w:val="24"/>
          <w:szCs w:val="24"/>
        </w:rPr>
        <w:t xml:space="preserve">necessary </w:t>
      </w:r>
      <w:r w:rsidR="00DE31B6" w:rsidRPr="00F32CF2">
        <w:rPr>
          <w:rFonts w:ascii="Century" w:hAnsi="Century" w:cs="Arabic Typesetting"/>
          <w:sz w:val="24"/>
          <w:szCs w:val="24"/>
        </w:rPr>
        <w:t xml:space="preserve">because </w:t>
      </w:r>
      <w:r w:rsidR="00E23CB2">
        <w:rPr>
          <w:rFonts w:ascii="Century" w:hAnsi="Century" w:cs="Arabic Typesetting"/>
          <w:sz w:val="24"/>
          <w:szCs w:val="24"/>
        </w:rPr>
        <w:t>any new law affects existing laws</w:t>
      </w:r>
      <w:r w:rsidR="00DE31B6" w:rsidRPr="00F32CF2">
        <w:rPr>
          <w:rFonts w:ascii="Century" w:hAnsi="Century" w:cs="Arabic Typesetting"/>
          <w:sz w:val="24"/>
          <w:szCs w:val="24"/>
        </w:rPr>
        <w:t>.</w:t>
      </w:r>
      <w:r w:rsidR="00DE31B6" w:rsidRPr="00F32CF2">
        <w:rPr>
          <w:rStyle w:val="FootnoteReference"/>
          <w:rFonts w:ascii="Century" w:hAnsi="Century" w:cs="Arabic Typesetting"/>
          <w:sz w:val="24"/>
          <w:szCs w:val="24"/>
        </w:rPr>
        <w:footnoteReference w:id="110"/>
      </w:r>
      <w:r w:rsidR="00813769">
        <w:rPr>
          <w:rFonts w:ascii="Century" w:hAnsi="Century" w:cs="Arabic Typesetting"/>
          <w:sz w:val="24"/>
          <w:szCs w:val="24"/>
        </w:rPr>
        <w:t xml:space="preserve"> </w:t>
      </w:r>
      <w:r w:rsidR="00E23CB2">
        <w:rPr>
          <w:rFonts w:ascii="Century" w:hAnsi="Century" w:cs="Arabic Typesetting"/>
          <w:sz w:val="24"/>
          <w:szCs w:val="24"/>
        </w:rPr>
        <w:t xml:space="preserve">As </w:t>
      </w:r>
      <w:r w:rsidR="00CA5FD3">
        <w:rPr>
          <w:rFonts w:ascii="Century" w:hAnsi="Century" w:cs="Arabic Typesetting"/>
          <w:sz w:val="24"/>
          <w:szCs w:val="24"/>
        </w:rPr>
        <w:t>explained</w:t>
      </w:r>
      <w:r w:rsidR="00E23CB2">
        <w:rPr>
          <w:rFonts w:ascii="Century" w:hAnsi="Century" w:cs="Arabic Typesetting"/>
          <w:sz w:val="24"/>
          <w:szCs w:val="24"/>
        </w:rPr>
        <w:t xml:space="preserve"> by </w:t>
      </w:r>
      <w:r w:rsidR="00813769">
        <w:rPr>
          <w:rFonts w:ascii="Century" w:hAnsi="Century" w:cs="Arabic Typesetting"/>
          <w:sz w:val="24"/>
          <w:szCs w:val="24"/>
        </w:rPr>
        <w:t xml:space="preserve">Driedger, the drafter must regard </w:t>
      </w:r>
      <w:r w:rsidR="00172BC1">
        <w:rPr>
          <w:rFonts w:ascii="Century" w:hAnsi="Century" w:cs="Arabic Typesetting"/>
          <w:sz w:val="24"/>
          <w:szCs w:val="24"/>
        </w:rPr>
        <w:t>‘</w:t>
      </w:r>
      <w:r w:rsidR="00813769" w:rsidRPr="009105B2">
        <w:rPr>
          <w:rFonts w:ascii="Century" w:hAnsi="Century" w:cs="Arabic Typesetting"/>
          <w:sz w:val="24"/>
          <w:szCs w:val="24"/>
        </w:rPr>
        <w:t>a statute as one fragment</w:t>
      </w:r>
      <w:r w:rsidR="00173F28" w:rsidRPr="009105B2">
        <w:rPr>
          <w:rFonts w:ascii="Century" w:hAnsi="Century" w:cs="Arabic Typesetting"/>
          <w:sz w:val="24"/>
          <w:szCs w:val="24"/>
        </w:rPr>
        <w:t xml:space="preserve"> </w:t>
      </w:r>
      <w:r w:rsidR="00813769" w:rsidRPr="009105B2">
        <w:rPr>
          <w:rFonts w:ascii="Century" w:hAnsi="Century" w:cs="Arabic Typesetting"/>
          <w:sz w:val="24"/>
          <w:szCs w:val="24"/>
        </w:rPr>
        <w:t>of a much greater whole, and any new law must be in harmony with existing law</w:t>
      </w:r>
      <w:r w:rsidR="00172BC1">
        <w:rPr>
          <w:rFonts w:ascii="Century" w:hAnsi="Century" w:cs="Arabic Typesetting"/>
          <w:sz w:val="24"/>
          <w:szCs w:val="24"/>
        </w:rPr>
        <w:t>’</w:t>
      </w:r>
      <w:r w:rsidR="00813769" w:rsidRPr="009105B2">
        <w:rPr>
          <w:rFonts w:ascii="Century" w:hAnsi="Century" w:cs="Arabic Typesetting"/>
          <w:sz w:val="24"/>
          <w:szCs w:val="24"/>
        </w:rPr>
        <w:t>.</w:t>
      </w:r>
      <w:r w:rsidR="00813769">
        <w:rPr>
          <w:rStyle w:val="FootnoteReference"/>
          <w:rFonts w:ascii="Century" w:hAnsi="Century" w:cs="Arabic Typesetting"/>
          <w:sz w:val="24"/>
          <w:szCs w:val="24"/>
        </w:rPr>
        <w:footnoteReference w:id="111"/>
      </w:r>
      <w:r w:rsidR="00813769">
        <w:rPr>
          <w:rFonts w:ascii="Century" w:hAnsi="Century" w:cs="Arabic Typesetting"/>
          <w:sz w:val="24"/>
          <w:szCs w:val="24"/>
        </w:rPr>
        <w:t xml:space="preserve"> </w:t>
      </w:r>
      <w:r w:rsidR="008F6322">
        <w:rPr>
          <w:rFonts w:ascii="Century" w:hAnsi="Century" w:cs="Arabic Typesetting"/>
          <w:sz w:val="24"/>
          <w:szCs w:val="24"/>
        </w:rPr>
        <w:t>Cherkewich</w:t>
      </w:r>
      <w:r w:rsidR="00CA5FD3">
        <w:rPr>
          <w:rFonts w:ascii="Century" w:hAnsi="Century" w:cs="Arabic Typesetting"/>
          <w:sz w:val="24"/>
          <w:szCs w:val="24"/>
        </w:rPr>
        <w:t xml:space="preserve"> further explains</w:t>
      </w:r>
      <w:r w:rsidR="0027189E">
        <w:rPr>
          <w:rFonts w:ascii="Century" w:hAnsi="Century" w:cs="Arabic Typesetting"/>
          <w:sz w:val="24"/>
          <w:szCs w:val="24"/>
        </w:rPr>
        <w:t xml:space="preserve"> that</w:t>
      </w:r>
      <w:r w:rsidR="008F6322">
        <w:rPr>
          <w:rFonts w:ascii="Century" w:hAnsi="Century" w:cs="Arabic Typesetting"/>
          <w:sz w:val="24"/>
          <w:szCs w:val="24"/>
        </w:rPr>
        <w:t xml:space="preserve"> when drafters ensure the compatibility and coherence between new laws and existing ones, they are in essence </w:t>
      </w:r>
      <w:r w:rsidR="00D12FE3">
        <w:rPr>
          <w:rFonts w:ascii="Century" w:hAnsi="Century" w:cs="Arabic Typesetting"/>
          <w:sz w:val="24"/>
          <w:szCs w:val="24"/>
        </w:rPr>
        <w:t>protecting</w:t>
      </w:r>
      <w:r w:rsidR="008F6322">
        <w:rPr>
          <w:rFonts w:ascii="Century" w:hAnsi="Century" w:cs="Arabic Typesetting"/>
          <w:sz w:val="24"/>
          <w:szCs w:val="24"/>
        </w:rPr>
        <w:t xml:space="preserve"> the law from harm.  For her this is one of the areas where the competency of the drafter is judged.</w:t>
      </w:r>
      <w:r w:rsidR="008F6322">
        <w:rPr>
          <w:rStyle w:val="FootnoteReference"/>
          <w:rFonts w:ascii="Century" w:hAnsi="Century" w:cs="Arabic Typesetting"/>
          <w:sz w:val="24"/>
          <w:szCs w:val="24"/>
        </w:rPr>
        <w:footnoteReference w:id="112"/>
      </w:r>
    </w:p>
    <w:p w:rsidR="008F6322" w:rsidRDefault="008F6322" w:rsidP="00DD380F">
      <w:pPr>
        <w:spacing w:line="360" w:lineRule="auto"/>
        <w:jc w:val="both"/>
        <w:rPr>
          <w:rFonts w:ascii="Century" w:hAnsi="Century" w:cs="Arabic Typesetting"/>
          <w:sz w:val="24"/>
          <w:szCs w:val="24"/>
        </w:rPr>
      </w:pPr>
    </w:p>
    <w:p w:rsidR="005B4F02" w:rsidRDefault="00D068AA" w:rsidP="00DD380F">
      <w:pPr>
        <w:spacing w:line="360" w:lineRule="auto"/>
        <w:jc w:val="both"/>
        <w:rPr>
          <w:rFonts w:ascii="Century" w:hAnsi="Century" w:cs="Arabic Typesetting"/>
          <w:sz w:val="24"/>
          <w:szCs w:val="24"/>
        </w:rPr>
      </w:pPr>
      <w:r>
        <w:rPr>
          <w:rFonts w:ascii="Century" w:hAnsi="Century" w:cs="Arabic Typesetting"/>
          <w:sz w:val="24"/>
          <w:szCs w:val="24"/>
        </w:rPr>
        <w:lastRenderedPageBreak/>
        <w:t>K</w:t>
      </w:r>
      <w:r w:rsidR="00B171A8">
        <w:rPr>
          <w:rFonts w:ascii="Century" w:hAnsi="Century" w:cs="Arabic Typesetting"/>
          <w:sz w:val="24"/>
          <w:szCs w:val="24"/>
        </w:rPr>
        <w:t>nowledge of the current law will enable drafters to know how to alter the law, how provisions in the current law and proposed law will co-exi</w:t>
      </w:r>
      <w:r w:rsidR="008E3BCE">
        <w:rPr>
          <w:rFonts w:ascii="Century" w:hAnsi="Century" w:cs="Arabic Typesetting"/>
          <w:sz w:val="24"/>
          <w:szCs w:val="24"/>
        </w:rPr>
        <w:t>s</w:t>
      </w:r>
      <w:r w:rsidR="00B171A8">
        <w:rPr>
          <w:rFonts w:ascii="Century" w:hAnsi="Century" w:cs="Arabic Typesetting"/>
          <w:sz w:val="24"/>
          <w:szCs w:val="24"/>
        </w:rPr>
        <w:t>t and whether there should be transitional provisions</w:t>
      </w:r>
      <w:r w:rsidR="00B171A8" w:rsidRPr="00F32CF2">
        <w:rPr>
          <w:rFonts w:ascii="Century" w:hAnsi="Century" w:cs="Arabic Typesetting"/>
          <w:sz w:val="24"/>
          <w:szCs w:val="24"/>
        </w:rPr>
        <w:t>.</w:t>
      </w:r>
      <w:r w:rsidR="00B171A8" w:rsidRPr="00F32CF2">
        <w:rPr>
          <w:rStyle w:val="FootnoteReference"/>
          <w:rFonts w:ascii="Century" w:hAnsi="Century" w:cs="Arabic Typesetting"/>
          <w:sz w:val="24"/>
          <w:szCs w:val="24"/>
        </w:rPr>
        <w:footnoteReference w:id="113"/>
      </w:r>
      <w:r w:rsidR="00B171A8">
        <w:rPr>
          <w:rFonts w:ascii="Century" w:hAnsi="Century" w:cs="Arabic Typesetting"/>
          <w:sz w:val="24"/>
          <w:szCs w:val="24"/>
        </w:rPr>
        <w:t xml:space="preserve"> This allows for a smooth insertion of the proposed law into the statute books, which promotes </w:t>
      </w:r>
      <w:r w:rsidR="005D3107">
        <w:rPr>
          <w:rFonts w:ascii="Century" w:hAnsi="Century" w:cs="Arabic Typesetting"/>
          <w:sz w:val="24"/>
          <w:szCs w:val="24"/>
        </w:rPr>
        <w:t>consistency and certainty in the law</w:t>
      </w:r>
      <w:r w:rsidR="00B171A8">
        <w:rPr>
          <w:rFonts w:ascii="Century" w:hAnsi="Century" w:cs="Arabic Typesetting"/>
          <w:sz w:val="24"/>
          <w:szCs w:val="24"/>
        </w:rPr>
        <w:t>.</w:t>
      </w:r>
      <w:r w:rsidR="00B171A8">
        <w:rPr>
          <w:rStyle w:val="FootnoteReference"/>
          <w:rFonts w:ascii="Century" w:hAnsi="Century" w:cs="Arabic Typesetting"/>
          <w:sz w:val="24"/>
          <w:szCs w:val="24"/>
        </w:rPr>
        <w:footnoteReference w:id="114"/>
      </w:r>
      <w:r w:rsidR="005D3107">
        <w:rPr>
          <w:rFonts w:ascii="Century" w:hAnsi="Century" w:cs="Arabic Typesetting"/>
          <w:sz w:val="24"/>
          <w:szCs w:val="24"/>
        </w:rPr>
        <w:t xml:space="preserve"> </w:t>
      </w:r>
      <w:r w:rsidR="00B171A8">
        <w:rPr>
          <w:rFonts w:ascii="Century" w:hAnsi="Century" w:cs="Arabic Typesetting"/>
          <w:sz w:val="24"/>
          <w:szCs w:val="24"/>
        </w:rPr>
        <w:t xml:space="preserve">This </w:t>
      </w:r>
      <w:r w:rsidR="00794255">
        <w:rPr>
          <w:rFonts w:ascii="Century" w:hAnsi="Century" w:cs="Arabic Typesetting"/>
          <w:sz w:val="24"/>
          <w:szCs w:val="24"/>
        </w:rPr>
        <w:t>contributes to</w:t>
      </w:r>
      <w:r w:rsidR="00B171A8">
        <w:rPr>
          <w:rFonts w:ascii="Century" w:hAnsi="Century" w:cs="Arabic Typesetting"/>
          <w:sz w:val="24"/>
          <w:szCs w:val="24"/>
        </w:rPr>
        <w:t xml:space="preserve"> the rule of law by</w:t>
      </w:r>
      <w:r w:rsidR="005D3107">
        <w:rPr>
          <w:rFonts w:ascii="Century" w:hAnsi="Century" w:cs="Arabic Typesetting"/>
          <w:sz w:val="24"/>
          <w:szCs w:val="24"/>
        </w:rPr>
        <w:t xml:space="preserve"> allow</w:t>
      </w:r>
      <w:r w:rsidR="00B171A8">
        <w:rPr>
          <w:rFonts w:ascii="Century" w:hAnsi="Century" w:cs="Arabic Typesetting"/>
          <w:sz w:val="24"/>
          <w:szCs w:val="24"/>
        </w:rPr>
        <w:t>ing the law to be interpreted and used ‘fairly and consistently’</w:t>
      </w:r>
      <w:r w:rsidR="005D3107" w:rsidRPr="00F32CF2">
        <w:rPr>
          <w:rFonts w:ascii="Century" w:hAnsi="Century" w:cs="Arabic Typesetting"/>
          <w:sz w:val="24"/>
          <w:szCs w:val="24"/>
        </w:rPr>
        <w:t>.</w:t>
      </w:r>
      <w:r w:rsidR="005D3107" w:rsidRPr="00F32CF2">
        <w:rPr>
          <w:rStyle w:val="FootnoteReference"/>
          <w:rFonts w:ascii="Century" w:hAnsi="Century" w:cs="Arabic Typesetting"/>
          <w:sz w:val="24"/>
          <w:szCs w:val="24"/>
        </w:rPr>
        <w:footnoteReference w:id="115"/>
      </w:r>
      <w:r w:rsidR="009105B2">
        <w:rPr>
          <w:rFonts w:ascii="Century" w:hAnsi="Century" w:cs="Arabic Typesetting"/>
          <w:sz w:val="24"/>
          <w:szCs w:val="24"/>
        </w:rPr>
        <w:t xml:space="preserve"> </w:t>
      </w:r>
      <w:r w:rsidR="005D3107">
        <w:rPr>
          <w:rFonts w:ascii="Century" w:hAnsi="Century" w:cs="Arabic Typesetting"/>
          <w:sz w:val="24"/>
          <w:szCs w:val="24"/>
        </w:rPr>
        <w:t>Additi</w:t>
      </w:r>
      <w:r w:rsidR="00E97BDD">
        <w:rPr>
          <w:rFonts w:ascii="Century" w:hAnsi="Century" w:cs="Arabic Typesetting"/>
          <w:sz w:val="24"/>
          <w:szCs w:val="24"/>
        </w:rPr>
        <w:t>onally, failure to examine</w:t>
      </w:r>
      <w:r w:rsidR="005D3107">
        <w:rPr>
          <w:rFonts w:ascii="Century" w:hAnsi="Century" w:cs="Arabic Typesetting"/>
          <w:sz w:val="24"/>
          <w:szCs w:val="24"/>
        </w:rPr>
        <w:t xml:space="preserve"> the p</w:t>
      </w:r>
      <w:r w:rsidR="00CB71FD">
        <w:rPr>
          <w:rFonts w:ascii="Century" w:hAnsi="Century" w:cs="Arabic Typesetting"/>
          <w:sz w:val="24"/>
          <w:szCs w:val="24"/>
        </w:rPr>
        <w:t>resent legal landscape will prev</w:t>
      </w:r>
      <w:r w:rsidR="005D3107">
        <w:rPr>
          <w:rFonts w:ascii="Century" w:hAnsi="Century" w:cs="Arabic Typesetting"/>
          <w:sz w:val="24"/>
          <w:szCs w:val="24"/>
        </w:rPr>
        <w:t>ent the drafter from understanding the inadequacies of the current law. This hinders the drafter from truly understanding the legislative proposal and finding the best solution to remedy the mischief.</w:t>
      </w:r>
      <w:r w:rsidR="005D3107">
        <w:rPr>
          <w:rStyle w:val="FootnoteReference"/>
          <w:rFonts w:ascii="Century" w:hAnsi="Century" w:cs="Arabic Typesetting"/>
          <w:sz w:val="24"/>
          <w:szCs w:val="24"/>
        </w:rPr>
        <w:footnoteReference w:id="116"/>
      </w:r>
      <w:r w:rsidR="001A5C55">
        <w:rPr>
          <w:rFonts w:ascii="Century" w:hAnsi="Century" w:cs="Arabic Typesetting"/>
          <w:sz w:val="24"/>
          <w:szCs w:val="24"/>
        </w:rPr>
        <w:t xml:space="preserve"> </w:t>
      </w:r>
    </w:p>
    <w:p w:rsidR="009105B2" w:rsidRPr="00F32CF2" w:rsidRDefault="009105B2" w:rsidP="00DD380F">
      <w:pPr>
        <w:spacing w:line="360" w:lineRule="auto"/>
        <w:jc w:val="both"/>
        <w:rPr>
          <w:rFonts w:ascii="Century" w:hAnsi="Century" w:cs="Arabic Typesetting"/>
          <w:sz w:val="24"/>
          <w:szCs w:val="24"/>
        </w:rPr>
      </w:pPr>
    </w:p>
    <w:p w:rsidR="009C71B0" w:rsidRPr="00030E57" w:rsidRDefault="00107FDC" w:rsidP="009C71B0">
      <w:pPr>
        <w:pStyle w:val="ListParagraph"/>
        <w:numPr>
          <w:ilvl w:val="0"/>
          <w:numId w:val="2"/>
        </w:numPr>
        <w:spacing w:line="360" w:lineRule="auto"/>
        <w:jc w:val="both"/>
        <w:rPr>
          <w:rFonts w:ascii="Century" w:hAnsi="Century" w:cs="Arabic Typesetting"/>
          <w:b/>
          <w:sz w:val="24"/>
          <w:szCs w:val="24"/>
        </w:rPr>
      </w:pPr>
      <w:r w:rsidRPr="00F32CF2">
        <w:rPr>
          <w:rFonts w:ascii="Century" w:hAnsi="Century" w:cs="Arabic Typesetting"/>
          <w:b/>
          <w:sz w:val="24"/>
          <w:szCs w:val="24"/>
        </w:rPr>
        <w:t>Special Responsibility Areas</w:t>
      </w:r>
    </w:p>
    <w:p w:rsidR="009C71B0" w:rsidRDefault="00107FDC" w:rsidP="009C71B0">
      <w:pPr>
        <w:spacing w:line="360" w:lineRule="auto"/>
        <w:jc w:val="both"/>
        <w:rPr>
          <w:rFonts w:ascii="Century" w:hAnsi="Century"/>
          <w:sz w:val="24"/>
          <w:szCs w:val="24"/>
        </w:rPr>
      </w:pPr>
      <w:r w:rsidRPr="00F32CF2">
        <w:rPr>
          <w:rFonts w:ascii="Century" w:hAnsi="Century" w:cs="Arabic Typesetting"/>
          <w:sz w:val="24"/>
          <w:szCs w:val="24"/>
        </w:rPr>
        <w:t>Another area that drafter</w:t>
      </w:r>
      <w:r w:rsidR="008B347C">
        <w:rPr>
          <w:rFonts w:ascii="Century" w:hAnsi="Century" w:cs="Arabic Typesetting"/>
          <w:sz w:val="24"/>
          <w:szCs w:val="24"/>
        </w:rPr>
        <w:t>s</w:t>
      </w:r>
      <w:r w:rsidRPr="00F32CF2">
        <w:rPr>
          <w:rFonts w:ascii="Century" w:hAnsi="Century" w:cs="Arabic Typesetting"/>
          <w:sz w:val="24"/>
          <w:szCs w:val="24"/>
        </w:rPr>
        <w:t xml:space="preserve"> must anal</w:t>
      </w:r>
      <w:r w:rsidR="004E6D3F">
        <w:rPr>
          <w:rFonts w:ascii="Century" w:hAnsi="Century" w:cs="Arabic Typesetting"/>
          <w:sz w:val="24"/>
          <w:szCs w:val="24"/>
        </w:rPr>
        <w:t>yse is what Thornton calls the special responsibility areas</w:t>
      </w:r>
      <w:r w:rsidR="00F82C88">
        <w:rPr>
          <w:rFonts w:ascii="Century" w:hAnsi="Century" w:cs="Arabic Typesetting"/>
          <w:sz w:val="24"/>
          <w:szCs w:val="24"/>
        </w:rPr>
        <w:t xml:space="preserve">. </w:t>
      </w:r>
      <w:r w:rsidR="008B347C">
        <w:rPr>
          <w:rFonts w:ascii="Century" w:hAnsi="Century" w:cs="Arabic Typesetting"/>
          <w:sz w:val="24"/>
          <w:szCs w:val="24"/>
        </w:rPr>
        <w:t>Drafters as well</w:t>
      </w:r>
      <w:r w:rsidR="004949A1">
        <w:rPr>
          <w:rFonts w:ascii="Century" w:hAnsi="Century" w:cs="Arabic Typesetting"/>
          <w:sz w:val="24"/>
          <w:szCs w:val="24"/>
        </w:rPr>
        <w:t xml:space="preserve"> as</w:t>
      </w:r>
      <w:r w:rsidR="008B347C">
        <w:rPr>
          <w:rFonts w:ascii="Century" w:hAnsi="Century" w:cs="Arabic Typesetting"/>
          <w:sz w:val="24"/>
          <w:szCs w:val="24"/>
        </w:rPr>
        <w:t xml:space="preserve"> instructing officers</w:t>
      </w:r>
      <w:r w:rsidR="003B0443" w:rsidRPr="00F32CF2">
        <w:rPr>
          <w:rFonts w:ascii="Century" w:hAnsi="Century" w:cs="Arabic Typesetting"/>
          <w:sz w:val="24"/>
          <w:szCs w:val="24"/>
        </w:rPr>
        <w:t xml:space="preserve"> </w:t>
      </w:r>
      <w:r w:rsidR="007E6DA9" w:rsidRPr="00F32CF2">
        <w:rPr>
          <w:rFonts w:ascii="Century" w:hAnsi="Century" w:cs="Arabic Typesetting"/>
          <w:sz w:val="24"/>
          <w:szCs w:val="24"/>
        </w:rPr>
        <w:t>must</w:t>
      </w:r>
      <w:r w:rsidR="003B0443" w:rsidRPr="00F32CF2">
        <w:rPr>
          <w:rFonts w:ascii="Century" w:hAnsi="Century" w:cs="Arabic Typesetting"/>
          <w:sz w:val="24"/>
          <w:szCs w:val="24"/>
        </w:rPr>
        <w:t xml:space="preserve"> consider whether </w:t>
      </w:r>
      <w:r w:rsidR="005145D9">
        <w:rPr>
          <w:rFonts w:ascii="Century" w:hAnsi="Century" w:cs="Arabic Typesetting"/>
          <w:sz w:val="24"/>
          <w:szCs w:val="24"/>
        </w:rPr>
        <w:t>the legislative proposal confo</w:t>
      </w:r>
      <w:r w:rsidR="005313C2">
        <w:rPr>
          <w:rFonts w:ascii="Century" w:hAnsi="Century" w:cs="Arabic Typesetting"/>
          <w:sz w:val="24"/>
          <w:szCs w:val="24"/>
        </w:rPr>
        <w:t>rms to</w:t>
      </w:r>
      <w:r w:rsidR="003B0443" w:rsidRPr="00F32CF2">
        <w:rPr>
          <w:rFonts w:ascii="Century" w:hAnsi="Century" w:cs="Arabic Typesetting"/>
          <w:sz w:val="24"/>
          <w:szCs w:val="24"/>
        </w:rPr>
        <w:t xml:space="preserve"> the legal and constitutional system.</w:t>
      </w:r>
      <w:r w:rsidR="003B0443" w:rsidRPr="00F32CF2">
        <w:rPr>
          <w:rStyle w:val="FootnoteReference"/>
          <w:rFonts w:ascii="Century" w:hAnsi="Century" w:cs="Arabic Typesetting"/>
          <w:sz w:val="24"/>
          <w:szCs w:val="24"/>
        </w:rPr>
        <w:footnoteReference w:id="117"/>
      </w:r>
      <w:r w:rsidR="003B0443" w:rsidRPr="00F32CF2">
        <w:rPr>
          <w:rFonts w:ascii="Century" w:hAnsi="Century" w:cs="Arabic Typesetting"/>
          <w:sz w:val="24"/>
          <w:szCs w:val="24"/>
        </w:rPr>
        <w:t xml:space="preserve"> </w:t>
      </w:r>
      <w:r w:rsidR="005313C2">
        <w:rPr>
          <w:rFonts w:ascii="Century" w:hAnsi="Century" w:cs="Arabic Typesetting"/>
          <w:sz w:val="24"/>
          <w:szCs w:val="24"/>
        </w:rPr>
        <w:t xml:space="preserve">This is a necessary step because although the drafter’s job is not to ‘pontificate’ on the merits of the government’s proposal, they have a professional duty to </w:t>
      </w:r>
      <w:r w:rsidR="007E6DA9" w:rsidRPr="00F32CF2">
        <w:rPr>
          <w:rFonts w:ascii="Century" w:hAnsi="Century"/>
          <w:sz w:val="24"/>
          <w:szCs w:val="24"/>
        </w:rPr>
        <w:t>critically scrutinise the</w:t>
      </w:r>
      <w:r w:rsidR="00C35329">
        <w:rPr>
          <w:rFonts w:ascii="Century" w:hAnsi="Century"/>
          <w:sz w:val="24"/>
          <w:szCs w:val="24"/>
        </w:rPr>
        <w:t xml:space="preserve"> </w:t>
      </w:r>
      <w:r w:rsidR="007E6DA9" w:rsidRPr="00F32CF2">
        <w:rPr>
          <w:rFonts w:ascii="Century" w:hAnsi="Century"/>
          <w:sz w:val="24"/>
          <w:szCs w:val="24"/>
        </w:rPr>
        <w:t xml:space="preserve">proposal to </w:t>
      </w:r>
      <w:r w:rsidR="005057D5">
        <w:rPr>
          <w:rFonts w:ascii="Century" w:hAnsi="Century"/>
          <w:sz w:val="24"/>
          <w:szCs w:val="24"/>
        </w:rPr>
        <w:t>see what effect it will have on the state and citizens’ rights</w:t>
      </w:r>
      <w:r w:rsidR="007E6DA9" w:rsidRPr="00F32CF2">
        <w:rPr>
          <w:rFonts w:ascii="Century" w:hAnsi="Century"/>
          <w:sz w:val="24"/>
          <w:szCs w:val="24"/>
        </w:rPr>
        <w:t>.</w:t>
      </w:r>
      <w:r w:rsidR="00161F6B">
        <w:rPr>
          <w:rStyle w:val="FootnoteReference"/>
          <w:rFonts w:ascii="Century" w:hAnsi="Century"/>
          <w:sz w:val="24"/>
          <w:szCs w:val="24"/>
        </w:rPr>
        <w:footnoteReference w:id="118"/>
      </w:r>
      <w:r w:rsidR="007E6DA9" w:rsidRPr="00F32CF2">
        <w:rPr>
          <w:rFonts w:ascii="Century" w:hAnsi="Century"/>
          <w:sz w:val="24"/>
          <w:szCs w:val="24"/>
        </w:rPr>
        <w:t xml:space="preserve"> </w:t>
      </w:r>
      <w:r w:rsidR="00CE4950" w:rsidRPr="00F32CF2">
        <w:rPr>
          <w:rFonts w:ascii="Century" w:hAnsi="Century"/>
          <w:sz w:val="24"/>
          <w:szCs w:val="24"/>
        </w:rPr>
        <w:t>Some of these</w:t>
      </w:r>
      <w:r w:rsidR="00F4370F">
        <w:rPr>
          <w:rFonts w:ascii="Century" w:hAnsi="Century"/>
          <w:sz w:val="24"/>
          <w:szCs w:val="24"/>
        </w:rPr>
        <w:t xml:space="preserve"> special responsibility</w:t>
      </w:r>
      <w:r w:rsidR="00CE4950" w:rsidRPr="00F32CF2">
        <w:rPr>
          <w:rFonts w:ascii="Century" w:hAnsi="Century"/>
          <w:sz w:val="24"/>
          <w:szCs w:val="24"/>
        </w:rPr>
        <w:t xml:space="preserve"> areas include</w:t>
      </w:r>
      <w:r w:rsidR="00C52F03" w:rsidRPr="00F32CF2">
        <w:rPr>
          <w:rFonts w:ascii="Century" w:hAnsi="Century"/>
          <w:sz w:val="24"/>
          <w:szCs w:val="24"/>
        </w:rPr>
        <w:t xml:space="preserve"> (a) proposals affecting personal rights, (b) proposals affecting property rights, (c) </w:t>
      </w:r>
      <w:r w:rsidR="00CE4950" w:rsidRPr="00F32CF2">
        <w:rPr>
          <w:rFonts w:ascii="Century" w:hAnsi="Century"/>
          <w:sz w:val="24"/>
          <w:szCs w:val="24"/>
        </w:rPr>
        <w:t>proposals inconsistent with international obligations and (d) proposal</w:t>
      </w:r>
      <w:r w:rsidR="00DA0394">
        <w:rPr>
          <w:rFonts w:ascii="Century" w:hAnsi="Century"/>
          <w:sz w:val="24"/>
          <w:szCs w:val="24"/>
        </w:rPr>
        <w:t>s</w:t>
      </w:r>
      <w:r w:rsidR="00CE4950" w:rsidRPr="00F32CF2">
        <w:rPr>
          <w:rFonts w:ascii="Century" w:hAnsi="Century"/>
          <w:sz w:val="24"/>
          <w:szCs w:val="24"/>
        </w:rPr>
        <w:t xml:space="preserve"> for retrospective legislation.</w:t>
      </w:r>
      <w:r w:rsidR="005057D5">
        <w:rPr>
          <w:rFonts w:ascii="Century" w:hAnsi="Century"/>
          <w:sz w:val="24"/>
          <w:szCs w:val="24"/>
        </w:rPr>
        <w:t xml:space="preserve"> </w:t>
      </w:r>
    </w:p>
    <w:p w:rsidR="00A94313" w:rsidRDefault="00A94313" w:rsidP="009C71B0">
      <w:pPr>
        <w:spacing w:line="360" w:lineRule="auto"/>
        <w:jc w:val="both"/>
        <w:rPr>
          <w:rFonts w:ascii="Century" w:hAnsi="Century"/>
          <w:sz w:val="24"/>
          <w:szCs w:val="24"/>
        </w:rPr>
      </w:pPr>
    </w:p>
    <w:p w:rsidR="00725FF1" w:rsidRPr="00F32CF2" w:rsidRDefault="00005F00" w:rsidP="009C71B0">
      <w:pPr>
        <w:spacing w:line="360" w:lineRule="auto"/>
        <w:jc w:val="both"/>
        <w:rPr>
          <w:rFonts w:ascii="Century" w:hAnsi="Century"/>
          <w:sz w:val="24"/>
          <w:szCs w:val="24"/>
        </w:rPr>
      </w:pPr>
      <w:r w:rsidRPr="00F32CF2">
        <w:rPr>
          <w:rFonts w:ascii="Century" w:hAnsi="Century"/>
          <w:sz w:val="24"/>
          <w:szCs w:val="24"/>
        </w:rPr>
        <w:t>Analysing</w:t>
      </w:r>
      <w:r w:rsidR="00CE4950" w:rsidRPr="00F32CF2">
        <w:rPr>
          <w:rFonts w:ascii="Century" w:hAnsi="Century"/>
          <w:sz w:val="24"/>
          <w:szCs w:val="24"/>
        </w:rPr>
        <w:t xml:space="preserve"> </w:t>
      </w:r>
      <w:r w:rsidR="000B63F7" w:rsidRPr="00F32CF2">
        <w:rPr>
          <w:rFonts w:ascii="Century" w:hAnsi="Century"/>
          <w:sz w:val="24"/>
          <w:szCs w:val="24"/>
        </w:rPr>
        <w:t xml:space="preserve">the above areas is necessary if the drafter </w:t>
      </w:r>
      <w:r w:rsidR="004E116B">
        <w:rPr>
          <w:rFonts w:ascii="Century" w:hAnsi="Century"/>
          <w:sz w:val="24"/>
          <w:szCs w:val="24"/>
        </w:rPr>
        <w:t xml:space="preserve">is to make the law accessible. </w:t>
      </w:r>
      <w:r w:rsidR="000B63F7" w:rsidRPr="00F32CF2">
        <w:rPr>
          <w:rFonts w:ascii="Century" w:hAnsi="Century"/>
          <w:sz w:val="24"/>
          <w:szCs w:val="24"/>
        </w:rPr>
        <w:t xml:space="preserve">If the rights of citizens are going to be affected by the legislative proposal then it is important that they be aware of it.  For example, let us </w:t>
      </w:r>
      <w:r w:rsidR="000B63F7" w:rsidRPr="00F32CF2">
        <w:rPr>
          <w:rFonts w:ascii="Century" w:hAnsi="Century"/>
          <w:sz w:val="24"/>
          <w:szCs w:val="24"/>
        </w:rPr>
        <w:lastRenderedPageBreak/>
        <w:t>consider a case where the drafter is given instructions to draft a retrospective law</w:t>
      </w:r>
      <w:r w:rsidR="00AC27A9">
        <w:rPr>
          <w:rFonts w:ascii="Century" w:hAnsi="Century"/>
          <w:sz w:val="24"/>
          <w:szCs w:val="24"/>
        </w:rPr>
        <w:t xml:space="preserve"> as it relates to a criminal offence</w:t>
      </w:r>
      <w:r w:rsidR="000B63F7" w:rsidRPr="00F32CF2">
        <w:rPr>
          <w:rFonts w:ascii="Century" w:hAnsi="Century"/>
          <w:sz w:val="24"/>
          <w:szCs w:val="24"/>
        </w:rPr>
        <w:t>.</w:t>
      </w:r>
      <w:r w:rsidR="00107FDC" w:rsidRPr="00F32CF2">
        <w:rPr>
          <w:rFonts w:ascii="Century" w:hAnsi="Century"/>
          <w:sz w:val="24"/>
          <w:szCs w:val="24"/>
        </w:rPr>
        <w:t xml:space="preserve"> There is a strong presumption </w:t>
      </w:r>
      <w:r w:rsidR="002C25D5">
        <w:rPr>
          <w:rFonts w:ascii="Century" w:hAnsi="Century"/>
          <w:sz w:val="24"/>
          <w:szCs w:val="24"/>
        </w:rPr>
        <w:t>against criminal</w:t>
      </w:r>
      <w:r w:rsidR="00107FDC" w:rsidRPr="00F32CF2">
        <w:rPr>
          <w:rFonts w:ascii="Century" w:hAnsi="Century"/>
          <w:sz w:val="24"/>
          <w:szCs w:val="24"/>
        </w:rPr>
        <w:t xml:space="preserve"> </w:t>
      </w:r>
      <w:r w:rsidR="002C25D5">
        <w:rPr>
          <w:rFonts w:ascii="Century" w:hAnsi="Century"/>
          <w:sz w:val="24"/>
          <w:szCs w:val="24"/>
        </w:rPr>
        <w:t xml:space="preserve">laws that </w:t>
      </w:r>
      <w:r w:rsidR="00107FDC" w:rsidRPr="00F32CF2">
        <w:rPr>
          <w:rFonts w:ascii="Century" w:hAnsi="Century"/>
          <w:sz w:val="24"/>
          <w:szCs w:val="24"/>
        </w:rPr>
        <w:t>are retrospective</w:t>
      </w:r>
      <w:r w:rsidR="00283772">
        <w:rPr>
          <w:rFonts w:ascii="Century" w:hAnsi="Century"/>
          <w:sz w:val="24"/>
          <w:szCs w:val="24"/>
        </w:rPr>
        <w:t xml:space="preserve"> because</w:t>
      </w:r>
      <w:r w:rsidR="00107FDC" w:rsidRPr="00F32CF2">
        <w:rPr>
          <w:rFonts w:ascii="Century" w:hAnsi="Century"/>
          <w:sz w:val="24"/>
          <w:szCs w:val="24"/>
        </w:rPr>
        <w:t xml:space="preserve"> </w:t>
      </w:r>
      <w:r w:rsidR="002C25D5">
        <w:rPr>
          <w:rFonts w:ascii="Century" w:hAnsi="Century"/>
          <w:sz w:val="24"/>
          <w:szCs w:val="24"/>
        </w:rPr>
        <w:t>they create uncertainty and in</w:t>
      </w:r>
      <w:r w:rsidR="00107FDC" w:rsidRPr="00F32CF2">
        <w:rPr>
          <w:rFonts w:ascii="Century" w:hAnsi="Century"/>
          <w:sz w:val="24"/>
          <w:szCs w:val="24"/>
        </w:rPr>
        <w:t>stability in the law.</w:t>
      </w:r>
      <w:r w:rsidR="00DB79AF" w:rsidRPr="00F32CF2">
        <w:rPr>
          <w:rStyle w:val="FootnoteReference"/>
          <w:rFonts w:ascii="Century" w:hAnsi="Century"/>
          <w:sz w:val="24"/>
          <w:szCs w:val="24"/>
        </w:rPr>
        <w:footnoteReference w:id="119"/>
      </w:r>
      <w:r w:rsidR="00107FDC" w:rsidRPr="00F32CF2">
        <w:rPr>
          <w:rFonts w:ascii="Century" w:hAnsi="Century"/>
          <w:sz w:val="24"/>
          <w:szCs w:val="24"/>
        </w:rPr>
        <w:t xml:space="preserve"> </w:t>
      </w:r>
      <w:r w:rsidR="007878CD">
        <w:rPr>
          <w:rFonts w:ascii="Century" w:hAnsi="Century"/>
          <w:sz w:val="24"/>
          <w:szCs w:val="24"/>
        </w:rPr>
        <w:t>Persons</w:t>
      </w:r>
      <w:r w:rsidR="00DB79AF" w:rsidRPr="00F32CF2">
        <w:rPr>
          <w:rFonts w:ascii="Century" w:hAnsi="Century"/>
          <w:sz w:val="24"/>
          <w:szCs w:val="24"/>
        </w:rPr>
        <w:t xml:space="preserve"> should not be punished for an offence </w:t>
      </w:r>
      <w:r w:rsidR="00556DB7">
        <w:rPr>
          <w:rFonts w:ascii="Century" w:hAnsi="Century"/>
          <w:sz w:val="24"/>
          <w:szCs w:val="24"/>
        </w:rPr>
        <w:t>‘</w:t>
      </w:r>
      <w:r w:rsidR="00DB79AF" w:rsidRPr="00F32CF2">
        <w:rPr>
          <w:rFonts w:ascii="Century" w:hAnsi="Century"/>
          <w:sz w:val="24"/>
          <w:szCs w:val="24"/>
        </w:rPr>
        <w:t xml:space="preserve">that was not an offence </w:t>
      </w:r>
      <w:r w:rsidR="00DA2603">
        <w:rPr>
          <w:rFonts w:ascii="Century" w:hAnsi="Century"/>
          <w:sz w:val="24"/>
          <w:szCs w:val="24"/>
        </w:rPr>
        <w:t xml:space="preserve">at the time </w:t>
      </w:r>
      <w:r w:rsidR="00E757AB">
        <w:rPr>
          <w:rFonts w:ascii="Century" w:hAnsi="Century"/>
          <w:sz w:val="24"/>
          <w:szCs w:val="24"/>
        </w:rPr>
        <w:t xml:space="preserve">the conduct </w:t>
      </w:r>
      <w:r w:rsidR="00DA2603">
        <w:rPr>
          <w:rFonts w:ascii="Century" w:hAnsi="Century"/>
          <w:sz w:val="24"/>
          <w:szCs w:val="24"/>
        </w:rPr>
        <w:t>was</w:t>
      </w:r>
      <w:r w:rsidR="00E757AB">
        <w:rPr>
          <w:rFonts w:ascii="Century" w:hAnsi="Century"/>
          <w:sz w:val="24"/>
          <w:szCs w:val="24"/>
        </w:rPr>
        <w:t xml:space="preserve"> </w:t>
      </w:r>
      <w:r w:rsidR="00DA2603">
        <w:rPr>
          <w:rFonts w:ascii="Century" w:hAnsi="Century"/>
          <w:sz w:val="24"/>
          <w:szCs w:val="24"/>
        </w:rPr>
        <w:t>co</w:t>
      </w:r>
      <w:r w:rsidR="00556DB7">
        <w:rPr>
          <w:rFonts w:ascii="Century" w:hAnsi="Century"/>
          <w:sz w:val="24"/>
          <w:szCs w:val="24"/>
        </w:rPr>
        <w:t>mmitted’</w:t>
      </w:r>
      <w:r w:rsidR="00DA2603">
        <w:rPr>
          <w:rFonts w:ascii="Century" w:hAnsi="Century"/>
          <w:sz w:val="24"/>
          <w:szCs w:val="24"/>
        </w:rPr>
        <w:t>.</w:t>
      </w:r>
      <w:r w:rsidR="00D96D0B">
        <w:rPr>
          <w:rStyle w:val="FootnoteReference"/>
          <w:rFonts w:ascii="Century" w:hAnsi="Century"/>
          <w:sz w:val="24"/>
          <w:szCs w:val="24"/>
        </w:rPr>
        <w:footnoteReference w:id="120"/>
      </w:r>
      <w:r w:rsidR="000463D4">
        <w:rPr>
          <w:rFonts w:ascii="Century" w:hAnsi="Century"/>
          <w:sz w:val="24"/>
          <w:szCs w:val="24"/>
        </w:rPr>
        <w:t xml:space="preserve"> When laws are unpredictable it erodes the confidence in the legal system, as at th</w:t>
      </w:r>
      <w:r w:rsidR="00ED1BEF">
        <w:rPr>
          <w:rFonts w:ascii="Century" w:hAnsi="Century"/>
          <w:sz w:val="24"/>
          <w:szCs w:val="24"/>
        </w:rPr>
        <w:t xml:space="preserve">e time of the committal of the </w:t>
      </w:r>
      <w:r w:rsidR="000463D4">
        <w:rPr>
          <w:rFonts w:ascii="Century" w:hAnsi="Century"/>
          <w:sz w:val="24"/>
          <w:szCs w:val="24"/>
        </w:rPr>
        <w:t xml:space="preserve">offence persons would have thought their conduct was permissible. </w:t>
      </w:r>
      <w:r w:rsidR="000E3791">
        <w:rPr>
          <w:rFonts w:ascii="Century" w:hAnsi="Century"/>
          <w:sz w:val="24"/>
          <w:szCs w:val="24"/>
        </w:rPr>
        <w:t xml:space="preserve">It is because of the </w:t>
      </w:r>
      <w:r w:rsidR="000463D4">
        <w:rPr>
          <w:rFonts w:ascii="Century" w:hAnsi="Century"/>
          <w:sz w:val="24"/>
          <w:szCs w:val="24"/>
        </w:rPr>
        <w:t>disadvantageous position that</w:t>
      </w:r>
      <w:r w:rsidR="000E3791">
        <w:rPr>
          <w:rFonts w:ascii="Century" w:hAnsi="Century"/>
          <w:sz w:val="24"/>
          <w:szCs w:val="24"/>
        </w:rPr>
        <w:t xml:space="preserve"> retrospective legislation </w:t>
      </w:r>
      <w:r w:rsidR="000463D4">
        <w:rPr>
          <w:rFonts w:ascii="Century" w:hAnsi="Century"/>
          <w:sz w:val="24"/>
          <w:szCs w:val="24"/>
        </w:rPr>
        <w:t>puts citizens in</w:t>
      </w:r>
      <w:r w:rsidR="009E36A4">
        <w:rPr>
          <w:rFonts w:ascii="Century" w:hAnsi="Century"/>
          <w:sz w:val="24"/>
          <w:szCs w:val="24"/>
        </w:rPr>
        <w:t xml:space="preserve"> that it is inconsistent with the rule of law.</w:t>
      </w:r>
      <w:r w:rsidR="009E36A4">
        <w:rPr>
          <w:rStyle w:val="FootnoteReference"/>
          <w:rFonts w:ascii="Century" w:hAnsi="Century"/>
          <w:sz w:val="24"/>
          <w:szCs w:val="24"/>
        </w:rPr>
        <w:footnoteReference w:id="121"/>
      </w:r>
      <w:r w:rsidR="000463D4">
        <w:rPr>
          <w:rFonts w:ascii="Century" w:hAnsi="Century"/>
          <w:sz w:val="24"/>
          <w:szCs w:val="24"/>
        </w:rPr>
        <w:t xml:space="preserve"> </w:t>
      </w:r>
      <w:r w:rsidR="009E36A4">
        <w:rPr>
          <w:rFonts w:ascii="Century" w:hAnsi="Century"/>
          <w:sz w:val="24"/>
          <w:szCs w:val="24"/>
        </w:rPr>
        <w:t>Lord Bingham in listing predictability</w:t>
      </w:r>
      <w:r w:rsidR="009E36A4">
        <w:rPr>
          <w:rStyle w:val="FootnoteReference"/>
          <w:rFonts w:ascii="Century" w:hAnsi="Century"/>
          <w:sz w:val="24"/>
          <w:szCs w:val="24"/>
        </w:rPr>
        <w:footnoteReference w:id="122"/>
      </w:r>
      <w:r w:rsidR="009E36A4">
        <w:rPr>
          <w:rFonts w:ascii="Century" w:hAnsi="Century"/>
          <w:sz w:val="24"/>
          <w:szCs w:val="24"/>
        </w:rPr>
        <w:t xml:space="preserve"> as necessary for accessibility stated </w:t>
      </w:r>
      <w:r w:rsidR="00897FDE">
        <w:rPr>
          <w:rFonts w:ascii="Century" w:hAnsi="Century"/>
          <w:sz w:val="24"/>
          <w:szCs w:val="24"/>
        </w:rPr>
        <w:t>that-</w:t>
      </w:r>
    </w:p>
    <w:p w:rsidR="00725FF1" w:rsidRPr="00F32CF2" w:rsidRDefault="00725FF1" w:rsidP="00725FF1">
      <w:pPr>
        <w:spacing w:line="360" w:lineRule="auto"/>
        <w:ind w:left="720"/>
        <w:jc w:val="both"/>
        <w:rPr>
          <w:rFonts w:ascii="Century" w:hAnsi="Century"/>
          <w:sz w:val="24"/>
          <w:szCs w:val="24"/>
        </w:rPr>
      </w:pPr>
      <w:r w:rsidRPr="00F32CF2">
        <w:rPr>
          <w:rFonts w:ascii="Century" w:hAnsi="Century"/>
          <w:sz w:val="24"/>
          <w:szCs w:val="24"/>
        </w:rPr>
        <w:t>Difficult questions can sometimes arise on the retrospective effect of new statutes, but on this point the law is and has long been clear: you cannot be punished for something which was not criminal when you did it, and you cannot be punished more severely than you could have been punished at the time of the offence.</w:t>
      </w:r>
      <w:r w:rsidR="0058262E" w:rsidRPr="00F32CF2">
        <w:rPr>
          <w:rStyle w:val="FootnoteReference"/>
          <w:rFonts w:ascii="Century" w:hAnsi="Century"/>
          <w:sz w:val="24"/>
          <w:szCs w:val="24"/>
        </w:rPr>
        <w:footnoteReference w:id="123"/>
      </w:r>
    </w:p>
    <w:p w:rsidR="00725FF1" w:rsidRPr="00F32CF2" w:rsidRDefault="00725FF1" w:rsidP="00107FDC">
      <w:pPr>
        <w:spacing w:line="360" w:lineRule="auto"/>
        <w:ind w:firstLine="720"/>
        <w:jc w:val="both"/>
        <w:rPr>
          <w:rFonts w:ascii="Century" w:hAnsi="Century"/>
          <w:sz w:val="24"/>
          <w:szCs w:val="24"/>
        </w:rPr>
      </w:pPr>
    </w:p>
    <w:p w:rsidR="00107FDC" w:rsidRDefault="0058262E" w:rsidP="002F6754">
      <w:pPr>
        <w:spacing w:line="360" w:lineRule="auto"/>
        <w:jc w:val="both"/>
        <w:rPr>
          <w:rFonts w:ascii="Century" w:hAnsi="Century"/>
          <w:sz w:val="24"/>
          <w:szCs w:val="24"/>
        </w:rPr>
      </w:pPr>
      <w:r w:rsidRPr="00F32CF2">
        <w:rPr>
          <w:rFonts w:ascii="Century" w:hAnsi="Century"/>
          <w:sz w:val="24"/>
          <w:szCs w:val="24"/>
        </w:rPr>
        <w:t>However,</w:t>
      </w:r>
      <w:r w:rsidR="00DB79AF" w:rsidRPr="00F32CF2">
        <w:rPr>
          <w:rFonts w:ascii="Century" w:hAnsi="Century"/>
          <w:sz w:val="24"/>
          <w:szCs w:val="24"/>
        </w:rPr>
        <w:t xml:space="preserve"> </w:t>
      </w:r>
      <w:r w:rsidR="00107FDC" w:rsidRPr="00F32CF2">
        <w:rPr>
          <w:rFonts w:ascii="Century" w:hAnsi="Century"/>
          <w:sz w:val="24"/>
          <w:szCs w:val="24"/>
        </w:rPr>
        <w:t xml:space="preserve">if </w:t>
      </w:r>
      <w:r w:rsidR="00B561DD">
        <w:rPr>
          <w:rFonts w:ascii="Century" w:hAnsi="Century"/>
          <w:sz w:val="24"/>
          <w:szCs w:val="24"/>
        </w:rPr>
        <w:t>Parliament’s</w:t>
      </w:r>
      <w:r w:rsidR="00107FDC" w:rsidRPr="00F32CF2">
        <w:rPr>
          <w:rFonts w:ascii="Century" w:hAnsi="Century"/>
          <w:sz w:val="24"/>
          <w:szCs w:val="24"/>
        </w:rPr>
        <w:t xml:space="preserve"> intention </w:t>
      </w:r>
      <w:r w:rsidR="003B6F2F">
        <w:rPr>
          <w:rFonts w:ascii="Century" w:hAnsi="Century"/>
          <w:sz w:val="24"/>
          <w:szCs w:val="24"/>
        </w:rPr>
        <w:t>is that the</w:t>
      </w:r>
      <w:r w:rsidR="00107FDC" w:rsidRPr="00F32CF2">
        <w:rPr>
          <w:rFonts w:ascii="Century" w:hAnsi="Century"/>
          <w:sz w:val="24"/>
          <w:szCs w:val="24"/>
        </w:rPr>
        <w:t xml:space="preserve"> law </w:t>
      </w:r>
      <w:r w:rsidR="003B6F2F">
        <w:rPr>
          <w:rFonts w:ascii="Century" w:hAnsi="Century"/>
          <w:sz w:val="24"/>
          <w:szCs w:val="24"/>
        </w:rPr>
        <w:t>should</w:t>
      </w:r>
      <w:r w:rsidR="00107FDC" w:rsidRPr="00F32CF2">
        <w:rPr>
          <w:rFonts w:ascii="Century" w:hAnsi="Century"/>
          <w:sz w:val="24"/>
          <w:szCs w:val="24"/>
        </w:rPr>
        <w:t xml:space="preserve"> be retrospective</w:t>
      </w:r>
      <w:r w:rsidR="00C37B24">
        <w:rPr>
          <w:rFonts w:ascii="Century" w:hAnsi="Century"/>
          <w:sz w:val="24"/>
          <w:szCs w:val="24"/>
        </w:rPr>
        <w:t xml:space="preserve"> </w:t>
      </w:r>
      <w:r w:rsidR="00107FDC" w:rsidRPr="00F32CF2">
        <w:rPr>
          <w:rFonts w:ascii="Century" w:hAnsi="Century"/>
          <w:sz w:val="24"/>
          <w:szCs w:val="24"/>
        </w:rPr>
        <w:t xml:space="preserve">then that intention should be made in </w:t>
      </w:r>
      <w:r w:rsidR="00D627DA">
        <w:rPr>
          <w:rFonts w:ascii="Century" w:hAnsi="Century"/>
          <w:sz w:val="24"/>
          <w:szCs w:val="24"/>
        </w:rPr>
        <w:t>‘</w:t>
      </w:r>
      <w:r w:rsidR="00107FDC" w:rsidRPr="00F32CF2">
        <w:rPr>
          <w:rFonts w:ascii="Century" w:hAnsi="Century"/>
          <w:sz w:val="24"/>
          <w:szCs w:val="24"/>
        </w:rPr>
        <w:t>very clear</w:t>
      </w:r>
      <w:r w:rsidR="00D627DA">
        <w:rPr>
          <w:rFonts w:ascii="Century" w:hAnsi="Century"/>
          <w:sz w:val="24"/>
          <w:szCs w:val="24"/>
        </w:rPr>
        <w:t>’</w:t>
      </w:r>
      <w:r w:rsidR="00725FF1" w:rsidRPr="00F32CF2">
        <w:rPr>
          <w:rFonts w:ascii="Century" w:hAnsi="Century"/>
          <w:sz w:val="24"/>
          <w:szCs w:val="24"/>
        </w:rPr>
        <w:t>,</w:t>
      </w:r>
      <w:r w:rsidR="00107FDC" w:rsidRPr="00F32CF2">
        <w:rPr>
          <w:rFonts w:ascii="Century" w:hAnsi="Century"/>
          <w:sz w:val="24"/>
          <w:szCs w:val="24"/>
        </w:rPr>
        <w:t xml:space="preserve"> </w:t>
      </w:r>
      <w:r w:rsidR="00725FF1" w:rsidRPr="00F32CF2">
        <w:rPr>
          <w:rFonts w:ascii="Century" w:hAnsi="Century"/>
          <w:sz w:val="24"/>
          <w:szCs w:val="24"/>
        </w:rPr>
        <w:t xml:space="preserve">unambiguous </w:t>
      </w:r>
      <w:r w:rsidR="00107FDC" w:rsidRPr="00F32CF2">
        <w:rPr>
          <w:rFonts w:ascii="Century" w:hAnsi="Century"/>
          <w:sz w:val="24"/>
          <w:szCs w:val="24"/>
        </w:rPr>
        <w:t>words.</w:t>
      </w:r>
      <w:r w:rsidR="00107FDC" w:rsidRPr="00F32CF2">
        <w:rPr>
          <w:rStyle w:val="FootnoteReference"/>
          <w:rFonts w:ascii="Century" w:hAnsi="Century"/>
          <w:sz w:val="24"/>
          <w:szCs w:val="24"/>
        </w:rPr>
        <w:footnoteReference w:id="124"/>
      </w:r>
      <w:r w:rsidR="009E36A4" w:rsidRPr="009E36A4">
        <w:rPr>
          <w:rFonts w:ascii="Century" w:hAnsi="Century"/>
          <w:sz w:val="24"/>
          <w:szCs w:val="24"/>
        </w:rPr>
        <w:t xml:space="preserve"> </w:t>
      </w:r>
      <w:r w:rsidR="009E36A4" w:rsidRPr="00F32CF2">
        <w:rPr>
          <w:rFonts w:ascii="Century" w:hAnsi="Century"/>
          <w:sz w:val="24"/>
          <w:szCs w:val="24"/>
        </w:rPr>
        <w:t>This duty</w:t>
      </w:r>
      <w:r w:rsidR="009E36A4">
        <w:rPr>
          <w:rFonts w:ascii="Century" w:hAnsi="Century"/>
          <w:sz w:val="24"/>
          <w:szCs w:val="24"/>
        </w:rPr>
        <w:t xml:space="preserve"> to make the intention clear</w:t>
      </w:r>
      <w:r w:rsidR="009E36A4" w:rsidRPr="00F32CF2">
        <w:rPr>
          <w:rFonts w:ascii="Century" w:hAnsi="Century"/>
          <w:sz w:val="24"/>
          <w:szCs w:val="24"/>
        </w:rPr>
        <w:t xml:space="preserve"> falls in the lap of the drafter</w:t>
      </w:r>
      <w:r w:rsidR="009E36A4">
        <w:rPr>
          <w:rFonts w:ascii="Century" w:hAnsi="Century"/>
          <w:sz w:val="24"/>
          <w:szCs w:val="24"/>
        </w:rPr>
        <w:t>.</w:t>
      </w:r>
      <w:r w:rsidR="00107FDC" w:rsidRPr="00F32CF2">
        <w:rPr>
          <w:rFonts w:ascii="Century" w:hAnsi="Century"/>
          <w:sz w:val="24"/>
          <w:szCs w:val="24"/>
        </w:rPr>
        <w:t xml:space="preserve"> </w:t>
      </w:r>
      <w:r w:rsidRPr="00F32CF2">
        <w:rPr>
          <w:rFonts w:ascii="Century" w:hAnsi="Century"/>
          <w:sz w:val="24"/>
          <w:szCs w:val="24"/>
        </w:rPr>
        <w:t xml:space="preserve">As Turatsinze observes, </w:t>
      </w:r>
      <w:r w:rsidR="00ED1BEF">
        <w:rPr>
          <w:rFonts w:ascii="Century" w:hAnsi="Century"/>
          <w:sz w:val="24"/>
          <w:szCs w:val="24"/>
        </w:rPr>
        <w:t>when drafters fail to clearly state that the law is to apply retrospectively, the courts will assume that the law is not to have that effect. Therefore, it</w:t>
      </w:r>
      <w:r w:rsidR="0077784E">
        <w:rPr>
          <w:rFonts w:ascii="Century" w:hAnsi="Century"/>
          <w:sz w:val="24"/>
          <w:szCs w:val="24"/>
        </w:rPr>
        <w:t xml:space="preserve"> is</w:t>
      </w:r>
      <w:r w:rsidR="00ED1BEF">
        <w:rPr>
          <w:rFonts w:ascii="Century" w:hAnsi="Century"/>
          <w:sz w:val="24"/>
          <w:szCs w:val="24"/>
        </w:rPr>
        <w:t xml:space="preserve"> the drafter’s job to ‘</w:t>
      </w:r>
      <w:r w:rsidR="00062A39" w:rsidRPr="00F32CF2">
        <w:rPr>
          <w:rFonts w:ascii="Century" w:hAnsi="Century"/>
          <w:sz w:val="24"/>
          <w:szCs w:val="24"/>
        </w:rPr>
        <w:t>ensure that the retrospective intent is clearly, precisely and unambiguously expressed</w:t>
      </w:r>
      <w:r w:rsidR="00ED1BEF">
        <w:rPr>
          <w:rFonts w:ascii="Century" w:hAnsi="Century"/>
          <w:sz w:val="24"/>
          <w:szCs w:val="24"/>
        </w:rPr>
        <w:t>’</w:t>
      </w:r>
      <w:r w:rsidR="00062A39" w:rsidRPr="00F32CF2">
        <w:rPr>
          <w:rFonts w:ascii="Century" w:hAnsi="Century"/>
          <w:sz w:val="24"/>
          <w:szCs w:val="24"/>
        </w:rPr>
        <w:t>.</w:t>
      </w:r>
      <w:r w:rsidR="00E65E66" w:rsidRPr="00F32CF2">
        <w:rPr>
          <w:rStyle w:val="FootnoteReference"/>
          <w:rFonts w:ascii="Century" w:hAnsi="Century"/>
          <w:sz w:val="24"/>
          <w:szCs w:val="24"/>
        </w:rPr>
        <w:footnoteReference w:id="125"/>
      </w:r>
      <w:r w:rsidR="002F6754">
        <w:rPr>
          <w:rFonts w:ascii="Century" w:hAnsi="Century"/>
          <w:sz w:val="24"/>
          <w:szCs w:val="24"/>
        </w:rPr>
        <w:t xml:space="preserve"> </w:t>
      </w:r>
      <w:r w:rsidR="0077784E">
        <w:rPr>
          <w:rFonts w:ascii="Century" w:hAnsi="Century"/>
          <w:sz w:val="24"/>
          <w:szCs w:val="24"/>
        </w:rPr>
        <w:t xml:space="preserve">Similarly, </w:t>
      </w:r>
      <w:r w:rsidR="00107FDC" w:rsidRPr="00F32CF2">
        <w:rPr>
          <w:rFonts w:ascii="Century" w:hAnsi="Century"/>
          <w:sz w:val="24"/>
          <w:szCs w:val="24"/>
        </w:rPr>
        <w:lastRenderedPageBreak/>
        <w:t>Linde</w:t>
      </w:r>
      <w:r w:rsidR="0077784E">
        <w:rPr>
          <w:rFonts w:ascii="Century" w:hAnsi="Century"/>
          <w:sz w:val="24"/>
          <w:szCs w:val="24"/>
        </w:rPr>
        <w:t xml:space="preserve"> J</w:t>
      </w:r>
      <w:r w:rsidR="00107FDC" w:rsidRPr="00F32CF2">
        <w:rPr>
          <w:rFonts w:ascii="Century" w:hAnsi="Century"/>
          <w:sz w:val="24"/>
          <w:szCs w:val="24"/>
        </w:rPr>
        <w:t xml:space="preserve"> in the case </w:t>
      </w:r>
      <w:r w:rsidR="00107FDC" w:rsidRPr="00F32CF2">
        <w:rPr>
          <w:rFonts w:ascii="Century" w:hAnsi="Century"/>
          <w:b/>
          <w:sz w:val="24"/>
          <w:szCs w:val="24"/>
        </w:rPr>
        <w:t>Whipples v Houser</w:t>
      </w:r>
      <w:r w:rsidR="00107FDC" w:rsidRPr="00F32CF2">
        <w:rPr>
          <w:rFonts w:ascii="Century" w:hAnsi="Century"/>
          <w:sz w:val="24"/>
          <w:szCs w:val="24"/>
        </w:rPr>
        <w:t xml:space="preserve"> </w:t>
      </w:r>
      <w:r w:rsidR="002F6754">
        <w:rPr>
          <w:rFonts w:ascii="Century" w:hAnsi="Century"/>
          <w:sz w:val="24"/>
          <w:szCs w:val="24"/>
        </w:rPr>
        <w:t>acknowledge</w:t>
      </w:r>
      <w:r w:rsidR="00185123">
        <w:rPr>
          <w:rFonts w:ascii="Century" w:hAnsi="Century"/>
          <w:sz w:val="24"/>
          <w:szCs w:val="24"/>
        </w:rPr>
        <w:t>d</w:t>
      </w:r>
      <w:r w:rsidR="002F6754">
        <w:rPr>
          <w:rFonts w:ascii="Century" w:hAnsi="Century"/>
          <w:sz w:val="24"/>
          <w:szCs w:val="24"/>
        </w:rPr>
        <w:t xml:space="preserve"> that the problems with retrospective laws lies with the drafter who has possibly failed to give ‘</w:t>
      </w:r>
      <w:r w:rsidR="00107FDC" w:rsidRPr="00F32CF2">
        <w:rPr>
          <w:rFonts w:ascii="Century" w:hAnsi="Century"/>
          <w:sz w:val="24"/>
          <w:szCs w:val="24"/>
        </w:rPr>
        <w:t>adequate attention to the policy choices involved</w:t>
      </w:r>
      <w:r w:rsidR="002F6754">
        <w:rPr>
          <w:rFonts w:ascii="Century" w:hAnsi="Century"/>
          <w:sz w:val="24"/>
          <w:szCs w:val="24"/>
        </w:rPr>
        <w:t>’</w:t>
      </w:r>
      <w:r w:rsidR="00107FDC" w:rsidRPr="00F32CF2">
        <w:rPr>
          <w:rFonts w:ascii="Century" w:hAnsi="Century"/>
          <w:sz w:val="24"/>
          <w:szCs w:val="24"/>
        </w:rPr>
        <w:t>.</w:t>
      </w:r>
      <w:r w:rsidR="00107FDC" w:rsidRPr="00F32CF2">
        <w:rPr>
          <w:rStyle w:val="FootnoteReference"/>
          <w:rFonts w:ascii="Century" w:hAnsi="Century"/>
          <w:sz w:val="24"/>
          <w:szCs w:val="24"/>
        </w:rPr>
        <w:footnoteReference w:id="126"/>
      </w:r>
    </w:p>
    <w:p w:rsidR="002F6754" w:rsidRPr="00F32CF2" w:rsidRDefault="002F6754" w:rsidP="002F6754">
      <w:pPr>
        <w:spacing w:line="360" w:lineRule="auto"/>
        <w:jc w:val="both"/>
        <w:rPr>
          <w:rFonts w:ascii="Century" w:hAnsi="Century"/>
          <w:sz w:val="24"/>
          <w:szCs w:val="24"/>
        </w:rPr>
      </w:pPr>
    </w:p>
    <w:p w:rsidR="002F6754" w:rsidRDefault="00317B7F" w:rsidP="000F10E1">
      <w:pPr>
        <w:spacing w:line="360" w:lineRule="auto"/>
        <w:jc w:val="both"/>
        <w:rPr>
          <w:rFonts w:ascii="Century" w:hAnsi="Century"/>
          <w:sz w:val="24"/>
          <w:szCs w:val="24"/>
        </w:rPr>
      </w:pPr>
      <w:r w:rsidRPr="00F32CF2">
        <w:rPr>
          <w:rFonts w:ascii="Century" w:hAnsi="Century"/>
          <w:sz w:val="24"/>
          <w:szCs w:val="24"/>
        </w:rPr>
        <w:t>Therefore</w:t>
      </w:r>
      <w:r w:rsidR="005A1E03">
        <w:rPr>
          <w:rFonts w:ascii="Century" w:hAnsi="Century"/>
          <w:sz w:val="24"/>
          <w:szCs w:val="24"/>
        </w:rPr>
        <w:t>, subjecting the law to proper</w:t>
      </w:r>
      <w:r w:rsidRPr="00F32CF2">
        <w:rPr>
          <w:rFonts w:ascii="Century" w:hAnsi="Century"/>
          <w:sz w:val="24"/>
          <w:szCs w:val="24"/>
        </w:rPr>
        <w:t xml:space="preserve"> scrutiny must not be overlooked by drafter</w:t>
      </w:r>
      <w:r w:rsidR="00374246">
        <w:rPr>
          <w:rFonts w:ascii="Century" w:hAnsi="Century"/>
          <w:sz w:val="24"/>
          <w:szCs w:val="24"/>
        </w:rPr>
        <w:t>s</w:t>
      </w:r>
      <w:r w:rsidR="002C34A9">
        <w:rPr>
          <w:rFonts w:ascii="Century" w:hAnsi="Century"/>
          <w:sz w:val="24"/>
          <w:szCs w:val="24"/>
        </w:rPr>
        <w:t xml:space="preserve">. </w:t>
      </w:r>
      <w:r w:rsidR="00575828">
        <w:rPr>
          <w:rFonts w:ascii="Century" w:hAnsi="Century"/>
          <w:sz w:val="24"/>
          <w:szCs w:val="24"/>
        </w:rPr>
        <w:t>Failure</w:t>
      </w:r>
      <w:r w:rsidR="00575828" w:rsidRPr="00F32CF2">
        <w:rPr>
          <w:rFonts w:ascii="Century" w:hAnsi="Century"/>
          <w:sz w:val="24"/>
          <w:szCs w:val="24"/>
        </w:rPr>
        <w:t xml:space="preserve"> to </w:t>
      </w:r>
      <w:r w:rsidR="000F009C" w:rsidRPr="00F32CF2">
        <w:rPr>
          <w:rFonts w:ascii="Century" w:hAnsi="Century"/>
          <w:sz w:val="24"/>
          <w:szCs w:val="24"/>
        </w:rPr>
        <w:t>consider</w:t>
      </w:r>
      <w:r w:rsidR="00575828" w:rsidRPr="00F32CF2">
        <w:rPr>
          <w:rFonts w:ascii="Century" w:hAnsi="Century"/>
          <w:sz w:val="24"/>
          <w:szCs w:val="24"/>
        </w:rPr>
        <w:t xml:space="preserve"> the policy choices will </w:t>
      </w:r>
      <w:r w:rsidR="002C34A9">
        <w:rPr>
          <w:rFonts w:ascii="Century" w:hAnsi="Century"/>
          <w:sz w:val="24"/>
          <w:szCs w:val="24"/>
        </w:rPr>
        <w:t xml:space="preserve">hinder </w:t>
      </w:r>
      <w:r w:rsidR="000F009C">
        <w:rPr>
          <w:rFonts w:ascii="Century" w:hAnsi="Century"/>
          <w:sz w:val="24"/>
          <w:szCs w:val="24"/>
        </w:rPr>
        <w:t>them</w:t>
      </w:r>
      <w:r w:rsidR="002C34A9">
        <w:rPr>
          <w:rFonts w:ascii="Century" w:hAnsi="Century"/>
          <w:sz w:val="24"/>
          <w:szCs w:val="24"/>
        </w:rPr>
        <w:t xml:space="preserve"> from effectively </w:t>
      </w:r>
      <w:r w:rsidR="00794255">
        <w:rPr>
          <w:rFonts w:ascii="Century" w:hAnsi="Century"/>
          <w:sz w:val="24"/>
          <w:szCs w:val="24"/>
        </w:rPr>
        <w:t>contributing to</w:t>
      </w:r>
      <w:r w:rsidR="00575828" w:rsidRPr="00F32CF2">
        <w:rPr>
          <w:rFonts w:ascii="Century" w:hAnsi="Century"/>
          <w:sz w:val="24"/>
          <w:szCs w:val="24"/>
        </w:rPr>
        <w:t xml:space="preserve"> the rule of law.</w:t>
      </w:r>
      <w:r w:rsidR="00575828" w:rsidRPr="00F32CF2">
        <w:rPr>
          <w:rStyle w:val="FootnoteReference"/>
          <w:rFonts w:ascii="Century" w:hAnsi="Century"/>
          <w:sz w:val="24"/>
          <w:szCs w:val="24"/>
        </w:rPr>
        <w:footnoteReference w:id="127"/>
      </w:r>
      <w:r w:rsidR="00575828">
        <w:rPr>
          <w:rFonts w:ascii="Century" w:hAnsi="Century"/>
          <w:sz w:val="24"/>
          <w:szCs w:val="24"/>
        </w:rPr>
        <w:t xml:space="preserve"> </w:t>
      </w:r>
      <w:r w:rsidR="004770E8">
        <w:rPr>
          <w:rFonts w:ascii="Century" w:hAnsi="Century"/>
          <w:sz w:val="24"/>
          <w:szCs w:val="24"/>
        </w:rPr>
        <w:t>A</w:t>
      </w:r>
      <w:r w:rsidR="00374246">
        <w:rPr>
          <w:rFonts w:ascii="Century" w:hAnsi="Century"/>
          <w:sz w:val="24"/>
          <w:szCs w:val="24"/>
        </w:rPr>
        <w:t xml:space="preserve">s </w:t>
      </w:r>
      <w:r w:rsidR="00294DEC" w:rsidRPr="00F32CF2">
        <w:rPr>
          <w:rFonts w:ascii="Century" w:hAnsi="Century"/>
          <w:sz w:val="24"/>
          <w:szCs w:val="24"/>
        </w:rPr>
        <w:t>guardian</w:t>
      </w:r>
      <w:r w:rsidR="00374246">
        <w:rPr>
          <w:rFonts w:ascii="Century" w:hAnsi="Century"/>
          <w:sz w:val="24"/>
          <w:szCs w:val="24"/>
        </w:rPr>
        <w:t>s of the rule of law</w:t>
      </w:r>
      <w:r w:rsidRPr="00F32CF2">
        <w:rPr>
          <w:rFonts w:ascii="Century" w:hAnsi="Century"/>
          <w:sz w:val="24"/>
          <w:szCs w:val="24"/>
        </w:rPr>
        <w:t xml:space="preserve"> the</w:t>
      </w:r>
      <w:r w:rsidR="00374246">
        <w:rPr>
          <w:rFonts w:ascii="Century" w:hAnsi="Century"/>
          <w:sz w:val="24"/>
          <w:szCs w:val="24"/>
        </w:rPr>
        <w:t>y</w:t>
      </w:r>
      <w:r w:rsidRPr="00F32CF2">
        <w:rPr>
          <w:rFonts w:ascii="Century" w:hAnsi="Century"/>
          <w:sz w:val="24"/>
          <w:szCs w:val="24"/>
        </w:rPr>
        <w:t xml:space="preserve"> </w:t>
      </w:r>
      <w:r w:rsidR="00374246">
        <w:rPr>
          <w:rFonts w:ascii="Century" w:hAnsi="Century"/>
          <w:sz w:val="24"/>
          <w:szCs w:val="24"/>
        </w:rPr>
        <w:t>must raise these special responsibility</w:t>
      </w:r>
      <w:r w:rsidRPr="00F32CF2">
        <w:rPr>
          <w:rFonts w:ascii="Century" w:hAnsi="Century"/>
          <w:sz w:val="24"/>
          <w:szCs w:val="24"/>
        </w:rPr>
        <w:t xml:space="preserve"> issues. </w:t>
      </w:r>
      <w:r w:rsidR="00374246">
        <w:rPr>
          <w:rFonts w:ascii="Century" w:hAnsi="Century"/>
          <w:sz w:val="24"/>
          <w:szCs w:val="24"/>
        </w:rPr>
        <w:t>I</w:t>
      </w:r>
      <w:r w:rsidRPr="00F32CF2">
        <w:rPr>
          <w:rFonts w:ascii="Century" w:hAnsi="Century"/>
          <w:sz w:val="24"/>
          <w:szCs w:val="24"/>
        </w:rPr>
        <w:t xml:space="preserve">f </w:t>
      </w:r>
      <w:r w:rsidR="00374246">
        <w:rPr>
          <w:rFonts w:ascii="Century" w:hAnsi="Century"/>
          <w:sz w:val="24"/>
          <w:szCs w:val="24"/>
        </w:rPr>
        <w:t xml:space="preserve">after receiving advice </w:t>
      </w:r>
      <w:r w:rsidRPr="00F32CF2">
        <w:rPr>
          <w:rFonts w:ascii="Century" w:hAnsi="Century"/>
          <w:sz w:val="24"/>
          <w:szCs w:val="24"/>
        </w:rPr>
        <w:t>the policymaker still decides to go ahead with the proposal</w:t>
      </w:r>
      <w:r w:rsidR="00374246">
        <w:rPr>
          <w:rFonts w:ascii="Century" w:hAnsi="Century"/>
          <w:sz w:val="24"/>
          <w:szCs w:val="24"/>
        </w:rPr>
        <w:t>,</w:t>
      </w:r>
      <w:r w:rsidRPr="00F32CF2">
        <w:rPr>
          <w:rFonts w:ascii="Century" w:hAnsi="Century"/>
          <w:sz w:val="24"/>
          <w:szCs w:val="24"/>
        </w:rPr>
        <w:t xml:space="preserve"> the drafter must draft the law </w:t>
      </w:r>
      <w:r w:rsidR="00374246">
        <w:rPr>
          <w:rFonts w:ascii="Century" w:hAnsi="Century"/>
          <w:sz w:val="24"/>
          <w:szCs w:val="24"/>
        </w:rPr>
        <w:t>clearly so</w:t>
      </w:r>
      <w:r w:rsidRPr="00F32CF2">
        <w:rPr>
          <w:rFonts w:ascii="Century" w:hAnsi="Century"/>
          <w:sz w:val="24"/>
          <w:szCs w:val="24"/>
        </w:rPr>
        <w:t xml:space="preserve"> that citizens can know what the law is and how it affects them. </w:t>
      </w:r>
    </w:p>
    <w:p w:rsidR="00030E57" w:rsidRPr="001E6D56" w:rsidRDefault="00030E57" w:rsidP="000F10E1">
      <w:pPr>
        <w:spacing w:line="360" w:lineRule="auto"/>
        <w:jc w:val="both"/>
        <w:rPr>
          <w:rFonts w:ascii="Century" w:hAnsi="Century"/>
          <w:sz w:val="24"/>
          <w:szCs w:val="24"/>
        </w:rPr>
      </w:pPr>
    </w:p>
    <w:p w:rsidR="00DA77B8" w:rsidRPr="00F32CF2" w:rsidRDefault="00F7248D" w:rsidP="0022254C">
      <w:pPr>
        <w:pStyle w:val="ListParagraph"/>
        <w:numPr>
          <w:ilvl w:val="0"/>
          <w:numId w:val="2"/>
        </w:numPr>
        <w:spacing w:line="360" w:lineRule="auto"/>
        <w:jc w:val="both"/>
        <w:rPr>
          <w:rFonts w:ascii="Century" w:hAnsi="Century"/>
          <w:sz w:val="24"/>
          <w:szCs w:val="24"/>
        </w:rPr>
      </w:pPr>
      <w:r w:rsidRPr="00F32CF2">
        <w:rPr>
          <w:rFonts w:ascii="Century" w:hAnsi="Century"/>
          <w:b/>
          <w:sz w:val="24"/>
          <w:szCs w:val="24"/>
        </w:rPr>
        <w:t>The Audience</w:t>
      </w:r>
      <w:r w:rsidR="0099681C" w:rsidRPr="00F32CF2">
        <w:rPr>
          <w:rFonts w:ascii="Century" w:hAnsi="Century"/>
          <w:b/>
          <w:sz w:val="24"/>
          <w:szCs w:val="24"/>
        </w:rPr>
        <w:t xml:space="preserve"> </w:t>
      </w:r>
    </w:p>
    <w:p w:rsidR="00732363" w:rsidRDefault="00975059" w:rsidP="004B2585">
      <w:pPr>
        <w:spacing w:line="360" w:lineRule="auto"/>
        <w:jc w:val="both"/>
        <w:rPr>
          <w:rFonts w:ascii="Century" w:hAnsi="Century"/>
          <w:sz w:val="24"/>
          <w:szCs w:val="24"/>
        </w:rPr>
      </w:pPr>
      <w:r>
        <w:rPr>
          <w:rFonts w:ascii="Century" w:hAnsi="Century"/>
          <w:sz w:val="24"/>
          <w:szCs w:val="24"/>
        </w:rPr>
        <w:t xml:space="preserve">Analysing the audience of legislation is necessary because that </w:t>
      </w:r>
      <w:r w:rsidR="0047297E">
        <w:rPr>
          <w:rFonts w:ascii="Century" w:hAnsi="Century"/>
          <w:sz w:val="24"/>
          <w:szCs w:val="24"/>
        </w:rPr>
        <w:t>is</w:t>
      </w:r>
      <w:r>
        <w:rPr>
          <w:rFonts w:ascii="Century" w:hAnsi="Century"/>
          <w:sz w:val="24"/>
          <w:szCs w:val="24"/>
        </w:rPr>
        <w:t xml:space="preserve"> the </w:t>
      </w:r>
      <w:r w:rsidR="00A638FC">
        <w:rPr>
          <w:rFonts w:ascii="Century" w:hAnsi="Century"/>
          <w:sz w:val="24"/>
          <w:szCs w:val="24"/>
        </w:rPr>
        <w:t>intended target for which</w:t>
      </w:r>
      <w:r w:rsidR="0047297E">
        <w:rPr>
          <w:rFonts w:ascii="Century" w:hAnsi="Century"/>
          <w:sz w:val="24"/>
          <w:szCs w:val="24"/>
        </w:rPr>
        <w:t xml:space="preserve"> the </w:t>
      </w:r>
      <w:r>
        <w:rPr>
          <w:rFonts w:ascii="Century" w:hAnsi="Century"/>
          <w:sz w:val="24"/>
          <w:szCs w:val="24"/>
        </w:rPr>
        <w:t>drafter is making the law accessible. It is the audience that enables drafter</w:t>
      </w:r>
      <w:r w:rsidR="007014A7">
        <w:rPr>
          <w:rFonts w:ascii="Century" w:hAnsi="Century"/>
          <w:sz w:val="24"/>
          <w:szCs w:val="24"/>
        </w:rPr>
        <w:t>s</w:t>
      </w:r>
      <w:r>
        <w:rPr>
          <w:rFonts w:ascii="Century" w:hAnsi="Century"/>
          <w:sz w:val="24"/>
          <w:szCs w:val="24"/>
        </w:rPr>
        <w:t xml:space="preserve"> to choose the right techniques and tools to make the law </w:t>
      </w:r>
      <w:r w:rsidR="006866E0">
        <w:rPr>
          <w:rFonts w:ascii="Century" w:hAnsi="Century"/>
          <w:sz w:val="24"/>
          <w:szCs w:val="24"/>
        </w:rPr>
        <w:t xml:space="preserve">comprehensible </w:t>
      </w:r>
      <w:r>
        <w:rPr>
          <w:rFonts w:ascii="Century" w:hAnsi="Century"/>
          <w:sz w:val="24"/>
          <w:szCs w:val="24"/>
        </w:rPr>
        <w:t xml:space="preserve">to its eventual users. </w:t>
      </w:r>
      <w:r w:rsidR="004B2585">
        <w:rPr>
          <w:rFonts w:ascii="Century" w:hAnsi="Century"/>
          <w:sz w:val="24"/>
          <w:szCs w:val="24"/>
        </w:rPr>
        <w:t xml:space="preserve">Both Berry and </w:t>
      </w:r>
      <w:r w:rsidR="00C8057D">
        <w:rPr>
          <w:rFonts w:ascii="Century" w:hAnsi="Century"/>
          <w:sz w:val="24"/>
          <w:szCs w:val="24"/>
        </w:rPr>
        <w:t>Bertlin</w:t>
      </w:r>
      <w:r w:rsidR="004B2585">
        <w:rPr>
          <w:rFonts w:ascii="Century" w:hAnsi="Century"/>
          <w:sz w:val="24"/>
          <w:szCs w:val="24"/>
        </w:rPr>
        <w:t xml:space="preserve"> acknowledge that for any </w:t>
      </w:r>
      <w:r w:rsidR="00C8057D">
        <w:rPr>
          <w:rFonts w:ascii="Century" w:hAnsi="Century"/>
          <w:sz w:val="24"/>
          <w:szCs w:val="24"/>
        </w:rPr>
        <w:t xml:space="preserve">legislation </w:t>
      </w:r>
      <w:r w:rsidR="004B2585">
        <w:rPr>
          <w:rFonts w:ascii="Century" w:hAnsi="Century"/>
          <w:sz w:val="24"/>
          <w:szCs w:val="24"/>
        </w:rPr>
        <w:t>to be</w:t>
      </w:r>
      <w:r w:rsidR="00C8057D">
        <w:rPr>
          <w:rFonts w:ascii="Century" w:hAnsi="Century"/>
          <w:sz w:val="24"/>
          <w:szCs w:val="24"/>
        </w:rPr>
        <w:t xml:space="preserve"> </w:t>
      </w:r>
      <w:r w:rsidR="00D54364">
        <w:rPr>
          <w:rFonts w:ascii="Century" w:hAnsi="Century"/>
          <w:sz w:val="24"/>
          <w:szCs w:val="24"/>
        </w:rPr>
        <w:t xml:space="preserve">effective it </w:t>
      </w:r>
      <w:r w:rsidR="004B2585">
        <w:rPr>
          <w:rFonts w:ascii="Century" w:hAnsi="Century"/>
          <w:sz w:val="24"/>
          <w:szCs w:val="24"/>
        </w:rPr>
        <w:t>must be</w:t>
      </w:r>
      <w:r w:rsidR="00D54364">
        <w:rPr>
          <w:rFonts w:ascii="Century" w:hAnsi="Century"/>
          <w:sz w:val="24"/>
          <w:szCs w:val="24"/>
        </w:rPr>
        <w:t xml:space="preserve"> communicate</w:t>
      </w:r>
      <w:r w:rsidR="004B2585">
        <w:rPr>
          <w:rFonts w:ascii="Century" w:hAnsi="Century"/>
          <w:sz w:val="24"/>
          <w:szCs w:val="24"/>
        </w:rPr>
        <w:t>d</w:t>
      </w:r>
      <w:r w:rsidR="00D54364">
        <w:rPr>
          <w:rFonts w:ascii="Century" w:hAnsi="Century"/>
          <w:sz w:val="24"/>
          <w:szCs w:val="24"/>
        </w:rPr>
        <w:t xml:space="preserve"> to those it will affect</w:t>
      </w:r>
      <w:r w:rsidR="004B2585">
        <w:rPr>
          <w:rFonts w:ascii="Century" w:hAnsi="Century"/>
          <w:sz w:val="24"/>
          <w:szCs w:val="24"/>
        </w:rPr>
        <w:t>.</w:t>
      </w:r>
      <w:r w:rsidR="004B2585">
        <w:rPr>
          <w:rStyle w:val="FootnoteReference"/>
          <w:rFonts w:ascii="Century" w:hAnsi="Century"/>
          <w:sz w:val="24"/>
          <w:szCs w:val="24"/>
        </w:rPr>
        <w:footnoteReference w:id="128"/>
      </w:r>
      <w:r w:rsidR="004B2585">
        <w:rPr>
          <w:rFonts w:ascii="Century" w:hAnsi="Century"/>
          <w:sz w:val="24"/>
          <w:szCs w:val="24"/>
        </w:rPr>
        <w:t xml:space="preserve"> Therefore, according to Berry drafters ‘</w:t>
      </w:r>
      <w:r w:rsidR="004B2585" w:rsidRPr="00F32CF2">
        <w:rPr>
          <w:rFonts w:ascii="Century" w:hAnsi="Century"/>
          <w:sz w:val="24"/>
          <w:szCs w:val="24"/>
        </w:rPr>
        <w:t>need to understand how readers might think and feel as they interact with documents. They must anticipate what their readers need and expect</w:t>
      </w:r>
      <w:r w:rsidR="004B2585">
        <w:rPr>
          <w:rFonts w:ascii="Century" w:hAnsi="Century"/>
          <w:sz w:val="24"/>
          <w:szCs w:val="24"/>
        </w:rPr>
        <w:t>’</w:t>
      </w:r>
      <w:r w:rsidR="004B2585" w:rsidRPr="00F32CF2">
        <w:rPr>
          <w:rFonts w:ascii="Century" w:hAnsi="Century"/>
          <w:sz w:val="24"/>
          <w:szCs w:val="24"/>
        </w:rPr>
        <w:t>.</w:t>
      </w:r>
      <w:r w:rsidR="004B2585">
        <w:rPr>
          <w:rStyle w:val="FootnoteReference"/>
          <w:rFonts w:ascii="Century" w:hAnsi="Century"/>
          <w:sz w:val="24"/>
          <w:szCs w:val="24"/>
        </w:rPr>
        <w:footnoteReference w:id="129"/>
      </w:r>
      <w:r w:rsidR="000618D3">
        <w:rPr>
          <w:rFonts w:ascii="Century" w:hAnsi="Century"/>
          <w:sz w:val="24"/>
          <w:szCs w:val="24"/>
        </w:rPr>
        <w:t xml:space="preserve"> Anything</w:t>
      </w:r>
      <w:r w:rsidR="004B2585">
        <w:rPr>
          <w:rFonts w:ascii="Century" w:hAnsi="Century"/>
          <w:sz w:val="24"/>
          <w:szCs w:val="24"/>
        </w:rPr>
        <w:t xml:space="preserve"> less from the drafter </w:t>
      </w:r>
      <w:r w:rsidR="00C8057D">
        <w:rPr>
          <w:rFonts w:ascii="Century" w:hAnsi="Century"/>
          <w:sz w:val="24"/>
          <w:szCs w:val="24"/>
        </w:rPr>
        <w:t>results in failure</w:t>
      </w:r>
      <w:r w:rsidR="00044F3A">
        <w:rPr>
          <w:rFonts w:ascii="Century" w:hAnsi="Century"/>
          <w:sz w:val="24"/>
          <w:szCs w:val="24"/>
        </w:rPr>
        <w:t>.</w:t>
      </w:r>
      <w:r w:rsidR="00044F3A">
        <w:rPr>
          <w:rStyle w:val="FootnoteReference"/>
          <w:rFonts w:ascii="Century" w:hAnsi="Century"/>
          <w:sz w:val="24"/>
          <w:szCs w:val="24"/>
        </w:rPr>
        <w:footnoteReference w:id="130"/>
      </w:r>
      <w:r w:rsidR="00044F3A">
        <w:rPr>
          <w:rFonts w:ascii="Century" w:hAnsi="Century"/>
          <w:sz w:val="24"/>
          <w:szCs w:val="24"/>
        </w:rPr>
        <w:t xml:space="preserve"> </w:t>
      </w:r>
    </w:p>
    <w:p w:rsidR="004B2585" w:rsidRDefault="004B2585" w:rsidP="00732363">
      <w:pPr>
        <w:spacing w:line="360" w:lineRule="auto"/>
        <w:jc w:val="both"/>
        <w:rPr>
          <w:rFonts w:ascii="Century" w:hAnsi="Century"/>
          <w:sz w:val="24"/>
          <w:szCs w:val="24"/>
        </w:rPr>
      </w:pPr>
    </w:p>
    <w:p w:rsidR="00B81BF3" w:rsidRDefault="006D2CE5" w:rsidP="00732363">
      <w:pPr>
        <w:spacing w:line="360" w:lineRule="auto"/>
        <w:jc w:val="both"/>
        <w:rPr>
          <w:rFonts w:ascii="Century" w:hAnsi="Century"/>
          <w:sz w:val="24"/>
          <w:szCs w:val="24"/>
        </w:rPr>
      </w:pPr>
      <w:r>
        <w:rPr>
          <w:rFonts w:ascii="Century" w:hAnsi="Century"/>
          <w:sz w:val="24"/>
          <w:szCs w:val="24"/>
        </w:rPr>
        <w:t>Therefore, drafters must ensure that users understand the substance of the proposed law</w:t>
      </w:r>
      <w:r w:rsidR="00975059">
        <w:rPr>
          <w:rFonts w:ascii="Century" w:hAnsi="Century"/>
          <w:sz w:val="24"/>
          <w:szCs w:val="24"/>
        </w:rPr>
        <w:t xml:space="preserve"> to induce the required regulatory behaviour. As stated by Xanthaki there must be </w:t>
      </w:r>
      <w:r w:rsidR="00244815" w:rsidRPr="00F32CF2">
        <w:rPr>
          <w:rFonts w:ascii="Century" w:hAnsi="Century"/>
          <w:sz w:val="24"/>
          <w:szCs w:val="24"/>
        </w:rPr>
        <w:t xml:space="preserve">‘cooperation and positive action’ </w:t>
      </w:r>
      <w:r w:rsidR="004C2C81">
        <w:rPr>
          <w:rFonts w:ascii="Century" w:hAnsi="Century"/>
          <w:sz w:val="24"/>
          <w:szCs w:val="24"/>
        </w:rPr>
        <w:t>from those</w:t>
      </w:r>
      <w:r w:rsidR="00D40277">
        <w:rPr>
          <w:rFonts w:ascii="Century" w:hAnsi="Century"/>
          <w:sz w:val="24"/>
          <w:szCs w:val="24"/>
        </w:rPr>
        <w:t xml:space="preserve"> to whom</w:t>
      </w:r>
      <w:r w:rsidR="004C2C81">
        <w:rPr>
          <w:rFonts w:ascii="Century" w:hAnsi="Century"/>
          <w:sz w:val="24"/>
          <w:szCs w:val="24"/>
        </w:rPr>
        <w:t xml:space="preserve"> the message was</w:t>
      </w:r>
      <w:r w:rsidR="00244815" w:rsidRPr="00F32CF2">
        <w:rPr>
          <w:rFonts w:ascii="Century" w:hAnsi="Century"/>
          <w:sz w:val="24"/>
          <w:szCs w:val="24"/>
        </w:rPr>
        <w:t xml:space="preserve"> directed.</w:t>
      </w:r>
      <w:r w:rsidR="00244815" w:rsidRPr="00F32CF2">
        <w:rPr>
          <w:rStyle w:val="FootnoteReference"/>
          <w:rFonts w:ascii="Century" w:hAnsi="Century"/>
          <w:sz w:val="24"/>
          <w:szCs w:val="24"/>
        </w:rPr>
        <w:footnoteReference w:id="131"/>
      </w:r>
      <w:r w:rsidR="00244815" w:rsidRPr="00F32CF2">
        <w:rPr>
          <w:rFonts w:ascii="Century" w:hAnsi="Century"/>
          <w:sz w:val="24"/>
          <w:szCs w:val="24"/>
        </w:rPr>
        <w:t xml:space="preserve"> </w:t>
      </w:r>
      <w:r w:rsidR="00683DDE">
        <w:rPr>
          <w:rFonts w:ascii="Century" w:hAnsi="Century"/>
          <w:sz w:val="24"/>
          <w:szCs w:val="24"/>
        </w:rPr>
        <w:t>To identify the audience with ‘</w:t>
      </w:r>
      <w:r w:rsidR="00683DDE" w:rsidRPr="00F32CF2">
        <w:rPr>
          <w:rFonts w:ascii="Century" w:hAnsi="Century"/>
          <w:sz w:val="24"/>
          <w:szCs w:val="24"/>
        </w:rPr>
        <w:t>precision and accuracy</w:t>
      </w:r>
      <w:r w:rsidR="00683DDE">
        <w:rPr>
          <w:rFonts w:ascii="Century" w:hAnsi="Century"/>
          <w:sz w:val="24"/>
          <w:szCs w:val="24"/>
        </w:rPr>
        <w:t>’,</w:t>
      </w:r>
      <w:r w:rsidR="00683DDE" w:rsidRPr="00F32CF2">
        <w:rPr>
          <w:rStyle w:val="FootnoteReference"/>
          <w:rFonts w:ascii="Century" w:hAnsi="Century"/>
          <w:sz w:val="24"/>
          <w:szCs w:val="24"/>
        </w:rPr>
        <w:footnoteReference w:id="132"/>
      </w:r>
      <w:r w:rsidR="00683DDE">
        <w:rPr>
          <w:rFonts w:ascii="Century" w:hAnsi="Century"/>
          <w:sz w:val="24"/>
          <w:szCs w:val="24"/>
        </w:rPr>
        <w:t xml:space="preserve"> </w:t>
      </w:r>
      <w:r w:rsidR="00683DDE" w:rsidRPr="00773C94">
        <w:rPr>
          <w:rFonts w:ascii="Century" w:hAnsi="Century"/>
          <w:sz w:val="24"/>
          <w:szCs w:val="24"/>
        </w:rPr>
        <w:t>drafter</w:t>
      </w:r>
      <w:r w:rsidR="007014A7">
        <w:rPr>
          <w:rFonts w:ascii="Century" w:hAnsi="Century"/>
          <w:sz w:val="24"/>
          <w:szCs w:val="24"/>
        </w:rPr>
        <w:t>s</w:t>
      </w:r>
      <w:r w:rsidR="00683DDE" w:rsidRPr="00773C94">
        <w:rPr>
          <w:rFonts w:ascii="Century" w:hAnsi="Century"/>
          <w:sz w:val="24"/>
          <w:szCs w:val="24"/>
        </w:rPr>
        <w:t xml:space="preserve"> must </w:t>
      </w:r>
      <w:r w:rsidR="00F253C9" w:rsidRPr="00773C94">
        <w:rPr>
          <w:rFonts w:ascii="Century" w:hAnsi="Century"/>
          <w:sz w:val="24"/>
          <w:szCs w:val="24"/>
        </w:rPr>
        <w:t>interpret the instructions</w:t>
      </w:r>
      <w:r w:rsidR="001C729D" w:rsidRPr="00773C94">
        <w:rPr>
          <w:rStyle w:val="FootnoteReference"/>
          <w:rFonts w:ascii="Century" w:hAnsi="Century"/>
          <w:sz w:val="24"/>
          <w:szCs w:val="24"/>
        </w:rPr>
        <w:t xml:space="preserve"> </w:t>
      </w:r>
      <w:r w:rsidR="001C729D" w:rsidRPr="00773C94">
        <w:rPr>
          <w:rStyle w:val="FootnoteReference"/>
          <w:rFonts w:ascii="Century" w:hAnsi="Century"/>
          <w:sz w:val="24"/>
          <w:szCs w:val="24"/>
        </w:rPr>
        <w:footnoteReference w:id="133"/>
      </w:r>
      <w:r w:rsidR="001C729D" w:rsidRPr="00773C94">
        <w:rPr>
          <w:rFonts w:ascii="Century" w:hAnsi="Century"/>
          <w:sz w:val="24"/>
          <w:szCs w:val="24"/>
        </w:rPr>
        <w:t xml:space="preserve"> and</w:t>
      </w:r>
      <w:r w:rsidR="00683DDE" w:rsidRPr="00773C94">
        <w:rPr>
          <w:rFonts w:ascii="Century" w:hAnsi="Century"/>
          <w:sz w:val="24"/>
          <w:szCs w:val="24"/>
        </w:rPr>
        <w:t xml:space="preserve"> if necessary consult the instructing officer</w:t>
      </w:r>
      <w:r w:rsidR="001C729D" w:rsidRPr="00773C94">
        <w:rPr>
          <w:rFonts w:ascii="Century" w:hAnsi="Century"/>
          <w:sz w:val="24"/>
          <w:szCs w:val="24"/>
        </w:rPr>
        <w:t xml:space="preserve"> </w:t>
      </w:r>
      <w:r w:rsidR="005970D7" w:rsidRPr="00773C94">
        <w:rPr>
          <w:rFonts w:ascii="Century" w:hAnsi="Century"/>
          <w:sz w:val="24"/>
          <w:szCs w:val="24"/>
        </w:rPr>
        <w:t xml:space="preserve">to </w:t>
      </w:r>
      <w:r w:rsidR="001056A3">
        <w:rPr>
          <w:rFonts w:ascii="Century" w:hAnsi="Century"/>
          <w:sz w:val="24"/>
          <w:szCs w:val="24"/>
        </w:rPr>
        <w:t>get a better analysis of the law’s intended audience</w:t>
      </w:r>
      <w:r w:rsidR="00592F2A" w:rsidRPr="00773C94">
        <w:rPr>
          <w:rFonts w:ascii="Century" w:hAnsi="Century"/>
          <w:sz w:val="24"/>
          <w:szCs w:val="24"/>
        </w:rPr>
        <w:t>.</w:t>
      </w:r>
      <w:r w:rsidR="00592F2A" w:rsidRPr="00773C94">
        <w:rPr>
          <w:rStyle w:val="FootnoteReference"/>
          <w:rFonts w:ascii="Century" w:hAnsi="Century"/>
          <w:sz w:val="24"/>
          <w:szCs w:val="24"/>
        </w:rPr>
        <w:footnoteReference w:id="134"/>
      </w:r>
      <w:r w:rsidR="007277EF">
        <w:rPr>
          <w:rFonts w:ascii="Century" w:hAnsi="Century"/>
          <w:sz w:val="24"/>
          <w:szCs w:val="24"/>
        </w:rPr>
        <w:t xml:space="preserve"> </w:t>
      </w:r>
      <w:r w:rsidR="001056A3">
        <w:rPr>
          <w:rFonts w:ascii="Century" w:hAnsi="Century"/>
          <w:sz w:val="24"/>
          <w:szCs w:val="24"/>
        </w:rPr>
        <w:t xml:space="preserve">Reaching out to the instructing officer for assistance will </w:t>
      </w:r>
      <w:r w:rsidR="001056A3" w:rsidRPr="00773C94">
        <w:rPr>
          <w:rFonts w:ascii="Century" w:hAnsi="Century"/>
          <w:sz w:val="24"/>
          <w:szCs w:val="24"/>
        </w:rPr>
        <w:t>ensure that the regulatory message is conveyed effectively</w:t>
      </w:r>
      <w:r w:rsidR="00C616C1">
        <w:rPr>
          <w:rFonts w:ascii="Century" w:hAnsi="Century"/>
          <w:sz w:val="24"/>
          <w:szCs w:val="24"/>
        </w:rPr>
        <w:t xml:space="preserve"> as they would be familiar with the policy</w:t>
      </w:r>
      <w:r w:rsidR="001056A3">
        <w:rPr>
          <w:rFonts w:ascii="Century" w:hAnsi="Century"/>
          <w:sz w:val="24"/>
          <w:szCs w:val="24"/>
        </w:rPr>
        <w:t>.</w:t>
      </w:r>
      <w:r w:rsidR="00C616C1">
        <w:rPr>
          <w:rStyle w:val="FootnoteReference"/>
          <w:rFonts w:ascii="Century" w:hAnsi="Century"/>
          <w:sz w:val="24"/>
          <w:szCs w:val="24"/>
        </w:rPr>
        <w:footnoteReference w:id="135"/>
      </w:r>
      <w:r w:rsidR="001056A3" w:rsidRPr="00F32CF2">
        <w:rPr>
          <w:rFonts w:ascii="Century" w:hAnsi="Century"/>
          <w:sz w:val="24"/>
          <w:szCs w:val="24"/>
        </w:rPr>
        <w:t xml:space="preserve"> </w:t>
      </w:r>
    </w:p>
    <w:p w:rsidR="003C5C3E" w:rsidRDefault="003C5C3E" w:rsidP="003C5C3E">
      <w:pPr>
        <w:spacing w:line="360" w:lineRule="auto"/>
        <w:jc w:val="both"/>
        <w:rPr>
          <w:rFonts w:ascii="Century" w:hAnsi="Century"/>
          <w:sz w:val="24"/>
          <w:szCs w:val="24"/>
        </w:rPr>
      </w:pPr>
    </w:p>
    <w:p w:rsidR="00DA11A4" w:rsidRDefault="00DA11A4" w:rsidP="003C5C3E">
      <w:pPr>
        <w:spacing w:line="360" w:lineRule="auto"/>
        <w:jc w:val="both"/>
        <w:rPr>
          <w:rFonts w:ascii="Century" w:hAnsi="Century" w:cs="Arabic Typesetting"/>
          <w:sz w:val="24"/>
          <w:szCs w:val="24"/>
        </w:rPr>
      </w:pPr>
      <w:r>
        <w:rPr>
          <w:rFonts w:ascii="Century" w:hAnsi="Century"/>
          <w:sz w:val="24"/>
          <w:szCs w:val="24"/>
        </w:rPr>
        <w:t>Identifying the audience of legislation is not always</w:t>
      </w:r>
      <w:r w:rsidR="00D26E74">
        <w:rPr>
          <w:rFonts w:ascii="Century" w:hAnsi="Century"/>
          <w:sz w:val="24"/>
          <w:szCs w:val="24"/>
        </w:rPr>
        <w:t xml:space="preserve"> easy</w:t>
      </w:r>
      <w:r>
        <w:rPr>
          <w:rFonts w:ascii="Century" w:hAnsi="Century"/>
          <w:sz w:val="24"/>
          <w:szCs w:val="24"/>
        </w:rPr>
        <w:t xml:space="preserve"> </w:t>
      </w:r>
      <w:r w:rsidR="009E36A4">
        <w:rPr>
          <w:rFonts w:ascii="Century" w:hAnsi="Century"/>
          <w:sz w:val="24"/>
          <w:szCs w:val="24"/>
        </w:rPr>
        <w:t>because a</w:t>
      </w:r>
      <w:r w:rsidR="003C5C3E">
        <w:rPr>
          <w:rFonts w:ascii="Century" w:hAnsi="Century"/>
          <w:sz w:val="24"/>
          <w:szCs w:val="24"/>
        </w:rPr>
        <w:t>s noted by Tanner</w:t>
      </w:r>
      <w:r w:rsidR="004E4039">
        <w:rPr>
          <w:rFonts w:ascii="Century" w:hAnsi="Century"/>
          <w:sz w:val="24"/>
          <w:szCs w:val="24"/>
        </w:rPr>
        <w:t xml:space="preserve"> QC</w:t>
      </w:r>
      <w:r w:rsidR="003C5C3E">
        <w:rPr>
          <w:rFonts w:ascii="Century" w:hAnsi="Century"/>
          <w:sz w:val="24"/>
          <w:szCs w:val="24"/>
        </w:rPr>
        <w:t xml:space="preserve"> ‘</w:t>
      </w:r>
      <w:r w:rsidR="00E76283">
        <w:rPr>
          <w:rFonts w:ascii="Century" w:hAnsi="Century"/>
          <w:sz w:val="24"/>
          <w:szCs w:val="24"/>
        </w:rPr>
        <w:t>W</w:t>
      </w:r>
      <w:r w:rsidR="003C5C3E">
        <w:rPr>
          <w:rFonts w:ascii="Century" w:hAnsi="Century"/>
          <w:sz w:val="24"/>
          <w:szCs w:val="24"/>
        </w:rPr>
        <w:t>e no longer live in an age where learning is a privilege enjoyed by a handful of citizens like judges and lawyers’.</w:t>
      </w:r>
      <w:r w:rsidR="003C5C3E">
        <w:rPr>
          <w:rStyle w:val="FootnoteReference"/>
          <w:rFonts w:ascii="Century" w:hAnsi="Century"/>
          <w:sz w:val="24"/>
          <w:szCs w:val="24"/>
        </w:rPr>
        <w:footnoteReference w:id="136"/>
      </w:r>
      <w:r w:rsidR="003C5C3E">
        <w:rPr>
          <w:rFonts w:ascii="Century" w:hAnsi="Century"/>
          <w:sz w:val="24"/>
          <w:szCs w:val="24"/>
        </w:rPr>
        <w:t xml:space="preserve"> Therefore, the notion that the law is not read by the ‘ordinary man’ is a fallacy. Giving </w:t>
      </w:r>
      <w:r w:rsidR="00BC1C8D">
        <w:rPr>
          <w:rFonts w:ascii="Century" w:hAnsi="Century"/>
          <w:sz w:val="24"/>
          <w:szCs w:val="24"/>
        </w:rPr>
        <w:t>weight</w:t>
      </w:r>
      <w:r w:rsidR="003C5C3E">
        <w:rPr>
          <w:rFonts w:ascii="Century" w:hAnsi="Century"/>
          <w:sz w:val="24"/>
          <w:szCs w:val="24"/>
        </w:rPr>
        <w:t xml:space="preserve"> to this reality is </w:t>
      </w:r>
      <w:r w:rsidR="00044F3A">
        <w:rPr>
          <w:rFonts w:ascii="Century" w:hAnsi="Century"/>
          <w:sz w:val="24"/>
          <w:szCs w:val="24"/>
        </w:rPr>
        <w:t>research</w:t>
      </w:r>
      <w:r w:rsidR="003C5C3E" w:rsidRPr="00F32CF2">
        <w:rPr>
          <w:rFonts w:ascii="Century" w:hAnsi="Century"/>
          <w:sz w:val="24"/>
          <w:szCs w:val="24"/>
        </w:rPr>
        <w:t xml:space="preserve"> </w:t>
      </w:r>
      <w:r w:rsidR="003C5C3E">
        <w:rPr>
          <w:rFonts w:ascii="Century" w:hAnsi="Century"/>
          <w:sz w:val="24"/>
          <w:szCs w:val="24"/>
        </w:rPr>
        <w:t>conducted</w:t>
      </w:r>
      <w:r w:rsidR="003C5C3E" w:rsidRPr="00F32CF2">
        <w:rPr>
          <w:rFonts w:ascii="Century" w:hAnsi="Century"/>
          <w:sz w:val="24"/>
          <w:szCs w:val="24"/>
        </w:rPr>
        <w:t xml:space="preserve"> by </w:t>
      </w:r>
      <w:r w:rsidR="003C5C3E" w:rsidRPr="00F32CF2">
        <w:rPr>
          <w:rFonts w:ascii="Century" w:hAnsi="Century" w:cs="Arabic Typesetting"/>
          <w:sz w:val="24"/>
          <w:szCs w:val="24"/>
        </w:rPr>
        <w:t>the National Archives</w:t>
      </w:r>
      <w:r w:rsidR="00044F3A">
        <w:rPr>
          <w:rFonts w:ascii="Century" w:hAnsi="Century" w:cs="Arabic Typesetting"/>
          <w:sz w:val="24"/>
          <w:szCs w:val="24"/>
        </w:rPr>
        <w:t xml:space="preserve"> about users of UK legislation website </w:t>
      </w:r>
      <w:r w:rsidR="00A879A3">
        <w:rPr>
          <w:rFonts w:ascii="Century" w:hAnsi="Century" w:cs="Arabic Typesetting"/>
          <w:sz w:val="24"/>
          <w:szCs w:val="24"/>
        </w:rPr>
        <w:t>‘</w:t>
      </w:r>
      <w:r w:rsidR="00044F3A">
        <w:rPr>
          <w:rFonts w:ascii="Century" w:hAnsi="Century" w:cs="Arabic Typesetting"/>
          <w:sz w:val="24"/>
          <w:szCs w:val="24"/>
        </w:rPr>
        <w:t>legislation.gov.uk</w:t>
      </w:r>
      <w:r w:rsidR="00A879A3">
        <w:rPr>
          <w:rFonts w:ascii="Century" w:hAnsi="Century" w:cs="Arabic Typesetting"/>
          <w:sz w:val="24"/>
          <w:szCs w:val="24"/>
        </w:rPr>
        <w:t>’</w:t>
      </w:r>
      <w:r w:rsidR="003C5C3E" w:rsidRPr="00F32CF2">
        <w:rPr>
          <w:rFonts w:ascii="Century" w:hAnsi="Century" w:cs="Arabic Typesetting"/>
          <w:sz w:val="24"/>
          <w:szCs w:val="24"/>
        </w:rPr>
        <w:t xml:space="preserve"> </w:t>
      </w:r>
      <w:r w:rsidR="003C5C3E">
        <w:rPr>
          <w:rFonts w:ascii="Century" w:hAnsi="Century" w:cs="Arabic Typesetting"/>
          <w:sz w:val="24"/>
          <w:szCs w:val="24"/>
        </w:rPr>
        <w:t xml:space="preserve">where it </w:t>
      </w:r>
      <w:r w:rsidR="003C5C3E" w:rsidRPr="003A4346">
        <w:rPr>
          <w:rFonts w:ascii="Century" w:hAnsi="Century" w:cs="Arabic Typesetting"/>
          <w:sz w:val="24"/>
          <w:szCs w:val="24"/>
        </w:rPr>
        <w:t>was found that not only was legislation read by legal professionals but also lay persons and non-legal professionals.</w:t>
      </w:r>
      <w:r w:rsidR="003C5C3E" w:rsidRPr="003A4346">
        <w:rPr>
          <w:rStyle w:val="FootnoteReference"/>
          <w:rFonts w:ascii="Century" w:hAnsi="Century" w:cs="Arabic Typesetting"/>
          <w:sz w:val="24"/>
          <w:szCs w:val="24"/>
        </w:rPr>
        <w:footnoteReference w:id="137"/>
      </w:r>
      <w:r w:rsidR="003C5C3E" w:rsidRPr="00F32CF2">
        <w:rPr>
          <w:rFonts w:ascii="Century" w:hAnsi="Century" w:cs="Arabic Typesetting"/>
          <w:sz w:val="24"/>
          <w:szCs w:val="24"/>
        </w:rPr>
        <w:t xml:space="preserve"> </w:t>
      </w:r>
    </w:p>
    <w:p w:rsidR="00B759C2" w:rsidRDefault="00B759C2" w:rsidP="003C5C3E">
      <w:pPr>
        <w:spacing w:line="360" w:lineRule="auto"/>
        <w:jc w:val="both"/>
        <w:rPr>
          <w:rFonts w:ascii="Century" w:hAnsi="Century" w:cs="Arabic Typesetting"/>
          <w:sz w:val="24"/>
          <w:szCs w:val="24"/>
        </w:rPr>
      </w:pPr>
    </w:p>
    <w:p w:rsidR="004843E3" w:rsidRPr="00836565" w:rsidRDefault="00DA11A4" w:rsidP="00DA11A4">
      <w:pPr>
        <w:spacing w:line="360" w:lineRule="auto"/>
        <w:jc w:val="both"/>
        <w:rPr>
          <w:rFonts w:ascii="Century" w:hAnsi="Century"/>
          <w:sz w:val="24"/>
          <w:szCs w:val="24"/>
        </w:rPr>
      </w:pPr>
      <w:r>
        <w:rPr>
          <w:rFonts w:ascii="Century" w:hAnsi="Century" w:cs="Arabic Typesetting"/>
          <w:sz w:val="24"/>
          <w:szCs w:val="24"/>
        </w:rPr>
        <w:t xml:space="preserve">However, while </w:t>
      </w:r>
      <w:r w:rsidR="00381BAC">
        <w:rPr>
          <w:rFonts w:ascii="Century" w:hAnsi="Century" w:cs="Arabic Typesetting"/>
          <w:sz w:val="24"/>
          <w:szCs w:val="24"/>
        </w:rPr>
        <w:t>legislation should be</w:t>
      </w:r>
      <w:r>
        <w:rPr>
          <w:rFonts w:ascii="Century" w:hAnsi="Century" w:cs="Arabic Typesetting"/>
          <w:sz w:val="24"/>
          <w:szCs w:val="24"/>
        </w:rPr>
        <w:t xml:space="preserve"> accessible to everyone, the government’s policy often time is intended for a particular section of society. </w:t>
      </w:r>
      <w:r w:rsidR="00596B5A">
        <w:rPr>
          <w:rFonts w:ascii="Century" w:hAnsi="Century" w:cs="Arabic Typesetting"/>
          <w:sz w:val="24"/>
          <w:szCs w:val="24"/>
        </w:rPr>
        <w:t xml:space="preserve">Therefore, </w:t>
      </w:r>
      <w:r w:rsidR="00C24BC4">
        <w:rPr>
          <w:rFonts w:ascii="Century" w:hAnsi="Century" w:cs="Arabic Typesetting"/>
          <w:sz w:val="24"/>
          <w:szCs w:val="24"/>
        </w:rPr>
        <w:t xml:space="preserve">Greenberg’s suggestion to drafters is that they ‘determine the nature of [their] primary target audience and the facilities likely to be </w:t>
      </w:r>
      <w:r w:rsidR="00C24BC4">
        <w:rPr>
          <w:rFonts w:ascii="Century" w:hAnsi="Century" w:cs="Arabic Typesetting"/>
          <w:sz w:val="24"/>
          <w:szCs w:val="24"/>
        </w:rPr>
        <w:lastRenderedPageBreak/>
        <w:t xml:space="preserve">available to </w:t>
      </w:r>
      <w:r w:rsidR="00CB47EA">
        <w:rPr>
          <w:rFonts w:ascii="Century" w:hAnsi="Century" w:cs="Arabic Typesetting"/>
          <w:sz w:val="24"/>
          <w:szCs w:val="24"/>
        </w:rPr>
        <w:t>them</w:t>
      </w:r>
      <w:r w:rsidR="00C24BC4">
        <w:rPr>
          <w:rFonts w:ascii="Century" w:hAnsi="Century" w:cs="Arabic Typesetting"/>
          <w:sz w:val="24"/>
          <w:szCs w:val="24"/>
        </w:rPr>
        <w:t xml:space="preserve"> in applying and construing the legislation’</w:t>
      </w:r>
      <w:r w:rsidR="00C24BC4" w:rsidRPr="001E7BDB">
        <w:rPr>
          <w:rFonts w:ascii="Century" w:hAnsi="Century" w:cs="Arabic Typesetting"/>
          <w:sz w:val="24"/>
          <w:szCs w:val="24"/>
        </w:rPr>
        <w:t>.</w:t>
      </w:r>
      <w:r w:rsidR="00C24BC4" w:rsidRPr="001E7BDB">
        <w:rPr>
          <w:rStyle w:val="FootnoteReference"/>
          <w:rFonts w:ascii="Century" w:hAnsi="Century" w:cs="Arabic Typesetting"/>
          <w:sz w:val="24"/>
          <w:szCs w:val="24"/>
        </w:rPr>
        <w:footnoteReference w:id="138"/>
      </w:r>
      <w:r w:rsidR="004843E3" w:rsidRPr="001E7BDB">
        <w:rPr>
          <w:rFonts w:ascii="Century" w:hAnsi="Century"/>
          <w:sz w:val="24"/>
          <w:szCs w:val="24"/>
        </w:rPr>
        <w:t xml:space="preserve"> Similarly, the Renton Committee, suggested that t</w:t>
      </w:r>
      <w:r w:rsidR="00E64384">
        <w:rPr>
          <w:rFonts w:ascii="Century" w:hAnsi="Century"/>
          <w:sz w:val="24"/>
          <w:szCs w:val="24"/>
        </w:rPr>
        <w:t xml:space="preserve">he </w:t>
      </w:r>
      <w:r w:rsidR="009B15FD">
        <w:rPr>
          <w:rFonts w:ascii="Century" w:hAnsi="Century"/>
          <w:sz w:val="24"/>
          <w:szCs w:val="24"/>
        </w:rPr>
        <w:t>needs of</w:t>
      </w:r>
      <w:r w:rsidR="00E64384">
        <w:rPr>
          <w:rFonts w:ascii="Century" w:hAnsi="Century"/>
          <w:sz w:val="24"/>
          <w:szCs w:val="24"/>
        </w:rPr>
        <w:t xml:space="preserve"> the ‘ultimate users</w:t>
      </w:r>
      <w:r w:rsidR="004C5A80">
        <w:rPr>
          <w:rFonts w:ascii="Century" w:hAnsi="Century"/>
          <w:sz w:val="24"/>
          <w:szCs w:val="24"/>
        </w:rPr>
        <w:t xml:space="preserve"> should always </w:t>
      </w:r>
      <w:r w:rsidR="007F4178">
        <w:rPr>
          <w:rFonts w:ascii="Century" w:hAnsi="Century"/>
          <w:sz w:val="24"/>
          <w:szCs w:val="24"/>
        </w:rPr>
        <w:t>have priority’</w:t>
      </w:r>
      <w:r w:rsidR="004843E3" w:rsidRPr="001E7BDB">
        <w:rPr>
          <w:rFonts w:ascii="Century" w:hAnsi="Century"/>
          <w:sz w:val="24"/>
          <w:szCs w:val="24"/>
        </w:rPr>
        <w:t>.</w:t>
      </w:r>
      <w:r w:rsidR="003A4346" w:rsidRPr="001E7BDB">
        <w:rPr>
          <w:rStyle w:val="FootnoteReference"/>
          <w:rFonts w:ascii="Century" w:hAnsi="Century"/>
          <w:sz w:val="24"/>
          <w:szCs w:val="24"/>
        </w:rPr>
        <w:footnoteReference w:id="139"/>
      </w:r>
      <w:r w:rsidR="004843E3">
        <w:rPr>
          <w:rFonts w:ascii="Century" w:hAnsi="Century"/>
          <w:sz w:val="24"/>
          <w:szCs w:val="24"/>
        </w:rPr>
        <w:t xml:space="preserve"> </w:t>
      </w:r>
      <w:r w:rsidR="008426A5">
        <w:rPr>
          <w:rFonts w:ascii="Century" w:hAnsi="Century" w:cs="Arabic Typesetting"/>
          <w:sz w:val="24"/>
          <w:szCs w:val="24"/>
        </w:rPr>
        <w:t xml:space="preserve">Who then </w:t>
      </w:r>
      <w:r w:rsidR="00ED4631">
        <w:rPr>
          <w:rFonts w:ascii="Century" w:hAnsi="Century" w:cs="Arabic Typesetting"/>
          <w:sz w:val="24"/>
          <w:szCs w:val="24"/>
        </w:rPr>
        <w:t>are</w:t>
      </w:r>
      <w:r w:rsidR="008426A5">
        <w:rPr>
          <w:rFonts w:ascii="Century" w:hAnsi="Century" w:cs="Arabic Typesetting"/>
          <w:sz w:val="24"/>
          <w:szCs w:val="24"/>
        </w:rPr>
        <w:t xml:space="preserve"> the primary </w:t>
      </w:r>
      <w:r w:rsidR="004843E3">
        <w:rPr>
          <w:rFonts w:ascii="Century" w:hAnsi="Century" w:cs="Arabic Typesetting"/>
          <w:sz w:val="24"/>
          <w:szCs w:val="24"/>
        </w:rPr>
        <w:t>or ultimate users</w:t>
      </w:r>
      <w:r w:rsidR="008426A5">
        <w:rPr>
          <w:rFonts w:ascii="Century" w:hAnsi="Century" w:cs="Arabic Typesetting"/>
          <w:sz w:val="24"/>
          <w:szCs w:val="24"/>
        </w:rPr>
        <w:t xml:space="preserve">? </w:t>
      </w:r>
    </w:p>
    <w:p w:rsidR="009B15FD" w:rsidRDefault="009B15FD" w:rsidP="00DA11A4">
      <w:pPr>
        <w:spacing w:line="360" w:lineRule="auto"/>
        <w:jc w:val="both"/>
        <w:rPr>
          <w:rFonts w:ascii="Century" w:hAnsi="Century" w:cs="Arabic Typesetting"/>
          <w:sz w:val="24"/>
          <w:szCs w:val="24"/>
        </w:rPr>
      </w:pPr>
    </w:p>
    <w:p w:rsidR="00DA11A4" w:rsidRPr="00F32CF2" w:rsidRDefault="004843E3" w:rsidP="00DA11A4">
      <w:pPr>
        <w:spacing w:line="360" w:lineRule="auto"/>
        <w:jc w:val="both"/>
        <w:rPr>
          <w:rFonts w:ascii="Century" w:hAnsi="Century"/>
          <w:sz w:val="24"/>
          <w:szCs w:val="24"/>
        </w:rPr>
      </w:pPr>
      <w:r w:rsidRPr="001E7BDB">
        <w:rPr>
          <w:rFonts w:ascii="Century" w:hAnsi="Century"/>
          <w:sz w:val="24"/>
          <w:szCs w:val="24"/>
        </w:rPr>
        <w:t xml:space="preserve">Thornton </w:t>
      </w:r>
      <w:r w:rsidR="001E7BDB" w:rsidRPr="001E7BDB">
        <w:rPr>
          <w:rFonts w:ascii="Century" w:hAnsi="Century"/>
          <w:sz w:val="24"/>
          <w:szCs w:val="24"/>
        </w:rPr>
        <w:t>recognised</w:t>
      </w:r>
      <w:r w:rsidRPr="001E7BDB">
        <w:rPr>
          <w:rFonts w:ascii="Century" w:hAnsi="Century"/>
          <w:sz w:val="24"/>
          <w:szCs w:val="24"/>
        </w:rPr>
        <w:t xml:space="preserve"> that the audience consist</w:t>
      </w:r>
      <w:r w:rsidR="001E7BDB" w:rsidRPr="001E7BDB">
        <w:rPr>
          <w:rFonts w:ascii="Century" w:hAnsi="Century"/>
          <w:sz w:val="24"/>
          <w:szCs w:val="24"/>
        </w:rPr>
        <w:t>s</w:t>
      </w:r>
      <w:r w:rsidRPr="001E7BDB">
        <w:rPr>
          <w:rFonts w:ascii="Century" w:hAnsi="Century"/>
          <w:sz w:val="24"/>
          <w:szCs w:val="24"/>
        </w:rPr>
        <w:t xml:space="preserve"> of </w:t>
      </w:r>
      <w:r w:rsidR="00A1601B">
        <w:rPr>
          <w:rFonts w:ascii="Century" w:hAnsi="Century"/>
          <w:sz w:val="24"/>
          <w:szCs w:val="24"/>
        </w:rPr>
        <w:t>‘</w:t>
      </w:r>
      <w:r w:rsidRPr="001E7BDB">
        <w:rPr>
          <w:rFonts w:ascii="Century" w:hAnsi="Century"/>
          <w:sz w:val="24"/>
          <w:szCs w:val="24"/>
        </w:rPr>
        <w:t>lawmakers, the persons</w:t>
      </w:r>
      <w:r w:rsidR="00DC3ECC">
        <w:rPr>
          <w:rFonts w:ascii="Century" w:hAnsi="Century"/>
          <w:sz w:val="24"/>
          <w:szCs w:val="24"/>
        </w:rPr>
        <w:t xml:space="preserve"> who are </w:t>
      </w:r>
      <w:r w:rsidRPr="001E7BDB">
        <w:rPr>
          <w:rFonts w:ascii="Century" w:hAnsi="Century"/>
          <w:sz w:val="24"/>
          <w:szCs w:val="24"/>
        </w:rPr>
        <w:t xml:space="preserve">concerned with or affected by the law and members of the </w:t>
      </w:r>
      <w:r w:rsidR="001E7BDB" w:rsidRPr="001E7BDB">
        <w:rPr>
          <w:rFonts w:ascii="Century" w:hAnsi="Century"/>
          <w:sz w:val="24"/>
          <w:szCs w:val="24"/>
        </w:rPr>
        <w:t>judiciary</w:t>
      </w:r>
      <w:r w:rsidR="00A1601B">
        <w:rPr>
          <w:rFonts w:ascii="Century" w:hAnsi="Century"/>
          <w:sz w:val="24"/>
          <w:szCs w:val="24"/>
        </w:rPr>
        <w:t>’</w:t>
      </w:r>
      <w:r w:rsidR="001E7BDB" w:rsidRPr="001E7BDB">
        <w:rPr>
          <w:rFonts w:ascii="Century" w:hAnsi="Century"/>
          <w:sz w:val="24"/>
          <w:szCs w:val="24"/>
        </w:rPr>
        <w:t>.</w:t>
      </w:r>
      <w:r w:rsidRPr="001E7BDB">
        <w:rPr>
          <w:rStyle w:val="FootnoteReference"/>
          <w:rFonts w:ascii="Century" w:hAnsi="Century"/>
          <w:sz w:val="24"/>
          <w:szCs w:val="24"/>
        </w:rPr>
        <w:footnoteReference w:id="140"/>
      </w:r>
      <w:r w:rsidRPr="001E7BDB">
        <w:rPr>
          <w:rFonts w:ascii="Century" w:hAnsi="Century"/>
          <w:sz w:val="24"/>
          <w:szCs w:val="24"/>
        </w:rPr>
        <w:t xml:space="preserve"> </w:t>
      </w:r>
      <w:r w:rsidR="001E7BDB" w:rsidRPr="001E7BDB">
        <w:rPr>
          <w:rFonts w:ascii="Century" w:hAnsi="Century"/>
          <w:sz w:val="24"/>
          <w:szCs w:val="24"/>
        </w:rPr>
        <w:t>H</w:t>
      </w:r>
      <w:r w:rsidRPr="001E7BDB">
        <w:rPr>
          <w:rFonts w:ascii="Century" w:hAnsi="Century"/>
          <w:sz w:val="24"/>
          <w:szCs w:val="24"/>
        </w:rPr>
        <w:t>owever</w:t>
      </w:r>
      <w:r w:rsidR="001E7BDB" w:rsidRPr="001E7BDB">
        <w:rPr>
          <w:rFonts w:ascii="Century" w:hAnsi="Century"/>
          <w:sz w:val="24"/>
          <w:szCs w:val="24"/>
        </w:rPr>
        <w:t>, he suggest</w:t>
      </w:r>
      <w:r w:rsidR="005C19AD">
        <w:rPr>
          <w:rFonts w:ascii="Century" w:hAnsi="Century"/>
          <w:sz w:val="24"/>
          <w:szCs w:val="24"/>
        </w:rPr>
        <w:t>s</w:t>
      </w:r>
      <w:r w:rsidR="001E7BDB" w:rsidRPr="001E7BDB">
        <w:rPr>
          <w:rFonts w:ascii="Century" w:hAnsi="Century"/>
          <w:sz w:val="24"/>
          <w:szCs w:val="24"/>
        </w:rPr>
        <w:t xml:space="preserve"> that drafter</w:t>
      </w:r>
      <w:r w:rsidR="00FE228F">
        <w:rPr>
          <w:rFonts w:ascii="Century" w:hAnsi="Century"/>
          <w:sz w:val="24"/>
          <w:szCs w:val="24"/>
        </w:rPr>
        <w:t>s</w:t>
      </w:r>
      <w:r w:rsidR="001E7BDB" w:rsidRPr="001E7BDB">
        <w:rPr>
          <w:rFonts w:ascii="Century" w:hAnsi="Century"/>
          <w:sz w:val="24"/>
          <w:szCs w:val="24"/>
        </w:rPr>
        <w:t xml:space="preserve"> should adopt the style that is most suitable for </w:t>
      </w:r>
      <w:r w:rsidR="00FE228F">
        <w:rPr>
          <w:rFonts w:ascii="Century" w:hAnsi="Century"/>
          <w:sz w:val="24"/>
          <w:szCs w:val="24"/>
        </w:rPr>
        <w:t>those</w:t>
      </w:r>
      <w:r w:rsidR="001E7BDB" w:rsidRPr="001E7BDB">
        <w:rPr>
          <w:rFonts w:ascii="Century" w:hAnsi="Century"/>
          <w:sz w:val="24"/>
          <w:szCs w:val="24"/>
        </w:rPr>
        <w:t xml:space="preserve"> affected by the law in order for there to be effective communication</w:t>
      </w:r>
      <w:r w:rsidRPr="001E7BDB">
        <w:rPr>
          <w:rFonts w:ascii="Century" w:hAnsi="Century"/>
          <w:sz w:val="24"/>
          <w:szCs w:val="24"/>
        </w:rPr>
        <w:t>.</w:t>
      </w:r>
      <w:r w:rsidRPr="001E7BDB">
        <w:rPr>
          <w:rStyle w:val="FootnoteReference"/>
          <w:rFonts w:ascii="Century" w:hAnsi="Century"/>
          <w:sz w:val="24"/>
          <w:szCs w:val="24"/>
        </w:rPr>
        <w:footnoteReference w:id="141"/>
      </w:r>
      <w:r w:rsidRPr="001E7BDB">
        <w:rPr>
          <w:rFonts w:ascii="Century" w:hAnsi="Century"/>
          <w:sz w:val="24"/>
          <w:szCs w:val="24"/>
        </w:rPr>
        <w:t xml:space="preserve"> </w:t>
      </w:r>
      <w:r>
        <w:rPr>
          <w:rFonts w:ascii="Century" w:hAnsi="Century"/>
          <w:sz w:val="24"/>
          <w:szCs w:val="24"/>
        </w:rPr>
        <w:t xml:space="preserve">These persons have been described by </w:t>
      </w:r>
      <w:r w:rsidR="003C5C3E" w:rsidRPr="00F32CF2">
        <w:rPr>
          <w:rFonts w:ascii="Century" w:hAnsi="Century"/>
          <w:sz w:val="24"/>
          <w:szCs w:val="24"/>
        </w:rPr>
        <w:t>Horn</w:t>
      </w:r>
      <w:r>
        <w:rPr>
          <w:rFonts w:ascii="Century" w:hAnsi="Century"/>
          <w:sz w:val="24"/>
          <w:szCs w:val="24"/>
        </w:rPr>
        <w:t xml:space="preserve"> as</w:t>
      </w:r>
      <w:r w:rsidR="00DA11A4">
        <w:rPr>
          <w:rFonts w:ascii="Century" w:hAnsi="Century"/>
          <w:sz w:val="24"/>
          <w:szCs w:val="24"/>
        </w:rPr>
        <w:t xml:space="preserve"> the</w:t>
      </w:r>
      <w:r w:rsidR="003C5C3E" w:rsidRPr="00F32CF2">
        <w:rPr>
          <w:rFonts w:ascii="Century" w:hAnsi="Century"/>
          <w:sz w:val="24"/>
          <w:szCs w:val="24"/>
        </w:rPr>
        <w:t xml:space="preserve"> </w:t>
      </w:r>
      <w:r w:rsidR="00C24BC4">
        <w:rPr>
          <w:rFonts w:ascii="Century" w:hAnsi="Century"/>
          <w:sz w:val="24"/>
          <w:szCs w:val="24"/>
        </w:rPr>
        <w:t xml:space="preserve">primary users of </w:t>
      </w:r>
      <w:r w:rsidR="003C5C3E" w:rsidRPr="00F32CF2">
        <w:rPr>
          <w:rFonts w:ascii="Century" w:hAnsi="Century"/>
          <w:sz w:val="24"/>
          <w:szCs w:val="24"/>
        </w:rPr>
        <w:t>legislation</w:t>
      </w:r>
      <w:r>
        <w:rPr>
          <w:rFonts w:ascii="Century" w:hAnsi="Century"/>
          <w:sz w:val="24"/>
          <w:szCs w:val="24"/>
        </w:rPr>
        <w:t xml:space="preserve">; the ones </w:t>
      </w:r>
      <w:r w:rsidR="00B759C2">
        <w:rPr>
          <w:rFonts w:ascii="Century" w:hAnsi="Century"/>
          <w:sz w:val="24"/>
          <w:szCs w:val="24"/>
        </w:rPr>
        <w:t xml:space="preserve">whose </w:t>
      </w:r>
      <w:r w:rsidR="003C5C3E" w:rsidRPr="00F32CF2">
        <w:rPr>
          <w:rFonts w:ascii="Century" w:hAnsi="Century"/>
          <w:sz w:val="24"/>
          <w:szCs w:val="24"/>
        </w:rPr>
        <w:t xml:space="preserve">behaviour </w:t>
      </w:r>
      <w:r w:rsidR="00C24BC4">
        <w:rPr>
          <w:rFonts w:ascii="Century" w:hAnsi="Century"/>
          <w:sz w:val="24"/>
          <w:szCs w:val="24"/>
        </w:rPr>
        <w:t>the law seeks to change</w:t>
      </w:r>
      <w:r w:rsidR="003C5C3E" w:rsidRPr="00F32CF2">
        <w:rPr>
          <w:rFonts w:ascii="Century" w:hAnsi="Century"/>
          <w:sz w:val="24"/>
          <w:szCs w:val="24"/>
        </w:rPr>
        <w:t>.</w:t>
      </w:r>
      <w:r w:rsidR="001D33C7">
        <w:rPr>
          <w:rStyle w:val="FootnoteReference"/>
          <w:rFonts w:ascii="Century" w:hAnsi="Century"/>
          <w:sz w:val="24"/>
          <w:szCs w:val="24"/>
        </w:rPr>
        <w:footnoteReference w:id="142"/>
      </w:r>
      <w:r w:rsidR="005C19AD">
        <w:rPr>
          <w:rFonts w:ascii="Century" w:hAnsi="Century"/>
          <w:sz w:val="24"/>
          <w:szCs w:val="24"/>
        </w:rPr>
        <w:t xml:space="preserve"> </w:t>
      </w:r>
      <w:r w:rsidR="005B0441">
        <w:rPr>
          <w:rFonts w:ascii="Century" w:hAnsi="Century"/>
          <w:sz w:val="24"/>
          <w:szCs w:val="24"/>
        </w:rPr>
        <w:t>Horn identifies a second audience that he c</w:t>
      </w:r>
      <w:r w:rsidR="00215298">
        <w:rPr>
          <w:rFonts w:ascii="Century" w:hAnsi="Century"/>
          <w:sz w:val="24"/>
          <w:szCs w:val="24"/>
        </w:rPr>
        <w:t>alls the official interpreters. These</w:t>
      </w:r>
      <w:r w:rsidR="005B0441">
        <w:rPr>
          <w:rFonts w:ascii="Century" w:hAnsi="Century"/>
          <w:sz w:val="24"/>
          <w:szCs w:val="24"/>
        </w:rPr>
        <w:t xml:space="preserve"> persons are concerned with</w:t>
      </w:r>
      <w:r w:rsidR="007736B6">
        <w:rPr>
          <w:rFonts w:ascii="Century" w:hAnsi="Century"/>
          <w:sz w:val="24"/>
          <w:szCs w:val="24"/>
        </w:rPr>
        <w:t xml:space="preserve"> the </w:t>
      </w:r>
      <w:r w:rsidR="00AB0D8E">
        <w:rPr>
          <w:rFonts w:ascii="Century" w:hAnsi="Century"/>
          <w:sz w:val="24"/>
          <w:szCs w:val="24"/>
        </w:rPr>
        <w:t xml:space="preserve">administration, implementation and adjudication </w:t>
      </w:r>
      <w:r w:rsidR="005B0441">
        <w:rPr>
          <w:rFonts w:ascii="Century" w:hAnsi="Century"/>
          <w:sz w:val="24"/>
          <w:szCs w:val="24"/>
        </w:rPr>
        <w:t>of the statute</w:t>
      </w:r>
      <w:r w:rsidR="003C5C3E" w:rsidRPr="00F32CF2">
        <w:rPr>
          <w:rFonts w:ascii="Century" w:hAnsi="Century"/>
          <w:sz w:val="24"/>
          <w:szCs w:val="24"/>
        </w:rPr>
        <w:t>.</w:t>
      </w:r>
      <w:r w:rsidR="003C5C3E" w:rsidRPr="00F32CF2">
        <w:rPr>
          <w:rStyle w:val="FootnoteReference"/>
          <w:rFonts w:ascii="Century" w:hAnsi="Century"/>
          <w:sz w:val="24"/>
          <w:szCs w:val="24"/>
        </w:rPr>
        <w:footnoteReference w:id="143"/>
      </w:r>
      <w:r w:rsidR="003C5C3E">
        <w:rPr>
          <w:rFonts w:ascii="Century" w:hAnsi="Century"/>
          <w:sz w:val="24"/>
          <w:szCs w:val="24"/>
        </w:rPr>
        <w:t xml:space="preserve"> </w:t>
      </w:r>
      <w:r w:rsidR="00EF52A9">
        <w:rPr>
          <w:rFonts w:ascii="Century" w:hAnsi="Century"/>
          <w:sz w:val="24"/>
          <w:szCs w:val="24"/>
        </w:rPr>
        <w:t xml:space="preserve">For Ngirinshuti, </w:t>
      </w:r>
      <w:r w:rsidR="00EF52A9" w:rsidRPr="00F32CF2">
        <w:rPr>
          <w:rFonts w:ascii="Century" w:hAnsi="Century"/>
          <w:sz w:val="24"/>
          <w:szCs w:val="24"/>
        </w:rPr>
        <w:t>the</w:t>
      </w:r>
      <w:r w:rsidR="005D72FA">
        <w:rPr>
          <w:rFonts w:ascii="Century" w:hAnsi="Century"/>
          <w:sz w:val="24"/>
          <w:szCs w:val="24"/>
        </w:rPr>
        <w:t xml:space="preserve"> ‘different groups are to be</w:t>
      </w:r>
      <w:r w:rsidR="00B81BF3">
        <w:rPr>
          <w:rFonts w:ascii="Century" w:hAnsi="Century"/>
          <w:sz w:val="24"/>
          <w:szCs w:val="24"/>
        </w:rPr>
        <w:t xml:space="preserve"> addressed simultaneously</w:t>
      </w:r>
      <w:r w:rsidR="005D72FA">
        <w:rPr>
          <w:rFonts w:ascii="Century" w:hAnsi="Century"/>
          <w:sz w:val="24"/>
          <w:szCs w:val="24"/>
        </w:rPr>
        <w:t>’</w:t>
      </w:r>
      <w:r w:rsidR="00DA11A4" w:rsidRPr="00F32CF2">
        <w:rPr>
          <w:rFonts w:ascii="Century" w:hAnsi="Century"/>
          <w:sz w:val="24"/>
          <w:szCs w:val="24"/>
        </w:rPr>
        <w:t>.</w:t>
      </w:r>
      <w:r w:rsidR="00DA11A4" w:rsidRPr="00F32CF2">
        <w:rPr>
          <w:rStyle w:val="FootnoteReference"/>
          <w:rFonts w:ascii="Century" w:hAnsi="Century"/>
          <w:sz w:val="24"/>
          <w:szCs w:val="24"/>
        </w:rPr>
        <w:footnoteReference w:id="144"/>
      </w:r>
      <w:r w:rsidR="00DA11A4">
        <w:rPr>
          <w:rFonts w:ascii="Century" w:hAnsi="Century"/>
          <w:sz w:val="24"/>
          <w:szCs w:val="24"/>
        </w:rPr>
        <w:t xml:space="preserve"> </w:t>
      </w:r>
      <w:r w:rsidR="00AD2EC7">
        <w:rPr>
          <w:rFonts w:ascii="Century" w:hAnsi="Century"/>
          <w:sz w:val="24"/>
          <w:szCs w:val="24"/>
        </w:rPr>
        <w:t>Similarly, Sir Geoffrey Bowman states</w:t>
      </w:r>
      <w:r w:rsidR="00C5621A">
        <w:rPr>
          <w:rFonts w:ascii="Century" w:hAnsi="Century"/>
          <w:sz w:val="24"/>
          <w:szCs w:val="24"/>
        </w:rPr>
        <w:t xml:space="preserve"> that </w:t>
      </w:r>
      <w:r w:rsidR="00B81BF3">
        <w:rPr>
          <w:rFonts w:ascii="Century" w:hAnsi="Century"/>
          <w:sz w:val="24"/>
          <w:szCs w:val="24"/>
        </w:rPr>
        <w:t>drafter</w:t>
      </w:r>
      <w:r w:rsidR="003C4E0B">
        <w:rPr>
          <w:rFonts w:ascii="Century" w:hAnsi="Century"/>
          <w:sz w:val="24"/>
          <w:szCs w:val="24"/>
        </w:rPr>
        <w:t>s</w:t>
      </w:r>
      <w:r w:rsidR="00B81BF3">
        <w:rPr>
          <w:rFonts w:ascii="Century" w:hAnsi="Century"/>
          <w:sz w:val="24"/>
          <w:szCs w:val="24"/>
        </w:rPr>
        <w:t xml:space="preserve"> must find a way to balance the competing interests of the</w:t>
      </w:r>
      <w:r w:rsidR="00037AA1">
        <w:rPr>
          <w:rFonts w:ascii="Century" w:hAnsi="Century"/>
          <w:sz w:val="24"/>
          <w:szCs w:val="24"/>
        </w:rPr>
        <w:t>ir</w:t>
      </w:r>
      <w:r w:rsidR="00B81BF3">
        <w:rPr>
          <w:rFonts w:ascii="Century" w:hAnsi="Century"/>
          <w:sz w:val="24"/>
          <w:szCs w:val="24"/>
        </w:rPr>
        <w:t xml:space="preserve"> diverse audience</w:t>
      </w:r>
      <w:r w:rsidR="00C5621A">
        <w:rPr>
          <w:rFonts w:ascii="Century" w:hAnsi="Century"/>
          <w:sz w:val="24"/>
          <w:szCs w:val="24"/>
        </w:rPr>
        <w:t>.</w:t>
      </w:r>
      <w:r w:rsidR="00DA11A4" w:rsidRPr="00F32CF2">
        <w:rPr>
          <w:rFonts w:ascii="Century" w:hAnsi="Century"/>
          <w:sz w:val="24"/>
          <w:szCs w:val="24"/>
          <w:vertAlign w:val="superscript"/>
        </w:rPr>
        <w:footnoteReference w:id="145"/>
      </w:r>
      <w:r w:rsidR="00DA11A4">
        <w:rPr>
          <w:rFonts w:ascii="Century" w:hAnsi="Century"/>
          <w:sz w:val="24"/>
          <w:szCs w:val="24"/>
        </w:rPr>
        <w:t xml:space="preserve"> </w:t>
      </w:r>
      <w:r w:rsidR="00ED4631">
        <w:rPr>
          <w:rFonts w:ascii="Century" w:hAnsi="Century"/>
          <w:sz w:val="24"/>
          <w:szCs w:val="24"/>
        </w:rPr>
        <w:t>M</w:t>
      </w:r>
      <w:r w:rsidR="00C5621A">
        <w:rPr>
          <w:rFonts w:ascii="Century" w:hAnsi="Century"/>
          <w:sz w:val="24"/>
          <w:szCs w:val="24"/>
        </w:rPr>
        <w:t>aking a bill work for all users is a difficult task</w:t>
      </w:r>
      <w:r w:rsidR="00596B5A">
        <w:rPr>
          <w:rFonts w:ascii="Century" w:hAnsi="Century"/>
          <w:sz w:val="24"/>
          <w:szCs w:val="24"/>
        </w:rPr>
        <w:t>.</w:t>
      </w:r>
      <w:r w:rsidR="00C5621A">
        <w:rPr>
          <w:rFonts w:ascii="Century" w:hAnsi="Century"/>
          <w:sz w:val="24"/>
          <w:szCs w:val="24"/>
        </w:rPr>
        <w:t xml:space="preserve"> </w:t>
      </w:r>
      <w:r w:rsidR="00ED4631">
        <w:rPr>
          <w:rFonts w:ascii="Century" w:hAnsi="Century"/>
          <w:sz w:val="24"/>
          <w:szCs w:val="24"/>
        </w:rPr>
        <w:t xml:space="preserve">However, </w:t>
      </w:r>
      <w:r w:rsidR="00C5621A">
        <w:rPr>
          <w:rFonts w:ascii="Century" w:hAnsi="Century"/>
          <w:sz w:val="24"/>
          <w:szCs w:val="24"/>
        </w:rPr>
        <w:t xml:space="preserve">considering </w:t>
      </w:r>
      <w:r w:rsidR="006913FA">
        <w:rPr>
          <w:rFonts w:ascii="Century" w:hAnsi="Century"/>
          <w:sz w:val="24"/>
          <w:szCs w:val="24"/>
        </w:rPr>
        <w:t>the binding</w:t>
      </w:r>
      <w:r w:rsidR="00DA5D61">
        <w:rPr>
          <w:rStyle w:val="FootnoteReference"/>
          <w:rFonts w:ascii="Century" w:hAnsi="Century"/>
          <w:sz w:val="24"/>
          <w:szCs w:val="24"/>
        </w:rPr>
        <w:footnoteReference w:id="146"/>
      </w:r>
      <w:r w:rsidR="006913FA">
        <w:rPr>
          <w:rFonts w:ascii="Century" w:hAnsi="Century"/>
          <w:sz w:val="24"/>
          <w:szCs w:val="24"/>
        </w:rPr>
        <w:t xml:space="preserve"> and life transforming nature of law</w:t>
      </w:r>
      <w:r w:rsidR="00ED3DBC">
        <w:rPr>
          <w:rFonts w:ascii="Century" w:hAnsi="Century"/>
          <w:sz w:val="24"/>
          <w:szCs w:val="24"/>
        </w:rPr>
        <w:t>,</w:t>
      </w:r>
      <w:r w:rsidR="006913FA">
        <w:rPr>
          <w:rFonts w:ascii="Century" w:hAnsi="Century"/>
          <w:sz w:val="24"/>
          <w:szCs w:val="24"/>
        </w:rPr>
        <w:t xml:space="preserve"> </w:t>
      </w:r>
      <w:r w:rsidR="00F73130">
        <w:rPr>
          <w:rFonts w:ascii="Century" w:hAnsi="Century"/>
          <w:sz w:val="24"/>
          <w:szCs w:val="24"/>
        </w:rPr>
        <w:t>all categories of users</w:t>
      </w:r>
      <w:r w:rsidR="00C5621A">
        <w:rPr>
          <w:rFonts w:ascii="Century" w:hAnsi="Century"/>
          <w:sz w:val="24"/>
          <w:szCs w:val="24"/>
        </w:rPr>
        <w:t xml:space="preserve"> need to be certain of the regulatory message.</w:t>
      </w:r>
      <w:r w:rsidR="00C67DE0">
        <w:rPr>
          <w:rFonts w:ascii="Century" w:hAnsi="Century"/>
          <w:sz w:val="24"/>
          <w:szCs w:val="24"/>
        </w:rPr>
        <w:t xml:space="preserve"> </w:t>
      </w:r>
    </w:p>
    <w:p w:rsidR="00CC4D53" w:rsidRPr="00F32CF2" w:rsidRDefault="00CC4D53" w:rsidP="00211C1E">
      <w:pPr>
        <w:spacing w:line="360" w:lineRule="auto"/>
        <w:jc w:val="both"/>
        <w:rPr>
          <w:rFonts w:ascii="Century" w:hAnsi="Century"/>
          <w:sz w:val="24"/>
          <w:szCs w:val="24"/>
        </w:rPr>
      </w:pPr>
    </w:p>
    <w:p w:rsidR="000A6C32" w:rsidRDefault="000A6C32" w:rsidP="00357D7C">
      <w:pPr>
        <w:spacing w:line="360" w:lineRule="auto"/>
        <w:ind w:firstLine="720"/>
        <w:jc w:val="center"/>
        <w:rPr>
          <w:rFonts w:ascii="Century" w:hAnsi="Century"/>
          <w:b/>
          <w:sz w:val="24"/>
          <w:szCs w:val="24"/>
        </w:rPr>
      </w:pPr>
    </w:p>
    <w:p w:rsidR="001E6D56" w:rsidRDefault="001E6D56" w:rsidP="00B81BF3">
      <w:pPr>
        <w:spacing w:line="360" w:lineRule="auto"/>
        <w:rPr>
          <w:rFonts w:ascii="Century" w:hAnsi="Century"/>
          <w:b/>
          <w:sz w:val="24"/>
          <w:szCs w:val="24"/>
        </w:rPr>
      </w:pPr>
    </w:p>
    <w:p w:rsidR="005B4F02" w:rsidRDefault="005B4F02" w:rsidP="00B81BF3">
      <w:pPr>
        <w:spacing w:line="360" w:lineRule="auto"/>
        <w:rPr>
          <w:rFonts w:ascii="Century" w:hAnsi="Century"/>
          <w:b/>
          <w:sz w:val="24"/>
          <w:szCs w:val="24"/>
        </w:rPr>
      </w:pPr>
    </w:p>
    <w:p w:rsidR="005B4F02" w:rsidRDefault="005B4F02" w:rsidP="00B81BF3">
      <w:pPr>
        <w:spacing w:line="360" w:lineRule="auto"/>
        <w:rPr>
          <w:rFonts w:ascii="Century" w:hAnsi="Century"/>
          <w:b/>
          <w:sz w:val="24"/>
          <w:szCs w:val="24"/>
        </w:rPr>
      </w:pPr>
    </w:p>
    <w:p w:rsidR="005B4F02" w:rsidRDefault="005B4F02" w:rsidP="00B81BF3">
      <w:pPr>
        <w:spacing w:line="360" w:lineRule="auto"/>
        <w:rPr>
          <w:rFonts w:ascii="Century" w:hAnsi="Century"/>
          <w:b/>
          <w:sz w:val="24"/>
          <w:szCs w:val="24"/>
        </w:rPr>
      </w:pPr>
    </w:p>
    <w:p w:rsidR="00693A61" w:rsidRDefault="00693A61" w:rsidP="00B81BF3">
      <w:pPr>
        <w:spacing w:line="360" w:lineRule="auto"/>
        <w:rPr>
          <w:rFonts w:ascii="Century" w:hAnsi="Century"/>
          <w:b/>
          <w:sz w:val="24"/>
          <w:szCs w:val="24"/>
        </w:rPr>
      </w:pPr>
    </w:p>
    <w:p w:rsidR="00357D7C" w:rsidRPr="00D47BE8" w:rsidRDefault="00357D7C" w:rsidP="00D47BE8">
      <w:pPr>
        <w:pStyle w:val="Heading1"/>
        <w:jc w:val="center"/>
        <w:rPr>
          <w:color w:val="auto"/>
        </w:rPr>
      </w:pPr>
      <w:bookmarkStart w:id="40" w:name="_Toc427272179"/>
      <w:bookmarkStart w:id="41" w:name="_Toc427272665"/>
      <w:bookmarkStart w:id="42" w:name="_Toc427597745"/>
      <w:r w:rsidRPr="00D47BE8">
        <w:rPr>
          <w:color w:val="auto"/>
        </w:rPr>
        <w:t xml:space="preserve">CHAPTER </w:t>
      </w:r>
      <w:r w:rsidR="00EB50F3" w:rsidRPr="00D47BE8">
        <w:rPr>
          <w:color w:val="auto"/>
        </w:rPr>
        <w:t>FOUR</w:t>
      </w:r>
      <w:bookmarkEnd w:id="40"/>
      <w:bookmarkEnd w:id="41"/>
      <w:bookmarkEnd w:id="42"/>
    </w:p>
    <w:p w:rsidR="00357D7C" w:rsidRPr="00D47BE8" w:rsidRDefault="001D3FD2" w:rsidP="00D47BE8">
      <w:pPr>
        <w:pStyle w:val="Heading1"/>
        <w:jc w:val="center"/>
        <w:rPr>
          <w:color w:val="auto"/>
        </w:rPr>
      </w:pPr>
      <w:bookmarkStart w:id="43" w:name="_Toc427272180"/>
      <w:bookmarkStart w:id="44" w:name="_Toc427272666"/>
      <w:bookmarkStart w:id="45" w:name="_Toc427597746"/>
      <w:r w:rsidRPr="00D47BE8">
        <w:rPr>
          <w:color w:val="auto"/>
        </w:rPr>
        <w:t>STAGE</w:t>
      </w:r>
      <w:r w:rsidR="000F10E1" w:rsidRPr="00D47BE8">
        <w:rPr>
          <w:color w:val="auto"/>
        </w:rPr>
        <w:t xml:space="preserve"> 3-Designing the </w:t>
      </w:r>
      <w:r w:rsidR="003227C1" w:rsidRPr="00D47BE8">
        <w:rPr>
          <w:color w:val="auto"/>
        </w:rPr>
        <w:t>Bill</w:t>
      </w:r>
      <w:bookmarkEnd w:id="43"/>
      <w:bookmarkEnd w:id="44"/>
      <w:bookmarkEnd w:id="45"/>
    </w:p>
    <w:p w:rsidR="00AE6DD4" w:rsidRPr="00F32CF2" w:rsidRDefault="00AE6DD4" w:rsidP="008D3BD6">
      <w:pPr>
        <w:pStyle w:val="Heading4"/>
      </w:pPr>
    </w:p>
    <w:p w:rsidR="00AF60D1" w:rsidRPr="008D3BD6" w:rsidRDefault="00AF60D1" w:rsidP="008D3BD6">
      <w:pPr>
        <w:pStyle w:val="Heading4"/>
        <w:numPr>
          <w:ilvl w:val="0"/>
          <w:numId w:val="23"/>
        </w:numPr>
        <w:rPr>
          <w:color w:val="auto"/>
          <w:sz w:val="24"/>
          <w:szCs w:val="24"/>
        </w:rPr>
      </w:pPr>
      <w:bookmarkStart w:id="46" w:name="_Toc427272667"/>
      <w:bookmarkStart w:id="47" w:name="_Toc427597747"/>
      <w:r w:rsidRPr="008D3BD6">
        <w:rPr>
          <w:color w:val="auto"/>
          <w:sz w:val="24"/>
          <w:szCs w:val="24"/>
        </w:rPr>
        <w:t>What is the Design Stage?</w:t>
      </w:r>
      <w:bookmarkEnd w:id="46"/>
      <w:bookmarkEnd w:id="47"/>
    </w:p>
    <w:p w:rsidR="008D3BD6" w:rsidRDefault="008D3BD6" w:rsidP="009C71B0">
      <w:pPr>
        <w:spacing w:line="360" w:lineRule="auto"/>
        <w:jc w:val="both"/>
        <w:rPr>
          <w:rFonts w:ascii="Century" w:hAnsi="Century"/>
          <w:sz w:val="24"/>
          <w:szCs w:val="24"/>
        </w:rPr>
      </w:pPr>
    </w:p>
    <w:p w:rsidR="00222F36" w:rsidRPr="00222F36" w:rsidRDefault="0086780E" w:rsidP="009C71B0">
      <w:pPr>
        <w:spacing w:line="360" w:lineRule="auto"/>
        <w:jc w:val="both"/>
        <w:rPr>
          <w:rFonts w:ascii="Century" w:hAnsi="Century"/>
          <w:sz w:val="24"/>
          <w:szCs w:val="24"/>
          <w:highlight w:val="yellow"/>
        </w:rPr>
      </w:pPr>
      <w:r w:rsidRPr="00F32CF2">
        <w:rPr>
          <w:rFonts w:ascii="Century" w:hAnsi="Century"/>
          <w:sz w:val="24"/>
          <w:szCs w:val="24"/>
        </w:rPr>
        <w:t>After understanding and analysing the legislative proposal drafter</w:t>
      </w:r>
      <w:r w:rsidR="003C4E0B">
        <w:rPr>
          <w:rFonts w:ascii="Century" w:hAnsi="Century"/>
          <w:sz w:val="24"/>
          <w:szCs w:val="24"/>
        </w:rPr>
        <w:t>s</w:t>
      </w:r>
      <w:r w:rsidRPr="00F32CF2">
        <w:rPr>
          <w:rFonts w:ascii="Century" w:hAnsi="Century"/>
          <w:sz w:val="24"/>
          <w:szCs w:val="24"/>
        </w:rPr>
        <w:t xml:space="preserve"> </w:t>
      </w:r>
      <w:r w:rsidR="003C4E0B">
        <w:rPr>
          <w:rFonts w:ascii="Century" w:hAnsi="Century"/>
          <w:sz w:val="24"/>
          <w:szCs w:val="24"/>
        </w:rPr>
        <w:t>are</w:t>
      </w:r>
      <w:r w:rsidRPr="00F32CF2">
        <w:rPr>
          <w:rFonts w:ascii="Century" w:hAnsi="Century"/>
          <w:sz w:val="24"/>
          <w:szCs w:val="24"/>
        </w:rPr>
        <w:t xml:space="preserve"> now ready to design the </w:t>
      </w:r>
      <w:r w:rsidR="003227C1">
        <w:rPr>
          <w:rFonts w:ascii="Century" w:hAnsi="Century"/>
          <w:sz w:val="24"/>
          <w:szCs w:val="24"/>
        </w:rPr>
        <w:t>bill</w:t>
      </w:r>
      <w:r w:rsidRPr="00F32CF2">
        <w:rPr>
          <w:rFonts w:ascii="Century" w:hAnsi="Century"/>
          <w:sz w:val="24"/>
          <w:szCs w:val="24"/>
        </w:rPr>
        <w:t xml:space="preserve">. </w:t>
      </w:r>
      <w:r w:rsidR="00222F36">
        <w:rPr>
          <w:rFonts w:ascii="Century" w:hAnsi="Century"/>
          <w:sz w:val="24"/>
          <w:szCs w:val="24"/>
        </w:rPr>
        <w:t>It is here that</w:t>
      </w:r>
      <w:r w:rsidR="00222F36" w:rsidRPr="00F32CF2">
        <w:rPr>
          <w:rFonts w:ascii="Century" w:hAnsi="Century"/>
          <w:sz w:val="24"/>
          <w:szCs w:val="24"/>
        </w:rPr>
        <w:t xml:space="preserve"> drafter</w:t>
      </w:r>
      <w:r w:rsidR="00222F36">
        <w:rPr>
          <w:rFonts w:ascii="Century" w:hAnsi="Century"/>
          <w:sz w:val="24"/>
          <w:szCs w:val="24"/>
        </w:rPr>
        <w:t>s</w:t>
      </w:r>
      <w:r w:rsidR="00222F36" w:rsidRPr="00F32CF2">
        <w:rPr>
          <w:rFonts w:ascii="Century" w:hAnsi="Century"/>
          <w:sz w:val="24"/>
          <w:szCs w:val="24"/>
        </w:rPr>
        <w:t xml:space="preserve"> </w:t>
      </w:r>
      <w:r w:rsidR="00222F36">
        <w:rPr>
          <w:rFonts w:ascii="Century" w:hAnsi="Century"/>
          <w:sz w:val="24"/>
          <w:szCs w:val="24"/>
        </w:rPr>
        <w:t>envision how to communicate the regulatory message</w:t>
      </w:r>
      <w:r w:rsidR="00222F36" w:rsidRPr="007429BB">
        <w:rPr>
          <w:rFonts w:ascii="Century" w:hAnsi="Century"/>
          <w:sz w:val="24"/>
          <w:szCs w:val="24"/>
        </w:rPr>
        <w:t xml:space="preserve">. </w:t>
      </w:r>
      <w:r w:rsidR="00222F36" w:rsidRPr="00F32CF2">
        <w:rPr>
          <w:rFonts w:ascii="Century" w:hAnsi="Century"/>
          <w:sz w:val="24"/>
          <w:szCs w:val="24"/>
        </w:rPr>
        <w:t>As Horn notes</w:t>
      </w:r>
      <w:r w:rsidR="00222F36">
        <w:rPr>
          <w:rFonts w:ascii="Century" w:hAnsi="Century"/>
          <w:sz w:val="24"/>
          <w:szCs w:val="24"/>
        </w:rPr>
        <w:t>,</w:t>
      </w:r>
      <w:r w:rsidR="00222F36" w:rsidRPr="00F32CF2">
        <w:rPr>
          <w:rFonts w:ascii="Century" w:hAnsi="Century"/>
          <w:sz w:val="24"/>
          <w:szCs w:val="24"/>
        </w:rPr>
        <w:t xml:space="preserve"> drafter</w:t>
      </w:r>
      <w:r w:rsidR="00222F36">
        <w:rPr>
          <w:rFonts w:ascii="Century" w:hAnsi="Century"/>
          <w:sz w:val="24"/>
          <w:szCs w:val="24"/>
        </w:rPr>
        <w:t>s</w:t>
      </w:r>
      <w:r w:rsidR="00222F36" w:rsidRPr="00F32CF2">
        <w:rPr>
          <w:rFonts w:ascii="Century" w:hAnsi="Century"/>
          <w:sz w:val="24"/>
          <w:szCs w:val="24"/>
        </w:rPr>
        <w:t xml:space="preserve"> designing the law is </w:t>
      </w:r>
      <w:r w:rsidR="00222F36">
        <w:rPr>
          <w:rFonts w:ascii="Century" w:hAnsi="Century"/>
          <w:sz w:val="24"/>
          <w:szCs w:val="24"/>
        </w:rPr>
        <w:t>their</w:t>
      </w:r>
      <w:r w:rsidR="00222F36" w:rsidRPr="00F32CF2">
        <w:rPr>
          <w:rFonts w:ascii="Century" w:hAnsi="Century"/>
          <w:sz w:val="24"/>
          <w:szCs w:val="24"/>
        </w:rPr>
        <w:t xml:space="preserve"> way of preparing a blueprint that is a response to the policy.</w:t>
      </w:r>
      <w:r w:rsidR="00222F36" w:rsidRPr="00F32CF2">
        <w:rPr>
          <w:rStyle w:val="FootnoteReference"/>
          <w:rFonts w:ascii="Century" w:hAnsi="Century"/>
          <w:sz w:val="24"/>
          <w:szCs w:val="24"/>
        </w:rPr>
        <w:footnoteReference w:id="147"/>
      </w:r>
      <w:r w:rsidR="00A2597A" w:rsidRPr="00F32CF2">
        <w:rPr>
          <w:rFonts w:ascii="Century" w:hAnsi="Century"/>
          <w:sz w:val="24"/>
          <w:szCs w:val="24"/>
        </w:rPr>
        <w:t>This stage</w:t>
      </w:r>
      <w:r w:rsidR="00761D41">
        <w:rPr>
          <w:rFonts w:ascii="Century" w:hAnsi="Century"/>
          <w:sz w:val="24"/>
          <w:szCs w:val="24"/>
        </w:rPr>
        <w:t xml:space="preserve"> in the drafting process</w:t>
      </w:r>
      <w:r w:rsidR="00A2597A" w:rsidRPr="00F32CF2">
        <w:rPr>
          <w:rFonts w:ascii="Century" w:hAnsi="Century"/>
          <w:sz w:val="24"/>
          <w:szCs w:val="24"/>
        </w:rPr>
        <w:t xml:space="preserve"> is aptly placed because drafters cannot properly design a law that they do not understand. </w:t>
      </w:r>
      <w:r w:rsidR="00222F36">
        <w:rPr>
          <w:rFonts w:ascii="Century" w:hAnsi="Century"/>
          <w:sz w:val="24"/>
          <w:szCs w:val="24"/>
        </w:rPr>
        <w:t>It is only when they</w:t>
      </w:r>
      <w:r w:rsidR="00222F36" w:rsidRPr="00F32CF2">
        <w:rPr>
          <w:rFonts w:ascii="Century" w:hAnsi="Century"/>
          <w:sz w:val="24"/>
          <w:szCs w:val="24"/>
        </w:rPr>
        <w:t xml:space="preserve"> </w:t>
      </w:r>
      <w:r w:rsidR="00222F36">
        <w:rPr>
          <w:rFonts w:ascii="Century" w:hAnsi="Century"/>
          <w:sz w:val="24"/>
          <w:szCs w:val="24"/>
        </w:rPr>
        <w:t>have clarity about what is wanted</w:t>
      </w:r>
      <w:r w:rsidR="00222F36" w:rsidRPr="00F32CF2">
        <w:rPr>
          <w:rFonts w:ascii="Century" w:hAnsi="Century"/>
          <w:sz w:val="24"/>
          <w:szCs w:val="24"/>
        </w:rPr>
        <w:t xml:space="preserve"> </w:t>
      </w:r>
      <w:r w:rsidR="00222F36">
        <w:rPr>
          <w:rFonts w:ascii="Century" w:hAnsi="Century"/>
          <w:sz w:val="24"/>
          <w:szCs w:val="24"/>
        </w:rPr>
        <w:t>then they can</w:t>
      </w:r>
      <w:r w:rsidR="00222F36" w:rsidRPr="00F32CF2">
        <w:rPr>
          <w:rFonts w:ascii="Century" w:hAnsi="Century"/>
          <w:sz w:val="24"/>
          <w:szCs w:val="24"/>
        </w:rPr>
        <w:t xml:space="preserve"> </w:t>
      </w:r>
      <w:r w:rsidR="00222F36">
        <w:rPr>
          <w:rFonts w:ascii="Century" w:hAnsi="Century"/>
          <w:sz w:val="24"/>
          <w:szCs w:val="24"/>
        </w:rPr>
        <w:t xml:space="preserve">confidently devise a plan and design a </w:t>
      </w:r>
      <w:r w:rsidR="00222F36" w:rsidRPr="00F32CF2">
        <w:rPr>
          <w:rFonts w:ascii="Century" w:hAnsi="Century"/>
          <w:sz w:val="24"/>
          <w:szCs w:val="24"/>
        </w:rPr>
        <w:t xml:space="preserve">suitable structure </w:t>
      </w:r>
      <w:r w:rsidR="00222F36">
        <w:rPr>
          <w:rFonts w:ascii="Century" w:hAnsi="Century"/>
          <w:sz w:val="24"/>
          <w:szCs w:val="24"/>
        </w:rPr>
        <w:t xml:space="preserve">that embodies the policymaker’s vision. </w:t>
      </w:r>
    </w:p>
    <w:p w:rsidR="00222F36" w:rsidRDefault="00222F36" w:rsidP="009C71B0">
      <w:pPr>
        <w:spacing w:line="360" w:lineRule="auto"/>
        <w:jc w:val="both"/>
        <w:rPr>
          <w:rFonts w:ascii="Century" w:hAnsi="Century"/>
          <w:sz w:val="24"/>
          <w:szCs w:val="24"/>
        </w:rPr>
      </w:pPr>
    </w:p>
    <w:p w:rsidR="00BA28F2" w:rsidRDefault="00F36765" w:rsidP="009C71B0">
      <w:pPr>
        <w:spacing w:line="360" w:lineRule="auto"/>
        <w:jc w:val="both"/>
        <w:rPr>
          <w:rFonts w:ascii="Century" w:hAnsi="Century"/>
          <w:sz w:val="24"/>
          <w:szCs w:val="24"/>
        </w:rPr>
      </w:pPr>
      <w:r w:rsidRPr="00773C94">
        <w:rPr>
          <w:rFonts w:ascii="Century" w:hAnsi="Century"/>
          <w:sz w:val="24"/>
          <w:szCs w:val="24"/>
        </w:rPr>
        <w:t>For Crabbe the design of the bill ‘represents Counsel’s mental picture of how well the Act of Parliament would look in structure and quality, in substance and in form’.</w:t>
      </w:r>
      <w:r w:rsidRPr="00773C94">
        <w:rPr>
          <w:rStyle w:val="FootnoteReference"/>
          <w:rFonts w:ascii="Century" w:hAnsi="Century"/>
          <w:sz w:val="24"/>
          <w:szCs w:val="24"/>
        </w:rPr>
        <w:footnoteReference w:id="148"/>
      </w:r>
      <w:r w:rsidR="00966CB6">
        <w:rPr>
          <w:rFonts w:ascii="Century" w:hAnsi="Century"/>
          <w:sz w:val="24"/>
          <w:szCs w:val="24"/>
        </w:rPr>
        <w:t xml:space="preserve"> It is an outline of the method which the drafter will use to give effect to the objectives of the legislative proposal. Along with preparing an outline the drafter will also create</w:t>
      </w:r>
      <w:r w:rsidR="0086780E" w:rsidRPr="00F32CF2">
        <w:rPr>
          <w:rFonts w:ascii="Century" w:hAnsi="Century"/>
          <w:sz w:val="24"/>
          <w:szCs w:val="24"/>
        </w:rPr>
        <w:t xml:space="preserve"> the struct</w:t>
      </w:r>
      <w:r w:rsidR="00EB6928">
        <w:rPr>
          <w:rFonts w:ascii="Century" w:hAnsi="Century"/>
          <w:sz w:val="24"/>
          <w:szCs w:val="24"/>
        </w:rPr>
        <w:t>ure of the bill and contemplate</w:t>
      </w:r>
      <w:r w:rsidR="0086780E" w:rsidRPr="00F32CF2">
        <w:rPr>
          <w:rFonts w:ascii="Century" w:hAnsi="Century"/>
          <w:sz w:val="24"/>
          <w:szCs w:val="24"/>
        </w:rPr>
        <w:t xml:space="preserve"> how the bill should be organised</w:t>
      </w:r>
      <w:r w:rsidR="00AB0BEB">
        <w:rPr>
          <w:rFonts w:ascii="Century" w:hAnsi="Century"/>
          <w:sz w:val="24"/>
          <w:szCs w:val="24"/>
        </w:rPr>
        <w:t xml:space="preserve"> to properly give effect to the </w:t>
      </w:r>
      <w:r w:rsidR="00AB0BEB">
        <w:rPr>
          <w:rFonts w:ascii="Century" w:hAnsi="Century"/>
          <w:sz w:val="24"/>
          <w:szCs w:val="24"/>
        </w:rPr>
        <w:lastRenderedPageBreak/>
        <w:t>policy</w:t>
      </w:r>
      <w:r w:rsidR="0086780E" w:rsidRPr="00F32CF2">
        <w:rPr>
          <w:rFonts w:ascii="Century" w:hAnsi="Century"/>
          <w:sz w:val="24"/>
          <w:szCs w:val="24"/>
        </w:rPr>
        <w:t>.</w:t>
      </w:r>
      <w:r w:rsidR="00FB4530" w:rsidRPr="00FB4530">
        <w:rPr>
          <w:rFonts w:ascii="Century" w:hAnsi="Century"/>
          <w:sz w:val="24"/>
          <w:szCs w:val="24"/>
        </w:rPr>
        <w:t xml:space="preserve"> </w:t>
      </w:r>
      <w:r w:rsidR="00E438B7">
        <w:rPr>
          <w:rFonts w:ascii="Century" w:hAnsi="Century"/>
          <w:sz w:val="24"/>
          <w:szCs w:val="24"/>
        </w:rPr>
        <w:t xml:space="preserve">Designing the bill comprises the overall </w:t>
      </w:r>
      <w:r w:rsidR="004B62F9" w:rsidRPr="00F32CF2">
        <w:rPr>
          <w:rFonts w:ascii="Century" w:hAnsi="Century"/>
          <w:sz w:val="24"/>
          <w:szCs w:val="24"/>
        </w:rPr>
        <w:t xml:space="preserve">arrangement of </w:t>
      </w:r>
      <w:r w:rsidR="00FB4530">
        <w:rPr>
          <w:rFonts w:ascii="Century" w:hAnsi="Century"/>
          <w:sz w:val="24"/>
          <w:szCs w:val="24"/>
        </w:rPr>
        <w:t>the bill</w:t>
      </w:r>
      <w:r w:rsidR="004B62F9" w:rsidRPr="00F32CF2">
        <w:rPr>
          <w:rFonts w:ascii="Century" w:hAnsi="Century"/>
          <w:sz w:val="24"/>
          <w:szCs w:val="24"/>
        </w:rPr>
        <w:t xml:space="preserve"> </w:t>
      </w:r>
      <w:r w:rsidR="00E438B7">
        <w:rPr>
          <w:rFonts w:ascii="Century" w:hAnsi="Century"/>
          <w:sz w:val="24"/>
          <w:szCs w:val="24"/>
        </w:rPr>
        <w:t>as well as the organisation of its internal aspects for example the clauses and schedules</w:t>
      </w:r>
      <w:r w:rsidR="00F701F9" w:rsidRPr="00F32CF2">
        <w:rPr>
          <w:rFonts w:ascii="Century" w:hAnsi="Century"/>
          <w:sz w:val="24"/>
          <w:szCs w:val="24"/>
        </w:rPr>
        <w:t>.</w:t>
      </w:r>
      <w:r w:rsidR="00F701F9" w:rsidRPr="00F32CF2">
        <w:rPr>
          <w:rStyle w:val="FootnoteReference"/>
          <w:rFonts w:ascii="Century" w:hAnsi="Century"/>
          <w:sz w:val="24"/>
          <w:szCs w:val="24"/>
        </w:rPr>
        <w:footnoteReference w:id="149"/>
      </w:r>
      <w:r w:rsidR="00E9628C" w:rsidRPr="00F32CF2">
        <w:rPr>
          <w:rFonts w:ascii="Century" w:hAnsi="Century"/>
          <w:sz w:val="24"/>
          <w:szCs w:val="24"/>
        </w:rPr>
        <w:t xml:space="preserve"> </w:t>
      </w:r>
      <w:r w:rsidR="00AB0BEB">
        <w:rPr>
          <w:rFonts w:ascii="Century" w:hAnsi="Century"/>
          <w:sz w:val="24"/>
          <w:szCs w:val="24"/>
        </w:rPr>
        <w:t xml:space="preserve">It is a combination of how the drafter will communicate the substance of the proposal as well as architectural planning. </w:t>
      </w:r>
      <w:r w:rsidR="00FB4530">
        <w:rPr>
          <w:rFonts w:ascii="Century" w:hAnsi="Century"/>
          <w:sz w:val="24"/>
          <w:szCs w:val="24"/>
        </w:rPr>
        <w:t xml:space="preserve">Therefore, </w:t>
      </w:r>
      <w:r w:rsidR="00FB4530" w:rsidRPr="00F32CF2">
        <w:rPr>
          <w:rFonts w:ascii="Century" w:hAnsi="Century"/>
          <w:sz w:val="24"/>
          <w:szCs w:val="24"/>
        </w:rPr>
        <w:t>it</w:t>
      </w:r>
      <w:r w:rsidR="000F58CE" w:rsidRPr="00F32CF2">
        <w:rPr>
          <w:rFonts w:ascii="Century" w:hAnsi="Century"/>
          <w:sz w:val="24"/>
          <w:szCs w:val="24"/>
        </w:rPr>
        <w:t xml:space="preserve"> is an important step that should not be ignored as the cohesion of the bill is dependent on it.</w:t>
      </w:r>
      <w:r w:rsidR="000F58CE" w:rsidRPr="00F32CF2">
        <w:rPr>
          <w:rStyle w:val="FootnoteReference"/>
          <w:rFonts w:ascii="Century" w:hAnsi="Century"/>
          <w:sz w:val="24"/>
          <w:szCs w:val="24"/>
        </w:rPr>
        <w:footnoteReference w:id="150"/>
      </w:r>
    </w:p>
    <w:p w:rsidR="00C557DB" w:rsidRPr="00F32CF2" w:rsidRDefault="00C557DB" w:rsidP="008D3BD6">
      <w:pPr>
        <w:spacing w:line="360" w:lineRule="auto"/>
        <w:jc w:val="both"/>
        <w:rPr>
          <w:rFonts w:ascii="Century" w:hAnsi="Century"/>
          <w:sz w:val="24"/>
          <w:szCs w:val="24"/>
        </w:rPr>
      </w:pPr>
    </w:p>
    <w:p w:rsidR="006E2615" w:rsidRPr="008D3BD6" w:rsidRDefault="006E2615" w:rsidP="008D3BD6">
      <w:pPr>
        <w:pStyle w:val="Heading4"/>
        <w:numPr>
          <w:ilvl w:val="0"/>
          <w:numId w:val="23"/>
        </w:numPr>
        <w:rPr>
          <w:color w:val="auto"/>
        </w:rPr>
      </w:pPr>
      <w:bookmarkStart w:id="48" w:name="_Toc427272668"/>
      <w:bookmarkStart w:id="49" w:name="_Toc427597748"/>
      <w:r w:rsidRPr="008D3BD6">
        <w:rPr>
          <w:color w:val="auto"/>
        </w:rPr>
        <w:t xml:space="preserve">Importance of </w:t>
      </w:r>
      <w:r w:rsidR="004A5A18" w:rsidRPr="008D3BD6">
        <w:rPr>
          <w:color w:val="auto"/>
        </w:rPr>
        <w:t>Design</w:t>
      </w:r>
      <w:r w:rsidRPr="008D3BD6">
        <w:rPr>
          <w:color w:val="auto"/>
        </w:rPr>
        <w:t xml:space="preserve"> to Accessibility</w:t>
      </w:r>
      <w:bookmarkEnd w:id="48"/>
      <w:bookmarkEnd w:id="49"/>
    </w:p>
    <w:p w:rsidR="008F07B0" w:rsidRDefault="008F07B0" w:rsidP="009C71B0">
      <w:pPr>
        <w:spacing w:line="360" w:lineRule="auto"/>
        <w:jc w:val="both"/>
        <w:rPr>
          <w:rFonts w:ascii="Century" w:hAnsi="Century"/>
          <w:sz w:val="24"/>
          <w:szCs w:val="24"/>
        </w:rPr>
      </w:pPr>
    </w:p>
    <w:p w:rsidR="001B23CD" w:rsidRPr="00F32CF2" w:rsidRDefault="00FD6505" w:rsidP="009C71B0">
      <w:pPr>
        <w:spacing w:line="360" w:lineRule="auto"/>
        <w:jc w:val="both"/>
        <w:rPr>
          <w:rFonts w:ascii="Century" w:hAnsi="Century"/>
          <w:sz w:val="24"/>
          <w:szCs w:val="24"/>
        </w:rPr>
      </w:pPr>
      <w:r w:rsidRPr="00F32CF2">
        <w:rPr>
          <w:rFonts w:ascii="Century" w:hAnsi="Century"/>
          <w:sz w:val="24"/>
          <w:szCs w:val="24"/>
        </w:rPr>
        <w:t>Designing the</w:t>
      </w:r>
      <w:r w:rsidR="0066204E">
        <w:rPr>
          <w:rFonts w:ascii="Century" w:hAnsi="Century"/>
          <w:sz w:val="24"/>
          <w:szCs w:val="24"/>
        </w:rPr>
        <w:t xml:space="preserve"> law is pivotal to the drafter</w:t>
      </w:r>
      <w:r w:rsidRPr="00F32CF2">
        <w:rPr>
          <w:rFonts w:ascii="Century" w:hAnsi="Century"/>
          <w:sz w:val="24"/>
          <w:szCs w:val="24"/>
        </w:rPr>
        <w:t xml:space="preserve"> making the bill </w:t>
      </w:r>
      <w:r w:rsidR="00D57E70">
        <w:rPr>
          <w:rFonts w:ascii="Century" w:hAnsi="Century"/>
          <w:sz w:val="24"/>
          <w:szCs w:val="24"/>
        </w:rPr>
        <w:t>comprehensible</w:t>
      </w:r>
      <w:r w:rsidRPr="00F32CF2">
        <w:rPr>
          <w:rFonts w:ascii="Century" w:hAnsi="Century"/>
          <w:sz w:val="24"/>
          <w:szCs w:val="24"/>
        </w:rPr>
        <w:t xml:space="preserve"> as ‘</w:t>
      </w:r>
      <w:r w:rsidR="00D57E70">
        <w:rPr>
          <w:rFonts w:ascii="Century" w:hAnsi="Century"/>
          <w:sz w:val="24"/>
          <w:szCs w:val="24"/>
        </w:rPr>
        <w:t>poor design and layout</w:t>
      </w:r>
      <w:r w:rsidRPr="00F32CF2">
        <w:rPr>
          <w:rFonts w:ascii="Century" w:hAnsi="Century"/>
          <w:sz w:val="24"/>
          <w:szCs w:val="24"/>
        </w:rPr>
        <w:t>’ is one of the causes for inaccessible legislation.</w:t>
      </w:r>
      <w:r w:rsidRPr="00F32CF2">
        <w:rPr>
          <w:rStyle w:val="FootnoteReference"/>
          <w:rFonts w:ascii="Century" w:hAnsi="Century"/>
          <w:sz w:val="24"/>
          <w:szCs w:val="24"/>
        </w:rPr>
        <w:footnoteReference w:id="151"/>
      </w:r>
      <w:r w:rsidRPr="00F32CF2">
        <w:rPr>
          <w:rFonts w:ascii="Century" w:hAnsi="Century"/>
          <w:sz w:val="24"/>
          <w:szCs w:val="24"/>
        </w:rPr>
        <w:t xml:space="preserve"> </w:t>
      </w:r>
      <w:r w:rsidR="0078697E" w:rsidRPr="00F32CF2">
        <w:rPr>
          <w:rFonts w:ascii="Century" w:hAnsi="Century"/>
          <w:sz w:val="24"/>
          <w:szCs w:val="24"/>
        </w:rPr>
        <w:t>Without a</w:t>
      </w:r>
      <w:r w:rsidR="0078697E">
        <w:rPr>
          <w:rFonts w:ascii="Century" w:hAnsi="Century"/>
          <w:sz w:val="24"/>
          <w:szCs w:val="24"/>
        </w:rPr>
        <w:t xml:space="preserve"> proper</w:t>
      </w:r>
      <w:r w:rsidR="0078697E" w:rsidRPr="00F32CF2">
        <w:rPr>
          <w:rFonts w:ascii="Century" w:hAnsi="Century"/>
          <w:sz w:val="24"/>
          <w:szCs w:val="24"/>
        </w:rPr>
        <w:t xml:space="preserve"> </w:t>
      </w:r>
      <w:r w:rsidR="0078697E">
        <w:rPr>
          <w:rFonts w:ascii="Century" w:hAnsi="Century"/>
          <w:sz w:val="24"/>
          <w:szCs w:val="24"/>
        </w:rPr>
        <w:t>design</w:t>
      </w:r>
      <w:r w:rsidR="0078697E" w:rsidRPr="00F32CF2">
        <w:rPr>
          <w:rFonts w:ascii="Century" w:hAnsi="Century"/>
          <w:sz w:val="24"/>
          <w:szCs w:val="24"/>
        </w:rPr>
        <w:t xml:space="preserve"> before drafting, the legislation would be done in a haphazard manner, without any logic to the placement of clauses. </w:t>
      </w:r>
      <w:r w:rsidR="00D118DE">
        <w:rPr>
          <w:rFonts w:ascii="Century" w:hAnsi="Century"/>
          <w:sz w:val="24"/>
          <w:szCs w:val="24"/>
        </w:rPr>
        <w:t>I</w:t>
      </w:r>
      <w:r w:rsidR="00A7515E">
        <w:rPr>
          <w:rFonts w:ascii="Century" w:hAnsi="Century"/>
          <w:sz w:val="24"/>
          <w:szCs w:val="24"/>
        </w:rPr>
        <w:t>llogical structure obstructs</w:t>
      </w:r>
      <w:r w:rsidR="00EE1F89">
        <w:rPr>
          <w:rFonts w:ascii="Century" w:hAnsi="Century"/>
          <w:sz w:val="24"/>
          <w:szCs w:val="24"/>
        </w:rPr>
        <w:t xml:space="preserve"> </w:t>
      </w:r>
      <w:r w:rsidR="00A7515E">
        <w:rPr>
          <w:rFonts w:ascii="Century" w:hAnsi="Century"/>
          <w:sz w:val="24"/>
          <w:szCs w:val="24"/>
        </w:rPr>
        <w:t>comprehensibility</w:t>
      </w:r>
      <w:r w:rsidR="00EE1F89">
        <w:rPr>
          <w:rFonts w:ascii="Century" w:hAnsi="Century"/>
          <w:sz w:val="24"/>
          <w:szCs w:val="24"/>
        </w:rPr>
        <w:t xml:space="preserve"> and </w:t>
      </w:r>
      <w:r w:rsidR="0078697E" w:rsidRPr="00F32CF2">
        <w:rPr>
          <w:rFonts w:ascii="Century" w:hAnsi="Century"/>
          <w:sz w:val="24"/>
          <w:szCs w:val="24"/>
        </w:rPr>
        <w:t xml:space="preserve">causes the substance of the regulatory message to be lost </w:t>
      </w:r>
      <w:r w:rsidR="0078697E">
        <w:rPr>
          <w:rFonts w:ascii="Century" w:hAnsi="Century"/>
          <w:sz w:val="24"/>
          <w:szCs w:val="24"/>
        </w:rPr>
        <w:t>on</w:t>
      </w:r>
      <w:r w:rsidR="0078697E" w:rsidRPr="00F32CF2">
        <w:rPr>
          <w:rFonts w:ascii="Century" w:hAnsi="Century"/>
          <w:sz w:val="24"/>
          <w:szCs w:val="24"/>
        </w:rPr>
        <w:t xml:space="preserve"> the intended audience.</w:t>
      </w:r>
      <w:r w:rsidR="00EE1F89">
        <w:rPr>
          <w:rStyle w:val="FootnoteReference"/>
          <w:rFonts w:ascii="Century" w:hAnsi="Century"/>
          <w:sz w:val="24"/>
          <w:szCs w:val="24"/>
        </w:rPr>
        <w:footnoteReference w:id="152"/>
      </w:r>
      <w:r w:rsidR="0078697E" w:rsidRPr="00F32CF2">
        <w:rPr>
          <w:rFonts w:ascii="Century" w:hAnsi="Century"/>
          <w:sz w:val="24"/>
          <w:szCs w:val="24"/>
        </w:rPr>
        <w:t xml:space="preserve"> </w:t>
      </w:r>
      <w:r w:rsidR="00794276" w:rsidRPr="00F32CF2">
        <w:rPr>
          <w:rFonts w:ascii="Century" w:hAnsi="Century"/>
          <w:sz w:val="24"/>
          <w:szCs w:val="24"/>
        </w:rPr>
        <w:t>Engle has described ‘good design’ as ‘the essence of a well drafted Bill’.</w:t>
      </w:r>
      <w:r w:rsidR="00794276" w:rsidRPr="00F32CF2">
        <w:rPr>
          <w:rStyle w:val="FootnoteReference"/>
          <w:rFonts w:ascii="Century" w:hAnsi="Century"/>
          <w:sz w:val="24"/>
          <w:szCs w:val="24"/>
        </w:rPr>
        <w:footnoteReference w:id="153"/>
      </w:r>
      <w:r w:rsidR="00794276" w:rsidRPr="00F32CF2">
        <w:rPr>
          <w:rFonts w:ascii="Century" w:hAnsi="Century"/>
          <w:sz w:val="24"/>
          <w:szCs w:val="24"/>
        </w:rPr>
        <w:t xml:space="preserve"> </w:t>
      </w:r>
      <w:r w:rsidRPr="00F32CF2">
        <w:rPr>
          <w:rFonts w:ascii="Century" w:hAnsi="Century"/>
          <w:sz w:val="24"/>
          <w:szCs w:val="24"/>
        </w:rPr>
        <w:t xml:space="preserve">A </w:t>
      </w:r>
      <w:r w:rsidR="00794276" w:rsidRPr="00F32CF2">
        <w:rPr>
          <w:rFonts w:ascii="Century" w:hAnsi="Century"/>
          <w:sz w:val="24"/>
          <w:szCs w:val="24"/>
        </w:rPr>
        <w:t>good</w:t>
      </w:r>
      <w:r w:rsidRPr="00F32CF2">
        <w:rPr>
          <w:rFonts w:ascii="Century" w:hAnsi="Century"/>
          <w:sz w:val="24"/>
          <w:szCs w:val="24"/>
        </w:rPr>
        <w:t xml:space="preserve"> design is needed because</w:t>
      </w:r>
      <w:r w:rsidR="009C319B">
        <w:rPr>
          <w:rFonts w:ascii="Century" w:hAnsi="Century"/>
          <w:sz w:val="24"/>
          <w:szCs w:val="24"/>
        </w:rPr>
        <w:t>,</w:t>
      </w:r>
      <w:r w:rsidRPr="00F32CF2">
        <w:rPr>
          <w:rFonts w:ascii="Century" w:hAnsi="Century"/>
          <w:sz w:val="24"/>
          <w:szCs w:val="24"/>
        </w:rPr>
        <w:t xml:space="preserve"> even if the drafter employs the best linguistic techniques to make the law comprehensible, the legislation would still be inaccessible because the words would be hanging from a disorganised frame. Thus, if the regulatory message is to be successfully </w:t>
      </w:r>
      <w:r w:rsidR="001B23CD" w:rsidRPr="00F32CF2">
        <w:rPr>
          <w:rFonts w:ascii="Century" w:hAnsi="Century"/>
          <w:sz w:val="24"/>
          <w:szCs w:val="24"/>
        </w:rPr>
        <w:t>communicated</w:t>
      </w:r>
      <w:r w:rsidRPr="00F32CF2">
        <w:rPr>
          <w:rFonts w:ascii="Century" w:hAnsi="Century"/>
          <w:sz w:val="24"/>
          <w:szCs w:val="24"/>
        </w:rPr>
        <w:t xml:space="preserve"> then not only must the words be clear but they must also be presented in a clear manner. </w:t>
      </w:r>
    </w:p>
    <w:p w:rsidR="009C71B0" w:rsidRDefault="009C71B0" w:rsidP="009C71B0">
      <w:pPr>
        <w:spacing w:line="360" w:lineRule="auto"/>
        <w:jc w:val="both"/>
        <w:rPr>
          <w:rFonts w:ascii="Century" w:hAnsi="Century"/>
          <w:sz w:val="24"/>
          <w:szCs w:val="24"/>
        </w:rPr>
      </w:pPr>
    </w:p>
    <w:p w:rsidR="0078697E" w:rsidRDefault="001B23CD" w:rsidP="0078697E">
      <w:pPr>
        <w:spacing w:line="360" w:lineRule="auto"/>
        <w:jc w:val="both"/>
        <w:rPr>
          <w:rFonts w:ascii="Century" w:hAnsi="Century"/>
          <w:sz w:val="24"/>
          <w:szCs w:val="24"/>
        </w:rPr>
      </w:pPr>
      <w:r w:rsidRPr="00F32CF2">
        <w:rPr>
          <w:rFonts w:ascii="Century" w:hAnsi="Century"/>
          <w:sz w:val="24"/>
          <w:szCs w:val="24"/>
        </w:rPr>
        <w:t xml:space="preserve">Structure is important to accessibility because it allows the words of the </w:t>
      </w:r>
      <w:r w:rsidR="00E9282E">
        <w:rPr>
          <w:rFonts w:ascii="Century" w:hAnsi="Century"/>
          <w:sz w:val="24"/>
          <w:szCs w:val="24"/>
        </w:rPr>
        <w:t>bill</w:t>
      </w:r>
      <w:r w:rsidRPr="00F32CF2">
        <w:rPr>
          <w:rFonts w:ascii="Century" w:hAnsi="Century"/>
          <w:sz w:val="24"/>
          <w:szCs w:val="24"/>
        </w:rPr>
        <w:t xml:space="preserve"> to be </w:t>
      </w:r>
      <w:r w:rsidR="00E9628C" w:rsidRPr="00F32CF2">
        <w:rPr>
          <w:rFonts w:ascii="Century" w:hAnsi="Century"/>
          <w:sz w:val="24"/>
          <w:szCs w:val="24"/>
        </w:rPr>
        <w:t>laid out</w:t>
      </w:r>
      <w:r w:rsidRPr="00F32CF2">
        <w:rPr>
          <w:rFonts w:ascii="Century" w:hAnsi="Century"/>
          <w:sz w:val="24"/>
          <w:szCs w:val="24"/>
        </w:rPr>
        <w:t xml:space="preserve"> in a manner</w:t>
      </w:r>
      <w:r w:rsidR="00E9628C" w:rsidRPr="00F32CF2">
        <w:rPr>
          <w:rFonts w:ascii="Century" w:hAnsi="Century"/>
          <w:sz w:val="24"/>
          <w:szCs w:val="24"/>
        </w:rPr>
        <w:t xml:space="preserve"> that gives reader</w:t>
      </w:r>
      <w:r w:rsidR="009C319B">
        <w:rPr>
          <w:rFonts w:ascii="Century" w:hAnsi="Century"/>
          <w:sz w:val="24"/>
          <w:szCs w:val="24"/>
        </w:rPr>
        <w:t>s</w:t>
      </w:r>
      <w:r w:rsidR="00E9628C" w:rsidRPr="00F32CF2">
        <w:rPr>
          <w:rFonts w:ascii="Century" w:hAnsi="Century"/>
          <w:sz w:val="24"/>
          <w:szCs w:val="24"/>
        </w:rPr>
        <w:t xml:space="preserve"> better insight into the purpose and objectives of the legislation</w:t>
      </w:r>
      <w:r w:rsidRPr="00F32CF2">
        <w:rPr>
          <w:rFonts w:ascii="Century" w:hAnsi="Century"/>
          <w:sz w:val="24"/>
          <w:szCs w:val="24"/>
        </w:rPr>
        <w:t xml:space="preserve">. </w:t>
      </w:r>
      <w:r w:rsidR="00986007" w:rsidRPr="00F32CF2">
        <w:rPr>
          <w:rFonts w:ascii="Century" w:hAnsi="Century"/>
          <w:sz w:val="24"/>
          <w:szCs w:val="24"/>
        </w:rPr>
        <w:t>As stated by Butt ‘</w:t>
      </w:r>
      <w:r w:rsidR="003B1F44">
        <w:rPr>
          <w:rFonts w:ascii="Century" w:hAnsi="Century"/>
          <w:sz w:val="24"/>
          <w:szCs w:val="24"/>
        </w:rPr>
        <w:t>S</w:t>
      </w:r>
      <w:r w:rsidR="00986007" w:rsidRPr="00F32CF2">
        <w:rPr>
          <w:rFonts w:ascii="Century" w:hAnsi="Century"/>
          <w:sz w:val="24"/>
          <w:szCs w:val="24"/>
        </w:rPr>
        <w:t xml:space="preserve">tructure and form are </w:t>
      </w:r>
      <w:r w:rsidR="00986007" w:rsidRPr="00F32CF2">
        <w:rPr>
          <w:rFonts w:ascii="Century" w:hAnsi="Century"/>
          <w:sz w:val="24"/>
          <w:szCs w:val="24"/>
        </w:rPr>
        <w:lastRenderedPageBreak/>
        <w:t>crucial to an effective, readable legal document’.</w:t>
      </w:r>
      <w:r w:rsidR="00986007" w:rsidRPr="00F32CF2">
        <w:rPr>
          <w:rStyle w:val="FootnoteReference"/>
          <w:rFonts w:ascii="Century" w:hAnsi="Century"/>
          <w:sz w:val="24"/>
          <w:szCs w:val="24"/>
        </w:rPr>
        <w:footnoteReference w:id="154"/>
      </w:r>
      <w:r w:rsidR="00986007" w:rsidRPr="00F32CF2">
        <w:rPr>
          <w:rFonts w:ascii="Century" w:hAnsi="Century"/>
          <w:sz w:val="24"/>
          <w:szCs w:val="24"/>
        </w:rPr>
        <w:t xml:space="preserve"> </w:t>
      </w:r>
      <w:r w:rsidR="00D118DE">
        <w:rPr>
          <w:rFonts w:ascii="Century" w:hAnsi="Century"/>
          <w:sz w:val="24"/>
          <w:szCs w:val="24"/>
        </w:rPr>
        <w:t>Likewise, Seidman et al recognised that it is the structure of the bill that ‘carries the primary burden’ to ensure accessibility, which should be designed logically to make usability easier for its audience.</w:t>
      </w:r>
      <w:r w:rsidR="00D118DE">
        <w:rPr>
          <w:rStyle w:val="FootnoteReference"/>
          <w:rFonts w:ascii="Century" w:hAnsi="Century"/>
          <w:sz w:val="24"/>
          <w:szCs w:val="24"/>
        </w:rPr>
        <w:footnoteReference w:id="155"/>
      </w:r>
      <w:r w:rsidR="00D118DE">
        <w:rPr>
          <w:rFonts w:ascii="Century" w:hAnsi="Century"/>
          <w:sz w:val="24"/>
          <w:szCs w:val="24"/>
        </w:rPr>
        <w:t xml:space="preserve"> </w:t>
      </w:r>
      <w:r w:rsidR="00966CB6">
        <w:rPr>
          <w:rFonts w:ascii="Century" w:hAnsi="Century"/>
          <w:sz w:val="24"/>
          <w:szCs w:val="24"/>
        </w:rPr>
        <w:t>According to Thornton</w:t>
      </w:r>
      <w:r w:rsidR="00966CB6" w:rsidRPr="00F32CF2">
        <w:rPr>
          <w:rFonts w:ascii="Century" w:hAnsi="Century"/>
          <w:sz w:val="24"/>
          <w:szCs w:val="24"/>
        </w:rPr>
        <w:t xml:space="preserve"> ‘</w:t>
      </w:r>
      <w:r w:rsidR="00EF52A9">
        <w:rPr>
          <w:rFonts w:ascii="Century" w:hAnsi="Century"/>
          <w:sz w:val="24"/>
          <w:szCs w:val="24"/>
        </w:rPr>
        <w:t>T</w:t>
      </w:r>
      <w:r w:rsidR="00966CB6" w:rsidRPr="00F32CF2">
        <w:rPr>
          <w:rFonts w:ascii="Century" w:hAnsi="Century"/>
          <w:sz w:val="24"/>
          <w:szCs w:val="24"/>
        </w:rPr>
        <w:t>he principal purpose is to design a structure that facilitates communication of the content at the same time as it achieves the objects of the instructions’.</w:t>
      </w:r>
      <w:r w:rsidR="00966CB6" w:rsidRPr="00F32CF2">
        <w:rPr>
          <w:rStyle w:val="FootnoteReference"/>
          <w:rFonts w:ascii="Century" w:hAnsi="Century"/>
          <w:sz w:val="24"/>
          <w:szCs w:val="24"/>
        </w:rPr>
        <w:footnoteReference w:id="156"/>
      </w:r>
      <w:r w:rsidR="00966CB6" w:rsidRPr="00F32CF2">
        <w:rPr>
          <w:rFonts w:ascii="Century" w:hAnsi="Century"/>
          <w:sz w:val="24"/>
          <w:szCs w:val="24"/>
        </w:rPr>
        <w:t xml:space="preserve"> </w:t>
      </w:r>
      <w:r w:rsidR="000F1317">
        <w:rPr>
          <w:rFonts w:ascii="Century" w:hAnsi="Century"/>
          <w:sz w:val="24"/>
          <w:szCs w:val="24"/>
        </w:rPr>
        <w:t xml:space="preserve">In similar vein </w:t>
      </w:r>
      <w:r w:rsidR="00966CB6" w:rsidRPr="00F32CF2">
        <w:rPr>
          <w:rFonts w:ascii="Century" w:hAnsi="Century"/>
          <w:sz w:val="24"/>
          <w:szCs w:val="24"/>
        </w:rPr>
        <w:t>Voermans opines that ‘Legislation is first of all, a channel of symbolic communication’.</w:t>
      </w:r>
      <w:r w:rsidR="00966CB6" w:rsidRPr="00F32CF2">
        <w:rPr>
          <w:rStyle w:val="FootnoteReference"/>
          <w:rFonts w:ascii="Century" w:hAnsi="Century"/>
          <w:sz w:val="24"/>
          <w:szCs w:val="24"/>
        </w:rPr>
        <w:footnoteReference w:id="157"/>
      </w:r>
      <w:r w:rsidR="00A94367">
        <w:rPr>
          <w:rFonts w:ascii="Century" w:hAnsi="Century"/>
          <w:sz w:val="24"/>
          <w:szCs w:val="24"/>
        </w:rPr>
        <w:t xml:space="preserve"> </w:t>
      </w:r>
      <w:r w:rsidR="00966CB6" w:rsidRPr="00F32CF2">
        <w:rPr>
          <w:rFonts w:ascii="Century" w:hAnsi="Century"/>
          <w:sz w:val="24"/>
          <w:szCs w:val="24"/>
        </w:rPr>
        <w:t>For both Voermans and Xanthaki, structure is instrumental to the accessibility of the legislation</w:t>
      </w:r>
      <w:r w:rsidR="00966CB6" w:rsidRPr="00F32CF2">
        <w:rPr>
          <w:rStyle w:val="FootnoteReference"/>
          <w:rFonts w:ascii="Century" w:hAnsi="Century"/>
          <w:sz w:val="24"/>
          <w:szCs w:val="24"/>
        </w:rPr>
        <w:footnoteReference w:id="158"/>
      </w:r>
      <w:r w:rsidR="00966CB6" w:rsidRPr="00F32CF2">
        <w:rPr>
          <w:rFonts w:ascii="Century" w:hAnsi="Century"/>
          <w:sz w:val="24"/>
          <w:szCs w:val="24"/>
        </w:rPr>
        <w:t xml:space="preserve"> because it is one of the things that users rely on to comprehend the law.</w:t>
      </w:r>
      <w:r w:rsidR="00966CB6" w:rsidRPr="00F32CF2">
        <w:rPr>
          <w:rStyle w:val="FootnoteReference"/>
          <w:rFonts w:ascii="Century" w:hAnsi="Century"/>
          <w:sz w:val="24"/>
          <w:szCs w:val="24"/>
        </w:rPr>
        <w:footnoteReference w:id="159"/>
      </w:r>
      <w:r w:rsidR="00966CB6" w:rsidRPr="00F32CF2">
        <w:rPr>
          <w:rFonts w:ascii="Century" w:hAnsi="Century"/>
          <w:sz w:val="24"/>
          <w:szCs w:val="24"/>
        </w:rPr>
        <w:t xml:space="preserve"> </w:t>
      </w:r>
      <w:r w:rsidR="00E9628C" w:rsidRPr="00F32CF2">
        <w:rPr>
          <w:rFonts w:ascii="Century" w:hAnsi="Century"/>
          <w:sz w:val="24"/>
          <w:szCs w:val="24"/>
        </w:rPr>
        <w:t xml:space="preserve">Therefore, </w:t>
      </w:r>
      <w:r w:rsidR="007B2472">
        <w:rPr>
          <w:rFonts w:ascii="Century" w:hAnsi="Century"/>
          <w:sz w:val="24"/>
          <w:szCs w:val="24"/>
        </w:rPr>
        <w:t>drafter</w:t>
      </w:r>
      <w:r w:rsidR="00937493">
        <w:rPr>
          <w:rFonts w:ascii="Century" w:hAnsi="Century"/>
          <w:sz w:val="24"/>
          <w:szCs w:val="24"/>
        </w:rPr>
        <w:t>s</w:t>
      </w:r>
      <w:r w:rsidR="007B2472">
        <w:rPr>
          <w:rFonts w:ascii="Century" w:hAnsi="Century"/>
          <w:sz w:val="24"/>
          <w:szCs w:val="24"/>
        </w:rPr>
        <w:t xml:space="preserve"> must develop a structure that can </w:t>
      </w:r>
      <w:r w:rsidR="00573B30">
        <w:rPr>
          <w:rFonts w:ascii="Century" w:hAnsi="Century"/>
          <w:sz w:val="24"/>
          <w:szCs w:val="24"/>
        </w:rPr>
        <w:t>enable</w:t>
      </w:r>
      <w:r w:rsidR="007B2472">
        <w:rPr>
          <w:rFonts w:ascii="Century" w:hAnsi="Century"/>
          <w:sz w:val="24"/>
          <w:szCs w:val="24"/>
        </w:rPr>
        <w:t xml:space="preserve"> the policy message to go forth with clarity, thus paving the way for accessibility</w:t>
      </w:r>
      <w:r w:rsidR="007B2472" w:rsidRPr="00F32CF2">
        <w:rPr>
          <w:rFonts w:ascii="Century" w:hAnsi="Century"/>
          <w:sz w:val="24"/>
          <w:szCs w:val="24"/>
        </w:rPr>
        <w:t>.</w:t>
      </w:r>
      <w:r w:rsidR="007B2472" w:rsidRPr="00F32CF2">
        <w:rPr>
          <w:rStyle w:val="FootnoteReference"/>
          <w:rFonts w:ascii="Century" w:hAnsi="Century"/>
          <w:sz w:val="24"/>
          <w:szCs w:val="24"/>
        </w:rPr>
        <w:footnoteReference w:id="160"/>
      </w:r>
    </w:p>
    <w:p w:rsidR="00254A68" w:rsidRDefault="00254A68" w:rsidP="0078697E">
      <w:pPr>
        <w:spacing w:line="360" w:lineRule="auto"/>
        <w:jc w:val="both"/>
        <w:rPr>
          <w:rFonts w:ascii="Century" w:hAnsi="Century"/>
          <w:sz w:val="24"/>
          <w:szCs w:val="24"/>
        </w:rPr>
      </w:pPr>
    </w:p>
    <w:p w:rsidR="00211C1E" w:rsidRPr="0078697E" w:rsidRDefault="009A6CE1" w:rsidP="008D3BD6">
      <w:pPr>
        <w:pStyle w:val="Heading4"/>
        <w:numPr>
          <w:ilvl w:val="0"/>
          <w:numId w:val="23"/>
        </w:numPr>
      </w:pPr>
      <w:bookmarkStart w:id="50" w:name="_Toc427597749"/>
      <w:r>
        <w:rPr>
          <w:color w:val="auto"/>
        </w:rPr>
        <w:t>How do</w:t>
      </w:r>
      <w:r w:rsidR="00C80305">
        <w:rPr>
          <w:color w:val="auto"/>
        </w:rPr>
        <w:t xml:space="preserve"> Drafter</w:t>
      </w:r>
      <w:r>
        <w:rPr>
          <w:color w:val="auto"/>
        </w:rPr>
        <w:t>s</w:t>
      </w:r>
      <w:r w:rsidR="00C80305">
        <w:rPr>
          <w:color w:val="auto"/>
        </w:rPr>
        <w:t xml:space="preserve"> Contribute to Accessibility at this Stage?</w:t>
      </w:r>
      <w:bookmarkEnd w:id="50"/>
    </w:p>
    <w:p w:rsidR="009C71B0" w:rsidRDefault="009C71B0" w:rsidP="009C71B0">
      <w:pPr>
        <w:spacing w:line="360" w:lineRule="auto"/>
        <w:jc w:val="both"/>
        <w:rPr>
          <w:rFonts w:ascii="Century" w:hAnsi="Century"/>
          <w:sz w:val="24"/>
          <w:szCs w:val="24"/>
        </w:rPr>
      </w:pPr>
    </w:p>
    <w:p w:rsidR="004E1421" w:rsidRDefault="003225BA" w:rsidP="009C71B0">
      <w:pPr>
        <w:spacing w:line="360" w:lineRule="auto"/>
        <w:jc w:val="both"/>
        <w:rPr>
          <w:rFonts w:ascii="Century" w:hAnsi="Century"/>
          <w:sz w:val="24"/>
          <w:szCs w:val="24"/>
        </w:rPr>
      </w:pPr>
      <w:r w:rsidRPr="00F32CF2">
        <w:rPr>
          <w:rFonts w:ascii="Century" w:hAnsi="Century"/>
          <w:sz w:val="24"/>
          <w:szCs w:val="24"/>
        </w:rPr>
        <w:t xml:space="preserve">A good place </w:t>
      </w:r>
      <w:r w:rsidR="004E7750">
        <w:rPr>
          <w:rFonts w:ascii="Century" w:hAnsi="Century"/>
          <w:sz w:val="24"/>
          <w:szCs w:val="24"/>
        </w:rPr>
        <w:t xml:space="preserve">for drafters to begin their contribution </w:t>
      </w:r>
      <w:r w:rsidR="00314C46">
        <w:rPr>
          <w:rFonts w:ascii="Century" w:hAnsi="Century"/>
          <w:sz w:val="24"/>
          <w:szCs w:val="24"/>
        </w:rPr>
        <w:t>at this stage</w:t>
      </w:r>
      <w:r w:rsidR="004E7750">
        <w:rPr>
          <w:rFonts w:ascii="Century" w:hAnsi="Century"/>
          <w:sz w:val="24"/>
          <w:szCs w:val="24"/>
        </w:rPr>
        <w:t xml:space="preserve"> is </w:t>
      </w:r>
      <w:r w:rsidRPr="00F32CF2">
        <w:rPr>
          <w:rFonts w:ascii="Century" w:hAnsi="Century"/>
          <w:sz w:val="24"/>
          <w:szCs w:val="24"/>
        </w:rPr>
        <w:t xml:space="preserve">to consider the audience </w:t>
      </w:r>
      <w:r w:rsidR="00794276" w:rsidRPr="00F32CF2">
        <w:rPr>
          <w:rFonts w:ascii="Century" w:hAnsi="Century"/>
          <w:sz w:val="24"/>
          <w:szCs w:val="24"/>
        </w:rPr>
        <w:t>of the new legislation</w:t>
      </w:r>
      <w:r w:rsidRPr="00F32CF2">
        <w:rPr>
          <w:rFonts w:ascii="Century" w:hAnsi="Century"/>
          <w:sz w:val="24"/>
          <w:szCs w:val="24"/>
        </w:rPr>
        <w:t xml:space="preserve">. </w:t>
      </w:r>
      <w:r w:rsidR="000A5C4C">
        <w:rPr>
          <w:rFonts w:ascii="Century" w:hAnsi="Century"/>
          <w:sz w:val="24"/>
          <w:szCs w:val="24"/>
        </w:rPr>
        <w:t>Communicating with</w:t>
      </w:r>
      <w:r w:rsidR="00F35523" w:rsidRPr="00F32CF2">
        <w:rPr>
          <w:rFonts w:ascii="Century" w:hAnsi="Century"/>
          <w:sz w:val="24"/>
          <w:szCs w:val="24"/>
        </w:rPr>
        <w:t xml:space="preserve"> the audience is dependent on how </w:t>
      </w:r>
      <w:r w:rsidR="00914C0D">
        <w:rPr>
          <w:rFonts w:ascii="Century" w:hAnsi="Century"/>
          <w:sz w:val="24"/>
          <w:szCs w:val="24"/>
        </w:rPr>
        <w:t>‘</w:t>
      </w:r>
      <w:r w:rsidR="00F35523" w:rsidRPr="00F32CF2">
        <w:rPr>
          <w:rFonts w:ascii="Century" w:hAnsi="Century"/>
          <w:sz w:val="24"/>
          <w:szCs w:val="24"/>
        </w:rPr>
        <w:t>clearly articulated and logical</w:t>
      </w:r>
      <w:r w:rsidR="00914C0D">
        <w:rPr>
          <w:rFonts w:ascii="Century" w:hAnsi="Century"/>
          <w:sz w:val="24"/>
          <w:szCs w:val="24"/>
        </w:rPr>
        <w:t>’</w:t>
      </w:r>
      <w:r w:rsidR="00F35523" w:rsidRPr="00F32CF2">
        <w:rPr>
          <w:rFonts w:ascii="Century" w:hAnsi="Century"/>
          <w:sz w:val="24"/>
          <w:szCs w:val="24"/>
        </w:rPr>
        <w:t xml:space="preserve"> the architecture of the bill is.</w:t>
      </w:r>
      <w:r w:rsidR="00F35523" w:rsidRPr="00F32CF2">
        <w:rPr>
          <w:rStyle w:val="FootnoteReference"/>
          <w:rFonts w:ascii="Century" w:hAnsi="Century"/>
          <w:sz w:val="24"/>
          <w:szCs w:val="24"/>
        </w:rPr>
        <w:footnoteReference w:id="161"/>
      </w:r>
      <w:r w:rsidR="00F35523" w:rsidRPr="00F32CF2">
        <w:rPr>
          <w:rFonts w:ascii="Century" w:hAnsi="Century"/>
          <w:sz w:val="24"/>
          <w:szCs w:val="24"/>
        </w:rPr>
        <w:t xml:space="preserve"> </w:t>
      </w:r>
      <w:r w:rsidR="00BE3AAB" w:rsidRPr="00F32CF2">
        <w:rPr>
          <w:rFonts w:ascii="Century" w:hAnsi="Century"/>
          <w:sz w:val="24"/>
          <w:szCs w:val="24"/>
        </w:rPr>
        <w:t>Krongold posits that ‘an act should be organized so that readers can find their way around it easily’.</w:t>
      </w:r>
      <w:r w:rsidR="00BE3AAB" w:rsidRPr="00F32CF2">
        <w:rPr>
          <w:rStyle w:val="FootnoteReference"/>
          <w:rFonts w:ascii="Century" w:hAnsi="Century"/>
          <w:sz w:val="24"/>
          <w:szCs w:val="24"/>
        </w:rPr>
        <w:footnoteReference w:id="162"/>
      </w:r>
      <w:r w:rsidR="00BE3AAB" w:rsidRPr="00F32CF2">
        <w:rPr>
          <w:rFonts w:ascii="Century" w:hAnsi="Century"/>
          <w:sz w:val="24"/>
          <w:szCs w:val="24"/>
        </w:rPr>
        <w:t xml:space="preserve"> </w:t>
      </w:r>
      <w:r w:rsidR="00F35523" w:rsidRPr="00F32CF2">
        <w:rPr>
          <w:rFonts w:ascii="Century" w:hAnsi="Century"/>
          <w:sz w:val="24"/>
          <w:szCs w:val="24"/>
        </w:rPr>
        <w:t>This is why analysis of the audience cannot be stressed enough. It is the audience that will enable the drafter to</w:t>
      </w:r>
      <w:r w:rsidR="00BC2BCA" w:rsidRPr="00F32CF2">
        <w:rPr>
          <w:rFonts w:ascii="Century" w:hAnsi="Century"/>
          <w:sz w:val="24"/>
          <w:szCs w:val="24"/>
        </w:rPr>
        <w:t xml:space="preserve"> prioritise the provisions within the legislative text to ensure that </w:t>
      </w:r>
      <w:r w:rsidR="00DF4DB6">
        <w:rPr>
          <w:rFonts w:ascii="Century" w:hAnsi="Century"/>
          <w:sz w:val="24"/>
          <w:szCs w:val="24"/>
        </w:rPr>
        <w:t>‘</w:t>
      </w:r>
      <w:r w:rsidR="00BC2BCA" w:rsidRPr="00F32CF2">
        <w:rPr>
          <w:rFonts w:ascii="Century" w:hAnsi="Century"/>
          <w:sz w:val="24"/>
          <w:szCs w:val="24"/>
        </w:rPr>
        <w:t>the prime message</w:t>
      </w:r>
      <w:r w:rsidR="00DF4DB6">
        <w:rPr>
          <w:rFonts w:ascii="Century" w:hAnsi="Century"/>
          <w:sz w:val="24"/>
          <w:szCs w:val="24"/>
        </w:rPr>
        <w:t>’</w:t>
      </w:r>
      <w:r w:rsidR="00BC2BCA" w:rsidRPr="00F32CF2">
        <w:rPr>
          <w:rFonts w:ascii="Century" w:hAnsi="Century"/>
          <w:sz w:val="24"/>
          <w:szCs w:val="24"/>
        </w:rPr>
        <w:t xml:space="preserve"> of the policy does not escape users.</w:t>
      </w:r>
      <w:r w:rsidR="00BC2BCA" w:rsidRPr="00F32CF2">
        <w:rPr>
          <w:rStyle w:val="FootnoteReference"/>
          <w:rFonts w:ascii="Century" w:hAnsi="Century"/>
          <w:sz w:val="24"/>
          <w:szCs w:val="24"/>
        </w:rPr>
        <w:footnoteReference w:id="163"/>
      </w:r>
      <w:r w:rsidR="00BC2BCA" w:rsidRPr="00F32CF2">
        <w:rPr>
          <w:rFonts w:ascii="Century" w:hAnsi="Century"/>
          <w:sz w:val="24"/>
          <w:szCs w:val="24"/>
        </w:rPr>
        <w:t xml:space="preserve"> </w:t>
      </w:r>
      <w:r w:rsidR="00A06A99">
        <w:rPr>
          <w:rFonts w:ascii="Century" w:hAnsi="Century"/>
          <w:sz w:val="24"/>
          <w:szCs w:val="24"/>
        </w:rPr>
        <w:t>Identifying</w:t>
      </w:r>
      <w:r w:rsidR="00C77231" w:rsidRPr="00F32CF2">
        <w:rPr>
          <w:rFonts w:ascii="Century" w:hAnsi="Century"/>
          <w:sz w:val="24"/>
          <w:szCs w:val="24"/>
        </w:rPr>
        <w:t xml:space="preserve"> the audience </w:t>
      </w:r>
      <w:r w:rsidR="00A06A99">
        <w:rPr>
          <w:rFonts w:ascii="Century" w:hAnsi="Century"/>
          <w:sz w:val="24"/>
          <w:szCs w:val="24"/>
        </w:rPr>
        <w:t>enables</w:t>
      </w:r>
      <w:r w:rsidR="009C319B">
        <w:rPr>
          <w:rFonts w:ascii="Century" w:hAnsi="Century"/>
          <w:sz w:val="24"/>
          <w:szCs w:val="24"/>
        </w:rPr>
        <w:t xml:space="preserve"> the drafter</w:t>
      </w:r>
      <w:r w:rsidR="00A06A99">
        <w:rPr>
          <w:rFonts w:ascii="Century" w:hAnsi="Century"/>
          <w:sz w:val="24"/>
          <w:szCs w:val="24"/>
        </w:rPr>
        <w:t xml:space="preserve"> </w:t>
      </w:r>
      <w:r w:rsidR="00C77231" w:rsidRPr="00F32CF2">
        <w:rPr>
          <w:rFonts w:ascii="Century" w:hAnsi="Century"/>
          <w:sz w:val="24"/>
          <w:szCs w:val="24"/>
        </w:rPr>
        <w:t xml:space="preserve">to </w:t>
      </w:r>
      <w:r w:rsidR="00A06A99">
        <w:rPr>
          <w:rFonts w:ascii="Century" w:hAnsi="Century"/>
          <w:sz w:val="24"/>
          <w:szCs w:val="24"/>
        </w:rPr>
        <w:t>rid</w:t>
      </w:r>
      <w:r w:rsidR="00C77231" w:rsidRPr="00F32CF2">
        <w:rPr>
          <w:rFonts w:ascii="Century" w:hAnsi="Century"/>
          <w:sz w:val="24"/>
          <w:szCs w:val="24"/>
        </w:rPr>
        <w:t xml:space="preserve"> the </w:t>
      </w:r>
      <w:r w:rsidR="00A06A99">
        <w:rPr>
          <w:rFonts w:ascii="Century" w:hAnsi="Century"/>
          <w:sz w:val="24"/>
          <w:szCs w:val="24"/>
        </w:rPr>
        <w:t>bill</w:t>
      </w:r>
      <w:r w:rsidR="00C77231" w:rsidRPr="00F32CF2">
        <w:rPr>
          <w:rFonts w:ascii="Century" w:hAnsi="Century"/>
          <w:sz w:val="24"/>
          <w:szCs w:val="24"/>
        </w:rPr>
        <w:t xml:space="preserve"> of anything that </w:t>
      </w:r>
      <w:r w:rsidR="00A06A99">
        <w:rPr>
          <w:rFonts w:ascii="Century" w:hAnsi="Century"/>
          <w:sz w:val="24"/>
          <w:szCs w:val="24"/>
        </w:rPr>
        <w:lastRenderedPageBreak/>
        <w:t>can potentially distract the audience from grasping the regulatory message</w:t>
      </w:r>
      <w:r w:rsidR="00C77231" w:rsidRPr="00F32CF2">
        <w:rPr>
          <w:rFonts w:ascii="Century" w:hAnsi="Century"/>
          <w:sz w:val="24"/>
          <w:szCs w:val="24"/>
        </w:rPr>
        <w:t>.</w:t>
      </w:r>
      <w:r w:rsidR="00C77231" w:rsidRPr="00F32CF2">
        <w:rPr>
          <w:rStyle w:val="FootnoteReference"/>
          <w:rFonts w:ascii="Century" w:hAnsi="Century"/>
          <w:sz w:val="24"/>
          <w:szCs w:val="24"/>
        </w:rPr>
        <w:footnoteReference w:id="164"/>
      </w:r>
      <w:r w:rsidR="00C77231" w:rsidRPr="00F32CF2">
        <w:rPr>
          <w:rFonts w:ascii="Century" w:hAnsi="Century"/>
          <w:sz w:val="24"/>
          <w:szCs w:val="24"/>
        </w:rPr>
        <w:t xml:space="preserve"> </w:t>
      </w:r>
      <w:r w:rsidR="000D6FA7">
        <w:rPr>
          <w:rFonts w:ascii="Century" w:hAnsi="Century"/>
          <w:sz w:val="24"/>
          <w:szCs w:val="24"/>
        </w:rPr>
        <w:t>This requires drafters to design a law that is simple yet effective enough to achieve the objectives of the new law</w:t>
      </w:r>
      <w:r w:rsidR="00794276" w:rsidRPr="00F32CF2">
        <w:rPr>
          <w:rFonts w:ascii="Century" w:hAnsi="Century"/>
          <w:sz w:val="24"/>
          <w:szCs w:val="24"/>
        </w:rPr>
        <w:t>.</w:t>
      </w:r>
      <w:r w:rsidR="00F35523" w:rsidRPr="00F32CF2">
        <w:rPr>
          <w:rStyle w:val="FootnoteReference"/>
          <w:rFonts w:ascii="Century" w:hAnsi="Century"/>
          <w:sz w:val="24"/>
          <w:szCs w:val="24"/>
        </w:rPr>
        <w:footnoteReference w:id="165"/>
      </w:r>
      <w:r w:rsidR="00794276" w:rsidRPr="00F32CF2">
        <w:rPr>
          <w:rFonts w:ascii="Century" w:hAnsi="Century"/>
          <w:sz w:val="24"/>
          <w:szCs w:val="24"/>
        </w:rPr>
        <w:t xml:space="preserve"> Simplicity is essential as</w:t>
      </w:r>
      <w:r w:rsidR="000D6FA7">
        <w:rPr>
          <w:rFonts w:ascii="Century" w:hAnsi="Century"/>
          <w:sz w:val="24"/>
          <w:szCs w:val="24"/>
        </w:rPr>
        <w:t xml:space="preserve"> it is the most effective way to convey the regulatory message to the various audiences. </w:t>
      </w:r>
    </w:p>
    <w:p w:rsidR="000D6FA7" w:rsidRDefault="000D6FA7" w:rsidP="009C71B0">
      <w:pPr>
        <w:spacing w:line="360" w:lineRule="auto"/>
        <w:jc w:val="both"/>
        <w:rPr>
          <w:rFonts w:ascii="Century" w:hAnsi="Century"/>
          <w:sz w:val="24"/>
          <w:szCs w:val="24"/>
        </w:rPr>
      </w:pPr>
    </w:p>
    <w:p w:rsidR="00FD4E67" w:rsidRPr="00F32CF2" w:rsidRDefault="00087D1E" w:rsidP="009C71B0">
      <w:pPr>
        <w:spacing w:line="360" w:lineRule="auto"/>
        <w:jc w:val="both"/>
        <w:rPr>
          <w:rFonts w:ascii="Century" w:hAnsi="Century"/>
          <w:sz w:val="24"/>
          <w:szCs w:val="24"/>
        </w:rPr>
      </w:pPr>
      <w:r w:rsidRPr="00F32CF2">
        <w:rPr>
          <w:rFonts w:ascii="Century" w:hAnsi="Century"/>
          <w:sz w:val="24"/>
          <w:szCs w:val="24"/>
        </w:rPr>
        <w:t xml:space="preserve">Sir </w:t>
      </w:r>
      <w:r w:rsidR="00D77D01" w:rsidRPr="00F32CF2">
        <w:rPr>
          <w:rFonts w:ascii="Century" w:hAnsi="Century"/>
          <w:sz w:val="24"/>
          <w:szCs w:val="24"/>
        </w:rPr>
        <w:t>Geoffrey Bowman, advices that drafter</w:t>
      </w:r>
      <w:r w:rsidR="00573EF3">
        <w:rPr>
          <w:rFonts w:ascii="Century" w:hAnsi="Century"/>
          <w:sz w:val="24"/>
          <w:szCs w:val="24"/>
        </w:rPr>
        <w:t>s</w:t>
      </w:r>
      <w:r w:rsidR="00D77D01" w:rsidRPr="00F32CF2">
        <w:rPr>
          <w:rFonts w:ascii="Century" w:hAnsi="Century"/>
          <w:sz w:val="24"/>
          <w:szCs w:val="24"/>
        </w:rPr>
        <w:t xml:space="preserve"> </w:t>
      </w:r>
      <w:r w:rsidRPr="00F32CF2">
        <w:rPr>
          <w:rFonts w:ascii="Century" w:hAnsi="Century"/>
          <w:sz w:val="24"/>
          <w:szCs w:val="24"/>
        </w:rPr>
        <w:t>should</w:t>
      </w:r>
      <w:r w:rsidR="00573EF3">
        <w:rPr>
          <w:rFonts w:ascii="Century" w:hAnsi="Century"/>
          <w:sz w:val="24"/>
          <w:szCs w:val="24"/>
        </w:rPr>
        <w:t xml:space="preserve"> not give readers too much detail at the beginning of the legislation but rather ease them into complex provisions by stating the basic information first</w:t>
      </w:r>
      <w:r w:rsidR="00EE49B7" w:rsidRPr="00F32CF2">
        <w:rPr>
          <w:rFonts w:ascii="Century" w:hAnsi="Century"/>
          <w:sz w:val="24"/>
          <w:szCs w:val="24"/>
        </w:rPr>
        <w:t>.</w:t>
      </w:r>
      <w:r w:rsidR="00EE49B7" w:rsidRPr="00F32CF2">
        <w:rPr>
          <w:rStyle w:val="FootnoteReference"/>
          <w:rFonts w:ascii="Century" w:hAnsi="Century"/>
          <w:sz w:val="24"/>
          <w:szCs w:val="24"/>
        </w:rPr>
        <w:footnoteReference w:id="166"/>
      </w:r>
      <w:r w:rsidR="00D77D01" w:rsidRPr="00F32CF2">
        <w:rPr>
          <w:rFonts w:ascii="Century" w:hAnsi="Century"/>
          <w:sz w:val="24"/>
          <w:szCs w:val="24"/>
        </w:rPr>
        <w:t xml:space="preserve"> </w:t>
      </w:r>
      <w:r w:rsidR="00493C5F" w:rsidRPr="00F32CF2">
        <w:rPr>
          <w:rFonts w:ascii="Century" w:hAnsi="Century"/>
          <w:sz w:val="24"/>
          <w:szCs w:val="24"/>
        </w:rPr>
        <w:t>Seidman et al</w:t>
      </w:r>
      <w:r w:rsidR="009C319B">
        <w:rPr>
          <w:rFonts w:ascii="Century" w:hAnsi="Century"/>
          <w:sz w:val="24"/>
          <w:szCs w:val="24"/>
        </w:rPr>
        <w:t>,</w:t>
      </w:r>
      <w:r w:rsidR="00493C5F" w:rsidRPr="00F32CF2">
        <w:rPr>
          <w:rFonts w:ascii="Century" w:hAnsi="Century"/>
          <w:sz w:val="24"/>
          <w:szCs w:val="24"/>
        </w:rPr>
        <w:t xml:space="preserve"> </w:t>
      </w:r>
      <w:r w:rsidR="00D74FF4">
        <w:rPr>
          <w:rFonts w:ascii="Century" w:hAnsi="Century"/>
          <w:sz w:val="24"/>
          <w:szCs w:val="24"/>
        </w:rPr>
        <w:t>advised</w:t>
      </w:r>
      <w:r w:rsidRPr="00F32CF2">
        <w:rPr>
          <w:rFonts w:ascii="Century" w:hAnsi="Century"/>
          <w:sz w:val="24"/>
          <w:szCs w:val="24"/>
        </w:rPr>
        <w:t xml:space="preserve"> that </w:t>
      </w:r>
      <w:r w:rsidR="00300289" w:rsidRPr="00F32CF2">
        <w:rPr>
          <w:rFonts w:ascii="Century" w:hAnsi="Century"/>
          <w:sz w:val="24"/>
          <w:szCs w:val="24"/>
        </w:rPr>
        <w:t xml:space="preserve">the bill’s </w:t>
      </w:r>
      <w:r w:rsidRPr="00F32CF2">
        <w:rPr>
          <w:rFonts w:ascii="Century" w:hAnsi="Century"/>
          <w:sz w:val="24"/>
          <w:szCs w:val="24"/>
        </w:rPr>
        <w:t xml:space="preserve">structure must </w:t>
      </w:r>
      <w:r w:rsidR="00025D34">
        <w:rPr>
          <w:rFonts w:ascii="Century" w:hAnsi="Century"/>
          <w:sz w:val="24"/>
          <w:szCs w:val="24"/>
        </w:rPr>
        <w:t>‘</w:t>
      </w:r>
      <w:r w:rsidRPr="00F32CF2">
        <w:rPr>
          <w:rFonts w:ascii="Century" w:hAnsi="Century"/>
          <w:sz w:val="24"/>
          <w:szCs w:val="24"/>
        </w:rPr>
        <w:t>reflect</w:t>
      </w:r>
      <w:r w:rsidR="002C0695">
        <w:rPr>
          <w:rFonts w:ascii="Century" w:hAnsi="Century"/>
          <w:sz w:val="24"/>
          <w:szCs w:val="24"/>
        </w:rPr>
        <w:t xml:space="preserve"> its</w:t>
      </w:r>
      <w:r w:rsidRPr="00F32CF2">
        <w:rPr>
          <w:rFonts w:ascii="Century" w:hAnsi="Century"/>
          <w:sz w:val="24"/>
          <w:szCs w:val="24"/>
        </w:rPr>
        <w:t xml:space="preserve"> logic</w:t>
      </w:r>
      <w:r w:rsidR="00025D34">
        <w:rPr>
          <w:rFonts w:ascii="Century" w:hAnsi="Century"/>
          <w:sz w:val="24"/>
          <w:szCs w:val="24"/>
        </w:rPr>
        <w:t>’</w:t>
      </w:r>
      <w:r w:rsidR="00300289" w:rsidRPr="00F32CF2">
        <w:rPr>
          <w:rFonts w:ascii="Century" w:hAnsi="Century"/>
          <w:sz w:val="24"/>
          <w:szCs w:val="24"/>
        </w:rPr>
        <w:t xml:space="preserve"> show</w:t>
      </w:r>
      <w:r w:rsidRPr="00F32CF2">
        <w:rPr>
          <w:rFonts w:ascii="Century" w:hAnsi="Century"/>
          <w:sz w:val="24"/>
          <w:szCs w:val="24"/>
        </w:rPr>
        <w:t>ing</w:t>
      </w:r>
      <w:r w:rsidR="00300289" w:rsidRPr="00F32CF2">
        <w:rPr>
          <w:rFonts w:ascii="Century" w:hAnsi="Century"/>
          <w:sz w:val="24"/>
          <w:szCs w:val="24"/>
        </w:rPr>
        <w:t xml:space="preserve"> the </w:t>
      </w:r>
      <w:r w:rsidR="00A21A95">
        <w:rPr>
          <w:rFonts w:ascii="Century" w:hAnsi="Century"/>
          <w:sz w:val="24"/>
          <w:szCs w:val="24"/>
        </w:rPr>
        <w:t>correlation</w:t>
      </w:r>
      <w:r w:rsidR="00300289" w:rsidRPr="00F32CF2">
        <w:rPr>
          <w:rFonts w:ascii="Century" w:hAnsi="Century"/>
          <w:sz w:val="24"/>
          <w:szCs w:val="24"/>
        </w:rPr>
        <w:t xml:space="preserve"> </w:t>
      </w:r>
      <w:r w:rsidR="00A21A95">
        <w:rPr>
          <w:rFonts w:ascii="Century" w:hAnsi="Century"/>
          <w:sz w:val="24"/>
          <w:szCs w:val="24"/>
        </w:rPr>
        <w:t>between the different provisions</w:t>
      </w:r>
      <w:r w:rsidR="00300289" w:rsidRPr="00F32CF2">
        <w:rPr>
          <w:rFonts w:ascii="Century" w:hAnsi="Century"/>
          <w:sz w:val="24"/>
          <w:szCs w:val="24"/>
        </w:rPr>
        <w:t>.</w:t>
      </w:r>
      <w:r w:rsidR="00300289" w:rsidRPr="00F32CF2">
        <w:rPr>
          <w:rFonts w:ascii="Century" w:hAnsi="Century"/>
          <w:sz w:val="24"/>
          <w:szCs w:val="24"/>
          <w:vertAlign w:val="superscript"/>
        </w:rPr>
        <w:footnoteReference w:id="167"/>
      </w:r>
      <w:r w:rsidR="00EE49B7" w:rsidRPr="00F32CF2">
        <w:rPr>
          <w:rFonts w:ascii="Century" w:hAnsi="Century"/>
          <w:sz w:val="24"/>
          <w:szCs w:val="24"/>
        </w:rPr>
        <w:t xml:space="preserve"> </w:t>
      </w:r>
      <w:r w:rsidR="005D19A3">
        <w:rPr>
          <w:rFonts w:ascii="Century" w:hAnsi="Century"/>
          <w:sz w:val="24"/>
          <w:szCs w:val="24"/>
        </w:rPr>
        <w:t xml:space="preserve">Likewise </w:t>
      </w:r>
      <w:r w:rsidRPr="00F32CF2">
        <w:rPr>
          <w:rFonts w:ascii="Century" w:hAnsi="Century"/>
          <w:sz w:val="24"/>
          <w:szCs w:val="24"/>
        </w:rPr>
        <w:t xml:space="preserve">Butt agrees that the bill </w:t>
      </w:r>
      <w:r w:rsidR="00BE3AAB" w:rsidRPr="00F32CF2">
        <w:rPr>
          <w:rFonts w:ascii="Century" w:hAnsi="Century"/>
          <w:sz w:val="24"/>
          <w:szCs w:val="24"/>
        </w:rPr>
        <w:t xml:space="preserve">should be ordered logically from the reader’s perspective and should be in a </w:t>
      </w:r>
      <w:r w:rsidR="00764433">
        <w:rPr>
          <w:rFonts w:ascii="Century" w:hAnsi="Century"/>
          <w:sz w:val="24"/>
          <w:szCs w:val="24"/>
        </w:rPr>
        <w:t>manner</w:t>
      </w:r>
      <w:r w:rsidR="00BE3AAB" w:rsidRPr="00F32CF2">
        <w:rPr>
          <w:rFonts w:ascii="Century" w:hAnsi="Century"/>
          <w:sz w:val="24"/>
          <w:szCs w:val="24"/>
        </w:rPr>
        <w:t xml:space="preserve"> that is both </w:t>
      </w:r>
      <w:r w:rsidR="00A13D17">
        <w:rPr>
          <w:rFonts w:ascii="Century" w:hAnsi="Century"/>
          <w:sz w:val="24"/>
          <w:szCs w:val="24"/>
        </w:rPr>
        <w:t>‘</w:t>
      </w:r>
      <w:r w:rsidR="00BE3AAB" w:rsidRPr="00F32CF2">
        <w:rPr>
          <w:rFonts w:ascii="Century" w:hAnsi="Century"/>
          <w:sz w:val="24"/>
          <w:szCs w:val="24"/>
        </w:rPr>
        <w:t>sensible and comprehensible to the reader</w:t>
      </w:r>
      <w:r w:rsidR="00A13D17">
        <w:rPr>
          <w:rFonts w:ascii="Century" w:hAnsi="Century"/>
          <w:sz w:val="24"/>
          <w:szCs w:val="24"/>
        </w:rPr>
        <w:t>’</w:t>
      </w:r>
      <w:r w:rsidR="00BE3AAB" w:rsidRPr="00F32CF2">
        <w:rPr>
          <w:rFonts w:ascii="Century" w:hAnsi="Century"/>
          <w:sz w:val="24"/>
          <w:szCs w:val="24"/>
        </w:rPr>
        <w:t>.</w:t>
      </w:r>
      <w:r w:rsidR="00BE3AAB" w:rsidRPr="00F32CF2">
        <w:rPr>
          <w:rStyle w:val="FootnoteReference"/>
          <w:rFonts w:ascii="Century" w:hAnsi="Century"/>
          <w:sz w:val="24"/>
          <w:szCs w:val="24"/>
        </w:rPr>
        <w:footnoteReference w:id="168"/>
      </w:r>
      <w:r w:rsidR="00BE3AAB" w:rsidRPr="00F32CF2">
        <w:rPr>
          <w:rFonts w:ascii="Century" w:hAnsi="Century"/>
          <w:sz w:val="24"/>
          <w:szCs w:val="24"/>
        </w:rPr>
        <w:t xml:space="preserve"> </w:t>
      </w:r>
      <w:r w:rsidR="00FD0794">
        <w:rPr>
          <w:rStyle w:val="sb8d990e2"/>
          <w:rFonts w:ascii="Century" w:hAnsi="Century"/>
          <w:sz w:val="24"/>
          <w:szCs w:val="24"/>
        </w:rPr>
        <w:t>Burrows and Carter note that</w:t>
      </w:r>
      <w:r w:rsidR="004E1421">
        <w:rPr>
          <w:rStyle w:val="sb8d990e2"/>
          <w:rFonts w:ascii="Century" w:hAnsi="Century"/>
          <w:sz w:val="24"/>
          <w:szCs w:val="24"/>
        </w:rPr>
        <w:t xml:space="preserve"> ‘</w:t>
      </w:r>
      <w:r w:rsidR="004C5A63">
        <w:rPr>
          <w:rStyle w:val="sb8d990e2"/>
          <w:rFonts w:ascii="Century" w:hAnsi="Century"/>
          <w:sz w:val="24"/>
          <w:szCs w:val="24"/>
        </w:rPr>
        <w:t>T</w:t>
      </w:r>
      <w:r w:rsidR="004E1421">
        <w:rPr>
          <w:rStyle w:val="sb8d990e2"/>
          <w:rFonts w:ascii="Century" w:hAnsi="Century"/>
          <w:sz w:val="24"/>
          <w:szCs w:val="24"/>
        </w:rPr>
        <w:t>he illogical ordering of sections not only impedes understanding: it can mean that any overall statutory scheme is lost’.</w:t>
      </w:r>
      <w:r w:rsidR="004E1421">
        <w:rPr>
          <w:rStyle w:val="FootnoteReference"/>
          <w:rFonts w:ascii="Century" w:hAnsi="Century"/>
          <w:sz w:val="24"/>
          <w:szCs w:val="24"/>
        </w:rPr>
        <w:footnoteReference w:id="169"/>
      </w:r>
      <w:r w:rsidR="004E1421">
        <w:rPr>
          <w:rFonts w:ascii="Century" w:hAnsi="Century"/>
          <w:sz w:val="24"/>
          <w:szCs w:val="24"/>
        </w:rPr>
        <w:t xml:space="preserve"> </w:t>
      </w:r>
      <w:r w:rsidR="00976DBF" w:rsidRPr="00F32CF2">
        <w:rPr>
          <w:rFonts w:ascii="Century" w:hAnsi="Century"/>
          <w:sz w:val="24"/>
          <w:szCs w:val="24"/>
        </w:rPr>
        <w:t xml:space="preserve">All of these views point to </w:t>
      </w:r>
      <w:r w:rsidR="005D19A3">
        <w:rPr>
          <w:rFonts w:ascii="Century" w:hAnsi="Century"/>
          <w:sz w:val="24"/>
          <w:szCs w:val="24"/>
        </w:rPr>
        <w:t xml:space="preserve">the fact that a </w:t>
      </w:r>
      <w:r w:rsidR="00976DBF" w:rsidRPr="00F32CF2">
        <w:rPr>
          <w:rFonts w:ascii="Century" w:hAnsi="Century"/>
          <w:sz w:val="24"/>
          <w:szCs w:val="24"/>
        </w:rPr>
        <w:t xml:space="preserve">logical </w:t>
      </w:r>
      <w:r w:rsidR="00EC51AC">
        <w:rPr>
          <w:rFonts w:ascii="Century" w:hAnsi="Century"/>
          <w:sz w:val="24"/>
          <w:szCs w:val="24"/>
        </w:rPr>
        <w:t xml:space="preserve">and simple </w:t>
      </w:r>
      <w:r w:rsidR="00976DBF" w:rsidRPr="00F32CF2">
        <w:rPr>
          <w:rFonts w:ascii="Century" w:hAnsi="Century"/>
          <w:sz w:val="24"/>
          <w:szCs w:val="24"/>
        </w:rPr>
        <w:t xml:space="preserve">structure ensures that </w:t>
      </w:r>
      <w:r w:rsidR="001B58B3" w:rsidRPr="00F32CF2">
        <w:rPr>
          <w:rFonts w:ascii="Century" w:hAnsi="Century"/>
          <w:sz w:val="24"/>
          <w:szCs w:val="24"/>
        </w:rPr>
        <w:t>the important concepts are</w:t>
      </w:r>
      <w:r w:rsidR="00976DBF" w:rsidRPr="00F32CF2">
        <w:rPr>
          <w:rFonts w:ascii="Century" w:hAnsi="Century"/>
          <w:sz w:val="24"/>
          <w:szCs w:val="24"/>
        </w:rPr>
        <w:t xml:space="preserve"> not</w:t>
      </w:r>
      <w:r w:rsidR="001B58B3" w:rsidRPr="00F32CF2">
        <w:rPr>
          <w:rFonts w:ascii="Century" w:hAnsi="Century"/>
          <w:sz w:val="24"/>
          <w:szCs w:val="24"/>
        </w:rPr>
        <w:t xml:space="preserve"> </w:t>
      </w:r>
      <w:r w:rsidR="00976DBF" w:rsidRPr="00F32CF2">
        <w:rPr>
          <w:rFonts w:ascii="Century" w:hAnsi="Century"/>
          <w:sz w:val="24"/>
          <w:szCs w:val="24"/>
        </w:rPr>
        <w:t xml:space="preserve">hidden or overshadowed by provisions that </w:t>
      </w:r>
      <w:r w:rsidR="005D19A3">
        <w:rPr>
          <w:rFonts w:ascii="Century" w:hAnsi="Century"/>
          <w:sz w:val="24"/>
          <w:szCs w:val="24"/>
        </w:rPr>
        <w:t xml:space="preserve">are </w:t>
      </w:r>
      <w:r w:rsidR="00976DBF" w:rsidRPr="00F32CF2">
        <w:rPr>
          <w:rFonts w:ascii="Century" w:hAnsi="Century"/>
          <w:sz w:val="24"/>
          <w:szCs w:val="24"/>
        </w:rPr>
        <w:t>secondary.</w:t>
      </w:r>
      <w:r w:rsidR="001B58B3" w:rsidRPr="00F32CF2">
        <w:rPr>
          <w:rStyle w:val="FootnoteReference"/>
          <w:rFonts w:ascii="Century" w:hAnsi="Century"/>
          <w:sz w:val="24"/>
          <w:szCs w:val="24"/>
        </w:rPr>
        <w:footnoteReference w:id="170"/>
      </w:r>
      <w:r w:rsidR="00EC51AC">
        <w:rPr>
          <w:rFonts w:ascii="Century" w:hAnsi="Century"/>
          <w:sz w:val="24"/>
          <w:szCs w:val="24"/>
        </w:rPr>
        <w:t xml:space="preserve"> It also ensures that the text is easily digestible for users.</w:t>
      </w:r>
      <w:r w:rsidR="001B58B3" w:rsidRPr="00F32CF2">
        <w:rPr>
          <w:rFonts w:ascii="Century" w:hAnsi="Century"/>
          <w:sz w:val="24"/>
          <w:szCs w:val="24"/>
        </w:rPr>
        <w:t xml:space="preserve"> </w:t>
      </w:r>
      <w:r w:rsidR="00CD6D89" w:rsidRPr="00F32CF2">
        <w:rPr>
          <w:rFonts w:ascii="Century" w:hAnsi="Century"/>
          <w:sz w:val="24"/>
          <w:szCs w:val="24"/>
        </w:rPr>
        <w:t>Therefore, the</w:t>
      </w:r>
      <w:r w:rsidR="00FD4E67" w:rsidRPr="00F32CF2">
        <w:rPr>
          <w:rFonts w:ascii="Century" w:hAnsi="Century"/>
          <w:sz w:val="24"/>
          <w:szCs w:val="24"/>
        </w:rPr>
        <w:t xml:space="preserve"> most important </w:t>
      </w:r>
      <w:r w:rsidR="00F927B6">
        <w:rPr>
          <w:rFonts w:ascii="Century" w:hAnsi="Century"/>
          <w:sz w:val="24"/>
          <w:szCs w:val="24"/>
        </w:rPr>
        <w:t>information</w:t>
      </w:r>
      <w:r w:rsidR="001875D0">
        <w:rPr>
          <w:rFonts w:ascii="Century" w:hAnsi="Century"/>
          <w:sz w:val="24"/>
          <w:szCs w:val="24"/>
        </w:rPr>
        <w:t xml:space="preserve"> should</w:t>
      </w:r>
      <w:r w:rsidR="00F927B6">
        <w:rPr>
          <w:rFonts w:ascii="Century" w:hAnsi="Century"/>
          <w:sz w:val="24"/>
          <w:szCs w:val="24"/>
        </w:rPr>
        <w:t xml:space="preserve"> </w:t>
      </w:r>
      <w:r w:rsidR="00FD4E67" w:rsidRPr="00F32CF2">
        <w:rPr>
          <w:rFonts w:ascii="Century" w:hAnsi="Century"/>
          <w:sz w:val="24"/>
          <w:szCs w:val="24"/>
        </w:rPr>
        <w:t>be</w:t>
      </w:r>
      <w:r w:rsidR="001A1999">
        <w:rPr>
          <w:rFonts w:ascii="Century" w:hAnsi="Century"/>
          <w:sz w:val="24"/>
          <w:szCs w:val="24"/>
        </w:rPr>
        <w:t xml:space="preserve"> placed</w:t>
      </w:r>
      <w:r w:rsidR="00FD4E67" w:rsidRPr="00F32CF2">
        <w:rPr>
          <w:rFonts w:ascii="Century" w:hAnsi="Century"/>
          <w:sz w:val="24"/>
          <w:szCs w:val="24"/>
        </w:rPr>
        <w:t xml:space="preserve"> first and </w:t>
      </w:r>
      <w:r w:rsidR="00CD6D89" w:rsidRPr="00F32CF2">
        <w:rPr>
          <w:rFonts w:ascii="Century" w:hAnsi="Century"/>
          <w:sz w:val="24"/>
          <w:szCs w:val="24"/>
        </w:rPr>
        <w:t>this is</w:t>
      </w:r>
      <w:r w:rsidR="00FD4E67" w:rsidRPr="00F32CF2">
        <w:rPr>
          <w:rFonts w:ascii="Century" w:hAnsi="Century"/>
          <w:sz w:val="24"/>
          <w:szCs w:val="24"/>
        </w:rPr>
        <w:t xml:space="preserve"> determined from </w:t>
      </w:r>
      <w:r w:rsidR="009E39BF">
        <w:rPr>
          <w:rFonts w:ascii="Century" w:hAnsi="Century"/>
          <w:sz w:val="24"/>
          <w:szCs w:val="24"/>
        </w:rPr>
        <w:t>‘</w:t>
      </w:r>
      <w:r w:rsidR="00FD4E67" w:rsidRPr="00F32CF2">
        <w:rPr>
          <w:rFonts w:ascii="Century" w:hAnsi="Century"/>
          <w:sz w:val="24"/>
          <w:szCs w:val="24"/>
        </w:rPr>
        <w:t>the</w:t>
      </w:r>
      <w:r w:rsidR="00E70602">
        <w:rPr>
          <w:rFonts w:ascii="Century" w:hAnsi="Century"/>
          <w:sz w:val="24"/>
          <w:szCs w:val="24"/>
        </w:rPr>
        <w:t xml:space="preserve"> reader’s point of view</w:t>
      </w:r>
      <w:r w:rsidR="00FD4E67" w:rsidRPr="00F32CF2">
        <w:rPr>
          <w:rFonts w:ascii="Century" w:hAnsi="Century"/>
          <w:sz w:val="24"/>
          <w:szCs w:val="24"/>
        </w:rPr>
        <w:t>’.</w:t>
      </w:r>
      <w:r w:rsidR="00FD4E67" w:rsidRPr="00F32CF2">
        <w:rPr>
          <w:rStyle w:val="FootnoteReference"/>
          <w:rFonts w:ascii="Century" w:hAnsi="Century"/>
          <w:sz w:val="24"/>
          <w:szCs w:val="24"/>
        </w:rPr>
        <w:footnoteReference w:id="171"/>
      </w:r>
      <w:r w:rsidR="00FD4E67" w:rsidRPr="00F32CF2">
        <w:rPr>
          <w:rFonts w:ascii="Century" w:hAnsi="Century"/>
          <w:sz w:val="24"/>
          <w:szCs w:val="24"/>
        </w:rPr>
        <w:t xml:space="preserve"> </w:t>
      </w:r>
      <w:r w:rsidR="00CD6D89" w:rsidRPr="00F32CF2">
        <w:rPr>
          <w:rFonts w:ascii="Century" w:hAnsi="Century"/>
          <w:sz w:val="24"/>
          <w:szCs w:val="24"/>
        </w:rPr>
        <w:t>As stated by Asprey,</w:t>
      </w:r>
    </w:p>
    <w:p w:rsidR="00FD4E67" w:rsidRPr="00F32CF2" w:rsidRDefault="00CD6D89" w:rsidP="00FD4E67">
      <w:pPr>
        <w:spacing w:line="360" w:lineRule="auto"/>
        <w:ind w:left="720"/>
        <w:jc w:val="both"/>
        <w:rPr>
          <w:rFonts w:ascii="Century" w:hAnsi="Century"/>
          <w:sz w:val="24"/>
          <w:szCs w:val="24"/>
        </w:rPr>
      </w:pPr>
      <w:r w:rsidRPr="00F32CF2">
        <w:rPr>
          <w:rFonts w:ascii="Century" w:hAnsi="Century"/>
          <w:sz w:val="24"/>
          <w:szCs w:val="24"/>
        </w:rPr>
        <w:t>[I]</w:t>
      </w:r>
      <w:r w:rsidR="00FD4E67" w:rsidRPr="00F32CF2">
        <w:rPr>
          <w:rFonts w:ascii="Century" w:hAnsi="Century"/>
          <w:sz w:val="24"/>
          <w:szCs w:val="24"/>
        </w:rPr>
        <w:t xml:space="preserve">n a statue, the most important thing is what it is about-not when it commences, who administers it, what other </w:t>
      </w:r>
      <w:r w:rsidR="00081DF0">
        <w:rPr>
          <w:rFonts w:ascii="Century" w:hAnsi="Century"/>
          <w:sz w:val="24"/>
          <w:szCs w:val="24"/>
        </w:rPr>
        <w:t>legislation is affected by it…t</w:t>
      </w:r>
      <w:r w:rsidR="00FD4E67" w:rsidRPr="00F32CF2">
        <w:rPr>
          <w:rFonts w:ascii="Century" w:hAnsi="Century"/>
          <w:sz w:val="24"/>
          <w:szCs w:val="24"/>
        </w:rPr>
        <w:t xml:space="preserve">he main purpose of laws is to regulate behaviour, and so that </w:t>
      </w:r>
      <w:r w:rsidR="00FD4E67" w:rsidRPr="00F32CF2">
        <w:rPr>
          <w:rFonts w:ascii="Century" w:hAnsi="Century"/>
          <w:sz w:val="24"/>
          <w:szCs w:val="24"/>
        </w:rPr>
        <w:lastRenderedPageBreak/>
        <w:t>is the point of view that we should take when assessing the relative importance of different parts of Acts.</w:t>
      </w:r>
      <w:r w:rsidR="00FD4E67" w:rsidRPr="00F32CF2">
        <w:rPr>
          <w:rStyle w:val="FootnoteReference"/>
          <w:rFonts w:ascii="Century" w:hAnsi="Century"/>
          <w:sz w:val="24"/>
          <w:szCs w:val="24"/>
        </w:rPr>
        <w:footnoteReference w:id="172"/>
      </w:r>
      <w:r w:rsidR="00FD4E67" w:rsidRPr="00F32CF2">
        <w:rPr>
          <w:rFonts w:ascii="Century" w:hAnsi="Century"/>
          <w:sz w:val="24"/>
          <w:szCs w:val="24"/>
        </w:rPr>
        <w:t xml:space="preserve">  </w:t>
      </w:r>
    </w:p>
    <w:p w:rsidR="005D19A3" w:rsidRDefault="005D19A3" w:rsidP="00567D17">
      <w:pPr>
        <w:spacing w:line="360" w:lineRule="auto"/>
        <w:jc w:val="both"/>
        <w:rPr>
          <w:rFonts w:ascii="Century" w:hAnsi="Century"/>
          <w:sz w:val="24"/>
          <w:szCs w:val="24"/>
        </w:rPr>
      </w:pPr>
    </w:p>
    <w:p w:rsidR="007B2A8B" w:rsidRPr="00F32CF2" w:rsidRDefault="003C070A" w:rsidP="00567D17">
      <w:pPr>
        <w:spacing w:line="360" w:lineRule="auto"/>
        <w:jc w:val="both"/>
        <w:rPr>
          <w:rFonts w:ascii="Century" w:hAnsi="Century"/>
          <w:sz w:val="24"/>
          <w:szCs w:val="24"/>
        </w:rPr>
      </w:pPr>
      <w:r w:rsidRPr="00F32CF2">
        <w:rPr>
          <w:rFonts w:ascii="Century" w:hAnsi="Century"/>
          <w:sz w:val="24"/>
          <w:szCs w:val="24"/>
        </w:rPr>
        <w:t xml:space="preserve">The opinions of the above </w:t>
      </w:r>
      <w:r w:rsidR="00BA2690">
        <w:rPr>
          <w:rFonts w:ascii="Century" w:hAnsi="Century"/>
          <w:sz w:val="24"/>
          <w:szCs w:val="24"/>
        </w:rPr>
        <w:t>writers</w:t>
      </w:r>
      <w:r w:rsidRPr="00F32CF2">
        <w:rPr>
          <w:rFonts w:ascii="Century" w:hAnsi="Century"/>
          <w:sz w:val="24"/>
          <w:szCs w:val="24"/>
        </w:rPr>
        <w:t xml:space="preserve"> on how a bill should be ordered are based on the guidelines laid down by </w:t>
      </w:r>
      <w:r w:rsidR="006E2615" w:rsidRPr="00F32CF2">
        <w:rPr>
          <w:rFonts w:ascii="Century" w:hAnsi="Century"/>
          <w:sz w:val="24"/>
          <w:szCs w:val="24"/>
        </w:rPr>
        <w:t>Lord Thring</w:t>
      </w:r>
      <w:r w:rsidR="005B5CF8" w:rsidRPr="00F32CF2">
        <w:rPr>
          <w:rFonts w:ascii="Century" w:hAnsi="Century"/>
          <w:sz w:val="24"/>
          <w:szCs w:val="24"/>
        </w:rPr>
        <w:t xml:space="preserve">. Though laid down many decades ago </w:t>
      </w:r>
      <w:r w:rsidR="00E50B5A">
        <w:rPr>
          <w:rFonts w:ascii="Century" w:hAnsi="Century"/>
          <w:sz w:val="24"/>
          <w:szCs w:val="24"/>
        </w:rPr>
        <w:t>they are</w:t>
      </w:r>
      <w:r w:rsidR="005B5CF8" w:rsidRPr="00F32CF2">
        <w:rPr>
          <w:rFonts w:ascii="Century" w:hAnsi="Century"/>
          <w:sz w:val="24"/>
          <w:szCs w:val="24"/>
        </w:rPr>
        <w:t xml:space="preserve"> still </w:t>
      </w:r>
      <w:r w:rsidR="009D4AC4">
        <w:rPr>
          <w:rFonts w:ascii="Century" w:hAnsi="Century"/>
          <w:sz w:val="24"/>
          <w:szCs w:val="24"/>
        </w:rPr>
        <w:t>instructive</w:t>
      </w:r>
      <w:r w:rsidR="005B5CF8" w:rsidRPr="00F32CF2">
        <w:rPr>
          <w:rFonts w:ascii="Century" w:hAnsi="Century"/>
          <w:sz w:val="24"/>
          <w:szCs w:val="24"/>
        </w:rPr>
        <w:t xml:space="preserve"> for drafter</w:t>
      </w:r>
      <w:r w:rsidR="00222937">
        <w:rPr>
          <w:rFonts w:ascii="Century" w:hAnsi="Century"/>
          <w:sz w:val="24"/>
          <w:szCs w:val="24"/>
        </w:rPr>
        <w:t>s</w:t>
      </w:r>
      <w:r w:rsidR="005B5CF8" w:rsidRPr="00F32CF2">
        <w:rPr>
          <w:rFonts w:ascii="Century" w:hAnsi="Century"/>
          <w:sz w:val="24"/>
          <w:szCs w:val="24"/>
        </w:rPr>
        <w:t xml:space="preserve"> of the 21</w:t>
      </w:r>
      <w:r w:rsidR="005B5CF8" w:rsidRPr="00F32CF2">
        <w:rPr>
          <w:rFonts w:ascii="Century" w:hAnsi="Century"/>
          <w:sz w:val="24"/>
          <w:szCs w:val="24"/>
          <w:vertAlign w:val="superscript"/>
        </w:rPr>
        <w:t>st</w:t>
      </w:r>
      <w:r w:rsidR="005B5CF8" w:rsidRPr="00F32CF2">
        <w:rPr>
          <w:rFonts w:ascii="Century" w:hAnsi="Century"/>
          <w:sz w:val="24"/>
          <w:szCs w:val="24"/>
        </w:rPr>
        <w:t xml:space="preserve"> century. Lord Thring’s guidelines are as follows</w:t>
      </w:r>
      <w:r w:rsidR="001762C6" w:rsidRPr="00F32CF2">
        <w:rPr>
          <w:rFonts w:ascii="Century" w:hAnsi="Century"/>
          <w:sz w:val="24"/>
          <w:szCs w:val="24"/>
        </w:rPr>
        <w:t>-</w:t>
      </w:r>
    </w:p>
    <w:p w:rsidR="007B2A8B" w:rsidRPr="00F32CF2" w:rsidRDefault="001A5427" w:rsidP="0022254C">
      <w:pPr>
        <w:pStyle w:val="ListParagraph"/>
        <w:numPr>
          <w:ilvl w:val="0"/>
          <w:numId w:val="3"/>
        </w:numPr>
        <w:spacing w:line="360" w:lineRule="auto"/>
        <w:jc w:val="both"/>
        <w:rPr>
          <w:rFonts w:ascii="Century" w:hAnsi="Century"/>
          <w:sz w:val="24"/>
          <w:szCs w:val="24"/>
        </w:rPr>
      </w:pPr>
      <w:r w:rsidRPr="00F32CF2">
        <w:rPr>
          <w:rFonts w:ascii="Century" w:hAnsi="Century"/>
          <w:sz w:val="24"/>
          <w:szCs w:val="24"/>
        </w:rPr>
        <w:t xml:space="preserve">Provisions declaring the law should be separated from, and take precedence </w:t>
      </w:r>
      <w:r w:rsidR="00872CA2">
        <w:rPr>
          <w:rFonts w:ascii="Century" w:hAnsi="Century"/>
          <w:sz w:val="24"/>
          <w:szCs w:val="24"/>
        </w:rPr>
        <w:t>of [sic]</w:t>
      </w:r>
      <w:r w:rsidRPr="00F32CF2">
        <w:rPr>
          <w:rFonts w:ascii="Century" w:hAnsi="Century"/>
          <w:sz w:val="24"/>
          <w:szCs w:val="24"/>
        </w:rPr>
        <w:t xml:space="preserve"> provisions relating to the administration of the law.</w:t>
      </w:r>
    </w:p>
    <w:p w:rsidR="001A5427" w:rsidRPr="00F32CF2" w:rsidRDefault="001A5427" w:rsidP="0022254C">
      <w:pPr>
        <w:pStyle w:val="ListParagraph"/>
        <w:numPr>
          <w:ilvl w:val="0"/>
          <w:numId w:val="3"/>
        </w:numPr>
        <w:spacing w:line="360" w:lineRule="auto"/>
        <w:jc w:val="both"/>
        <w:rPr>
          <w:rFonts w:ascii="Century" w:hAnsi="Century"/>
          <w:sz w:val="24"/>
          <w:szCs w:val="24"/>
        </w:rPr>
      </w:pPr>
      <w:r w:rsidRPr="00F32CF2">
        <w:rPr>
          <w:rFonts w:ascii="Century" w:hAnsi="Century"/>
          <w:sz w:val="24"/>
          <w:szCs w:val="24"/>
        </w:rPr>
        <w:t>The simpler proposition should precede the more complex and in an ascending scale of propositions the less</w:t>
      </w:r>
      <w:r w:rsidR="00872CA2">
        <w:rPr>
          <w:rFonts w:ascii="Century" w:hAnsi="Century"/>
          <w:sz w:val="24"/>
          <w:szCs w:val="24"/>
        </w:rPr>
        <w:t xml:space="preserve"> [sic]</w:t>
      </w:r>
      <w:r w:rsidRPr="00F32CF2">
        <w:rPr>
          <w:rFonts w:ascii="Century" w:hAnsi="Century"/>
          <w:sz w:val="24"/>
          <w:szCs w:val="24"/>
        </w:rPr>
        <w:t xml:space="preserve"> should come before the greater.</w:t>
      </w:r>
    </w:p>
    <w:p w:rsidR="001A5427" w:rsidRPr="00F32CF2" w:rsidRDefault="001A5427" w:rsidP="0022254C">
      <w:pPr>
        <w:pStyle w:val="ListParagraph"/>
        <w:numPr>
          <w:ilvl w:val="0"/>
          <w:numId w:val="3"/>
        </w:numPr>
        <w:spacing w:line="360" w:lineRule="auto"/>
        <w:jc w:val="both"/>
        <w:rPr>
          <w:rFonts w:ascii="Century" w:hAnsi="Century"/>
          <w:sz w:val="24"/>
          <w:szCs w:val="24"/>
        </w:rPr>
      </w:pPr>
      <w:r w:rsidRPr="00F32CF2">
        <w:rPr>
          <w:rFonts w:ascii="Century" w:hAnsi="Century"/>
          <w:sz w:val="24"/>
          <w:szCs w:val="24"/>
        </w:rPr>
        <w:t>Principal provisions should be separated from subordinate provisions.</w:t>
      </w:r>
    </w:p>
    <w:p w:rsidR="001A5427" w:rsidRPr="00F32CF2" w:rsidRDefault="00601E40" w:rsidP="0022254C">
      <w:pPr>
        <w:pStyle w:val="ListParagraph"/>
        <w:numPr>
          <w:ilvl w:val="0"/>
          <w:numId w:val="3"/>
        </w:numPr>
        <w:spacing w:line="360" w:lineRule="auto"/>
        <w:jc w:val="both"/>
        <w:rPr>
          <w:rFonts w:ascii="Century" w:hAnsi="Century"/>
          <w:sz w:val="24"/>
          <w:szCs w:val="24"/>
        </w:rPr>
      </w:pPr>
      <w:r>
        <w:rPr>
          <w:rFonts w:ascii="Century" w:hAnsi="Century"/>
          <w:sz w:val="24"/>
          <w:szCs w:val="24"/>
        </w:rPr>
        <w:t>(a) Local or e</w:t>
      </w:r>
      <w:r w:rsidR="001A5427" w:rsidRPr="00F32CF2">
        <w:rPr>
          <w:rFonts w:ascii="Century" w:hAnsi="Century"/>
          <w:sz w:val="24"/>
          <w:szCs w:val="24"/>
        </w:rPr>
        <w:t xml:space="preserve">xceptional provisions, </w:t>
      </w:r>
      <w:r>
        <w:rPr>
          <w:rFonts w:ascii="Century" w:hAnsi="Century"/>
          <w:sz w:val="24"/>
          <w:szCs w:val="24"/>
        </w:rPr>
        <w:t xml:space="preserve">(b) </w:t>
      </w:r>
      <w:r w:rsidR="001A5427" w:rsidRPr="00F32CF2">
        <w:rPr>
          <w:rFonts w:ascii="Century" w:hAnsi="Century"/>
          <w:sz w:val="24"/>
          <w:szCs w:val="24"/>
        </w:rPr>
        <w:t xml:space="preserve">temporary provisions and </w:t>
      </w:r>
      <w:r>
        <w:rPr>
          <w:rFonts w:ascii="Century" w:hAnsi="Century"/>
          <w:sz w:val="24"/>
          <w:szCs w:val="24"/>
        </w:rPr>
        <w:t xml:space="preserve">(c) </w:t>
      </w:r>
      <w:r w:rsidR="001A5427" w:rsidRPr="00F32CF2">
        <w:rPr>
          <w:rFonts w:ascii="Century" w:hAnsi="Century"/>
          <w:sz w:val="24"/>
          <w:szCs w:val="24"/>
        </w:rPr>
        <w:t xml:space="preserve">provisions relating to repeal of </w:t>
      </w:r>
      <w:r>
        <w:rPr>
          <w:rFonts w:ascii="Century" w:hAnsi="Century"/>
          <w:sz w:val="24"/>
          <w:szCs w:val="24"/>
        </w:rPr>
        <w:t>Acts</w:t>
      </w:r>
      <w:r w:rsidR="001A5427" w:rsidRPr="00F32CF2">
        <w:rPr>
          <w:rFonts w:ascii="Century" w:hAnsi="Century"/>
          <w:sz w:val="24"/>
          <w:szCs w:val="24"/>
        </w:rPr>
        <w:t xml:space="preserve"> should be separated from the other </w:t>
      </w:r>
      <w:r>
        <w:rPr>
          <w:rFonts w:ascii="Century" w:hAnsi="Century"/>
          <w:sz w:val="24"/>
          <w:szCs w:val="24"/>
        </w:rPr>
        <w:t xml:space="preserve">enactments, </w:t>
      </w:r>
      <w:r w:rsidR="001A5427" w:rsidRPr="00F32CF2">
        <w:rPr>
          <w:rFonts w:ascii="Century" w:hAnsi="Century"/>
          <w:sz w:val="24"/>
          <w:szCs w:val="24"/>
        </w:rPr>
        <w:t>and placed by themselves under separate headings.</w:t>
      </w:r>
    </w:p>
    <w:p w:rsidR="007B2A8B" w:rsidRPr="00F32CF2" w:rsidRDefault="001A5427" w:rsidP="0022254C">
      <w:pPr>
        <w:pStyle w:val="ListParagraph"/>
        <w:numPr>
          <w:ilvl w:val="0"/>
          <w:numId w:val="3"/>
        </w:numPr>
        <w:spacing w:line="360" w:lineRule="auto"/>
        <w:jc w:val="both"/>
        <w:rPr>
          <w:rFonts w:ascii="Century" w:hAnsi="Century"/>
          <w:sz w:val="24"/>
          <w:szCs w:val="24"/>
        </w:rPr>
      </w:pPr>
      <w:r w:rsidRPr="00F32CF2">
        <w:rPr>
          <w:rFonts w:ascii="Century" w:hAnsi="Century"/>
          <w:sz w:val="24"/>
          <w:szCs w:val="24"/>
        </w:rPr>
        <w:t xml:space="preserve">Procedure and matters of detail should be set apart by themselves and should not, except under very special circumstances, find any place in the body of </w:t>
      </w:r>
      <w:r w:rsidR="00BD3326">
        <w:rPr>
          <w:rFonts w:ascii="Century" w:hAnsi="Century"/>
          <w:sz w:val="24"/>
          <w:szCs w:val="24"/>
        </w:rPr>
        <w:t>the Act</w:t>
      </w:r>
      <w:r w:rsidRPr="00F32CF2">
        <w:rPr>
          <w:rFonts w:ascii="Century" w:hAnsi="Century"/>
          <w:sz w:val="24"/>
          <w:szCs w:val="24"/>
        </w:rPr>
        <w:t>.</w:t>
      </w:r>
      <w:r w:rsidR="00057E9E" w:rsidRPr="00F32CF2">
        <w:rPr>
          <w:rStyle w:val="FootnoteReference"/>
          <w:rFonts w:ascii="Century" w:hAnsi="Century"/>
          <w:sz w:val="24"/>
          <w:szCs w:val="24"/>
        </w:rPr>
        <w:footnoteReference w:id="173"/>
      </w:r>
    </w:p>
    <w:p w:rsidR="0087731F" w:rsidRDefault="00943E99" w:rsidP="0087731F">
      <w:pPr>
        <w:spacing w:line="360" w:lineRule="auto"/>
        <w:jc w:val="both"/>
        <w:rPr>
          <w:rFonts w:ascii="Century" w:hAnsi="Century"/>
          <w:sz w:val="24"/>
          <w:szCs w:val="24"/>
        </w:rPr>
      </w:pPr>
      <w:r>
        <w:rPr>
          <w:rFonts w:ascii="Century" w:hAnsi="Century"/>
          <w:sz w:val="24"/>
          <w:szCs w:val="24"/>
        </w:rPr>
        <w:t xml:space="preserve">For </w:t>
      </w:r>
      <w:r w:rsidR="005B5CE1" w:rsidRPr="00F32CF2">
        <w:rPr>
          <w:rFonts w:ascii="Century" w:hAnsi="Century"/>
          <w:sz w:val="24"/>
          <w:szCs w:val="24"/>
        </w:rPr>
        <w:t>Thornton</w:t>
      </w:r>
      <w:r w:rsidR="00277822">
        <w:rPr>
          <w:rFonts w:ascii="Century" w:hAnsi="Century"/>
          <w:sz w:val="24"/>
          <w:szCs w:val="24"/>
        </w:rPr>
        <w:t xml:space="preserve">, </w:t>
      </w:r>
      <w:r w:rsidR="00352858" w:rsidRPr="00F32CF2">
        <w:rPr>
          <w:rFonts w:ascii="Century" w:hAnsi="Century"/>
          <w:sz w:val="24"/>
          <w:szCs w:val="24"/>
        </w:rPr>
        <w:t>drafter</w:t>
      </w:r>
      <w:r w:rsidR="00277822">
        <w:rPr>
          <w:rFonts w:ascii="Century" w:hAnsi="Century"/>
          <w:sz w:val="24"/>
          <w:szCs w:val="24"/>
        </w:rPr>
        <w:t>s</w:t>
      </w:r>
      <w:r w:rsidR="00352858" w:rsidRPr="00F32CF2">
        <w:rPr>
          <w:rFonts w:ascii="Century" w:hAnsi="Century"/>
          <w:sz w:val="24"/>
          <w:szCs w:val="24"/>
        </w:rPr>
        <w:t xml:space="preserve"> must </w:t>
      </w:r>
      <w:r w:rsidR="00277822">
        <w:rPr>
          <w:rFonts w:ascii="Century" w:hAnsi="Century"/>
          <w:sz w:val="24"/>
          <w:szCs w:val="24"/>
        </w:rPr>
        <w:t>design a structure that allows the regulator</w:t>
      </w:r>
      <w:r w:rsidR="001326AE">
        <w:rPr>
          <w:rFonts w:ascii="Century" w:hAnsi="Century"/>
          <w:sz w:val="24"/>
          <w:szCs w:val="24"/>
        </w:rPr>
        <w:t>y</w:t>
      </w:r>
      <w:r w:rsidR="00277822">
        <w:rPr>
          <w:rFonts w:ascii="Century" w:hAnsi="Century"/>
          <w:sz w:val="24"/>
          <w:szCs w:val="24"/>
        </w:rPr>
        <w:t xml:space="preserve"> message to be transmitted successfully to its audience as well as give effect to the instructions</w:t>
      </w:r>
      <w:r w:rsidR="00352858" w:rsidRPr="00F32CF2">
        <w:rPr>
          <w:rFonts w:ascii="Century" w:hAnsi="Century"/>
          <w:sz w:val="24"/>
          <w:szCs w:val="24"/>
        </w:rPr>
        <w:t>.</w:t>
      </w:r>
      <w:r w:rsidR="00352858" w:rsidRPr="00F32CF2">
        <w:rPr>
          <w:rStyle w:val="FootnoteReference"/>
          <w:rFonts w:ascii="Century" w:hAnsi="Century"/>
          <w:sz w:val="24"/>
          <w:szCs w:val="24"/>
        </w:rPr>
        <w:footnoteReference w:id="174"/>
      </w:r>
      <w:r w:rsidR="005B5CE1" w:rsidRPr="00F32CF2">
        <w:rPr>
          <w:rFonts w:ascii="Century" w:hAnsi="Century"/>
          <w:sz w:val="24"/>
          <w:szCs w:val="24"/>
        </w:rPr>
        <w:t xml:space="preserve"> </w:t>
      </w:r>
      <w:r w:rsidR="002F2EB7">
        <w:rPr>
          <w:rFonts w:ascii="Century" w:hAnsi="Century"/>
          <w:sz w:val="24"/>
          <w:szCs w:val="24"/>
        </w:rPr>
        <w:t>Thornton, l</w:t>
      </w:r>
      <w:r w:rsidR="00277822">
        <w:rPr>
          <w:rFonts w:ascii="Century" w:hAnsi="Century"/>
          <w:sz w:val="24"/>
          <w:szCs w:val="24"/>
        </w:rPr>
        <w:t>ike Lord Thring</w:t>
      </w:r>
      <w:r w:rsidR="002F2EB7">
        <w:rPr>
          <w:rFonts w:ascii="Century" w:hAnsi="Century"/>
          <w:sz w:val="24"/>
          <w:szCs w:val="24"/>
        </w:rPr>
        <w:t xml:space="preserve"> recommends that</w:t>
      </w:r>
      <w:r w:rsidR="00277822">
        <w:rPr>
          <w:rFonts w:ascii="Century" w:hAnsi="Century"/>
          <w:sz w:val="24"/>
          <w:szCs w:val="24"/>
        </w:rPr>
        <w:t xml:space="preserve"> </w:t>
      </w:r>
      <w:r w:rsidR="002F2EB7">
        <w:rPr>
          <w:rFonts w:ascii="Century" w:hAnsi="Century"/>
          <w:sz w:val="24"/>
          <w:szCs w:val="24"/>
        </w:rPr>
        <w:t xml:space="preserve">the important provisions should be stated first. Namely, </w:t>
      </w:r>
      <w:r w:rsidR="005B5CE1" w:rsidRPr="00F32CF2">
        <w:rPr>
          <w:rFonts w:ascii="Century" w:hAnsi="Century"/>
          <w:sz w:val="24"/>
          <w:szCs w:val="24"/>
        </w:rPr>
        <w:t>the law</w:t>
      </w:r>
      <w:r w:rsidR="001762C6" w:rsidRPr="00F32CF2">
        <w:rPr>
          <w:rFonts w:ascii="Century" w:hAnsi="Century"/>
          <w:sz w:val="24"/>
          <w:szCs w:val="24"/>
        </w:rPr>
        <w:t xml:space="preserve"> should be</w:t>
      </w:r>
      <w:r w:rsidR="00277822">
        <w:rPr>
          <w:rFonts w:ascii="Century" w:hAnsi="Century"/>
          <w:sz w:val="24"/>
          <w:szCs w:val="24"/>
        </w:rPr>
        <w:t xml:space="preserve"> </w:t>
      </w:r>
      <w:r w:rsidR="001762C6" w:rsidRPr="00F32CF2">
        <w:rPr>
          <w:rFonts w:ascii="Century" w:hAnsi="Century"/>
          <w:sz w:val="24"/>
          <w:szCs w:val="24"/>
        </w:rPr>
        <w:t>fir</w:t>
      </w:r>
      <w:r w:rsidR="00AF37CA">
        <w:rPr>
          <w:rFonts w:ascii="Century" w:hAnsi="Century"/>
          <w:sz w:val="24"/>
          <w:szCs w:val="24"/>
        </w:rPr>
        <w:t>st, followed by th</w:t>
      </w:r>
      <w:r w:rsidR="001762C6" w:rsidRPr="00F32CF2">
        <w:rPr>
          <w:rFonts w:ascii="Century" w:hAnsi="Century"/>
          <w:sz w:val="24"/>
          <w:szCs w:val="24"/>
        </w:rPr>
        <w:t xml:space="preserve">e provisions that </w:t>
      </w:r>
      <w:r w:rsidR="005B5CE1" w:rsidRPr="00F32CF2">
        <w:rPr>
          <w:rFonts w:ascii="Century" w:hAnsi="Century"/>
          <w:sz w:val="24"/>
          <w:szCs w:val="24"/>
        </w:rPr>
        <w:t>administer the law</w:t>
      </w:r>
      <w:r w:rsidR="001762C6" w:rsidRPr="00F32CF2">
        <w:rPr>
          <w:rFonts w:ascii="Century" w:hAnsi="Century"/>
          <w:sz w:val="24"/>
          <w:szCs w:val="24"/>
        </w:rPr>
        <w:t xml:space="preserve">. </w:t>
      </w:r>
      <w:r w:rsidR="005B5CE1" w:rsidRPr="00F32CF2">
        <w:rPr>
          <w:rFonts w:ascii="Century" w:hAnsi="Century"/>
          <w:sz w:val="24"/>
          <w:szCs w:val="24"/>
        </w:rPr>
        <w:t>Procedural</w:t>
      </w:r>
      <w:r w:rsidR="001762C6" w:rsidRPr="00F32CF2">
        <w:rPr>
          <w:rFonts w:ascii="Century" w:hAnsi="Century"/>
          <w:sz w:val="24"/>
          <w:szCs w:val="24"/>
        </w:rPr>
        <w:t xml:space="preserve"> steps</w:t>
      </w:r>
      <w:r w:rsidR="0054686D">
        <w:rPr>
          <w:rFonts w:ascii="Century" w:hAnsi="Century"/>
          <w:sz w:val="24"/>
          <w:szCs w:val="24"/>
        </w:rPr>
        <w:t xml:space="preserve"> should be </w:t>
      </w:r>
      <w:r w:rsidR="00E66BA9">
        <w:rPr>
          <w:rFonts w:ascii="Century" w:hAnsi="Century"/>
          <w:sz w:val="24"/>
          <w:szCs w:val="24"/>
        </w:rPr>
        <w:t>written</w:t>
      </w:r>
      <w:r w:rsidR="0054686D">
        <w:rPr>
          <w:rFonts w:ascii="Century" w:hAnsi="Century"/>
          <w:sz w:val="24"/>
          <w:szCs w:val="24"/>
        </w:rPr>
        <w:t xml:space="preserve"> in a logical manner i.e. in the way they occur</w:t>
      </w:r>
      <w:r w:rsidR="001762C6" w:rsidRPr="00F32CF2">
        <w:rPr>
          <w:rFonts w:ascii="Century" w:hAnsi="Century"/>
          <w:sz w:val="24"/>
          <w:szCs w:val="24"/>
        </w:rPr>
        <w:t xml:space="preserve">. </w:t>
      </w:r>
      <w:r w:rsidR="00277822">
        <w:rPr>
          <w:rFonts w:ascii="Century" w:hAnsi="Century"/>
          <w:sz w:val="24"/>
          <w:szCs w:val="24"/>
        </w:rPr>
        <w:t>G</w:t>
      </w:r>
      <w:r w:rsidR="001762C6" w:rsidRPr="00F32CF2">
        <w:rPr>
          <w:rFonts w:ascii="Century" w:hAnsi="Century"/>
          <w:sz w:val="24"/>
          <w:szCs w:val="24"/>
        </w:rPr>
        <w:t>eneral</w:t>
      </w:r>
      <w:r w:rsidR="00277822">
        <w:rPr>
          <w:rFonts w:ascii="Century" w:hAnsi="Century"/>
          <w:sz w:val="24"/>
          <w:szCs w:val="24"/>
        </w:rPr>
        <w:t xml:space="preserve"> provisions </w:t>
      </w:r>
      <w:r w:rsidR="00277822">
        <w:rPr>
          <w:rFonts w:ascii="Century" w:hAnsi="Century"/>
          <w:sz w:val="24"/>
          <w:szCs w:val="24"/>
        </w:rPr>
        <w:lastRenderedPageBreak/>
        <w:t>should go before those that are specific</w:t>
      </w:r>
      <w:r w:rsidR="002F2EB7">
        <w:rPr>
          <w:rFonts w:ascii="Century" w:hAnsi="Century"/>
          <w:sz w:val="24"/>
          <w:szCs w:val="24"/>
        </w:rPr>
        <w:t xml:space="preserve"> and </w:t>
      </w:r>
      <w:r w:rsidR="001762C6" w:rsidRPr="00F32CF2">
        <w:rPr>
          <w:rFonts w:ascii="Century" w:hAnsi="Century"/>
          <w:sz w:val="24"/>
          <w:szCs w:val="24"/>
        </w:rPr>
        <w:t>permanent</w:t>
      </w:r>
      <w:r w:rsidR="00277822">
        <w:rPr>
          <w:rFonts w:ascii="Century" w:hAnsi="Century"/>
          <w:sz w:val="24"/>
          <w:szCs w:val="24"/>
        </w:rPr>
        <w:t xml:space="preserve"> provisions should be placed</w:t>
      </w:r>
      <w:r w:rsidR="001762C6" w:rsidRPr="00F32CF2">
        <w:rPr>
          <w:rFonts w:ascii="Century" w:hAnsi="Century"/>
          <w:sz w:val="24"/>
          <w:szCs w:val="24"/>
        </w:rPr>
        <w:t xml:space="preserve"> before the temporary.</w:t>
      </w:r>
      <w:r w:rsidR="001762C6" w:rsidRPr="00F32CF2">
        <w:rPr>
          <w:rStyle w:val="FootnoteReference"/>
          <w:rFonts w:ascii="Century" w:hAnsi="Century"/>
          <w:sz w:val="24"/>
          <w:szCs w:val="24"/>
        </w:rPr>
        <w:footnoteReference w:id="175"/>
      </w:r>
      <w:r w:rsidR="001762C6" w:rsidRPr="00F32CF2">
        <w:rPr>
          <w:rFonts w:ascii="Century" w:hAnsi="Century"/>
          <w:sz w:val="24"/>
          <w:szCs w:val="24"/>
        </w:rPr>
        <w:t xml:space="preserve"> </w:t>
      </w:r>
      <w:r w:rsidR="00B740C6">
        <w:rPr>
          <w:rFonts w:ascii="Century" w:hAnsi="Century"/>
          <w:sz w:val="24"/>
          <w:szCs w:val="24"/>
        </w:rPr>
        <w:t>Likewise,</w:t>
      </w:r>
      <w:r w:rsidR="00C90F2E" w:rsidRPr="00F32CF2">
        <w:rPr>
          <w:rFonts w:ascii="Century" w:hAnsi="Century"/>
          <w:sz w:val="24"/>
          <w:szCs w:val="24"/>
        </w:rPr>
        <w:t xml:space="preserve"> Seidman</w:t>
      </w:r>
      <w:r w:rsidR="00352858" w:rsidRPr="00F32CF2">
        <w:rPr>
          <w:rFonts w:ascii="Century" w:hAnsi="Century"/>
          <w:sz w:val="24"/>
          <w:szCs w:val="24"/>
        </w:rPr>
        <w:t xml:space="preserve"> et al </w:t>
      </w:r>
      <w:r w:rsidR="00B740C6">
        <w:rPr>
          <w:rFonts w:ascii="Century" w:hAnsi="Century"/>
          <w:sz w:val="24"/>
          <w:szCs w:val="24"/>
        </w:rPr>
        <w:t>suggest</w:t>
      </w:r>
      <w:r w:rsidR="00352858" w:rsidRPr="00F32CF2">
        <w:rPr>
          <w:rFonts w:ascii="Century" w:hAnsi="Century"/>
          <w:sz w:val="24"/>
          <w:szCs w:val="24"/>
        </w:rPr>
        <w:t xml:space="preserve"> that</w:t>
      </w:r>
      <w:r w:rsidR="00C90F2E" w:rsidRPr="00F32CF2">
        <w:rPr>
          <w:rFonts w:ascii="Century" w:hAnsi="Century"/>
          <w:sz w:val="24"/>
          <w:szCs w:val="24"/>
        </w:rPr>
        <w:t xml:space="preserve"> </w:t>
      </w:r>
      <w:r w:rsidR="00B740C6">
        <w:rPr>
          <w:rFonts w:ascii="Century" w:hAnsi="Century"/>
          <w:sz w:val="24"/>
          <w:szCs w:val="24"/>
        </w:rPr>
        <w:t xml:space="preserve">general functions should take precedence over </w:t>
      </w:r>
      <w:r w:rsidR="00C90F2E" w:rsidRPr="00F32CF2">
        <w:rPr>
          <w:rFonts w:ascii="Century" w:hAnsi="Century"/>
          <w:sz w:val="24"/>
          <w:szCs w:val="24"/>
        </w:rPr>
        <w:t xml:space="preserve">particular functions </w:t>
      </w:r>
      <w:r w:rsidR="00B740C6">
        <w:rPr>
          <w:rFonts w:ascii="Century" w:hAnsi="Century"/>
          <w:sz w:val="24"/>
          <w:szCs w:val="24"/>
        </w:rPr>
        <w:t>and exceptions and p</w:t>
      </w:r>
      <w:r w:rsidR="00C90F2E" w:rsidRPr="00F32CF2">
        <w:rPr>
          <w:rFonts w:ascii="Century" w:hAnsi="Century"/>
          <w:sz w:val="24"/>
          <w:szCs w:val="24"/>
        </w:rPr>
        <w:t>ermanent</w:t>
      </w:r>
      <w:r w:rsidR="00E66DB0" w:rsidRPr="00F32CF2">
        <w:rPr>
          <w:rFonts w:ascii="Century" w:hAnsi="Century"/>
          <w:sz w:val="24"/>
          <w:szCs w:val="24"/>
        </w:rPr>
        <w:t xml:space="preserve"> provisions </w:t>
      </w:r>
      <w:r w:rsidR="00B740C6">
        <w:rPr>
          <w:rFonts w:ascii="Century" w:hAnsi="Century"/>
          <w:sz w:val="24"/>
          <w:szCs w:val="24"/>
        </w:rPr>
        <w:t>should be placed before</w:t>
      </w:r>
      <w:r w:rsidR="00C90F2E" w:rsidRPr="00F32CF2">
        <w:rPr>
          <w:rFonts w:ascii="Century" w:hAnsi="Century"/>
          <w:sz w:val="24"/>
          <w:szCs w:val="24"/>
        </w:rPr>
        <w:t xml:space="preserve"> transitional or temporary</w:t>
      </w:r>
      <w:r w:rsidR="00B740C6">
        <w:rPr>
          <w:rFonts w:ascii="Century" w:hAnsi="Century"/>
          <w:sz w:val="24"/>
          <w:szCs w:val="24"/>
        </w:rPr>
        <w:t xml:space="preserve"> ones</w:t>
      </w:r>
      <w:r w:rsidR="00C90F2E" w:rsidRPr="00F32CF2">
        <w:rPr>
          <w:rFonts w:ascii="Century" w:hAnsi="Century"/>
          <w:sz w:val="24"/>
          <w:szCs w:val="24"/>
        </w:rPr>
        <w:t>.</w:t>
      </w:r>
      <w:r w:rsidR="00C90F2E" w:rsidRPr="00F32CF2">
        <w:rPr>
          <w:rStyle w:val="FootnoteReference"/>
          <w:rFonts w:ascii="Century" w:hAnsi="Century"/>
          <w:sz w:val="24"/>
          <w:szCs w:val="24"/>
        </w:rPr>
        <w:footnoteReference w:id="176"/>
      </w:r>
      <w:r w:rsidR="00C90F2E" w:rsidRPr="00F32CF2">
        <w:rPr>
          <w:rFonts w:ascii="Century" w:hAnsi="Century"/>
          <w:sz w:val="24"/>
          <w:szCs w:val="24"/>
        </w:rPr>
        <w:t xml:space="preserve"> </w:t>
      </w:r>
      <w:r w:rsidR="005D19A3">
        <w:rPr>
          <w:rFonts w:ascii="Century" w:hAnsi="Century"/>
          <w:sz w:val="24"/>
          <w:szCs w:val="24"/>
        </w:rPr>
        <w:t xml:space="preserve">Placing the primary message closer to the front ensures that </w:t>
      </w:r>
      <w:r w:rsidR="00C77231" w:rsidRPr="00F32CF2">
        <w:rPr>
          <w:rFonts w:ascii="Century" w:hAnsi="Century"/>
          <w:sz w:val="24"/>
          <w:szCs w:val="24"/>
        </w:rPr>
        <w:t xml:space="preserve">the </w:t>
      </w:r>
      <w:r w:rsidR="005D19A3">
        <w:rPr>
          <w:rFonts w:ascii="Century" w:hAnsi="Century"/>
          <w:sz w:val="24"/>
          <w:szCs w:val="24"/>
        </w:rPr>
        <w:t xml:space="preserve">audience grasp the </w:t>
      </w:r>
      <w:r w:rsidR="00C77231" w:rsidRPr="00F32CF2">
        <w:rPr>
          <w:rFonts w:ascii="Century" w:hAnsi="Century"/>
          <w:sz w:val="24"/>
          <w:szCs w:val="24"/>
        </w:rPr>
        <w:t>important aspect of the legislation</w:t>
      </w:r>
      <w:r w:rsidR="007333CB" w:rsidRPr="00F32CF2">
        <w:rPr>
          <w:rFonts w:ascii="Century" w:hAnsi="Century"/>
          <w:sz w:val="24"/>
          <w:szCs w:val="24"/>
        </w:rPr>
        <w:t>.</w:t>
      </w:r>
      <w:r w:rsidR="007333CB" w:rsidRPr="00F32CF2">
        <w:rPr>
          <w:rStyle w:val="FootnoteReference"/>
          <w:rFonts w:ascii="Century" w:hAnsi="Century"/>
          <w:sz w:val="24"/>
          <w:szCs w:val="24"/>
        </w:rPr>
        <w:footnoteReference w:id="177"/>
      </w:r>
      <w:r w:rsidR="00C77231" w:rsidRPr="00F32CF2">
        <w:rPr>
          <w:rFonts w:ascii="Century" w:hAnsi="Century"/>
          <w:sz w:val="24"/>
          <w:szCs w:val="24"/>
        </w:rPr>
        <w:t xml:space="preserve"> </w:t>
      </w:r>
    </w:p>
    <w:p w:rsidR="005924F8" w:rsidRDefault="005924F8" w:rsidP="0087731F">
      <w:pPr>
        <w:spacing w:line="360" w:lineRule="auto"/>
        <w:jc w:val="both"/>
        <w:rPr>
          <w:rFonts w:ascii="Century" w:hAnsi="Century"/>
          <w:sz w:val="24"/>
          <w:szCs w:val="24"/>
        </w:rPr>
      </w:pPr>
    </w:p>
    <w:p w:rsidR="00E51592" w:rsidRDefault="00716452" w:rsidP="0087731F">
      <w:pPr>
        <w:spacing w:line="360" w:lineRule="auto"/>
        <w:jc w:val="both"/>
        <w:rPr>
          <w:rFonts w:ascii="Century" w:hAnsi="Century"/>
          <w:sz w:val="24"/>
          <w:szCs w:val="24"/>
        </w:rPr>
      </w:pPr>
      <w:r w:rsidRPr="00F32CF2">
        <w:rPr>
          <w:rFonts w:ascii="Century" w:hAnsi="Century"/>
          <w:sz w:val="24"/>
          <w:szCs w:val="24"/>
        </w:rPr>
        <w:t xml:space="preserve">Apart from Lord Thring’s time honoured structure, </w:t>
      </w:r>
      <w:r w:rsidR="00E51592" w:rsidRPr="00F32CF2">
        <w:rPr>
          <w:rFonts w:ascii="Century" w:hAnsi="Century"/>
          <w:sz w:val="24"/>
          <w:szCs w:val="24"/>
        </w:rPr>
        <w:t xml:space="preserve">Xanthaki, proposes a layered approach which she argues may better serve the </w:t>
      </w:r>
      <w:r w:rsidR="002A4F00" w:rsidRPr="00F32CF2">
        <w:rPr>
          <w:rFonts w:ascii="Century" w:hAnsi="Century"/>
          <w:sz w:val="24"/>
          <w:szCs w:val="24"/>
        </w:rPr>
        <w:t xml:space="preserve">variety of </w:t>
      </w:r>
      <w:r w:rsidR="00E51592" w:rsidRPr="00F32CF2">
        <w:rPr>
          <w:rFonts w:ascii="Century" w:hAnsi="Century"/>
          <w:sz w:val="24"/>
          <w:szCs w:val="24"/>
        </w:rPr>
        <w:t>readers</w:t>
      </w:r>
      <w:r w:rsidR="002A4F00" w:rsidRPr="00F32CF2">
        <w:rPr>
          <w:rFonts w:ascii="Century" w:hAnsi="Century"/>
          <w:sz w:val="24"/>
          <w:szCs w:val="24"/>
        </w:rPr>
        <w:t xml:space="preserve"> of legislation</w:t>
      </w:r>
      <w:r w:rsidR="00853CE7">
        <w:rPr>
          <w:rFonts w:ascii="Century" w:hAnsi="Century"/>
          <w:sz w:val="24"/>
          <w:szCs w:val="24"/>
        </w:rPr>
        <w:t xml:space="preserve">. </w:t>
      </w:r>
      <w:r w:rsidR="00002FEA" w:rsidRPr="00F32CF2">
        <w:rPr>
          <w:rFonts w:ascii="Century" w:hAnsi="Century"/>
          <w:sz w:val="24"/>
          <w:szCs w:val="24"/>
        </w:rPr>
        <w:t>The layered approach is where the bill is divided into three parts with each part speaking to the</w:t>
      </w:r>
      <w:r w:rsidR="00853CE7">
        <w:rPr>
          <w:rFonts w:ascii="Century" w:hAnsi="Century"/>
          <w:sz w:val="24"/>
          <w:szCs w:val="24"/>
        </w:rPr>
        <w:t xml:space="preserve"> different users of legislation as identified by the research conducted by the National Archives. It differs from Lord Thring’s approach as the act will be tailored to the needs of each user. It is </w:t>
      </w:r>
      <w:r w:rsidR="00CA61B5">
        <w:rPr>
          <w:rFonts w:ascii="Century" w:hAnsi="Century"/>
          <w:sz w:val="24"/>
          <w:szCs w:val="24"/>
        </w:rPr>
        <w:t xml:space="preserve">argued </w:t>
      </w:r>
      <w:r w:rsidR="00853CE7">
        <w:rPr>
          <w:rFonts w:ascii="Century" w:hAnsi="Century"/>
          <w:sz w:val="24"/>
          <w:szCs w:val="24"/>
        </w:rPr>
        <w:t>that this approach will promote effective communication of the policy message</w:t>
      </w:r>
      <w:r w:rsidR="00D667CC" w:rsidRPr="00F32CF2">
        <w:rPr>
          <w:rFonts w:ascii="Century" w:hAnsi="Century"/>
          <w:sz w:val="24"/>
          <w:szCs w:val="24"/>
        </w:rPr>
        <w:t>.</w:t>
      </w:r>
      <w:r w:rsidR="00D667CC" w:rsidRPr="00F32CF2">
        <w:rPr>
          <w:rStyle w:val="FootnoteReference"/>
          <w:rFonts w:ascii="Century" w:hAnsi="Century"/>
          <w:sz w:val="24"/>
          <w:szCs w:val="24"/>
        </w:rPr>
        <w:footnoteReference w:id="178"/>
      </w:r>
      <w:r w:rsidR="005924F8">
        <w:rPr>
          <w:rFonts w:ascii="Century" w:hAnsi="Century"/>
          <w:sz w:val="24"/>
          <w:szCs w:val="24"/>
        </w:rPr>
        <w:t xml:space="preserve"> </w:t>
      </w:r>
      <w:r w:rsidR="00832796" w:rsidRPr="00F32CF2">
        <w:rPr>
          <w:rFonts w:ascii="Century" w:hAnsi="Century"/>
          <w:sz w:val="24"/>
          <w:szCs w:val="24"/>
        </w:rPr>
        <w:t xml:space="preserve">The first part of the bill </w:t>
      </w:r>
      <w:r w:rsidR="005B5FF1">
        <w:rPr>
          <w:rFonts w:ascii="Century" w:hAnsi="Century"/>
          <w:sz w:val="24"/>
          <w:szCs w:val="24"/>
        </w:rPr>
        <w:t xml:space="preserve">targets lay users and will be written in a </w:t>
      </w:r>
      <w:r w:rsidR="00CA61B5">
        <w:rPr>
          <w:rFonts w:ascii="Century" w:hAnsi="Century"/>
          <w:sz w:val="24"/>
          <w:szCs w:val="24"/>
        </w:rPr>
        <w:t xml:space="preserve">clear </w:t>
      </w:r>
      <w:r w:rsidR="005B5FF1">
        <w:rPr>
          <w:rFonts w:ascii="Century" w:hAnsi="Century"/>
          <w:sz w:val="24"/>
          <w:szCs w:val="24"/>
        </w:rPr>
        <w:t xml:space="preserve">manner </w:t>
      </w:r>
      <w:r w:rsidR="00CA61B5">
        <w:rPr>
          <w:rFonts w:ascii="Century" w:hAnsi="Century"/>
          <w:sz w:val="24"/>
          <w:szCs w:val="24"/>
        </w:rPr>
        <w:t>to easily convey the</w:t>
      </w:r>
      <w:r w:rsidR="00832796" w:rsidRPr="00F32CF2">
        <w:rPr>
          <w:rFonts w:ascii="Century" w:hAnsi="Century"/>
          <w:sz w:val="24"/>
          <w:szCs w:val="24"/>
        </w:rPr>
        <w:t xml:space="preserve"> main regulatory message</w:t>
      </w:r>
      <w:r w:rsidR="00CA61B5">
        <w:rPr>
          <w:rFonts w:ascii="Century" w:hAnsi="Century"/>
          <w:sz w:val="24"/>
          <w:szCs w:val="24"/>
        </w:rPr>
        <w:t xml:space="preserve"> to enable these users</w:t>
      </w:r>
      <w:r w:rsidR="007673D5" w:rsidRPr="00F32CF2">
        <w:rPr>
          <w:rFonts w:ascii="Century" w:hAnsi="Century"/>
          <w:sz w:val="24"/>
          <w:szCs w:val="24"/>
        </w:rPr>
        <w:t xml:space="preserve"> to comply </w:t>
      </w:r>
      <w:r w:rsidR="00921273">
        <w:rPr>
          <w:rFonts w:ascii="Century" w:hAnsi="Century"/>
          <w:sz w:val="24"/>
          <w:szCs w:val="24"/>
        </w:rPr>
        <w:t>with the law</w:t>
      </w:r>
      <w:r w:rsidR="007673D5" w:rsidRPr="00F32CF2">
        <w:rPr>
          <w:rFonts w:ascii="Century" w:hAnsi="Century"/>
          <w:sz w:val="24"/>
          <w:szCs w:val="24"/>
        </w:rPr>
        <w:t xml:space="preserve"> </w:t>
      </w:r>
      <w:r w:rsidR="00CA61B5">
        <w:rPr>
          <w:rFonts w:ascii="Century" w:hAnsi="Century"/>
          <w:sz w:val="24"/>
          <w:szCs w:val="24"/>
        </w:rPr>
        <w:t>and</w:t>
      </w:r>
      <w:r w:rsidR="007673D5" w:rsidRPr="00F32CF2">
        <w:rPr>
          <w:rFonts w:ascii="Century" w:hAnsi="Century"/>
          <w:sz w:val="24"/>
          <w:szCs w:val="24"/>
        </w:rPr>
        <w:t xml:space="preserve"> enjoy new rights</w:t>
      </w:r>
      <w:r w:rsidR="00921273">
        <w:rPr>
          <w:rFonts w:ascii="Century" w:hAnsi="Century"/>
          <w:sz w:val="24"/>
          <w:szCs w:val="24"/>
        </w:rPr>
        <w:t xml:space="preserve"> under the law</w:t>
      </w:r>
      <w:r w:rsidR="007673D5" w:rsidRPr="00F32CF2">
        <w:rPr>
          <w:rFonts w:ascii="Century" w:hAnsi="Century"/>
          <w:sz w:val="24"/>
          <w:szCs w:val="24"/>
        </w:rPr>
        <w:t xml:space="preserve">.  </w:t>
      </w:r>
      <w:r w:rsidR="006E2615" w:rsidRPr="00F32CF2">
        <w:rPr>
          <w:rFonts w:ascii="Century" w:hAnsi="Century"/>
          <w:sz w:val="24"/>
          <w:szCs w:val="24"/>
        </w:rPr>
        <w:t xml:space="preserve">The second part of the bill </w:t>
      </w:r>
      <w:r w:rsidR="00921273">
        <w:rPr>
          <w:rFonts w:ascii="Century" w:hAnsi="Century"/>
          <w:sz w:val="24"/>
          <w:szCs w:val="24"/>
        </w:rPr>
        <w:t xml:space="preserve">targets non legal </w:t>
      </w:r>
      <w:r w:rsidR="007673D5" w:rsidRPr="00F32CF2">
        <w:rPr>
          <w:rFonts w:ascii="Century" w:hAnsi="Century"/>
          <w:sz w:val="24"/>
          <w:szCs w:val="24"/>
        </w:rPr>
        <w:t>professionals who</w:t>
      </w:r>
      <w:r w:rsidR="00921273">
        <w:rPr>
          <w:rFonts w:ascii="Century" w:hAnsi="Century"/>
          <w:sz w:val="24"/>
          <w:szCs w:val="24"/>
        </w:rPr>
        <w:t xml:space="preserve"> need to access the legislation because of their work</w:t>
      </w:r>
      <w:r w:rsidR="007673D5" w:rsidRPr="00F32CF2">
        <w:rPr>
          <w:rFonts w:ascii="Century" w:hAnsi="Century"/>
          <w:sz w:val="24"/>
          <w:szCs w:val="24"/>
        </w:rPr>
        <w:t xml:space="preserve">. </w:t>
      </w:r>
      <w:r w:rsidR="006E2615" w:rsidRPr="00F32CF2">
        <w:rPr>
          <w:rFonts w:ascii="Century" w:hAnsi="Century"/>
          <w:sz w:val="24"/>
          <w:szCs w:val="24"/>
        </w:rPr>
        <w:t>In this part further detail is given about the policy</w:t>
      </w:r>
      <w:r w:rsidR="007673D5" w:rsidRPr="00F32CF2">
        <w:rPr>
          <w:rFonts w:ascii="Century" w:hAnsi="Century"/>
          <w:sz w:val="24"/>
          <w:szCs w:val="24"/>
        </w:rPr>
        <w:t xml:space="preserve"> and </w:t>
      </w:r>
      <w:r w:rsidR="006E2615" w:rsidRPr="00F32CF2">
        <w:rPr>
          <w:rFonts w:ascii="Century" w:hAnsi="Century"/>
          <w:sz w:val="24"/>
          <w:szCs w:val="24"/>
        </w:rPr>
        <w:t xml:space="preserve">the </w:t>
      </w:r>
      <w:r w:rsidR="007673D5" w:rsidRPr="00F32CF2">
        <w:rPr>
          <w:rFonts w:ascii="Century" w:hAnsi="Century"/>
          <w:sz w:val="24"/>
          <w:szCs w:val="24"/>
        </w:rPr>
        <w:t>language</w:t>
      </w:r>
      <w:r w:rsidR="00F67F53" w:rsidRPr="00F32CF2">
        <w:rPr>
          <w:rFonts w:ascii="Century" w:hAnsi="Century"/>
          <w:sz w:val="24"/>
          <w:szCs w:val="24"/>
        </w:rPr>
        <w:t xml:space="preserve"> </w:t>
      </w:r>
      <w:r w:rsidR="006E2615" w:rsidRPr="00F32CF2">
        <w:rPr>
          <w:rFonts w:ascii="Century" w:hAnsi="Century"/>
          <w:sz w:val="24"/>
          <w:szCs w:val="24"/>
        </w:rPr>
        <w:t>is technical yet approachable</w:t>
      </w:r>
      <w:r w:rsidR="00921273">
        <w:rPr>
          <w:rFonts w:ascii="Century" w:hAnsi="Century"/>
          <w:sz w:val="24"/>
          <w:szCs w:val="24"/>
        </w:rPr>
        <w:t xml:space="preserve">. The third part of the bill </w:t>
      </w:r>
      <w:r w:rsidR="00CA61B5">
        <w:rPr>
          <w:rFonts w:ascii="Century" w:hAnsi="Century"/>
          <w:sz w:val="24"/>
          <w:szCs w:val="24"/>
        </w:rPr>
        <w:t>t</w:t>
      </w:r>
      <w:r w:rsidR="00921273">
        <w:rPr>
          <w:rFonts w:ascii="Century" w:hAnsi="Century"/>
          <w:sz w:val="24"/>
          <w:szCs w:val="24"/>
        </w:rPr>
        <w:t>arget</w:t>
      </w:r>
      <w:r w:rsidR="00CA61B5">
        <w:rPr>
          <w:rFonts w:ascii="Century" w:hAnsi="Century"/>
          <w:sz w:val="24"/>
          <w:szCs w:val="24"/>
        </w:rPr>
        <w:t>s</w:t>
      </w:r>
      <w:r w:rsidR="00921273">
        <w:rPr>
          <w:rFonts w:ascii="Century" w:hAnsi="Century"/>
          <w:sz w:val="24"/>
          <w:szCs w:val="24"/>
        </w:rPr>
        <w:t xml:space="preserve"> those who </w:t>
      </w:r>
      <w:r w:rsidR="00910B6E">
        <w:rPr>
          <w:rFonts w:ascii="Century" w:hAnsi="Century"/>
          <w:sz w:val="24"/>
          <w:szCs w:val="24"/>
        </w:rPr>
        <w:t xml:space="preserve">will interpret the law. It deals with </w:t>
      </w:r>
      <w:r w:rsidR="00F67F53" w:rsidRPr="00F32CF2">
        <w:rPr>
          <w:rFonts w:ascii="Century" w:hAnsi="Century"/>
          <w:sz w:val="24"/>
          <w:szCs w:val="24"/>
        </w:rPr>
        <w:t>issues of legislative interpretation, issues of procedure and issues of application</w:t>
      </w:r>
      <w:r w:rsidR="00CA61B5">
        <w:rPr>
          <w:rFonts w:ascii="Century" w:hAnsi="Century"/>
          <w:sz w:val="24"/>
          <w:szCs w:val="24"/>
        </w:rPr>
        <w:t>. Although each stage targets a different audience the language in each will not be overly technical giving all users access.</w:t>
      </w:r>
      <w:r w:rsidR="00D667CC" w:rsidRPr="00F32CF2">
        <w:rPr>
          <w:rStyle w:val="FootnoteReference"/>
          <w:rFonts w:ascii="Century" w:hAnsi="Century"/>
          <w:sz w:val="24"/>
          <w:szCs w:val="24"/>
        </w:rPr>
        <w:footnoteReference w:id="179"/>
      </w:r>
      <w:r w:rsidR="00D667CC">
        <w:rPr>
          <w:rFonts w:ascii="Century" w:hAnsi="Century"/>
          <w:sz w:val="24"/>
          <w:szCs w:val="24"/>
        </w:rPr>
        <w:t xml:space="preserve"> </w:t>
      </w:r>
    </w:p>
    <w:p w:rsidR="00CA61B5" w:rsidRDefault="00CA61B5" w:rsidP="0087731F">
      <w:pPr>
        <w:spacing w:line="360" w:lineRule="auto"/>
        <w:jc w:val="both"/>
        <w:rPr>
          <w:rFonts w:ascii="Century" w:hAnsi="Century"/>
          <w:sz w:val="24"/>
          <w:szCs w:val="24"/>
        </w:rPr>
      </w:pPr>
    </w:p>
    <w:p w:rsidR="009105B2" w:rsidRDefault="009105B2" w:rsidP="0087731F">
      <w:pPr>
        <w:spacing w:line="360" w:lineRule="auto"/>
        <w:jc w:val="both"/>
        <w:rPr>
          <w:rFonts w:ascii="Century" w:hAnsi="Century"/>
          <w:sz w:val="24"/>
          <w:szCs w:val="24"/>
        </w:rPr>
      </w:pPr>
    </w:p>
    <w:p w:rsidR="00F8176D" w:rsidRDefault="00F8176D" w:rsidP="0087731F">
      <w:pPr>
        <w:spacing w:line="360" w:lineRule="auto"/>
        <w:jc w:val="both"/>
        <w:rPr>
          <w:rFonts w:ascii="Century" w:hAnsi="Century"/>
          <w:sz w:val="24"/>
          <w:szCs w:val="24"/>
        </w:rPr>
      </w:pPr>
    </w:p>
    <w:p w:rsidR="00F8176D" w:rsidRDefault="00F8176D" w:rsidP="0087731F">
      <w:pPr>
        <w:spacing w:line="360" w:lineRule="auto"/>
        <w:jc w:val="both"/>
        <w:rPr>
          <w:rFonts w:ascii="Century" w:hAnsi="Century"/>
          <w:sz w:val="24"/>
          <w:szCs w:val="24"/>
        </w:rPr>
      </w:pPr>
    </w:p>
    <w:p w:rsidR="00F8176D" w:rsidRDefault="00F8176D" w:rsidP="0087731F">
      <w:pPr>
        <w:spacing w:line="360" w:lineRule="auto"/>
        <w:jc w:val="both"/>
        <w:rPr>
          <w:rFonts w:ascii="Century" w:hAnsi="Century"/>
          <w:sz w:val="24"/>
          <w:szCs w:val="24"/>
        </w:rPr>
      </w:pPr>
    </w:p>
    <w:p w:rsidR="00C44EBC" w:rsidRPr="008D3BD6" w:rsidRDefault="0096645C" w:rsidP="008D3BD6">
      <w:pPr>
        <w:pStyle w:val="Heading4"/>
        <w:numPr>
          <w:ilvl w:val="0"/>
          <w:numId w:val="23"/>
        </w:numPr>
        <w:rPr>
          <w:color w:val="auto"/>
        </w:rPr>
      </w:pPr>
      <w:bookmarkStart w:id="51" w:name="_Toc427272670"/>
      <w:bookmarkStart w:id="52" w:name="_Toc427597750"/>
      <w:r w:rsidRPr="008D3BD6">
        <w:rPr>
          <w:color w:val="auto"/>
        </w:rPr>
        <w:t xml:space="preserve">Tools to Enhance </w:t>
      </w:r>
      <w:r w:rsidR="0019658A" w:rsidRPr="008D3BD6">
        <w:rPr>
          <w:color w:val="auto"/>
        </w:rPr>
        <w:t xml:space="preserve">the </w:t>
      </w:r>
      <w:r w:rsidR="00F463E2" w:rsidRPr="008D3BD6">
        <w:rPr>
          <w:color w:val="auto"/>
        </w:rPr>
        <w:t>Design</w:t>
      </w:r>
      <w:r w:rsidR="0019658A" w:rsidRPr="008D3BD6">
        <w:rPr>
          <w:color w:val="auto"/>
        </w:rPr>
        <w:t xml:space="preserve"> of the Bill</w:t>
      </w:r>
      <w:bookmarkEnd w:id="51"/>
      <w:bookmarkEnd w:id="52"/>
    </w:p>
    <w:p w:rsidR="009C71B0" w:rsidRDefault="009C71B0" w:rsidP="009C71B0">
      <w:pPr>
        <w:spacing w:line="360" w:lineRule="auto"/>
        <w:jc w:val="both"/>
        <w:rPr>
          <w:rFonts w:ascii="Century" w:hAnsi="Century"/>
          <w:sz w:val="24"/>
          <w:szCs w:val="24"/>
        </w:rPr>
      </w:pPr>
    </w:p>
    <w:p w:rsidR="00AE6578" w:rsidRPr="00F32CF2" w:rsidRDefault="00AE6578" w:rsidP="009C71B0">
      <w:pPr>
        <w:spacing w:line="360" w:lineRule="auto"/>
        <w:jc w:val="both"/>
        <w:rPr>
          <w:rFonts w:ascii="Century" w:hAnsi="Century"/>
          <w:sz w:val="24"/>
          <w:szCs w:val="24"/>
        </w:rPr>
      </w:pPr>
      <w:r w:rsidRPr="00F32CF2">
        <w:rPr>
          <w:rFonts w:ascii="Century" w:hAnsi="Century"/>
          <w:sz w:val="24"/>
          <w:szCs w:val="24"/>
        </w:rPr>
        <w:t xml:space="preserve">One of the tools to enhance </w:t>
      </w:r>
      <w:r w:rsidR="00E437DF">
        <w:rPr>
          <w:rFonts w:ascii="Century" w:hAnsi="Century"/>
          <w:sz w:val="24"/>
          <w:szCs w:val="24"/>
        </w:rPr>
        <w:t>overall comprehensibility of the bill</w:t>
      </w:r>
      <w:r w:rsidRPr="00F32CF2">
        <w:rPr>
          <w:rFonts w:ascii="Century" w:hAnsi="Century"/>
          <w:sz w:val="24"/>
          <w:szCs w:val="24"/>
        </w:rPr>
        <w:t xml:space="preserve"> is the drafter making use</w:t>
      </w:r>
      <w:r w:rsidR="000F77C8">
        <w:rPr>
          <w:rFonts w:ascii="Century" w:hAnsi="Century"/>
          <w:sz w:val="24"/>
          <w:szCs w:val="24"/>
        </w:rPr>
        <w:t xml:space="preserve"> of </w:t>
      </w:r>
      <w:r w:rsidRPr="00F32CF2">
        <w:rPr>
          <w:rFonts w:ascii="Century" w:hAnsi="Century"/>
          <w:sz w:val="24"/>
          <w:szCs w:val="24"/>
        </w:rPr>
        <w:t xml:space="preserve">headings and dividing the legislation into parts. </w:t>
      </w:r>
      <w:r w:rsidR="003F0E88" w:rsidRPr="00F32CF2">
        <w:rPr>
          <w:rFonts w:ascii="Century" w:hAnsi="Century"/>
          <w:sz w:val="24"/>
          <w:szCs w:val="24"/>
        </w:rPr>
        <w:t xml:space="preserve">The </w:t>
      </w:r>
      <w:r w:rsidR="003F0E88">
        <w:rPr>
          <w:rFonts w:ascii="Century" w:hAnsi="Century"/>
          <w:sz w:val="24"/>
          <w:szCs w:val="24"/>
        </w:rPr>
        <w:t>decision to use heading</w:t>
      </w:r>
      <w:r w:rsidR="000F77C8">
        <w:rPr>
          <w:rFonts w:ascii="Century" w:hAnsi="Century"/>
          <w:sz w:val="24"/>
          <w:szCs w:val="24"/>
        </w:rPr>
        <w:t>s</w:t>
      </w:r>
      <w:r w:rsidR="003F0E88">
        <w:rPr>
          <w:rFonts w:ascii="Century" w:hAnsi="Century"/>
          <w:sz w:val="24"/>
          <w:szCs w:val="24"/>
        </w:rPr>
        <w:t xml:space="preserve"> and divide the bill into parts is dependent on whether </w:t>
      </w:r>
      <w:r w:rsidR="003F0E88" w:rsidRPr="00F32CF2">
        <w:rPr>
          <w:rFonts w:ascii="Century" w:hAnsi="Century"/>
          <w:sz w:val="24"/>
          <w:szCs w:val="24"/>
        </w:rPr>
        <w:t xml:space="preserve">the drafter believes that </w:t>
      </w:r>
      <w:r w:rsidR="003F0E88">
        <w:rPr>
          <w:rFonts w:ascii="Century" w:hAnsi="Century"/>
          <w:sz w:val="24"/>
          <w:szCs w:val="24"/>
        </w:rPr>
        <w:t>it</w:t>
      </w:r>
      <w:r w:rsidR="003F0E88" w:rsidRPr="00F32CF2">
        <w:rPr>
          <w:rFonts w:ascii="Century" w:hAnsi="Century"/>
          <w:sz w:val="24"/>
          <w:szCs w:val="24"/>
        </w:rPr>
        <w:t xml:space="preserve"> will make the</w:t>
      </w:r>
      <w:r w:rsidR="003F0E88">
        <w:rPr>
          <w:rFonts w:ascii="Century" w:hAnsi="Century"/>
          <w:sz w:val="24"/>
          <w:szCs w:val="24"/>
        </w:rPr>
        <w:t xml:space="preserve"> </w:t>
      </w:r>
      <w:r w:rsidR="001B18A6">
        <w:rPr>
          <w:rFonts w:ascii="Century" w:hAnsi="Century"/>
          <w:sz w:val="24"/>
          <w:szCs w:val="24"/>
        </w:rPr>
        <w:t>b</w:t>
      </w:r>
      <w:r w:rsidR="003F0E88">
        <w:rPr>
          <w:rFonts w:ascii="Century" w:hAnsi="Century"/>
          <w:sz w:val="24"/>
          <w:szCs w:val="24"/>
        </w:rPr>
        <w:t>ill accessible to its audience.</w:t>
      </w:r>
      <w:r w:rsidR="003F0E88" w:rsidRPr="00F32CF2">
        <w:rPr>
          <w:rFonts w:ascii="Century" w:hAnsi="Century"/>
          <w:sz w:val="24"/>
          <w:szCs w:val="24"/>
          <w:vertAlign w:val="superscript"/>
        </w:rPr>
        <w:footnoteReference w:id="180"/>
      </w:r>
      <w:r w:rsidR="003F0E88">
        <w:rPr>
          <w:rFonts w:ascii="Century" w:hAnsi="Century"/>
          <w:sz w:val="24"/>
          <w:szCs w:val="24"/>
        </w:rPr>
        <w:t xml:space="preserve"> </w:t>
      </w:r>
      <w:r w:rsidR="003F0E88" w:rsidRPr="00F32CF2">
        <w:rPr>
          <w:rFonts w:ascii="Century" w:hAnsi="Century"/>
          <w:sz w:val="24"/>
          <w:szCs w:val="24"/>
        </w:rPr>
        <w:t>Kobba asserts</w:t>
      </w:r>
      <w:r w:rsidR="002C6148">
        <w:rPr>
          <w:rFonts w:ascii="Century" w:hAnsi="Century"/>
          <w:sz w:val="24"/>
          <w:szCs w:val="24"/>
        </w:rPr>
        <w:t xml:space="preserve"> that structure can enhance accessibility if the drafter divides the bill into parts allowing the ‘key features of the law’ to be given prominence</w:t>
      </w:r>
      <w:r w:rsidR="003F0E88" w:rsidRPr="00F32CF2">
        <w:rPr>
          <w:rFonts w:ascii="Century" w:hAnsi="Century"/>
          <w:sz w:val="24"/>
          <w:szCs w:val="24"/>
        </w:rPr>
        <w:t>.</w:t>
      </w:r>
      <w:r w:rsidR="003F0E88" w:rsidRPr="00F32CF2">
        <w:rPr>
          <w:rFonts w:ascii="Century" w:hAnsi="Century"/>
          <w:sz w:val="24"/>
          <w:szCs w:val="24"/>
          <w:vertAlign w:val="superscript"/>
        </w:rPr>
        <w:footnoteReference w:id="181"/>
      </w:r>
      <w:r w:rsidR="006B7839">
        <w:rPr>
          <w:rFonts w:ascii="Century" w:hAnsi="Century"/>
          <w:sz w:val="24"/>
          <w:szCs w:val="24"/>
        </w:rPr>
        <w:t xml:space="preserve"> </w:t>
      </w:r>
      <w:r w:rsidR="00E437DF">
        <w:rPr>
          <w:rFonts w:ascii="Century" w:hAnsi="Century"/>
          <w:sz w:val="24"/>
          <w:szCs w:val="24"/>
        </w:rPr>
        <w:t xml:space="preserve">Separating the bill into parts </w:t>
      </w:r>
      <w:r w:rsidR="00477E00">
        <w:rPr>
          <w:rFonts w:ascii="Century" w:hAnsi="Century"/>
          <w:sz w:val="24"/>
          <w:szCs w:val="24"/>
        </w:rPr>
        <w:t>by</w:t>
      </w:r>
      <w:r w:rsidR="00E437DF">
        <w:rPr>
          <w:rFonts w:ascii="Century" w:hAnsi="Century"/>
          <w:sz w:val="24"/>
          <w:szCs w:val="24"/>
        </w:rPr>
        <w:t xml:space="preserve"> grouping similar clause</w:t>
      </w:r>
      <w:r w:rsidR="000F77C8">
        <w:rPr>
          <w:rFonts w:ascii="Century" w:hAnsi="Century"/>
          <w:sz w:val="24"/>
          <w:szCs w:val="24"/>
        </w:rPr>
        <w:t>s under</w:t>
      </w:r>
      <w:r w:rsidR="00470645">
        <w:rPr>
          <w:rFonts w:ascii="Century" w:hAnsi="Century"/>
          <w:sz w:val="24"/>
          <w:szCs w:val="24"/>
        </w:rPr>
        <w:t xml:space="preserve"> their own heading</w:t>
      </w:r>
      <w:r w:rsidR="00E437DF">
        <w:rPr>
          <w:rFonts w:ascii="Century" w:hAnsi="Century"/>
          <w:sz w:val="24"/>
          <w:szCs w:val="24"/>
        </w:rPr>
        <w:t xml:space="preserve"> allows the drafter to show the reasoning behind the </w:t>
      </w:r>
      <w:r w:rsidR="00470645">
        <w:rPr>
          <w:rFonts w:ascii="Century" w:hAnsi="Century"/>
          <w:sz w:val="24"/>
          <w:szCs w:val="24"/>
        </w:rPr>
        <w:t>bill,</w:t>
      </w:r>
      <w:r w:rsidR="00E437DF">
        <w:rPr>
          <w:rFonts w:ascii="Century" w:hAnsi="Century"/>
          <w:sz w:val="24"/>
          <w:szCs w:val="24"/>
        </w:rPr>
        <w:t xml:space="preserve"> enhances the coherence of the bill and shows how each part is connected</w:t>
      </w:r>
      <w:r w:rsidR="00E437DF" w:rsidRPr="00F32CF2">
        <w:rPr>
          <w:rFonts w:ascii="Century" w:hAnsi="Century"/>
          <w:sz w:val="24"/>
          <w:szCs w:val="24"/>
        </w:rPr>
        <w:t>.</w:t>
      </w:r>
      <w:r w:rsidR="00E437DF" w:rsidRPr="00F32CF2">
        <w:rPr>
          <w:rFonts w:ascii="Century" w:hAnsi="Century"/>
          <w:sz w:val="24"/>
          <w:szCs w:val="24"/>
          <w:vertAlign w:val="superscript"/>
        </w:rPr>
        <w:footnoteReference w:id="182"/>
      </w:r>
      <w:r w:rsidR="00E437DF" w:rsidRPr="00F32CF2">
        <w:rPr>
          <w:rFonts w:ascii="Century" w:hAnsi="Century"/>
          <w:sz w:val="24"/>
          <w:szCs w:val="24"/>
        </w:rPr>
        <w:t xml:space="preserve"> </w:t>
      </w:r>
      <w:r w:rsidR="00E437DF">
        <w:rPr>
          <w:rFonts w:ascii="Century" w:hAnsi="Century"/>
          <w:sz w:val="24"/>
          <w:szCs w:val="24"/>
        </w:rPr>
        <w:t xml:space="preserve">It also helps with navigability as </w:t>
      </w:r>
      <w:r w:rsidR="007742C4">
        <w:rPr>
          <w:rFonts w:ascii="Century" w:hAnsi="Century"/>
          <w:sz w:val="24"/>
          <w:szCs w:val="24"/>
        </w:rPr>
        <w:t>reader</w:t>
      </w:r>
      <w:r w:rsidR="00470645">
        <w:rPr>
          <w:rFonts w:ascii="Century" w:hAnsi="Century"/>
          <w:sz w:val="24"/>
          <w:szCs w:val="24"/>
        </w:rPr>
        <w:t>s</w:t>
      </w:r>
      <w:r w:rsidR="007742C4">
        <w:rPr>
          <w:rFonts w:ascii="Century" w:hAnsi="Century"/>
          <w:sz w:val="24"/>
          <w:szCs w:val="24"/>
        </w:rPr>
        <w:t xml:space="preserve"> can look at the heading and decide if </w:t>
      </w:r>
      <w:r w:rsidR="00E437DF">
        <w:rPr>
          <w:rFonts w:ascii="Century" w:hAnsi="Century"/>
          <w:sz w:val="24"/>
          <w:szCs w:val="24"/>
        </w:rPr>
        <w:t xml:space="preserve">a particular part is relevant to </w:t>
      </w:r>
      <w:r w:rsidR="007742C4">
        <w:rPr>
          <w:rFonts w:ascii="Century" w:hAnsi="Century"/>
          <w:sz w:val="24"/>
          <w:szCs w:val="24"/>
        </w:rPr>
        <w:t xml:space="preserve">them. </w:t>
      </w:r>
      <w:r w:rsidR="003F0E88">
        <w:rPr>
          <w:rFonts w:ascii="Century" w:hAnsi="Century"/>
          <w:sz w:val="24"/>
          <w:szCs w:val="24"/>
        </w:rPr>
        <w:t xml:space="preserve"> The use of headings </w:t>
      </w:r>
      <w:r w:rsidRPr="00F32CF2">
        <w:rPr>
          <w:rFonts w:ascii="Century" w:hAnsi="Century"/>
          <w:sz w:val="24"/>
          <w:szCs w:val="24"/>
        </w:rPr>
        <w:t>is especia</w:t>
      </w:r>
      <w:r w:rsidR="003F0E88">
        <w:rPr>
          <w:rFonts w:ascii="Century" w:hAnsi="Century"/>
          <w:sz w:val="24"/>
          <w:szCs w:val="24"/>
        </w:rPr>
        <w:t>lly useful if it’s a large bill as users will be able to have ‘</w:t>
      </w:r>
      <w:r w:rsidRPr="00F32CF2">
        <w:rPr>
          <w:rFonts w:ascii="Century" w:hAnsi="Century"/>
          <w:sz w:val="24"/>
          <w:szCs w:val="24"/>
        </w:rPr>
        <w:t>a mental picture of the statute</w:t>
      </w:r>
      <w:r w:rsidR="003F0E88">
        <w:rPr>
          <w:rFonts w:ascii="Century" w:hAnsi="Century"/>
          <w:sz w:val="24"/>
          <w:szCs w:val="24"/>
        </w:rPr>
        <w:t xml:space="preserve">’ without </w:t>
      </w:r>
      <w:r w:rsidR="00A21701">
        <w:rPr>
          <w:rFonts w:ascii="Century" w:hAnsi="Century"/>
          <w:sz w:val="24"/>
          <w:szCs w:val="24"/>
        </w:rPr>
        <w:t>having to remember all the details</w:t>
      </w:r>
      <w:r w:rsidRPr="00F32CF2">
        <w:rPr>
          <w:rFonts w:ascii="Century" w:hAnsi="Century"/>
          <w:sz w:val="24"/>
          <w:szCs w:val="24"/>
        </w:rPr>
        <w:t>.</w:t>
      </w:r>
      <w:r w:rsidRPr="00F32CF2">
        <w:rPr>
          <w:rFonts w:ascii="Century" w:hAnsi="Century"/>
          <w:sz w:val="24"/>
          <w:szCs w:val="24"/>
          <w:vertAlign w:val="superscript"/>
        </w:rPr>
        <w:footnoteReference w:id="183"/>
      </w:r>
      <w:r w:rsidRPr="00F32CF2">
        <w:rPr>
          <w:rFonts w:ascii="Century" w:hAnsi="Century"/>
          <w:sz w:val="24"/>
          <w:szCs w:val="24"/>
        </w:rPr>
        <w:t xml:space="preserve"> </w:t>
      </w:r>
    </w:p>
    <w:p w:rsidR="009C71B0" w:rsidRDefault="009C71B0" w:rsidP="00043608">
      <w:pPr>
        <w:spacing w:line="360" w:lineRule="auto"/>
        <w:jc w:val="both"/>
        <w:rPr>
          <w:rFonts w:ascii="Century" w:hAnsi="Century"/>
          <w:sz w:val="24"/>
          <w:szCs w:val="24"/>
        </w:rPr>
      </w:pPr>
    </w:p>
    <w:p w:rsidR="00AE6578" w:rsidRPr="00F32CF2" w:rsidRDefault="00AE6578" w:rsidP="00043608">
      <w:pPr>
        <w:spacing w:line="360" w:lineRule="auto"/>
        <w:jc w:val="both"/>
        <w:rPr>
          <w:rFonts w:ascii="Century" w:hAnsi="Century"/>
          <w:sz w:val="24"/>
          <w:szCs w:val="24"/>
        </w:rPr>
      </w:pPr>
      <w:r w:rsidRPr="00F32CF2">
        <w:rPr>
          <w:rFonts w:ascii="Century" w:hAnsi="Century"/>
          <w:sz w:val="24"/>
          <w:szCs w:val="24"/>
        </w:rPr>
        <w:t xml:space="preserve"> </w:t>
      </w:r>
      <w:r w:rsidR="006B7839">
        <w:rPr>
          <w:rFonts w:ascii="Century" w:hAnsi="Century"/>
          <w:sz w:val="24"/>
          <w:szCs w:val="24"/>
        </w:rPr>
        <w:t>To</w:t>
      </w:r>
      <w:r w:rsidRPr="00F32CF2">
        <w:rPr>
          <w:rFonts w:ascii="Century" w:hAnsi="Century"/>
          <w:sz w:val="24"/>
          <w:szCs w:val="24"/>
        </w:rPr>
        <w:t xml:space="preserve"> further enhance structure and accessibility the drafter must contempla</w:t>
      </w:r>
      <w:r w:rsidR="00AA76E7">
        <w:rPr>
          <w:rFonts w:ascii="Century" w:hAnsi="Century"/>
          <w:sz w:val="24"/>
          <w:szCs w:val="24"/>
        </w:rPr>
        <w:t>te whether schedules are needed as they are a useful tool for</w:t>
      </w:r>
      <w:r w:rsidRPr="00F32CF2">
        <w:rPr>
          <w:rFonts w:ascii="Century" w:hAnsi="Century"/>
          <w:sz w:val="24"/>
          <w:szCs w:val="24"/>
        </w:rPr>
        <w:t xml:space="preserve"> </w:t>
      </w:r>
      <w:r w:rsidR="00AA76E7">
        <w:rPr>
          <w:rFonts w:ascii="Century" w:hAnsi="Century"/>
          <w:sz w:val="24"/>
          <w:szCs w:val="24"/>
        </w:rPr>
        <w:t>effective communication</w:t>
      </w:r>
      <w:r w:rsidRPr="00F32CF2">
        <w:rPr>
          <w:rFonts w:ascii="Century" w:hAnsi="Century"/>
          <w:sz w:val="24"/>
          <w:szCs w:val="24"/>
        </w:rPr>
        <w:t>.</w:t>
      </w:r>
      <w:r w:rsidRPr="00F32CF2">
        <w:rPr>
          <w:rFonts w:ascii="Century" w:hAnsi="Century"/>
          <w:sz w:val="24"/>
          <w:szCs w:val="24"/>
          <w:vertAlign w:val="superscript"/>
        </w:rPr>
        <w:footnoteReference w:id="184"/>
      </w:r>
      <w:r w:rsidRPr="00F32CF2">
        <w:rPr>
          <w:rFonts w:ascii="Century" w:hAnsi="Century"/>
          <w:sz w:val="24"/>
          <w:szCs w:val="24"/>
        </w:rPr>
        <w:t xml:space="preserve"> </w:t>
      </w:r>
      <w:r w:rsidR="00BE2BCA">
        <w:rPr>
          <w:rFonts w:ascii="Century" w:hAnsi="Century"/>
          <w:sz w:val="24"/>
          <w:szCs w:val="24"/>
        </w:rPr>
        <w:t>According to Ai</w:t>
      </w:r>
      <w:r w:rsidR="00BF5479">
        <w:rPr>
          <w:rFonts w:ascii="Century" w:hAnsi="Century"/>
          <w:sz w:val="24"/>
          <w:szCs w:val="24"/>
        </w:rPr>
        <w:t>t</w:t>
      </w:r>
      <w:r w:rsidR="00BE2BCA">
        <w:rPr>
          <w:rFonts w:ascii="Century" w:hAnsi="Century"/>
          <w:sz w:val="24"/>
          <w:szCs w:val="24"/>
        </w:rPr>
        <w:t>ken, they can ‘improve the design and flow of a document’.</w:t>
      </w:r>
      <w:r w:rsidR="00BE2BCA">
        <w:rPr>
          <w:rStyle w:val="FootnoteReference"/>
          <w:rFonts w:ascii="Century" w:hAnsi="Century"/>
          <w:sz w:val="24"/>
          <w:szCs w:val="24"/>
        </w:rPr>
        <w:footnoteReference w:id="185"/>
      </w:r>
      <w:r w:rsidR="00BE2BCA">
        <w:rPr>
          <w:rFonts w:ascii="Century" w:hAnsi="Century"/>
          <w:sz w:val="24"/>
          <w:szCs w:val="24"/>
        </w:rPr>
        <w:t xml:space="preserve"> </w:t>
      </w:r>
      <w:r w:rsidR="00E17B0C">
        <w:rPr>
          <w:rFonts w:ascii="Century" w:hAnsi="Century"/>
          <w:sz w:val="24"/>
          <w:szCs w:val="24"/>
        </w:rPr>
        <w:t>S</w:t>
      </w:r>
      <w:r w:rsidR="00C448B6">
        <w:rPr>
          <w:rFonts w:ascii="Century" w:hAnsi="Century"/>
          <w:sz w:val="24"/>
          <w:szCs w:val="24"/>
        </w:rPr>
        <w:t>chedules</w:t>
      </w:r>
      <w:r w:rsidR="00E17B0C">
        <w:rPr>
          <w:rFonts w:ascii="Century" w:hAnsi="Century"/>
          <w:sz w:val="24"/>
          <w:szCs w:val="24"/>
        </w:rPr>
        <w:t xml:space="preserve"> are the ideal place for </w:t>
      </w:r>
      <w:r w:rsidR="00BE2BCA">
        <w:rPr>
          <w:rFonts w:ascii="Century" w:hAnsi="Century"/>
          <w:sz w:val="24"/>
          <w:szCs w:val="24"/>
        </w:rPr>
        <w:t>‘lists and other complex or lengthy material’</w:t>
      </w:r>
      <w:r w:rsidR="000C736E">
        <w:rPr>
          <w:rStyle w:val="FootnoteReference"/>
          <w:rFonts w:ascii="Century" w:hAnsi="Century"/>
          <w:sz w:val="24"/>
          <w:szCs w:val="24"/>
        </w:rPr>
        <w:footnoteReference w:id="186"/>
      </w:r>
      <w:r w:rsidR="000C736E" w:rsidRPr="00F32CF2">
        <w:rPr>
          <w:rFonts w:ascii="Century" w:hAnsi="Century"/>
          <w:sz w:val="24"/>
          <w:szCs w:val="24"/>
        </w:rPr>
        <w:t xml:space="preserve"> </w:t>
      </w:r>
      <w:r w:rsidR="00E17B0C">
        <w:rPr>
          <w:rFonts w:ascii="Century" w:hAnsi="Century"/>
          <w:sz w:val="24"/>
          <w:szCs w:val="24"/>
        </w:rPr>
        <w:t xml:space="preserve"> which can make the body of the </w:t>
      </w:r>
      <w:r w:rsidR="00E17B0C">
        <w:rPr>
          <w:rFonts w:ascii="Century" w:hAnsi="Century"/>
          <w:sz w:val="24"/>
          <w:szCs w:val="24"/>
        </w:rPr>
        <w:lastRenderedPageBreak/>
        <w:t xml:space="preserve">legislation </w:t>
      </w:r>
      <w:r w:rsidR="000C736E">
        <w:rPr>
          <w:rFonts w:ascii="Century" w:hAnsi="Century"/>
          <w:sz w:val="24"/>
          <w:szCs w:val="24"/>
        </w:rPr>
        <w:t>untidy</w:t>
      </w:r>
      <w:r w:rsidR="00042422">
        <w:rPr>
          <w:rFonts w:ascii="Century" w:hAnsi="Century"/>
          <w:sz w:val="24"/>
          <w:szCs w:val="24"/>
        </w:rPr>
        <w:t xml:space="preserve"> and disorganised</w:t>
      </w:r>
      <w:r w:rsidR="003273CB">
        <w:rPr>
          <w:rFonts w:ascii="Century" w:hAnsi="Century"/>
          <w:sz w:val="24"/>
          <w:szCs w:val="24"/>
        </w:rPr>
        <w:t>.</w:t>
      </w:r>
      <w:r w:rsidR="000C736E">
        <w:rPr>
          <w:rStyle w:val="FootnoteReference"/>
          <w:rFonts w:ascii="Century" w:hAnsi="Century"/>
          <w:sz w:val="24"/>
          <w:szCs w:val="24"/>
        </w:rPr>
        <w:footnoteReference w:id="187"/>
      </w:r>
      <w:r w:rsidRPr="00F32CF2">
        <w:rPr>
          <w:rFonts w:ascii="Century" w:hAnsi="Century"/>
          <w:sz w:val="24"/>
          <w:szCs w:val="24"/>
        </w:rPr>
        <w:t xml:space="preserve"> </w:t>
      </w:r>
      <w:r w:rsidR="002A0A64">
        <w:rPr>
          <w:rFonts w:ascii="Century" w:hAnsi="Century"/>
          <w:sz w:val="24"/>
          <w:szCs w:val="24"/>
        </w:rPr>
        <w:t>Overall, schedules are useful as they simpl</w:t>
      </w:r>
      <w:r w:rsidR="00EA364D">
        <w:rPr>
          <w:rFonts w:ascii="Century" w:hAnsi="Century"/>
          <w:sz w:val="24"/>
          <w:szCs w:val="24"/>
        </w:rPr>
        <w:t>if</w:t>
      </w:r>
      <w:r w:rsidR="002A0A64">
        <w:rPr>
          <w:rFonts w:ascii="Century" w:hAnsi="Century"/>
          <w:sz w:val="24"/>
          <w:szCs w:val="24"/>
        </w:rPr>
        <w:t xml:space="preserve">y the structure of the bill and </w:t>
      </w:r>
      <w:r w:rsidR="00470645">
        <w:rPr>
          <w:rFonts w:ascii="Century" w:hAnsi="Century"/>
          <w:sz w:val="24"/>
          <w:szCs w:val="24"/>
        </w:rPr>
        <w:t>aid</w:t>
      </w:r>
      <w:r w:rsidRPr="00F32CF2">
        <w:rPr>
          <w:rFonts w:ascii="Century" w:hAnsi="Century"/>
          <w:sz w:val="24"/>
          <w:szCs w:val="24"/>
        </w:rPr>
        <w:t xml:space="preserve"> in clarity by </w:t>
      </w:r>
      <w:r w:rsidR="002A0A64">
        <w:rPr>
          <w:rFonts w:ascii="Century" w:hAnsi="Century"/>
          <w:sz w:val="24"/>
          <w:szCs w:val="24"/>
        </w:rPr>
        <w:t xml:space="preserve">freeing up </w:t>
      </w:r>
      <w:r w:rsidRPr="00F32CF2">
        <w:rPr>
          <w:rFonts w:ascii="Century" w:hAnsi="Century"/>
          <w:sz w:val="24"/>
          <w:szCs w:val="24"/>
        </w:rPr>
        <w:t>the legislation.</w:t>
      </w:r>
      <w:r w:rsidRPr="00F32CF2">
        <w:rPr>
          <w:rFonts w:ascii="Century" w:hAnsi="Century"/>
          <w:sz w:val="24"/>
          <w:szCs w:val="24"/>
          <w:vertAlign w:val="superscript"/>
        </w:rPr>
        <w:footnoteReference w:id="188"/>
      </w:r>
      <w:r w:rsidR="00C10953">
        <w:rPr>
          <w:rFonts w:ascii="Century" w:hAnsi="Century"/>
          <w:sz w:val="24"/>
          <w:szCs w:val="24"/>
        </w:rPr>
        <w:t xml:space="preserve"> </w:t>
      </w:r>
      <w:r w:rsidRPr="00F32CF2">
        <w:rPr>
          <w:rFonts w:ascii="Century" w:hAnsi="Century"/>
          <w:sz w:val="24"/>
          <w:szCs w:val="24"/>
        </w:rPr>
        <w:t>Further, if the bill concerns textual amendments</w:t>
      </w:r>
      <w:r w:rsidR="00F0131E">
        <w:rPr>
          <w:rFonts w:ascii="Century" w:hAnsi="Century"/>
          <w:sz w:val="24"/>
          <w:szCs w:val="24"/>
        </w:rPr>
        <w:t xml:space="preserve"> </w:t>
      </w:r>
      <w:r w:rsidR="00043608" w:rsidRPr="00F32CF2">
        <w:rPr>
          <w:rFonts w:ascii="Century" w:hAnsi="Century"/>
          <w:sz w:val="24"/>
          <w:szCs w:val="24"/>
        </w:rPr>
        <w:t>the drafter might want to consider using Keeling</w:t>
      </w:r>
      <w:r w:rsidRPr="00F32CF2">
        <w:rPr>
          <w:rFonts w:ascii="Century" w:hAnsi="Century"/>
          <w:sz w:val="24"/>
          <w:szCs w:val="24"/>
        </w:rPr>
        <w:t xml:space="preserve"> Schedules to </w:t>
      </w:r>
      <w:r w:rsidR="00043608" w:rsidRPr="00F32CF2">
        <w:rPr>
          <w:rFonts w:ascii="Century" w:hAnsi="Century"/>
          <w:sz w:val="24"/>
          <w:szCs w:val="24"/>
        </w:rPr>
        <w:t xml:space="preserve">make the textual amendments accessible. </w:t>
      </w:r>
      <w:r w:rsidR="007D76E1">
        <w:rPr>
          <w:rFonts w:ascii="Century" w:hAnsi="Century"/>
          <w:sz w:val="24"/>
          <w:szCs w:val="24"/>
        </w:rPr>
        <w:t>Textual amendments only ‘set out the changes being made to the law’ and not how the law will look after the changes have been made.</w:t>
      </w:r>
      <w:r w:rsidR="007D76E1">
        <w:rPr>
          <w:rStyle w:val="FootnoteReference"/>
          <w:rFonts w:ascii="Century" w:hAnsi="Century"/>
          <w:sz w:val="24"/>
          <w:szCs w:val="24"/>
        </w:rPr>
        <w:footnoteReference w:id="189"/>
      </w:r>
      <w:r w:rsidR="007D76E1">
        <w:rPr>
          <w:rFonts w:ascii="Century" w:hAnsi="Century"/>
          <w:sz w:val="24"/>
          <w:szCs w:val="24"/>
        </w:rPr>
        <w:t xml:space="preserve"> This leaves users at a disadvantage to fully understand the implications of the changes being made to existing law; users would need to see how the law looks after the amendments. The Keeling </w:t>
      </w:r>
      <w:r w:rsidR="0081424C">
        <w:rPr>
          <w:rFonts w:ascii="Century" w:hAnsi="Century"/>
          <w:sz w:val="24"/>
          <w:szCs w:val="24"/>
        </w:rPr>
        <w:t>S</w:t>
      </w:r>
      <w:r w:rsidR="007D76E1">
        <w:rPr>
          <w:rFonts w:ascii="Century" w:hAnsi="Century"/>
          <w:sz w:val="24"/>
          <w:szCs w:val="24"/>
        </w:rPr>
        <w:t>chedule combines these two important qualities and helps the drafter in making the law accessible.</w:t>
      </w:r>
      <w:r w:rsidR="00CD6CE9">
        <w:rPr>
          <w:rStyle w:val="FootnoteReference"/>
          <w:rFonts w:ascii="Century" w:hAnsi="Century"/>
          <w:sz w:val="24"/>
          <w:szCs w:val="24"/>
        </w:rPr>
        <w:footnoteReference w:id="190"/>
      </w:r>
      <w:r w:rsidR="00043608" w:rsidRPr="00F32CF2">
        <w:rPr>
          <w:rFonts w:ascii="Century" w:hAnsi="Century"/>
          <w:sz w:val="24"/>
          <w:szCs w:val="24"/>
        </w:rPr>
        <w:t xml:space="preserve">  </w:t>
      </w:r>
    </w:p>
    <w:p w:rsidR="009C71B0" w:rsidRDefault="009C71B0" w:rsidP="009C71B0">
      <w:pPr>
        <w:spacing w:after="200" w:line="360" w:lineRule="auto"/>
        <w:jc w:val="both"/>
        <w:rPr>
          <w:rFonts w:ascii="Century" w:hAnsi="Century"/>
          <w:sz w:val="24"/>
          <w:szCs w:val="24"/>
        </w:rPr>
      </w:pPr>
    </w:p>
    <w:p w:rsidR="00BE2BCA" w:rsidRDefault="00650847" w:rsidP="00D97EE6">
      <w:pPr>
        <w:spacing w:after="200" w:line="360" w:lineRule="auto"/>
        <w:jc w:val="both"/>
        <w:rPr>
          <w:rFonts w:ascii="Century" w:hAnsi="Century"/>
          <w:sz w:val="24"/>
          <w:szCs w:val="24"/>
        </w:rPr>
      </w:pPr>
      <w:r w:rsidRPr="00F32CF2">
        <w:rPr>
          <w:rFonts w:ascii="Century" w:hAnsi="Century"/>
          <w:sz w:val="24"/>
          <w:szCs w:val="24"/>
        </w:rPr>
        <w:t>Whatever structure and tools the drafter chooses to design the law, it is important to remember, that in making legislation accessible the audience must be the focus</w:t>
      </w:r>
      <w:r w:rsidR="00817371">
        <w:rPr>
          <w:rFonts w:ascii="Century" w:hAnsi="Century"/>
          <w:sz w:val="24"/>
          <w:szCs w:val="24"/>
        </w:rPr>
        <w:t>. This means that whether a traditional or layered approach is used or whether headings or schedules are used should depend on whether it enables the message to clearly and accurately reach the audience</w:t>
      </w:r>
      <w:r w:rsidRPr="00F32CF2">
        <w:rPr>
          <w:rFonts w:ascii="Century" w:hAnsi="Century"/>
          <w:sz w:val="24"/>
          <w:szCs w:val="24"/>
        </w:rPr>
        <w:t xml:space="preserve">. That is the drafter’s mandate and if carried out effectively </w:t>
      </w:r>
      <w:r w:rsidR="00786F5D">
        <w:rPr>
          <w:rFonts w:ascii="Century" w:hAnsi="Century"/>
          <w:sz w:val="24"/>
          <w:szCs w:val="24"/>
        </w:rPr>
        <w:t>he or she would have</w:t>
      </w:r>
      <w:r w:rsidR="00FB1AED">
        <w:rPr>
          <w:rFonts w:ascii="Century" w:hAnsi="Century"/>
          <w:sz w:val="24"/>
          <w:szCs w:val="24"/>
        </w:rPr>
        <w:t xml:space="preserve"> </w:t>
      </w:r>
      <w:r w:rsidRPr="00F32CF2">
        <w:rPr>
          <w:rFonts w:ascii="Century" w:hAnsi="Century"/>
          <w:sz w:val="24"/>
          <w:szCs w:val="24"/>
        </w:rPr>
        <w:t>contribute</w:t>
      </w:r>
      <w:r w:rsidR="00786F5D">
        <w:rPr>
          <w:rFonts w:ascii="Century" w:hAnsi="Century"/>
          <w:sz w:val="24"/>
          <w:szCs w:val="24"/>
        </w:rPr>
        <w:t>d</w:t>
      </w:r>
      <w:r w:rsidRPr="00F32CF2">
        <w:rPr>
          <w:rFonts w:ascii="Century" w:hAnsi="Century"/>
          <w:sz w:val="24"/>
          <w:szCs w:val="24"/>
        </w:rPr>
        <w:t xml:space="preserve"> to the rule of law.</w:t>
      </w:r>
    </w:p>
    <w:p w:rsidR="008D3BD6" w:rsidRDefault="008D3BD6" w:rsidP="003E7353">
      <w:pPr>
        <w:spacing w:line="360" w:lineRule="auto"/>
        <w:jc w:val="both"/>
        <w:rPr>
          <w:rFonts w:ascii="Century" w:hAnsi="Century"/>
          <w:sz w:val="24"/>
          <w:szCs w:val="24"/>
        </w:rPr>
      </w:pPr>
    </w:p>
    <w:p w:rsidR="00030E57" w:rsidRDefault="00030E57" w:rsidP="003E7353">
      <w:pPr>
        <w:spacing w:line="360" w:lineRule="auto"/>
        <w:jc w:val="both"/>
        <w:rPr>
          <w:rFonts w:ascii="Century" w:hAnsi="Century"/>
          <w:sz w:val="24"/>
          <w:szCs w:val="24"/>
        </w:rPr>
      </w:pPr>
    </w:p>
    <w:p w:rsidR="00030E57" w:rsidRDefault="00030E57" w:rsidP="003E7353">
      <w:pPr>
        <w:spacing w:line="360" w:lineRule="auto"/>
        <w:jc w:val="both"/>
        <w:rPr>
          <w:rFonts w:ascii="Century" w:hAnsi="Century"/>
          <w:sz w:val="24"/>
          <w:szCs w:val="24"/>
        </w:rPr>
      </w:pPr>
    </w:p>
    <w:p w:rsidR="00030E57" w:rsidRDefault="00030E57" w:rsidP="003E7353">
      <w:pPr>
        <w:spacing w:line="360" w:lineRule="auto"/>
        <w:jc w:val="both"/>
        <w:rPr>
          <w:rFonts w:ascii="Century" w:hAnsi="Century"/>
          <w:sz w:val="24"/>
          <w:szCs w:val="24"/>
        </w:rPr>
      </w:pPr>
    </w:p>
    <w:p w:rsidR="00030E57" w:rsidRDefault="00030E57" w:rsidP="003E7353">
      <w:pPr>
        <w:spacing w:line="360" w:lineRule="auto"/>
        <w:jc w:val="both"/>
        <w:rPr>
          <w:rFonts w:ascii="Century" w:hAnsi="Century"/>
          <w:sz w:val="24"/>
          <w:szCs w:val="24"/>
        </w:rPr>
      </w:pPr>
    </w:p>
    <w:p w:rsidR="001E61D4" w:rsidRDefault="001E61D4" w:rsidP="003E7353">
      <w:pPr>
        <w:spacing w:line="360" w:lineRule="auto"/>
        <w:jc w:val="both"/>
        <w:rPr>
          <w:rFonts w:ascii="Century" w:hAnsi="Century"/>
          <w:sz w:val="24"/>
          <w:szCs w:val="24"/>
        </w:rPr>
      </w:pPr>
    </w:p>
    <w:p w:rsidR="007878CD" w:rsidRPr="00F32CF2" w:rsidRDefault="007878CD" w:rsidP="003E7353">
      <w:pPr>
        <w:spacing w:line="360" w:lineRule="auto"/>
        <w:jc w:val="both"/>
        <w:rPr>
          <w:rFonts w:ascii="Century" w:hAnsi="Century"/>
          <w:sz w:val="24"/>
          <w:szCs w:val="24"/>
        </w:rPr>
      </w:pPr>
    </w:p>
    <w:p w:rsidR="00F86F34" w:rsidRPr="00D47BE8" w:rsidRDefault="00F86F34" w:rsidP="00D47BE8">
      <w:pPr>
        <w:pStyle w:val="Heading1"/>
        <w:jc w:val="center"/>
        <w:rPr>
          <w:color w:val="auto"/>
        </w:rPr>
      </w:pPr>
      <w:bookmarkStart w:id="53" w:name="_Toc427272181"/>
      <w:bookmarkStart w:id="54" w:name="_Toc427272671"/>
      <w:bookmarkStart w:id="55" w:name="_Toc427597751"/>
      <w:r w:rsidRPr="00D47BE8">
        <w:rPr>
          <w:color w:val="auto"/>
        </w:rPr>
        <w:t xml:space="preserve">CHAPTER </w:t>
      </w:r>
      <w:r w:rsidR="00EB50F3" w:rsidRPr="00D47BE8">
        <w:rPr>
          <w:color w:val="auto"/>
        </w:rPr>
        <w:t>FIVE</w:t>
      </w:r>
      <w:bookmarkEnd w:id="53"/>
      <w:bookmarkEnd w:id="54"/>
      <w:bookmarkEnd w:id="55"/>
    </w:p>
    <w:p w:rsidR="00F86F34" w:rsidRPr="00D47BE8" w:rsidRDefault="001D3FD2" w:rsidP="00D47BE8">
      <w:pPr>
        <w:pStyle w:val="Heading1"/>
        <w:jc w:val="center"/>
        <w:rPr>
          <w:color w:val="auto"/>
        </w:rPr>
      </w:pPr>
      <w:bookmarkStart w:id="56" w:name="_Toc427272182"/>
      <w:bookmarkStart w:id="57" w:name="_Toc427272672"/>
      <w:bookmarkStart w:id="58" w:name="_Toc427597752"/>
      <w:r w:rsidRPr="00D47BE8">
        <w:rPr>
          <w:color w:val="auto"/>
        </w:rPr>
        <w:t>STAGE</w:t>
      </w:r>
      <w:r w:rsidR="007A3432" w:rsidRPr="00D47BE8">
        <w:rPr>
          <w:color w:val="auto"/>
        </w:rPr>
        <w:t xml:space="preserve"> </w:t>
      </w:r>
      <w:r w:rsidR="00700F5C" w:rsidRPr="00D47BE8">
        <w:rPr>
          <w:color w:val="auto"/>
        </w:rPr>
        <w:t>4</w:t>
      </w:r>
      <w:r w:rsidR="007A3432" w:rsidRPr="00D47BE8">
        <w:rPr>
          <w:color w:val="auto"/>
        </w:rPr>
        <w:t>-Composition</w:t>
      </w:r>
      <w:r w:rsidR="001035B2" w:rsidRPr="00D47BE8">
        <w:rPr>
          <w:color w:val="auto"/>
        </w:rPr>
        <w:t xml:space="preserve"> and Development</w:t>
      </w:r>
      <w:r w:rsidR="007A3432" w:rsidRPr="00D47BE8">
        <w:rPr>
          <w:color w:val="auto"/>
        </w:rPr>
        <w:t xml:space="preserve"> of the Bill</w:t>
      </w:r>
      <w:bookmarkEnd w:id="56"/>
      <w:bookmarkEnd w:id="57"/>
      <w:bookmarkEnd w:id="58"/>
    </w:p>
    <w:p w:rsidR="00F86F34" w:rsidRDefault="00F86F34" w:rsidP="00F86F34">
      <w:pPr>
        <w:spacing w:line="360" w:lineRule="auto"/>
        <w:jc w:val="both"/>
        <w:rPr>
          <w:rFonts w:ascii="Century" w:hAnsi="Century"/>
          <w:b/>
          <w:sz w:val="24"/>
          <w:szCs w:val="24"/>
        </w:rPr>
      </w:pPr>
    </w:p>
    <w:p w:rsidR="00D47BE8" w:rsidRPr="00F32CF2" w:rsidRDefault="00D47BE8" w:rsidP="00F86F34">
      <w:pPr>
        <w:spacing w:line="360" w:lineRule="auto"/>
        <w:jc w:val="both"/>
        <w:rPr>
          <w:rFonts w:ascii="Century" w:hAnsi="Century"/>
          <w:b/>
          <w:sz w:val="24"/>
          <w:szCs w:val="24"/>
        </w:rPr>
      </w:pPr>
    </w:p>
    <w:p w:rsidR="00D17AE6" w:rsidRPr="008D3BD6" w:rsidRDefault="00D17AE6" w:rsidP="008D3BD6">
      <w:pPr>
        <w:pStyle w:val="Heading4"/>
        <w:numPr>
          <w:ilvl w:val="0"/>
          <w:numId w:val="24"/>
        </w:numPr>
        <w:rPr>
          <w:color w:val="auto"/>
        </w:rPr>
      </w:pPr>
      <w:bookmarkStart w:id="59" w:name="_Toc427272673"/>
      <w:bookmarkStart w:id="60" w:name="_Toc427597753"/>
      <w:r w:rsidRPr="008D3BD6">
        <w:rPr>
          <w:color w:val="auto"/>
        </w:rPr>
        <w:t>What is the Composition</w:t>
      </w:r>
      <w:r w:rsidR="001035B2" w:rsidRPr="008D3BD6">
        <w:rPr>
          <w:color w:val="auto"/>
        </w:rPr>
        <w:t xml:space="preserve"> and Development</w:t>
      </w:r>
      <w:r w:rsidRPr="008D3BD6">
        <w:rPr>
          <w:color w:val="auto"/>
        </w:rPr>
        <w:t xml:space="preserve"> Stage?</w:t>
      </w:r>
      <w:bookmarkEnd w:id="59"/>
      <w:bookmarkEnd w:id="60"/>
    </w:p>
    <w:p w:rsidR="00C84C8D" w:rsidRPr="00F32CF2" w:rsidRDefault="00C84C8D" w:rsidP="00C84C8D">
      <w:pPr>
        <w:pStyle w:val="ListParagraph"/>
        <w:spacing w:line="360" w:lineRule="auto"/>
        <w:jc w:val="both"/>
        <w:rPr>
          <w:rFonts w:ascii="Century" w:hAnsi="Century"/>
          <w:b/>
          <w:sz w:val="24"/>
          <w:szCs w:val="24"/>
        </w:rPr>
      </w:pPr>
    </w:p>
    <w:p w:rsidR="00087159" w:rsidRDefault="006676ED" w:rsidP="00C91D13">
      <w:pPr>
        <w:spacing w:line="360" w:lineRule="auto"/>
        <w:jc w:val="both"/>
        <w:rPr>
          <w:rFonts w:ascii="Century" w:hAnsi="Century"/>
          <w:sz w:val="24"/>
          <w:szCs w:val="24"/>
        </w:rPr>
      </w:pPr>
      <w:r>
        <w:rPr>
          <w:rFonts w:ascii="Century" w:hAnsi="Century"/>
          <w:sz w:val="24"/>
          <w:szCs w:val="24"/>
        </w:rPr>
        <w:t>D</w:t>
      </w:r>
      <w:r w:rsidR="00476025" w:rsidRPr="00F32CF2">
        <w:rPr>
          <w:rFonts w:ascii="Century" w:hAnsi="Century"/>
          <w:sz w:val="24"/>
          <w:szCs w:val="24"/>
        </w:rPr>
        <w:t>rafters</w:t>
      </w:r>
      <w:r>
        <w:rPr>
          <w:rFonts w:ascii="Century" w:hAnsi="Century"/>
          <w:sz w:val="24"/>
          <w:szCs w:val="24"/>
        </w:rPr>
        <w:t xml:space="preserve"> have been described by Sir Stephen Laws</w:t>
      </w:r>
      <w:r w:rsidR="00476025" w:rsidRPr="00F32CF2">
        <w:rPr>
          <w:rFonts w:ascii="Century" w:hAnsi="Century"/>
          <w:sz w:val="24"/>
          <w:szCs w:val="24"/>
        </w:rPr>
        <w:t xml:space="preserve"> </w:t>
      </w:r>
      <w:r w:rsidR="00F83CB4">
        <w:rPr>
          <w:rFonts w:ascii="Century" w:hAnsi="Century"/>
          <w:sz w:val="24"/>
          <w:szCs w:val="24"/>
        </w:rPr>
        <w:t xml:space="preserve">‘as </w:t>
      </w:r>
      <w:r w:rsidR="00476025" w:rsidRPr="00F32CF2">
        <w:rPr>
          <w:rFonts w:ascii="Century" w:hAnsi="Century"/>
          <w:sz w:val="24"/>
          <w:szCs w:val="24"/>
        </w:rPr>
        <w:t>the creator of the text</w:t>
      </w:r>
      <w:r w:rsidR="00FC5326">
        <w:rPr>
          <w:rFonts w:ascii="Century" w:hAnsi="Century"/>
          <w:sz w:val="24"/>
          <w:szCs w:val="24"/>
        </w:rPr>
        <w:t xml:space="preserve"> [with]</w:t>
      </w:r>
      <w:r w:rsidR="00476025" w:rsidRPr="00F32CF2">
        <w:rPr>
          <w:rFonts w:ascii="Century" w:hAnsi="Century"/>
          <w:sz w:val="24"/>
          <w:szCs w:val="24"/>
        </w:rPr>
        <w:t xml:space="preserve"> the most intimate and comprehensive understanding of it’.</w:t>
      </w:r>
      <w:r w:rsidR="00476025" w:rsidRPr="00F32CF2">
        <w:rPr>
          <w:rStyle w:val="FootnoteReference"/>
          <w:rFonts w:ascii="Century" w:hAnsi="Century"/>
          <w:sz w:val="24"/>
          <w:szCs w:val="24"/>
        </w:rPr>
        <w:footnoteReference w:id="191"/>
      </w:r>
      <w:r w:rsidR="00476025" w:rsidRPr="00F32CF2">
        <w:rPr>
          <w:rFonts w:ascii="Century" w:hAnsi="Century" w:cs="Arabic Typesetting"/>
          <w:sz w:val="24"/>
          <w:szCs w:val="24"/>
        </w:rPr>
        <w:t xml:space="preserve"> </w:t>
      </w:r>
      <w:r w:rsidR="00E929C6" w:rsidRPr="00F32CF2">
        <w:rPr>
          <w:rFonts w:ascii="Century" w:hAnsi="Century" w:cs="Arabic Typesetting"/>
          <w:sz w:val="24"/>
          <w:szCs w:val="24"/>
        </w:rPr>
        <w:t xml:space="preserve">As creator </w:t>
      </w:r>
      <w:r w:rsidR="00460AA2">
        <w:rPr>
          <w:rFonts w:ascii="Century" w:hAnsi="Century" w:cs="Arabic Typesetting"/>
          <w:sz w:val="24"/>
          <w:szCs w:val="24"/>
        </w:rPr>
        <w:t xml:space="preserve">they are </w:t>
      </w:r>
      <w:r w:rsidR="00476025" w:rsidRPr="00F32CF2">
        <w:rPr>
          <w:rFonts w:ascii="Century" w:hAnsi="Century" w:cs="Arabic Typesetting"/>
          <w:sz w:val="24"/>
          <w:szCs w:val="24"/>
        </w:rPr>
        <w:t>in charge of selecting the appropriate words and tools to give effect</w:t>
      </w:r>
      <w:r>
        <w:rPr>
          <w:rFonts w:ascii="Century" w:hAnsi="Century" w:cs="Arabic Typesetting"/>
          <w:sz w:val="24"/>
          <w:szCs w:val="24"/>
        </w:rPr>
        <w:t xml:space="preserve"> to</w:t>
      </w:r>
      <w:r w:rsidR="00476025" w:rsidRPr="00F32CF2">
        <w:rPr>
          <w:rFonts w:ascii="Century" w:hAnsi="Century" w:cs="Arabic Typesetting"/>
          <w:sz w:val="24"/>
          <w:szCs w:val="24"/>
        </w:rPr>
        <w:t xml:space="preserve"> the </w:t>
      </w:r>
      <w:r w:rsidR="0047126D">
        <w:rPr>
          <w:rFonts w:ascii="Century" w:hAnsi="Century" w:cs="Arabic Typesetting"/>
          <w:sz w:val="24"/>
          <w:szCs w:val="24"/>
        </w:rPr>
        <w:t>g</w:t>
      </w:r>
      <w:r w:rsidR="001D6A81">
        <w:rPr>
          <w:rFonts w:ascii="Century" w:hAnsi="Century" w:cs="Arabic Typesetting"/>
          <w:sz w:val="24"/>
          <w:szCs w:val="24"/>
        </w:rPr>
        <w:t xml:space="preserve">overnment’s </w:t>
      </w:r>
      <w:r w:rsidR="00476025" w:rsidRPr="00F32CF2">
        <w:rPr>
          <w:rFonts w:ascii="Century" w:hAnsi="Century" w:cs="Arabic Typesetting"/>
          <w:sz w:val="24"/>
          <w:szCs w:val="24"/>
        </w:rPr>
        <w:t>policy objective.</w:t>
      </w:r>
      <w:r w:rsidR="00C84C8D" w:rsidRPr="00F32CF2">
        <w:rPr>
          <w:rFonts w:ascii="Century" w:hAnsi="Century" w:cs="Arabic Typesetting"/>
          <w:sz w:val="24"/>
          <w:szCs w:val="24"/>
        </w:rPr>
        <w:t xml:space="preserve"> </w:t>
      </w:r>
      <w:r w:rsidR="00C84C8D" w:rsidRPr="00F32CF2">
        <w:rPr>
          <w:rFonts w:ascii="Century" w:hAnsi="Century"/>
          <w:sz w:val="24"/>
          <w:szCs w:val="24"/>
        </w:rPr>
        <w:t xml:space="preserve">This is the stage </w:t>
      </w:r>
      <w:r w:rsidR="00E929C6" w:rsidRPr="00F32CF2">
        <w:rPr>
          <w:rFonts w:ascii="Century" w:hAnsi="Century"/>
          <w:sz w:val="24"/>
          <w:szCs w:val="24"/>
        </w:rPr>
        <w:t>where drafter</w:t>
      </w:r>
      <w:r w:rsidR="00460AA2">
        <w:rPr>
          <w:rFonts w:ascii="Century" w:hAnsi="Century"/>
          <w:sz w:val="24"/>
          <w:szCs w:val="24"/>
        </w:rPr>
        <w:t>s take</w:t>
      </w:r>
      <w:r w:rsidR="00E929C6" w:rsidRPr="00F32CF2">
        <w:rPr>
          <w:rFonts w:ascii="Century" w:hAnsi="Century"/>
          <w:sz w:val="24"/>
          <w:szCs w:val="24"/>
        </w:rPr>
        <w:t xml:space="preserve"> the knowledge gained from studying the legislative proposal and</w:t>
      </w:r>
      <w:r w:rsidR="002B11CB" w:rsidRPr="00F32CF2">
        <w:rPr>
          <w:rFonts w:ascii="Century" w:hAnsi="Century"/>
          <w:sz w:val="24"/>
          <w:szCs w:val="24"/>
        </w:rPr>
        <w:t xml:space="preserve"> </w:t>
      </w:r>
      <w:r w:rsidR="00C84C8D" w:rsidRPr="00F32CF2">
        <w:rPr>
          <w:rFonts w:ascii="Century" w:hAnsi="Century"/>
          <w:sz w:val="24"/>
          <w:szCs w:val="24"/>
        </w:rPr>
        <w:t>clothes the structure designed in stage three</w:t>
      </w:r>
      <w:r w:rsidR="001035B2" w:rsidRPr="00F32CF2">
        <w:rPr>
          <w:rFonts w:ascii="Century" w:hAnsi="Century"/>
          <w:sz w:val="24"/>
          <w:szCs w:val="24"/>
        </w:rPr>
        <w:t xml:space="preserve">.  </w:t>
      </w:r>
      <w:r w:rsidR="00CE0A69">
        <w:rPr>
          <w:rFonts w:ascii="Century" w:hAnsi="Century"/>
          <w:sz w:val="24"/>
          <w:szCs w:val="24"/>
        </w:rPr>
        <w:t xml:space="preserve">As </w:t>
      </w:r>
      <w:r w:rsidR="00BE419E" w:rsidRPr="00F32CF2">
        <w:rPr>
          <w:rFonts w:ascii="Century" w:hAnsi="Century"/>
          <w:sz w:val="24"/>
          <w:szCs w:val="24"/>
        </w:rPr>
        <w:t>Dosey puts it ‘it is time to put pen to paper’.</w:t>
      </w:r>
      <w:r w:rsidR="00BE419E" w:rsidRPr="00F32CF2">
        <w:rPr>
          <w:rStyle w:val="FootnoteReference"/>
          <w:rFonts w:ascii="Century" w:hAnsi="Century"/>
          <w:sz w:val="24"/>
          <w:szCs w:val="24"/>
        </w:rPr>
        <w:footnoteReference w:id="192"/>
      </w:r>
      <w:r w:rsidR="00BE419E" w:rsidRPr="00F32CF2">
        <w:rPr>
          <w:rFonts w:ascii="Century" w:hAnsi="Century"/>
          <w:sz w:val="24"/>
          <w:szCs w:val="24"/>
        </w:rPr>
        <w:t xml:space="preserve"> </w:t>
      </w:r>
    </w:p>
    <w:p w:rsidR="00087159" w:rsidRDefault="00087159" w:rsidP="00C91D13">
      <w:pPr>
        <w:spacing w:line="360" w:lineRule="auto"/>
        <w:jc w:val="both"/>
        <w:rPr>
          <w:rFonts w:ascii="Century" w:hAnsi="Century"/>
          <w:sz w:val="24"/>
          <w:szCs w:val="24"/>
        </w:rPr>
      </w:pPr>
    </w:p>
    <w:p w:rsidR="00BE2BCA" w:rsidRDefault="00E929C6" w:rsidP="006512FE">
      <w:pPr>
        <w:spacing w:line="360" w:lineRule="auto"/>
        <w:jc w:val="both"/>
        <w:rPr>
          <w:rFonts w:ascii="Century" w:hAnsi="Century"/>
          <w:sz w:val="24"/>
          <w:szCs w:val="24"/>
        </w:rPr>
      </w:pPr>
      <w:r w:rsidRPr="00F32CF2">
        <w:rPr>
          <w:rFonts w:ascii="Century" w:hAnsi="Century"/>
          <w:sz w:val="24"/>
          <w:szCs w:val="24"/>
        </w:rPr>
        <w:t xml:space="preserve">All the preparatory work done in the previous stages </w:t>
      </w:r>
      <w:r w:rsidR="00C84C8D" w:rsidRPr="00F32CF2">
        <w:rPr>
          <w:rFonts w:ascii="Century" w:hAnsi="Century"/>
          <w:sz w:val="24"/>
          <w:szCs w:val="24"/>
        </w:rPr>
        <w:t xml:space="preserve">to ensure accessibility </w:t>
      </w:r>
      <w:r w:rsidRPr="00F32CF2">
        <w:rPr>
          <w:rFonts w:ascii="Century" w:hAnsi="Century"/>
          <w:sz w:val="24"/>
          <w:szCs w:val="24"/>
        </w:rPr>
        <w:t>is for this moment. It is what has been done in those stages that will enable drafter</w:t>
      </w:r>
      <w:r w:rsidR="00CE0A69">
        <w:rPr>
          <w:rFonts w:ascii="Century" w:hAnsi="Century"/>
          <w:sz w:val="24"/>
          <w:szCs w:val="24"/>
        </w:rPr>
        <w:t>s</w:t>
      </w:r>
      <w:r w:rsidRPr="00F32CF2">
        <w:rPr>
          <w:rFonts w:ascii="Century" w:hAnsi="Century"/>
          <w:sz w:val="24"/>
          <w:szCs w:val="24"/>
        </w:rPr>
        <w:t xml:space="preserve"> to choose the</w:t>
      </w:r>
      <w:r w:rsidR="008F6CBD">
        <w:rPr>
          <w:rFonts w:ascii="Century" w:hAnsi="Century"/>
          <w:sz w:val="24"/>
          <w:szCs w:val="24"/>
        </w:rPr>
        <w:t xml:space="preserve"> right</w:t>
      </w:r>
      <w:r w:rsidR="008D344B" w:rsidRPr="00F32CF2">
        <w:rPr>
          <w:rFonts w:ascii="Century" w:hAnsi="Century"/>
          <w:sz w:val="24"/>
          <w:szCs w:val="24"/>
        </w:rPr>
        <w:t xml:space="preserve"> words </w:t>
      </w:r>
      <w:r w:rsidR="008F6CBD">
        <w:rPr>
          <w:rFonts w:ascii="Century" w:hAnsi="Century"/>
          <w:sz w:val="24"/>
          <w:szCs w:val="24"/>
        </w:rPr>
        <w:t>to make the policy message comprehensible</w:t>
      </w:r>
      <w:r w:rsidR="00064879" w:rsidRPr="00F32CF2">
        <w:rPr>
          <w:rFonts w:ascii="Century" w:hAnsi="Century"/>
          <w:sz w:val="24"/>
          <w:szCs w:val="24"/>
        </w:rPr>
        <w:t xml:space="preserve">. </w:t>
      </w:r>
      <w:r w:rsidR="00E67C3C">
        <w:rPr>
          <w:rFonts w:ascii="Century" w:hAnsi="Century"/>
          <w:sz w:val="24"/>
          <w:szCs w:val="24"/>
        </w:rPr>
        <w:t xml:space="preserve">As observed by Thornton </w:t>
      </w:r>
      <w:r w:rsidR="00C1122D">
        <w:rPr>
          <w:rFonts w:ascii="Century" w:hAnsi="Century"/>
          <w:sz w:val="24"/>
          <w:szCs w:val="24"/>
        </w:rPr>
        <w:t>drafter</w:t>
      </w:r>
      <w:r w:rsidR="00CE0A69">
        <w:rPr>
          <w:rFonts w:ascii="Century" w:hAnsi="Century"/>
          <w:sz w:val="24"/>
          <w:szCs w:val="24"/>
        </w:rPr>
        <w:t>s</w:t>
      </w:r>
      <w:r w:rsidR="00E67C3C">
        <w:rPr>
          <w:rFonts w:ascii="Century" w:hAnsi="Century"/>
          <w:sz w:val="24"/>
          <w:szCs w:val="24"/>
        </w:rPr>
        <w:t xml:space="preserve"> at this stage </w:t>
      </w:r>
      <w:r w:rsidR="00C1122D">
        <w:rPr>
          <w:rFonts w:ascii="Century" w:hAnsi="Century"/>
          <w:sz w:val="24"/>
          <w:szCs w:val="24"/>
        </w:rPr>
        <w:t xml:space="preserve">will convert </w:t>
      </w:r>
      <w:r w:rsidR="00E67C3C">
        <w:rPr>
          <w:rFonts w:ascii="Century" w:hAnsi="Century"/>
          <w:sz w:val="24"/>
          <w:szCs w:val="24"/>
        </w:rPr>
        <w:t>‘</w:t>
      </w:r>
      <w:r w:rsidR="00C1122D">
        <w:rPr>
          <w:rFonts w:ascii="Century" w:hAnsi="Century"/>
          <w:sz w:val="24"/>
          <w:szCs w:val="24"/>
        </w:rPr>
        <w:t>what is comprehen</w:t>
      </w:r>
      <w:r w:rsidR="00E67C3C">
        <w:rPr>
          <w:rFonts w:ascii="Century" w:hAnsi="Century"/>
          <w:sz w:val="24"/>
          <w:szCs w:val="24"/>
        </w:rPr>
        <w:t>sible and clear to the drafter</w:t>
      </w:r>
      <w:r w:rsidR="00C1122D">
        <w:rPr>
          <w:rFonts w:ascii="Century" w:hAnsi="Century"/>
          <w:sz w:val="24"/>
          <w:szCs w:val="24"/>
        </w:rPr>
        <w:t xml:space="preserve"> to the shape </w:t>
      </w:r>
      <w:r w:rsidR="00C84C8D" w:rsidRPr="00F32CF2">
        <w:rPr>
          <w:rFonts w:ascii="Century" w:hAnsi="Century"/>
          <w:sz w:val="24"/>
          <w:szCs w:val="24"/>
        </w:rPr>
        <w:t>and form most easily and unequivocally comprehensible to the reader</w:t>
      </w:r>
      <w:r w:rsidR="001738A4">
        <w:rPr>
          <w:rFonts w:ascii="Century" w:hAnsi="Century"/>
          <w:sz w:val="24"/>
          <w:szCs w:val="24"/>
        </w:rPr>
        <w:t>’</w:t>
      </w:r>
      <w:r w:rsidR="00C84C8D" w:rsidRPr="00F32CF2">
        <w:rPr>
          <w:rFonts w:ascii="Century" w:hAnsi="Century"/>
          <w:sz w:val="24"/>
          <w:szCs w:val="24"/>
        </w:rPr>
        <w:t>.</w:t>
      </w:r>
      <w:r w:rsidR="00C84C8D" w:rsidRPr="00F32CF2">
        <w:rPr>
          <w:rStyle w:val="FootnoteReference"/>
          <w:rFonts w:ascii="Century" w:hAnsi="Century"/>
          <w:sz w:val="24"/>
          <w:szCs w:val="24"/>
        </w:rPr>
        <w:footnoteReference w:id="193"/>
      </w:r>
      <w:r w:rsidR="00A91AA0">
        <w:rPr>
          <w:rFonts w:ascii="Century" w:hAnsi="Century"/>
          <w:sz w:val="24"/>
          <w:szCs w:val="24"/>
        </w:rPr>
        <w:t xml:space="preserve"> </w:t>
      </w:r>
      <w:r w:rsidRPr="00F32CF2">
        <w:rPr>
          <w:rFonts w:ascii="Century" w:hAnsi="Century"/>
          <w:sz w:val="24"/>
          <w:szCs w:val="24"/>
        </w:rPr>
        <w:t>However, this stage does not see the drafter working in isolation. Rather</w:t>
      </w:r>
      <w:r w:rsidR="00C1122D">
        <w:rPr>
          <w:rFonts w:ascii="Century" w:hAnsi="Century"/>
          <w:sz w:val="24"/>
          <w:szCs w:val="24"/>
        </w:rPr>
        <w:t xml:space="preserve">, </w:t>
      </w:r>
      <w:r w:rsidR="00066168">
        <w:rPr>
          <w:rFonts w:ascii="Century" w:hAnsi="Century"/>
          <w:sz w:val="24"/>
          <w:szCs w:val="24"/>
        </w:rPr>
        <w:t>drafters develop the bill in consultation with the instructing officer and adjust</w:t>
      </w:r>
      <w:r w:rsidR="00C1122D">
        <w:rPr>
          <w:rFonts w:ascii="Century" w:hAnsi="Century"/>
          <w:sz w:val="24"/>
          <w:szCs w:val="24"/>
        </w:rPr>
        <w:t xml:space="preserve"> </w:t>
      </w:r>
      <w:r w:rsidR="000F7818">
        <w:rPr>
          <w:rFonts w:ascii="Century" w:hAnsi="Century"/>
          <w:sz w:val="24"/>
          <w:szCs w:val="24"/>
        </w:rPr>
        <w:t xml:space="preserve">the bill </w:t>
      </w:r>
      <w:r w:rsidR="00C1122D">
        <w:rPr>
          <w:rFonts w:ascii="Century" w:hAnsi="Century"/>
          <w:sz w:val="24"/>
          <w:szCs w:val="24"/>
        </w:rPr>
        <w:t>based on</w:t>
      </w:r>
      <w:r w:rsidR="00E67C3C">
        <w:rPr>
          <w:rFonts w:ascii="Century" w:hAnsi="Century"/>
          <w:sz w:val="24"/>
          <w:szCs w:val="24"/>
        </w:rPr>
        <w:t xml:space="preserve"> their</w:t>
      </w:r>
      <w:r w:rsidR="00C1122D">
        <w:rPr>
          <w:rFonts w:ascii="Century" w:hAnsi="Century"/>
          <w:sz w:val="24"/>
          <w:szCs w:val="24"/>
        </w:rPr>
        <w:t xml:space="preserve"> feedback</w:t>
      </w:r>
      <w:r w:rsidR="000F7818">
        <w:rPr>
          <w:rFonts w:ascii="Century" w:hAnsi="Century"/>
          <w:sz w:val="24"/>
          <w:szCs w:val="24"/>
        </w:rPr>
        <w:t>.</w:t>
      </w:r>
      <w:r w:rsidR="000F7818">
        <w:rPr>
          <w:rStyle w:val="FootnoteReference"/>
          <w:rFonts w:ascii="Century" w:hAnsi="Century"/>
          <w:sz w:val="24"/>
          <w:szCs w:val="24"/>
        </w:rPr>
        <w:footnoteReference w:id="194"/>
      </w:r>
      <w:r w:rsidRPr="00F32CF2">
        <w:rPr>
          <w:rFonts w:ascii="Century" w:hAnsi="Century"/>
          <w:sz w:val="24"/>
          <w:szCs w:val="24"/>
        </w:rPr>
        <w:t xml:space="preserve"> </w:t>
      </w:r>
    </w:p>
    <w:p w:rsidR="008D3BD6" w:rsidRPr="003B52B5" w:rsidRDefault="008D3BD6" w:rsidP="006512FE">
      <w:pPr>
        <w:spacing w:line="360" w:lineRule="auto"/>
        <w:jc w:val="both"/>
        <w:rPr>
          <w:rFonts w:ascii="Century" w:hAnsi="Century"/>
          <w:sz w:val="24"/>
          <w:szCs w:val="24"/>
        </w:rPr>
      </w:pPr>
    </w:p>
    <w:p w:rsidR="005A4577" w:rsidRPr="00F32CF2" w:rsidRDefault="005A4577" w:rsidP="006512FE">
      <w:pPr>
        <w:spacing w:line="360" w:lineRule="auto"/>
        <w:jc w:val="both"/>
        <w:rPr>
          <w:rFonts w:ascii="Century" w:hAnsi="Century" w:cs="Arabic Typesetting"/>
          <w:sz w:val="24"/>
          <w:szCs w:val="24"/>
        </w:rPr>
      </w:pPr>
    </w:p>
    <w:p w:rsidR="00751870" w:rsidRPr="002F0293" w:rsidRDefault="00F75CE9" w:rsidP="002F0293">
      <w:pPr>
        <w:pStyle w:val="Heading4"/>
        <w:numPr>
          <w:ilvl w:val="0"/>
          <w:numId w:val="24"/>
        </w:numPr>
      </w:pPr>
      <w:bookmarkStart w:id="61" w:name="_Toc427272674"/>
      <w:bookmarkStart w:id="62" w:name="_Toc427597754"/>
      <w:r>
        <w:rPr>
          <w:rStyle w:val="Heading4Char"/>
          <w:b/>
          <w:bCs/>
          <w:i/>
          <w:iCs/>
          <w:color w:val="auto"/>
        </w:rPr>
        <w:t xml:space="preserve">How do </w:t>
      </w:r>
      <w:r w:rsidR="00BE7240">
        <w:rPr>
          <w:rStyle w:val="Heading4Char"/>
          <w:b/>
          <w:bCs/>
          <w:i/>
          <w:iCs/>
          <w:color w:val="auto"/>
        </w:rPr>
        <w:t>D</w:t>
      </w:r>
      <w:r w:rsidR="00751870" w:rsidRPr="002F0293">
        <w:rPr>
          <w:rStyle w:val="Heading4Char"/>
          <w:b/>
          <w:bCs/>
          <w:i/>
          <w:iCs/>
          <w:color w:val="auto"/>
        </w:rPr>
        <w:t>rafter</w:t>
      </w:r>
      <w:r>
        <w:rPr>
          <w:rStyle w:val="Heading4Char"/>
          <w:b/>
          <w:bCs/>
          <w:i/>
          <w:iCs/>
          <w:color w:val="auto"/>
        </w:rPr>
        <w:t>s</w:t>
      </w:r>
      <w:r w:rsidR="00751870" w:rsidRPr="002F0293">
        <w:rPr>
          <w:rStyle w:val="Heading4Char"/>
          <w:b/>
          <w:bCs/>
          <w:i/>
          <w:iCs/>
          <w:color w:val="auto"/>
        </w:rPr>
        <w:t xml:space="preserve"> </w:t>
      </w:r>
      <w:r w:rsidR="00BE7240">
        <w:rPr>
          <w:rStyle w:val="Heading4Char"/>
          <w:b/>
          <w:bCs/>
          <w:i/>
          <w:iCs/>
          <w:color w:val="auto"/>
        </w:rPr>
        <w:t>C</w:t>
      </w:r>
      <w:r w:rsidR="00751870" w:rsidRPr="002F0293">
        <w:rPr>
          <w:rStyle w:val="Heading4Char"/>
          <w:b/>
          <w:bCs/>
          <w:i/>
          <w:iCs/>
          <w:color w:val="auto"/>
        </w:rPr>
        <w:t xml:space="preserve">ontribute to </w:t>
      </w:r>
      <w:r w:rsidR="00BE7240">
        <w:rPr>
          <w:rStyle w:val="Heading4Char"/>
          <w:b/>
          <w:bCs/>
          <w:i/>
          <w:iCs/>
          <w:color w:val="auto"/>
        </w:rPr>
        <w:t>A</w:t>
      </w:r>
      <w:r w:rsidR="00751870" w:rsidRPr="002F0293">
        <w:rPr>
          <w:rStyle w:val="Heading4Char"/>
          <w:b/>
          <w:bCs/>
          <w:i/>
          <w:iCs/>
          <w:color w:val="auto"/>
        </w:rPr>
        <w:t xml:space="preserve">ccessibility at this </w:t>
      </w:r>
      <w:r w:rsidR="00BE7240">
        <w:rPr>
          <w:rStyle w:val="Heading4Char"/>
          <w:b/>
          <w:bCs/>
          <w:i/>
          <w:iCs/>
          <w:color w:val="auto"/>
        </w:rPr>
        <w:t>S</w:t>
      </w:r>
      <w:r w:rsidR="00751870" w:rsidRPr="002F0293">
        <w:rPr>
          <w:rStyle w:val="Heading4Char"/>
          <w:b/>
          <w:bCs/>
          <w:i/>
          <w:iCs/>
          <w:color w:val="auto"/>
        </w:rPr>
        <w:t>tage?</w:t>
      </w:r>
      <w:bookmarkEnd w:id="61"/>
      <w:bookmarkEnd w:id="62"/>
    </w:p>
    <w:p w:rsidR="00FE277D" w:rsidRPr="002F0293" w:rsidRDefault="00FE277D" w:rsidP="002F0293">
      <w:pPr>
        <w:pStyle w:val="Heading4"/>
      </w:pPr>
    </w:p>
    <w:p w:rsidR="00041D35" w:rsidRDefault="007363A9" w:rsidP="0045495A">
      <w:pPr>
        <w:spacing w:line="360" w:lineRule="auto"/>
        <w:jc w:val="both"/>
        <w:rPr>
          <w:rFonts w:ascii="Century" w:hAnsi="Century"/>
          <w:sz w:val="24"/>
          <w:szCs w:val="24"/>
        </w:rPr>
      </w:pPr>
      <w:r w:rsidRPr="00F32CF2">
        <w:rPr>
          <w:rFonts w:ascii="Century" w:hAnsi="Century"/>
          <w:sz w:val="24"/>
          <w:szCs w:val="24"/>
        </w:rPr>
        <w:t xml:space="preserve">In the same way </w:t>
      </w:r>
      <w:r w:rsidR="00F96D99">
        <w:rPr>
          <w:rFonts w:ascii="Century" w:hAnsi="Century"/>
          <w:sz w:val="24"/>
          <w:szCs w:val="24"/>
        </w:rPr>
        <w:t>that</w:t>
      </w:r>
      <w:r w:rsidRPr="00F32CF2">
        <w:rPr>
          <w:rFonts w:ascii="Century" w:hAnsi="Century"/>
          <w:sz w:val="24"/>
          <w:szCs w:val="24"/>
        </w:rPr>
        <w:t xml:space="preserve"> </w:t>
      </w:r>
      <w:r w:rsidR="00F96D99">
        <w:rPr>
          <w:rFonts w:ascii="Century" w:hAnsi="Century"/>
          <w:sz w:val="24"/>
          <w:szCs w:val="24"/>
        </w:rPr>
        <w:t xml:space="preserve">a comprehensive understanding, thorough analysis and </w:t>
      </w:r>
      <w:r w:rsidRPr="00F32CF2">
        <w:rPr>
          <w:rFonts w:ascii="Century" w:hAnsi="Century"/>
          <w:sz w:val="24"/>
          <w:szCs w:val="24"/>
        </w:rPr>
        <w:t>appropriate structure can make</w:t>
      </w:r>
      <w:r w:rsidR="00F96D99">
        <w:rPr>
          <w:rFonts w:ascii="Century" w:hAnsi="Century"/>
          <w:sz w:val="24"/>
          <w:szCs w:val="24"/>
        </w:rPr>
        <w:t xml:space="preserve"> the law</w:t>
      </w:r>
      <w:r w:rsidRPr="00F32CF2">
        <w:rPr>
          <w:rFonts w:ascii="Century" w:hAnsi="Century"/>
          <w:sz w:val="24"/>
          <w:szCs w:val="24"/>
        </w:rPr>
        <w:t xml:space="preserve"> accessible</w:t>
      </w:r>
      <w:r w:rsidR="00F96D99">
        <w:rPr>
          <w:rFonts w:ascii="Century" w:hAnsi="Century"/>
          <w:sz w:val="24"/>
          <w:szCs w:val="24"/>
        </w:rPr>
        <w:t xml:space="preserve">, </w:t>
      </w:r>
      <w:r w:rsidRPr="00F32CF2">
        <w:rPr>
          <w:rFonts w:ascii="Century" w:hAnsi="Century"/>
          <w:sz w:val="24"/>
          <w:szCs w:val="24"/>
        </w:rPr>
        <w:t xml:space="preserve">the </w:t>
      </w:r>
      <w:r w:rsidR="00F96D99">
        <w:rPr>
          <w:rFonts w:ascii="Century" w:hAnsi="Century"/>
          <w:sz w:val="24"/>
          <w:szCs w:val="24"/>
        </w:rPr>
        <w:t>language chosen</w:t>
      </w:r>
      <w:r w:rsidRPr="00F32CF2">
        <w:rPr>
          <w:rFonts w:ascii="Century" w:hAnsi="Century"/>
          <w:sz w:val="24"/>
          <w:szCs w:val="24"/>
        </w:rPr>
        <w:t xml:space="preserve"> </w:t>
      </w:r>
      <w:r w:rsidR="00F96D99">
        <w:rPr>
          <w:rFonts w:ascii="Century" w:hAnsi="Century"/>
          <w:sz w:val="24"/>
          <w:szCs w:val="24"/>
        </w:rPr>
        <w:t>by the</w:t>
      </w:r>
      <w:r w:rsidRPr="00F32CF2">
        <w:rPr>
          <w:rFonts w:ascii="Century" w:hAnsi="Century"/>
          <w:sz w:val="24"/>
          <w:szCs w:val="24"/>
        </w:rPr>
        <w:t xml:space="preserve"> drafter</w:t>
      </w:r>
      <w:r w:rsidR="00043B14">
        <w:rPr>
          <w:rFonts w:ascii="Century" w:hAnsi="Century"/>
          <w:sz w:val="24"/>
          <w:szCs w:val="24"/>
        </w:rPr>
        <w:t xml:space="preserve"> also</w:t>
      </w:r>
      <w:r w:rsidRPr="00F32CF2">
        <w:rPr>
          <w:rFonts w:ascii="Century" w:hAnsi="Century"/>
          <w:sz w:val="24"/>
          <w:szCs w:val="24"/>
        </w:rPr>
        <w:t xml:space="preserve"> contribute</w:t>
      </w:r>
      <w:r w:rsidR="00F96D99">
        <w:rPr>
          <w:rFonts w:ascii="Century" w:hAnsi="Century"/>
          <w:sz w:val="24"/>
          <w:szCs w:val="24"/>
        </w:rPr>
        <w:t>s</w:t>
      </w:r>
      <w:r w:rsidRPr="00F32CF2">
        <w:rPr>
          <w:rFonts w:ascii="Century" w:hAnsi="Century"/>
          <w:sz w:val="24"/>
          <w:szCs w:val="24"/>
        </w:rPr>
        <w:t xml:space="preserve"> to accessibility. </w:t>
      </w:r>
      <w:r w:rsidR="003B50C0" w:rsidRPr="00F32CF2">
        <w:rPr>
          <w:rFonts w:ascii="Century" w:hAnsi="Century"/>
          <w:sz w:val="24"/>
          <w:szCs w:val="24"/>
        </w:rPr>
        <w:t>In fact m</w:t>
      </w:r>
      <w:r w:rsidR="003938FE" w:rsidRPr="00F32CF2">
        <w:rPr>
          <w:rFonts w:ascii="Century" w:hAnsi="Century"/>
          <w:sz w:val="24"/>
          <w:szCs w:val="24"/>
        </w:rPr>
        <w:t xml:space="preserve">uch of the complaint of legislation being inaccessible is due to it being drafted in </w:t>
      </w:r>
      <w:r w:rsidR="00F96D99">
        <w:rPr>
          <w:rFonts w:ascii="Century" w:hAnsi="Century"/>
          <w:sz w:val="24"/>
          <w:szCs w:val="24"/>
        </w:rPr>
        <w:t>obscure language that</w:t>
      </w:r>
      <w:r w:rsidR="003938FE" w:rsidRPr="00F32CF2">
        <w:rPr>
          <w:rFonts w:ascii="Century" w:hAnsi="Century"/>
          <w:sz w:val="24"/>
          <w:szCs w:val="24"/>
        </w:rPr>
        <w:t xml:space="preserve"> </w:t>
      </w:r>
      <w:r w:rsidR="00F96D99">
        <w:rPr>
          <w:rFonts w:ascii="Century" w:hAnsi="Century"/>
          <w:sz w:val="24"/>
          <w:szCs w:val="24"/>
        </w:rPr>
        <w:t>hides the regulatory message</w:t>
      </w:r>
      <w:r w:rsidR="003938FE" w:rsidRPr="00F32CF2">
        <w:rPr>
          <w:rFonts w:ascii="Century" w:hAnsi="Century"/>
          <w:sz w:val="24"/>
          <w:szCs w:val="24"/>
        </w:rPr>
        <w:t xml:space="preserve">. </w:t>
      </w:r>
      <w:r w:rsidR="00606346">
        <w:rPr>
          <w:rFonts w:ascii="Century" w:hAnsi="Century"/>
          <w:sz w:val="24"/>
          <w:szCs w:val="24"/>
        </w:rPr>
        <w:t>When the regulatory message is clouded in unclear words it is a hindrance for all users including Judges.</w:t>
      </w:r>
      <w:r w:rsidR="00041D35" w:rsidRPr="00041D35">
        <w:rPr>
          <w:rFonts w:ascii="Century" w:hAnsi="Century"/>
          <w:sz w:val="24"/>
          <w:szCs w:val="24"/>
        </w:rPr>
        <w:t xml:space="preserve"> </w:t>
      </w:r>
      <w:r w:rsidR="00041D35">
        <w:rPr>
          <w:rFonts w:ascii="Century" w:hAnsi="Century"/>
          <w:sz w:val="24"/>
          <w:szCs w:val="24"/>
        </w:rPr>
        <w:t xml:space="preserve">For example, Lord Donaldson in </w:t>
      </w:r>
      <w:r w:rsidR="00041D35" w:rsidRPr="00041D35">
        <w:rPr>
          <w:rFonts w:ascii="Century" w:hAnsi="Century"/>
          <w:b/>
          <w:sz w:val="24"/>
          <w:szCs w:val="24"/>
        </w:rPr>
        <w:t>Merkur Island Shipping</w:t>
      </w:r>
      <w:r w:rsidR="00153B27">
        <w:rPr>
          <w:rFonts w:ascii="Century" w:hAnsi="Century"/>
          <w:b/>
          <w:sz w:val="24"/>
          <w:szCs w:val="24"/>
        </w:rPr>
        <w:t xml:space="preserve"> </w:t>
      </w:r>
      <w:r w:rsidR="001503CB">
        <w:rPr>
          <w:rFonts w:ascii="Century" w:hAnsi="Century"/>
          <w:b/>
          <w:sz w:val="24"/>
          <w:szCs w:val="24"/>
        </w:rPr>
        <w:t xml:space="preserve">Corporation </w:t>
      </w:r>
      <w:r w:rsidR="00041D35">
        <w:rPr>
          <w:rFonts w:ascii="Century" w:hAnsi="Century"/>
          <w:sz w:val="24"/>
          <w:szCs w:val="24"/>
        </w:rPr>
        <w:t>experienced considerable difficulty in trying to in</w:t>
      </w:r>
      <w:r w:rsidR="00AA6114">
        <w:rPr>
          <w:rFonts w:ascii="Century" w:hAnsi="Century"/>
          <w:sz w:val="24"/>
          <w:szCs w:val="24"/>
        </w:rPr>
        <w:t>terpret laws that were unclear</w:t>
      </w:r>
      <w:r w:rsidR="00041D35">
        <w:rPr>
          <w:rFonts w:ascii="Century" w:hAnsi="Century"/>
          <w:sz w:val="24"/>
          <w:szCs w:val="24"/>
        </w:rPr>
        <w:t xml:space="preserve">. He stated that- </w:t>
      </w:r>
    </w:p>
    <w:p w:rsidR="00041D35" w:rsidRPr="00041D35" w:rsidRDefault="00FC2B20" w:rsidP="00041D35">
      <w:pPr>
        <w:spacing w:line="360" w:lineRule="auto"/>
        <w:ind w:left="720"/>
        <w:jc w:val="both"/>
        <w:rPr>
          <w:rFonts w:ascii="Century" w:hAnsi="Century"/>
          <w:sz w:val="24"/>
          <w:szCs w:val="24"/>
        </w:rPr>
      </w:pPr>
      <w:r>
        <w:rPr>
          <w:rFonts w:ascii="Century" w:hAnsi="Century" w:cs="Arial"/>
          <w:sz w:val="24"/>
          <w:szCs w:val="24"/>
        </w:rPr>
        <w:t>The j</w:t>
      </w:r>
      <w:r w:rsidR="00041D35" w:rsidRPr="00041D35">
        <w:rPr>
          <w:rFonts w:ascii="Century" w:hAnsi="Century" w:cs="Arial"/>
          <w:sz w:val="24"/>
          <w:szCs w:val="24"/>
        </w:rPr>
        <w:t>udges of this court are all skilled lawyers of very considerable experience, yet it has taken us hours to ascertain what is and what is not 'offside', even with the assistance of highly qualified counsel. This cannot be right.</w:t>
      </w:r>
      <w:r w:rsidR="00041D35">
        <w:rPr>
          <w:rStyle w:val="FootnoteReference"/>
          <w:rFonts w:ascii="Century" w:hAnsi="Century" w:cs="Arial"/>
          <w:sz w:val="24"/>
          <w:szCs w:val="24"/>
        </w:rPr>
        <w:footnoteReference w:id="195"/>
      </w:r>
    </w:p>
    <w:p w:rsidR="00041D35" w:rsidRDefault="00041D35" w:rsidP="0045495A">
      <w:pPr>
        <w:spacing w:line="360" w:lineRule="auto"/>
        <w:jc w:val="both"/>
        <w:rPr>
          <w:rFonts w:ascii="Century" w:hAnsi="Century"/>
          <w:sz w:val="24"/>
          <w:szCs w:val="24"/>
        </w:rPr>
      </w:pPr>
    </w:p>
    <w:p w:rsidR="00BF2577" w:rsidRDefault="00041D35" w:rsidP="00FB5BDC">
      <w:pPr>
        <w:spacing w:line="360" w:lineRule="auto"/>
        <w:jc w:val="both"/>
        <w:rPr>
          <w:rFonts w:ascii="Century" w:hAnsi="Century"/>
          <w:sz w:val="24"/>
          <w:szCs w:val="24"/>
        </w:rPr>
      </w:pPr>
      <w:r>
        <w:rPr>
          <w:rFonts w:ascii="Century" w:hAnsi="Century"/>
          <w:sz w:val="24"/>
          <w:szCs w:val="24"/>
        </w:rPr>
        <w:t>There</w:t>
      </w:r>
      <w:r w:rsidR="00AA6114">
        <w:rPr>
          <w:rFonts w:ascii="Century" w:hAnsi="Century"/>
          <w:sz w:val="24"/>
          <w:szCs w:val="24"/>
        </w:rPr>
        <w:t>fore</w:t>
      </w:r>
      <w:r>
        <w:rPr>
          <w:rFonts w:ascii="Century" w:hAnsi="Century"/>
          <w:sz w:val="24"/>
          <w:szCs w:val="24"/>
        </w:rPr>
        <w:t xml:space="preserve">, if it is difficult for Judges to understand legislation drafted in obscure language how much more difficult would it be for users that are not legally trained? Remedying this dilemma requires </w:t>
      </w:r>
      <w:r w:rsidR="002B72E8">
        <w:rPr>
          <w:rFonts w:ascii="Century" w:hAnsi="Century"/>
          <w:sz w:val="24"/>
          <w:szCs w:val="24"/>
        </w:rPr>
        <w:t xml:space="preserve">drafters to </w:t>
      </w:r>
      <w:r w:rsidR="00BC7D97">
        <w:rPr>
          <w:rFonts w:ascii="Century" w:hAnsi="Century"/>
          <w:sz w:val="24"/>
          <w:szCs w:val="24"/>
        </w:rPr>
        <w:t xml:space="preserve">choose the right </w:t>
      </w:r>
      <w:r w:rsidR="002B72E8">
        <w:rPr>
          <w:rFonts w:ascii="Century" w:hAnsi="Century"/>
          <w:sz w:val="24"/>
          <w:szCs w:val="24"/>
        </w:rPr>
        <w:t xml:space="preserve">techniques and tools that promote </w:t>
      </w:r>
      <w:r w:rsidR="002B72E8" w:rsidRPr="00097B07">
        <w:rPr>
          <w:rFonts w:ascii="Century" w:hAnsi="Century"/>
          <w:sz w:val="24"/>
          <w:szCs w:val="24"/>
        </w:rPr>
        <w:t xml:space="preserve">simplicity, clarity and precision. </w:t>
      </w:r>
      <w:r w:rsidR="00097B07" w:rsidRPr="00097B07">
        <w:rPr>
          <w:rFonts w:ascii="Century" w:hAnsi="Century"/>
          <w:sz w:val="24"/>
          <w:szCs w:val="24"/>
        </w:rPr>
        <w:t>This is necessary to ensure that both the primary users and the official interpreters</w:t>
      </w:r>
      <w:r w:rsidR="00097B07" w:rsidRPr="00097B07">
        <w:rPr>
          <w:rStyle w:val="FootnoteReference"/>
          <w:rFonts w:ascii="Century" w:hAnsi="Century"/>
          <w:sz w:val="24"/>
          <w:szCs w:val="24"/>
        </w:rPr>
        <w:footnoteReference w:id="196"/>
      </w:r>
      <w:r w:rsidR="00097B07" w:rsidRPr="00097B07">
        <w:rPr>
          <w:rFonts w:ascii="Century" w:hAnsi="Century"/>
          <w:sz w:val="24"/>
          <w:szCs w:val="24"/>
        </w:rPr>
        <w:t xml:space="preserve"> </w:t>
      </w:r>
      <w:r w:rsidR="005C1B49" w:rsidRPr="00097B07">
        <w:rPr>
          <w:rFonts w:ascii="Century" w:hAnsi="Century"/>
          <w:sz w:val="24"/>
          <w:szCs w:val="24"/>
        </w:rPr>
        <w:t>understand and apply the law</w:t>
      </w:r>
      <w:r w:rsidR="00BC7D97">
        <w:rPr>
          <w:rFonts w:ascii="Century" w:hAnsi="Century"/>
          <w:sz w:val="24"/>
          <w:szCs w:val="24"/>
        </w:rPr>
        <w:t xml:space="preserve"> with consistency and certainty</w:t>
      </w:r>
      <w:r w:rsidR="005C1B49" w:rsidRPr="00097B07">
        <w:rPr>
          <w:rFonts w:ascii="Century" w:hAnsi="Century"/>
          <w:sz w:val="24"/>
          <w:szCs w:val="24"/>
        </w:rPr>
        <w:t xml:space="preserve">. </w:t>
      </w:r>
      <w:r w:rsidR="00097B07" w:rsidRPr="00097B07">
        <w:rPr>
          <w:rFonts w:ascii="Century" w:hAnsi="Century"/>
          <w:sz w:val="24"/>
          <w:szCs w:val="24"/>
        </w:rPr>
        <w:t xml:space="preserve">Not drafting laws with simplicity, clarity and precision will ‘result in </w:t>
      </w:r>
      <w:r w:rsidR="005C1B49" w:rsidRPr="00097B07">
        <w:rPr>
          <w:rFonts w:ascii="Century" w:hAnsi="Century"/>
          <w:sz w:val="24"/>
          <w:szCs w:val="24"/>
        </w:rPr>
        <w:t>deficient application, enforcement and compliance problems, and unduly restrictive interpretation</w:t>
      </w:r>
      <w:r w:rsidR="00097B07" w:rsidRPr="00097B07">
        <w:rPr>
          <w:rFonts w:ascii="Century" w:hAnsi="Century"/>
          <w:sz w:val="24"/>
          <w:szCs w:val="24"/>
        </w:rPr>
        <w:t>’</w:t>
      </w:r>
      <w:r w:rsidR="005C1B49" w:rsidRPr="00097B07">
        <w:rPr>
          <w:rFonts w:ascii="Century" w:hAnsi="Century"/>
          <w:sz w:val="24"/>
          <w:szCs w:val="24"/>
        </w:rPr>
        <w:t>.</w:t>
      </w:r>
      <w:r w:rsidR="005C1B49" w:rsidRPr="00097B07">
        <w:rPr>
          <w:rStyle w:val="FootnoteReference"/>
          <w:rFonts w:ascii="Century" w:hAnsi="Century"/>
          <w:sz w:val="24"/>
          <w:szCs w:val="24"/>
        </w:rPr>
        <w:footnoteReference w:id="197"/>
      </w:r>
      <w:r w:rsidR="00BF2577">
        <w:rPr>
          <w:rFonts w:ascii="Century" w:hAnsi="Century"/>
          <w:sz w:val="24"/>
          <w:szCs w:val="24"/>
        </w:rPr>
        <w:t xml:space="preserve"> </w:t>
      </w:r>
    </w:p>
    <w:p w:rsidR="0034123D" w:rsidRDefault="00BF2577" w:rsidP="00FB5BDC">
      <w:pPr>
        <w:spacing w:line="360" w:lineRule="auto"/>
        <w:jc w:val="both"/>
        <w:rPr>
          <w:rFonts w:ascii="Century" w:hAnsi="Century"/>
          <w:sz w:val="24"/>
          <w:szCs w:val="24"/>
        </w:rPr>
      </w:pPr>
      <w:r>
        <w:rPr>
          <w:rFonts w:ascii="Century" w:hAnsi="Century"/>
          <w:sz w:val="24"/>
          <w:szCs w:val="24"/>
        </w:rPr>
        <w:lastRenderedPageBreak/>
        <w:t>The tools at the disposal of drafters are clarity, precision and unambiguity and they are complemented by the techniques of plain language and gender</w:t>
      </w:r>
      <w:r w:rsidR="00087F18">
        <w:rPr>
          <w:rFonts w:ascii="Century" w:hAnsi="Century"/>
          <w:sz w:val="24"/>
          <w:szCs w:val="24"/>
        </w:rPr>
        <w:t>-</w:t>
      </w:r>
      <w:r>
        <w:rPr>
          <w:rFonts w:ascii="Century" w:hAnsi="Century"/>
          <w:sz w:val="24"/>
          <w:szCs w:val="24"/>
        </w:rPr>
        <w:t xml:space="preserve"> neutral language.</w:t>
      </w:r>
      <w:r w:rsidR="005C1B49">
        <w:rPr>
          <w:rFonts w:ascii="Century" w:hAnsi="Century"/>
          <w:sz w:val="24"/>
          <w:szCs w:val="24"/>
        </w:rPr>
        <w:t xml:space="preserve"> </w:t>
      </w:r>
    </w:p>
    <w:p w:rsidR="00A935F4" w:rsidRPr="00F32CF2" w:rsidRDefault="00A935F4" w:rsidP="002F0293">
      <w:pPr>
        <w:pStyle w:val="Heading4"/>
      </w:pPr>
    </w:p>
    <w:p w:rsidR="00192FDE" w:rsidRPr="002F0293" w:rsidRDefault="00192FDE" w:rsidP="002F0293">
      <w:pPr>
        <w:pStyle w:val="Heading4"/>
        <w:numPr>
          <w:ilvl w:val="0"/>
          <w:numId w:val="24"/>
        </w:numPr>
        <w:rPr>
          <w:color w:val="auto"/>
        </w:rPr>
      </w:pPr>
      <w:bookmarkStart w:id="63" w:name="_Toc427272675"/>
      <w:bookmarkStart w:id="64" w:name="_Toc427597755"/>
      <w:r w:rsidRPr="002F0293">
        <w:rPr>
          <w:color w:val="auto"/>
        </w:rPr>
        <w:t>Drafting T</w:t>
      </w:r>
      <w:r w:rsidR="006D6337" w:rsidRPr="002F0293">
        <w:rPr>
          <w:color w:val="auto"/>
        </w:rPr>
        <w:t>ools</w:t>
      </w:r>
      <w:r w:rsidRPr="002F0293">
        <w:rPr>
          <w:color w:val="auto"/>
        </w:rPr>
        <w:t xml:space="preserve"> for Accessibility</w:t>
      </w:r>
      <w:r w:rsidR="00D46EF7" w:rsidRPr="002F0293">
        <w:rPr>
          <w:color w:val="auto"/>
        </w:rPr>
        <w:t>-Clarity, Precision and Unambiguity</w:t>
      </w:r>
      <w:bookmarkEnd w:id="63"/>
      <w:bookmarkEnd w:id="64"/>
    </w:p>
    <w:p w:rsidR="007363A9" w:rsidRPr="00F32CF2" w:rsidRDefault="007363A9" w:rsidP="00E32D4B">
      <w:pPr>
        <w:spacing w:line="360" w:lineRule="auto"/>
        <w:jc w:val="both"/>
        <w:rPr>
          <w:rFonts w:ascii="Century" w:hAnsi="Century"/>
          <w:sz w:val="24"/>
          <w:szCs w:val="24"/>
        </w:rPr>
      </w:pPr>
    </w:p>
    <w:p w:rsidR="007363A9" w:rsidRPr="00F32CF2" w:rsidRDefault="002E2BFE" w:rsidP="0045495A">
      <w:pPr>
        <w:spacing w:line="360" w:lineRule="auto"/>
        <w:jc w:val="both"/>
        <w:rPr>
          <w:rFonts w:ascii="Century" w:hAnsi="Century"/>
          <w:sz w:val="24"/>
          <w:szCs w:val="24"/>
        </w:rPr>
      </w:pPr>
      <w:r>
        <w:rPr>
          <w:rFonts w:ascii="Century" w:hAnsi="Century"/>
          <w:sz w:val="24"/>
          <w:szCs w:val="24"/>
        </w:rPr>
        <w:t xml:space="preserve">In the </w:t>
      </w:r>
      <w:r w:rsidRPr="008008AF">
        <w:rPr>
          <w:rFonts w:ascii="Century" w:hAnsi="Century"/>
          <w:b/>
          <w:sz w:val="24"/>
          <w:szCs w:val="24"/>
        </w:rPr>
        <w:t>Merkur Island Shipping</w:t>
      </w:r>
      <w:r>
        <w:rPr>
          <w:rFonts w:ascii="Century" w:hAnsi="Century"/>
          <w:sz w:val="24"/>
          <w:szCs w:val="24"/>
        </w:rPr>
        <w:t xml:space="preserve"> </w:t>
      </w:r>
      <w:r w:rsidR="0058512C" w:rsidRPr="0058512C">
        <w:rPr>
          <w:rFonts w:ascii="Century" w:hAnsi="Century"/>
          <w:b/>
          <w:sz w:val="24"/>
          <w:szCs w:val="24"/>
        </w:rPr>
        <w:t>Corporation</w:t>
      </w:r>
      <w:r w:rsidR="0058512C">
        <w:rPr>
          <w:rFonts w:ascii="Century" w:hAnsi="Century"/>
          <w:sz w:val="24"/>
          <w:szCs w:val="24"/>
        </w:rPr>
        <w:t xml:space="preserve"> </w:t>
      </w:r>
      <w:r>
        <w:rPr>
          <w:rFonts w:ascii="Century" w:hAnsi="Century"/>
          <w:sz w:val="24"/>
          <w:szCs w:val="24"/>
        </w:rPr>
        <w:t xml:space="preserve">case </w:t>
      </w:r>
      <w:r w:rsidR="00A8243C">
        <w:rPr>
          <w:rFonts w:ascii="Century" w:hAnsi="Century"/>
          <w:sz w:val="24"/>
          <w:szCs w:val="24"/>
        </w:rPr>
        <w:t>Lord Diplock</w:t>
      </w:r>
      <w:r>
        <w:rPr>
          <w:rFonts w:ascii="Century" w:hAnsi="Century"/>
          <w:sz w:val="24"/>
          <w:szCs w:val="24"/>
        </w:rPr>
        <w:t xml:space="preserve"> acknowledged the need for clarity in legislation when he stated that</w:t>
      </w:r>
      <w:r w:rsidR="008C3E7A">
        <w:rPr>
          <w:rFonts w:ascii="Century" w:hAnsi="Century"/>
          <w:sz w:val="24"/>
          <w:szCs w:val="24"/>
        </w:rPr>
        <w:t xml:space="preserve"> ‘</w:t>
      </w:r>
      <w:r w:rsidR="00E724B2">
        <w:rPr>
          <w:rFonts w:ascii="Century" w:hAnsi="Century"/>
          <w:sz w:val="24"/>
          <w:szCs w:val="24"/>
        </w:rPr>
        <w:t xml:space="preserve">Absence of clarity is destructive </w:t>
      </w:r>
      <w:r w:rsidR="00984358">
        <w:rPr>
          <w:rFonts w:ascii="Century" w:hAnsi="Century"/>
          <w:sz w:val="24"/>
          <w:szCs w:val="24"/>
        </w:rPr>
        <w:t>of</w:t>
      </w:r>
      <w:r w:rsidR="00E724B2">
        <w:rPr>
          <w:rFonts w:ascii="Century" w:hAnsi="Century"/>
          <w:sz w:val="24"/>
          <w:szCs w:val="24"/>
        </w:rPr>
        <w:t xml:space="preserve"> the rule of law; it is unfair to those who wish to preserve the rule of law; it encourages </w:t>
      </w:r>
      <w:r w:rsidR="00A8243C">
        <w:rPr>
          <w:rFonts w:ascii="Century" w:hAnsi="Century"/>
          <w:sz w:val="24"/>
          <w:szCs w:val="24"/>
        </w:rPr>
        <w:t>those who wish to undermine it</w:t>
      </w:r>
      <w:r w:rsidR="008C3E7A">
        <w:rPr>
          <w:rFonts w:ascii="Century" w:hAnsi="Century"/>
          <w:sz w:val="24"/>
          <w:szCs w:val="24"/>
        </w:rPr>
        <w:t>’</w:t>
      </w:r>
      <w:r w:rsidR="00A8243C">
        <w:rPr>
          <w:rFonts w:ascii="Century" w:hAnsi="Century"/>
          <w:sz w:val="24"/>
          <w:szCs w:val="24"/>
        </w:rPr>
        <w:t>.</w:t>
      </w:r>
      <w:r w:rsidR="00E724B2">
        <w:rPr>
          <w:rStyle w:val="FootnoteReference"/>
          <w:rFonts w:ascii="Century" w:hAnsi="Century"/>
          <w:sz w:val="24"/>
          <w:szCs w:val="24"/>
        </w:rPr>
        <w:footnoteReference w:id="198"/>
      </w:r>
      <w:r w:rsidR="00E724B2">
        <w:rPr>
          <w:rFonts w:ascii="Century" w:hAnsi="Century"/>
          <w:sz w:val="24"/>
          <w:szCs w:val="24"/>
        </w:rPr>
        <w:t xml:space="preserve"> Clarity is</w:t>
      </w:r>
      <w:r w:rsidR="006512FE">
        <w:rPr>
          <w:rFonts w:ascii="Century" w:hAnsi="Century"/>
          <w:sz w:val="24"/>
          <w:szCs w:val="24"/>
        </w:rPr>
        <w:t xml:space="preserve"> one of</w:t>
      </w:r>
      <w:r w:rsidR="00E724B2">
        <w:rPr>
          <w:rFonts w:ascii="Century" w:hAnsi="Century"/>
          <w:sz w:val="24"/>
          <w:szCs w:val="24"/>
        </w:rPr>
        <w:t xml:space="preserve"> the </w:t>
      </w:r>
      <w:r w:rsidR="00456D52">
        <w:rPr>
          <w:rFonts w:ascii="Century" w:hAnsi="Century"/>
          <w:sz w:val="24"/>
          <w:szCs w:val="24"/>
        </w:rPr>
        <w:t>‘</w:t>
      </w:r>
      <w:r w:rsidR="006512FE">
        <w:rPr>
          <w:rFonts w:ascii="Century" w:hAnsi="Century"/>
          <w:sz w:val="24"/>
          <w:szCs w:val="24"/>
        </w:rPr>
        <w:t>essential elements</w:t>
      </w:r>
      <w:r w:rsidR="00456D52">
        <w:rPr>
          <w:rFonts w:ascii="Century" w:hAnsi="Century"/>
          <w:sz w:val="24"/>
          <w:szCs w:val="24"/>
        </w:rPr>
        <w:t xml:space="preserve"> of accessibility’</w:t>
      </w:r>
      <w:r w:rsidR="00E724B2">
        <w:rPr>
          <w:rFonts w:ascii="Century" w:hAnsi="Century"/>
          <w:sz w:val="24"/>
          <w:szCs w:val="24"/>
        </w:rPr>
        <w:t xml:space="preserve"> that makes legislation comprehensible </w:t>
      </w:r>
      <w:r w:rsidR="00456D52">
        <w:rPr>
          <w:rFonts w:ascii="Century" w:hAnsi="Century"/>
          <w:sz w:val="24"/>
          <w:szCs w:val="24"/>
        </w:rPr>
        <w:t>for</w:t>
      </w:r>
      <w:r w:rsidR="006512FE">
        <w:rPr>
          <w:rFonts w:ascii="Century" w:hAnsi="Century"/>
          <w:sz w:val="24"/>
          <w:szCs w:val="24"/>
        </w:rPr>
        <w:t xml:space="preserve"> users</w:t>
      </w:r>
      <w:r w:rsidR="002F4F5C" w:rsidRPr="00F32CF2">
        <w:rPr>
          <w:rStyle w:val="FootnoteReference"/>
          <w:rFonts w:ascii="Century" w:eastAsia="Times New Roman" w:hAnsi="Century" w:cs="Times New Roman"/>
          <w:sz w:val="24"/>
          <w:szCs w:val="24"/>
          <w:lang w:eastAsia="en-GB"/>
        </w:rPr>
        <w:footnoteReference w:id="199"/>
      </w:r>
      <w:r w:rsidR="0056577B">
        <w:rPr>
          <w:rFonts w:ascii="Century" w:hAnsi="Century"/>
          <w:sz w:val="24"/>
          <w:szCs w:val="24"/>
        </w:rPr>
        <w:t xml:space="preserve"> and it refers to</w:t>
      </w:r>
      <w:r w:rsidR="007E7A98" w:rsidRPr="00F32CF2">
        <w:rPr>
          <w:rFonts w:ascii="Century" w:hAnsi="Century"/>
          <w:sz w:val="24"/>
          <w:szCs w:val="24"/>
        </w:rPr>
        <w:t xml:space="preserve"> </w:t>
      </w:r>
      <w:r w:rsidR="00FD09F0">
        <w:rPr>
          <w:rFonts w:ascii="Century" w:hAnsi="Century"/>
          <w:sz w:val="24"/>
          <w:szCs w:val="24"/>
        </w:rPr>
        <w:t>‘</w:t>
      </w:r>
      <w:r w:rsidR="007E7A98" w:rsidRPr="00F32CF2">
        <w:rPr>
          <w:rFonts w:ascii="Century" w:hAnsi="Century"/>
          <w:sz w:val="24"/>
          <w:szCs w:val="24"/>
        </w:rPr>
        <w:t>clearness or lucidity as to perception or understanding; freedom from indistinctness or ambiguity</w:t>
      </w:r>
      <w:r w:rsidR="00FD09F0">
        <w:rPr>
          <w:rFonts w:ascii="Century" w:hAnsi="Century"/>
          <w:sz w:val="24"/>
          <w:szCs w:val="24"/>
        </w:rPr>
        <w:t>’</w:t>
      </w:r>
      <w:r w:rsidR="007E7A98" w:rsidRPr="00F32CF2">
        <w:rPr>
          <w:rFonts w:ascii="Century" w:hAnsi="Century"/>
          <w:sz w:val="24"/>
          <w:szCs w:val="24"/>
        </w:rPr>
        <w:t>.</w:t>
      </w:r>
      <w:r w:rsidR="001F42EE">
        <w:rPr>
          <w:rStyle w:val="FootnoteReference"/>
          <w:rFonts w:ascii="Century" w:hAnsi="Century"/>
          <w:sz w:val="24"/>
          <w:szCs w:val="24"/>
        </w:rPr>
        <w:footnoteReference w:id="200"/>
      </w:r>
      <w:r w:rsidR="007E7A98" w:rsidRPr="00F32CF2">
        <w:rPr>
          <w:rFonts w:ascii="Century" w:hAnsi="Century"/>
          <w:sz w:val="24"/>
          <w:szCs w:val="24"/>
        </w:rPr>
        <w:t xml:space="preserve"> </w:t>
      </w:r>
      <w:r w:rsidR="007F4991" w:rsidRPr="00F32CF2">
        <w:rPr>
          <w:rFonts w:ascii="Century" w:hAnsi="Century"/>
          <w:sz w:val="24"/>
          <w:szCs w:val="24"/>
        </w:rPr>
        <w:t>By striving for clarity the drafter will state the law in a manner</w:t>
      </w:r>
      <w:r w:rsidR="00E32D4B" w:rsidRPr="00F32CF2">
        <w:rPr>
          <w:rFonts w:ascii="Century" w:hAnsi="Century"/>
          <w:sz w:val="24"/>
          <w:szCs w:val="24"/>
        </w:rPr>
        <w:t xml:space="preserve"> suitable for the target audience</w:t>
      </w:r>
      <w:r w:rsidR="007F4991" w:rsidRPr="00F32CF2">
        <w:rPr>
          <w:rFonts w:ascii="Century" w:hAnsi="Century"/>
          <w:sz w:val="24"/>
          <w:szCs w:val="24"/>
        </w:rPr>
        <w:t xml:space="preserve">. </w:t>
      </w:r>
      <w:r w:rsidR="00DE0F8F">
        <w:rPr>
          <w:rFonts w:ascii="Century" w:hAnsi="Century"/>
          <w:sz w:val="24"/>
          <w:szCs w:val="24"/>
        </w:rPr>
        <w:t>Generally, drafter</w:t>
      </w:r>
      <w:r w:rsidR="00A077E8">
        <w:rPr>
          <w:rFonts w:ascii="Century" w:hAnsi="Century"/>
          <w:sz w:val="24"/>
          <w:szCs w:val="24"/>
        </w:rPr>
        <w:t>s</w:t>
      </w:r>
      <w:r w:rsidR="00DE0F8F">
        <w:rPr>
          <w:rFonts w:ascii="Century" w:hAnsi="Century"/>
          <w:sz w:val="24"/>
          <w:szCs w:val="24"/>
        </w:rPr>
        <w:t xml:space="preserve"> should use ordinary </w:t>
      </w:r>
      <w:r w:rsidR="0036097F">
        <w:rPr>
          <w:rFonts w:ascii="Century" w:hAnsi="Century"/>
          <w:sz w:val="24"/>
          <w:szCs w:val="24"/>
        </w:rPr>
        <w:t>language unless the legislation deals with a technical area that requires its own special vocabulary</w:t>
      </w:r>
      <w:r w:rsidR="002A16B8">
        <w:rPr>
          <w:rFonts w:ascii="Century" w:hAnsi="Century"/>
          <w:sz w:val="24"/>
          <w:szCs w:val="24"/>
        </w:rPr>
        <w:t>.</w:t>
      </w:r>
      <w:r w:rsidR="002B11CB" w:rsidRPr="00F32CF2">
        <w:rPr>
          <w:rStyle w:val="FootnoteReference"/>
          <w:rFonts w:ascii="Century" w:hAnsi="Century"/>
          <w:sz w:val="24"/>
          <w:szCs w:val="24"/>
        </w:rPr>
        <w:footnoteReference w:id="201"/>
      </w:r>
      <w:r w:rsidR="008856AA" w:rsidRPr="00F32CF2">
        <w:rPr>
          <w:rFonts w:ascii="Century" w:hAnsi="Century"/>
          <w:sz w:val="24"/>
          <w:szCs w:val="24"/>
        </w:rPr>
        <w:t xml:space="preserve"> </w:t>
      </w:r>
    </w:p>
    <w:p w:rsidR="008113D7" w:rsidRPr="00F32CF2" w:rsidRDefault="008113D7" w:rsidP="008113D7">
      <w:pPr>
        <w:spacing w:line="360" w:lineRule="auto"/>
        <w:ind w:firstLine="720"/>
        <w:jc w:val="both"/>
        <w:rPr>
          <w:rFonts w:ascii="Century" w:hAnsi="Century"/>
          <w:sz w:val="24"/>
          <w:szCs w:val="24"/>
        </w:rPr>
      </w:pPr>
    </w:p>
    <w:p w:rsidR="00192FDE" w:rsidRPr="00A276C3" w:rsidRDefault="00F87AEF" w:rsidP="0045495A">
      <w:pPr>
        <w:spacing w:line="360" w:lineRule="auto"/>
        <w:jc w:val="both"/>
        <w:rPr>
          <w:rFonts w:ascii="Century" w:hAnsi="Century"/>
          <w:sz w:val="24"/>
          <w:szCs w:val="24"/>
        </w:rPr>
      </w:pPr>
      <w:r>
        <w:rPr>
          <w:rFonts w:ascii="Century" w:hAnsi="Century"/>
          <w:sz w:val="24"/>
          <w:szCs w:val="24"/>
        </w:rPr>
        <w:t>Precision</w:t>
      </w:r>
      <w:r w:rsidR="002C2F50" w:rsidRPr="00F32CF2">
        <w:rPr>
          <w:rFonts w:ascii="Century" w:hAnsi="Century"/>
          <w:sz w:val="24"/>
          <w:szCs w:val="24"/>
        </w:rPr>
        <w:t xml:space="preserve"> means the</w:t>
      </w:r>
      <w:r w:rsidR="00610F6E" w:rsidRPr="00F32CF2">
        <w:rPr>
          <w:rFonts w:ascii="Century" w:hAnsi="Century"/>
          <w:sz w:val="24"/>
          <w:szCs w:val="24"/>
        </w:rPr>
        <w:t xml:space="preserve"> </w:t>
      </w:r>
      <w:r w:rsidR="00A276C3">
        <w:rPr>
          <w:rFonts w:ascii="Century" w:hAnsi="Century"/>
          <w:sz w:val="24"/>
          <w:szCs w:val="24"/>
        </w:rPr>
        <w:t>‘</w:t>
      </w:r>
      <w:r w:rsidR="00610F6E" w:rsidRPr="00F32CF2">
        <w:rPr>
          <w:rFonts w:ascii="Century" w:hAnsi="Century"/>
          <w:sz w:val="24"/>
          <w:szCs w:val="24"/>
        </w:rPr>
        <w:t>exa</w:t>
      </w:r>
      <w:r w:rsidR="00645707">
        <w:rPr>
          <w:rFonts w:ascii="Century" w:hAnsi="Century"/>
          <w:sz w:val="24"/>
          <w:szCs w:val="24"/>
        </w:rPr>
        <w:t>ctness of expression or</w:t>
      </w:r>
      <w:r w:rsidR="006512FE">
        <w:rPr>
          <w:rFonts w:ascii="Century" w:hAnsi="Century"/>
          <w:sz w:val="24"/>
          <w:szCs w:val="24"/>
        </w:rPr>
        <w:t xml:space="preserve"> detail</w:t>
      </w:r>
      <w:r w:rsidR="00A276C3">
        <w:rPr>
          <w:rFonts w:ascii="Century" w:hAnsi="Century"/>
          <w:sz w:val="24"/>
          <w:szCs w:val="24"/>
        </w:rPr>
        <w:t>’</w:t>
      </w:r>
      <w:r w:rsidR="00C446BE" w:rsidRPr="00F32CF2">
        <w:rPr>
          <w:rFonts w:ascii="Century" w:hAnsi="Century"/>
          <w:sz w:val="24"/>
          <w:szCs w:val="24"/>
        </w:rPr>
        <w:t>.</w:t>
      </w:r>
      <w:r w:rsidR="00C446BE" w:rsidRPr="00F32CF2">
        <w:rPr>
          <w:rStyle w:val="FootnoteReference"/>
          <w:rFonts w:ascii="Century" w:hAnsi="Century"/>
          <w:sz w:val="24"/>
          <w:szCs w:val="24"/>
        </w:rPr>
        <w:footnoteReference w:id="202"/>
      </w:r>
      <w:r w:rsidR="00C446BE" w:rsidRPr="00F32CF2">
        <w:rPr>
          <w:rFonts w:ascii="Century" w:hAnsi="Century"/>
          <w:sz w:val="24"/>
          <w:szCs w:val="24"/>
        </w:rPr>
        <w:t xml:space="preserve"> </w:t>
      </w:r>
      <w:r w:rsidR="00CE0A69">
        <w:rPr>
          <w:rFonts w:ascii="Century" w:hAnsi="Century"/>
          <w:sz w:val="24"/>
          <w:szCs w:val="24"/>
        </w:rPr>
        <w:t>D</w:t>
      </w:r>
      <w:r w:rsidR="008052F9">
        <w:rPr>
          <w:rFonts w:ascii="Century" w:hAnsi="Century"/>
          <w:sz w:val="24"/>
          <w:szCs w:val="24"/>
        </w:rPr>
        <w:t>rafter</w:t>
      </w:r>
      <w:r w:rsidR="00CE0A69">
        <w:rPr>
          <w:rFonts w:ascii="Century" w:hAnsi="Century"/>
          <w:sz w:val="24"/>
          <w:szCs w:val="24"/>
        </w:rPr>
        <w:t>s achieve</w:t>
      </w:r>
      <w:r w:rsidR="008052F9">
        <w:rPr>
          <w:rFonts w:ascii="Century" w:hAnsi="Century"/>
          <w:sz w:val="24"/>
          <w:szCs w:val="24"/>
        </w:rPr>
        <w:t xml:space="preserve"> precision when the words in the law reflect exactly the behaviour that the policymaker wanted to ‘forbid, authorize or require’</w:t>
      </w:r>
      <w:r w:rsidR="00434B23">
        <w:rPr>
          <w:rFonts w:ascii="Century" w:hAnsi="Century"/>
          <w:sz w:val="24"/>
          <w:szCs w:val="24"/>
        </w:rPr>
        <w:t>.</w:t>
      </w:r>
      <w:r w:rsidR="00434B23">
        <w:rPr>
          <w:rStyle w:val="FootnoteReference"/>
          <w:rFonts w:ascii="Century" w:hAnsi="Century"/>
          <w:sz w:val="24"/>
          <w:szCs w:val="24"/>
        </w:rPr>
        <w:footnoteReference w:id="203"/>
      </w:r>
      <w:r w:rsidR="00434B23">
        <w:rPr>
          <w:rFonts w:ascii="Century" w:hAnsi="Century"/>
          <w:sz w:val="24"/>
          <w:szCs w:val="24"/>
        </w:rPr>
        <w:t xml:space="preserve"> </w:t>
      </w:r>
      <w:r>
        <w:rPr>
          <w:rFonts w:ascii="Century" w:hAnsi="Century"/>
          <w:sz w:val="24"/>
          <w:szCs w:val="24"/>
        </w:rPr>
        <w:t>This requires drafter</w:t>
      </w:r>
      <w:r w:rsidR="00CE0A69">
        <w:rPr>
          <w:rFonts w:ascii="Century" w:hAnsi="Century"/>
          <w:sz w:val="24"/>
          <w:szCs w:val="24"/>
        </w:rPr>
        <w:t>s</w:t>
      </w:r>
      <w:r>
        <w:rPr>
          <w:rFonts w:ascii="Century" w:hAnsi="Century"/>
          <w:sz w:val="24"/>
          <w:szCs w:val="24"/>
        </w:rPr>
        <w:t xml:space="preserve"> to </w:t>
      </w:r>
      <w:r w:rsidR="001C752C">
        <w:rPr>
          <w:rFonts w:ascii="Century" w:hAnsi="Century" w:cs="Arabic Typesetting"/>
          <w:sz w:val="24"/>
          <w:szCs w:val="24"/>
        </w:rPr>
        <w:t>state the law</w:t>
      </w:r>
      <w:r w:rsidRPr="00F32CF2">
        <w:rPr>
          <w:rFonts w:ascii="Century" w:hAnsi="Century" w:cs="Arabic Typesetting"/>
          <w:sz w:val="24"/>
          <w:szCs w:val="24"/>
        </w:rPr>
        <w:t xml:space="preserve"> </w:t>
      </w:r>
      <w:r w:rsidR="001C752C">
        <w:rPr>
          <w:rFonts w:ascii="Century" w:hAnsi="Century" w:cs="Arabic Typesetting"/>
          <w:sz w:val="24"/>
          <w:szCs w:val="24"/>
        </w:rPr>
        <w:t>‘</w:t>
      </w:r>
      <w:r w:rsidRPr="00F32CF2">
        <w:rPr>
          <w:rFonts w:ascii="Century" w:hAnsi="Century" w:cs="Arabic Typesetting"/>
          <w:sz w:val="24"/>
          <w:szCs w:val="24"/>
        </w:rPr>
        <w:t>precisely and unequivocally as possible’.</w:t>
      </w:r>
      <w:r w:rsidRPr="00F32CF2">
        <w:rPr>
          <w:rStyle w:val="FootnoteReference"/>
          <w:rFonts w:ascii="Century" w:hAnsi="Century" w:cs="Arabic Typesetting"/>
          <w:sz w:val="24"/>
          <w:szCs w:val="24"/>
        </w:rPr>
        <w:footnoteReference w:id="204"/>
      </w:r>
      <w:r w:rsidRPr="00F32CF2">
        <w:rPr>
          <w:rFonts w:ascii="Century" w:hAnsi="Century" w:cs="Arabic Typesetting"/>
          <w:sz w:val="24"/>
          <w:szCs w:val="24"/>
        </w:rPr>
        <w:t xml:space="preserve"> </w:t>
      </w:r>
      <w:r w:rsidR="00A47F31">
        <w:rPr>
          <w:rFonts w:ascii="Century" w:hAnsi="Century"/>
          <w:sz w:val="24"/>
          <w:szCs w:val="24"/>
        </w:rPr>
        <w:t xml:space="preserve">The </w:t>
      </w:r>
      <w:r>
        <w:rPr>
          <w:rFonts w:ascii="Century" w:hAnsi="Century"/>
          <w:sz w:val="24"/>
          <w:szCs w:val="24"/>
        </w:rPr>
        <w:t>importance of</w:t>
      </w:r>
      <w:r w:rsidR="00A47F31">
        <w:rPr>
          <w:rFonts w:ascii="Century" w:hAnsi="Century"/>
          <w:sz w:val="24"/>
          <w:szCs w:val="24"/>
        </w:rPr>
        <w:t xml:space="preserve"> precision was described by</w:t>
      </w:r>
      <w:r w:rsidR="0010706E">
        <w:rPr>
          <w:rFonts w:ascii="Century" w:hAnsi="Century"/>
          <w:sz w:val="24"/>
          <w:szCs w:val="24"/>
        </w:rPr>
        <w:t xml:space="preserve"> Lord Bridge as follows-</w:t>
      </w:r>
    </w:p>
    <w:p w:rsidR="007363A9" w:rsidRPr="00F32CF2" w:rsidRDefault="007363A9" w:rsidP="002C2F50">
      <w:pPr>
        <w:spacing w:line="360" w:lineRule="auto"/>
        <w:ind w:firstLine="720"/>
        <w:jc w:val="both"/>
        <w:rPr>
          <w:rFonts w:ascii="Century" w:hAnsi="Century"/>
          <w:sz w:val="24"/>
          <w:szCs w:val="24"/>
        </w:rPr>
      </w:pPr>
    </w:p>
    <w:p w:rsidR="00F4133F" w:rsidRPr="00F32CF2" w:rsidRDefault="00F4133F" w:rsidP="00F4133F">
      <w:pPr>
        <w:spacing w:line="360" w:lineRule="auto"/>
        <w:ind w:left="720"/>
        <w:jc w:val="both"/>
        <w:rPr>
          <w:rFonts w:ascii="Century" w:hAnsi="Century"/>
          <w:sz w:val="24"/>
          <w:szCs w:val="24"/>
        </w:rPr>
      </w:pPr>
      <w:r w:rsidRPr="00F32CF2">
        <w:rPr>
          <w:rFonts w:ascii="Century" w:hAnsi="Century"/>
          <w:sz w:val="24"/>
          <w:szCs w:val="24"/>
        </w:rPr>
        <w:t>The courts’ traditional approac</w:t>
      </w:r>
      <w:r w:rsidR="00325C03">
        <w:rPr>
          <w:rFonts w:ascii="Century" w:hAnsi="Century"/>
          <w:sz w:val="24"/>
          <w:szCs w:val="24"/>
        </w:rPr>
        <w:t>h to construction, giving primac</w:t>
      </w:r>
      <w:r w:rsidRPr="00F32CF2">
        <w:rPr>
          <w:rFonts w:ascii="Century" w:hAnsi="Century"/>
          <w:sz w:val="24"/>
          <w:szCs w:val="24"/>
        </w:rPr>
        <w:t xml:space="preserve">y to the ordinary, grammatical meaning of statutory language, is reflected in the parliamentary draftsman’s technique </w:t>
      </w:r>
      <w:r w:rsidR="00E46F9A" w:rsidRPr="00F32CF2">
        <w:rPr>
          <w:rFonts w:ascii="Century" w:hAnsi="Century"/>
          <w:sz w:val="24"/>
          <w:szCs w:val="24"/>
        </w:rPr>
        <w:t xml:space="preserve">of using language with the </w:t>
      </w:r>
      <w:r w:rsidR="000B746C">
        <w:rPr>
          <w:rFonts w:ascii="Century" w:hAnsi="Century"/>
          <w:sz w:val="24"/>
          <w:szCs w:val="24"/>
        </w:rPr>
        <w:t>ut</w:t>
      </w:r>
      <w:r w:rsidR="00E46F9A" w:rsidRPr="00F32CF2">
        <w:rPr>
          <w:rFonts w:ascii="Century" w:hAnsi="Century"/>
          <w:sz w:val="24"/>
          <w:szCs w:val="24"/>
        </w:rPr>
        <w:t xml:space="preserve">most precision to express the legislative intent of his political masters and it remains </w:t>
      </w:r>
      <w:r w:rsidR="00281624">
        <w:rPr>
          <w:rFonts w:ascii="Century" w:hAnsi="Century"/>
          <w:sz w:val="24"/>
          <w:szCs w:val="24"/>
        </w:rPr>
        <w:t>the golden rule of construction</w:t>
      </w:r>
      <w:r w:rsidR="00E46F9A" w:rsidRPr="00F32CF2">
        <w:rPr>
          <w:rFonts w:ascii="Century" w:hAnsi="Century"/>
          <w:sz w:val="24"/>
          <w:szCs w:val="24"/>
        </w:rPr>
        <w:t xml:space="preserve"> that a statute means exactly what it says and does not mean what it does not say.</w:t>
      </w:r>
      <w:r w:rsidR="00E46F9A" w:rsidRPr="00F32CF2">
        <w:rPr>
          <w:rStyle w:val="FootnoteReference"/>
          <w:rFonts w:ascii="Century" w:hAnsi="Century"/>
          <w:sz w:val="24"/>
          <w:szCs w:val="24"/>
        </w:rPr>
        <w:footnoteReference w:id="205"/>
      </w:r>
    </w:p>
    <w:p w:rsidR="001813D8" w:rsidRDefault="001813D8" w:rsidP="00825408">
      <w:pPr>
        <w:spacing w:line="360" w:lineRule="auto"/>
        <w:jc w:val="both"/>
        <w:rPr>
          <w:rFonts w:ascii="Century" w:hAnsi="Century"/>
          <w:sz w:val="24"/>
          <w:szCs w:val="24"/>
        </w:rPr>
      </w:pPr>
    </w:p>
    <w:p w:rsidR="008F6421" w:rsidRPr="006D0431" w:rsidRDefault="00A47F31" w:rsidP="00825408">
      <w:pPr>
        <w:spacing w:line="360" w:lineRule="auto"/>
        <w:jc w:val="both"/>
        <w:rPr>
          <w:rFonts w:ascii="Century" w:hAnsi="Century"/>
          <w:sz w:val="24"/>
          <w:szCs w:val="24"/>
        </w:rPr>
      </w:pPr>
      <w:r>
        <w:rPr>
          <w:rFonts w:ascii="Century" w:hAnsi="Century"/>
          <w:sz w:val="24"/>
          <w:szCs w:val="24"/>
        </w:rPr>
        <w:t xml:space="preserve">Based on </w:t>
      </w:r>
      <w:r w:rsidR="0048559B">
        <w:rPr>
          <w:rFonts w:ascii="Century" w:hAnsi="Century"/>
          <w:sz w:val="24"/>
          <w:szCs w:val="24"/>
        </w:rPr>
        <w:t>Lord Bridge’s pronouncement</w:t>
      </w:r>
      <w:r>
        <w:rPr>
          <w:rFonts w:ascii="Century" w:hAnsi="Century"/>
          <w:sz w:val="24"/>
          <w:szCs w:val="24"/>
        </w:rPr>
        <w:t>, precision is a worthy goal to pursue as the court when seeking to decipher the intention of Parliament will first consider the words used in the statute. If the law is not drafted accurately then the court can ascribe a different meaning to the law than what Parliament intended</w:t>
      </w:r>
      <w:r w:rsidR="00565F61" w:rsidRPr="00F32CF2">
        <w:rPr>
          <w:rFonts w:ascii="Century" w:hAnsi="Century"/>
          <w:sz w:val="24"/>
          <w:szCs w:val="24"/>
        </w:rPr>
        <w:t>.</w:t>
      </w:r>
      <w:r w:rsidR="00565F61" w:rsidRPr="00F32CF2">
        <w:rPr>
          <w:rStyle w:val="FootnoteReference"/>
          <w:rFonts w:ascii="Century" w:hAnsi="Century"/>
          <w:sz w:val="24"/>
          <w:szCs w:val="24"/>
        </w:rPr>
        <w:footnoteReference w:id="206"/>
      </w:r>
      <w:r w:rsidR="004656E9">
        <w:rPr>
          <w:rFonts w:ascii="Century" w:hAnsi="Century"/>
          <w:sz w:val="24"/>
          <w:szCs w:val="24"/>
        </w:rPr>
        <w:t xml:space="preserve"> </w:t>
      </w:r>
      <w:r w:rsidR="006D0431">
        <w:rPr>
          <w:rFonts w:ascii="Century" w:hAnsi="Century"/>
          <w:sz w:val="24"/>
          <w:szCs w:val="24"/>
        </w:rPr>
        <w:t>This</w:t>
      </w:r>
      <w:r>
        <w:rPr>
          <w:rFonts w:ascii="Century" w:hAnsi="Century"/>
          <w:sz w:val="24"/>
          <w:szCs w:val="24"/>
        </w:rPr>
        <w:t xml:space="preserve"> does no</w:t>
      </w:r>
      <w:r w:rsidR="002E0CBC">
        <w:rPr>
          <w:rFonts w:ascii="Century" w:hAnsi="Century"/>
          <w:sz w:val="24"/>
          <w:szCs w:val="24"/>
        </w:rPr>
        <w:t xml:space="preserve">t bode well for </w:t>
      </w:r>
      <w:r w:rsidR="006D0431">
        <w:rPr>
          <w:rFonts w:ascii="Century" w:hAnsi="Century"/>
          <w:sz w:val="24"/>
          <w:szCs w:val="24"/>
        </w:rPr>
        <w:t xml:space="preserve">predictability and is at variance with accessibility. </w:t>
      </w:r>
      <w:r w:rsidR="002E0CBC" w:rsidRPr="00F71F57">
        <w:rPr>
          <w:rStyle w:val="sb8d990e2"/>
          <w:sz w:val="24"/>
          <w:szCs w:val="24"/>
        </w:rPr>
        <w:t>With</w:t>
      </w:r>
      <w:r w:rsidR="00F71F57" w:rsidRPr="00F71F57">
        <w:rPr>
          <w:rStyle w:val="sb8d990e2"/>
          <w:sz w:val="24"/>
          <w:szCs w:val="24"/>
        </w:rPr>
        <w:t xml:space="preserve"> precision </w:t>
      </w:r>
      <w:r w:rsidR="00F71F57">
        <w:rPr>
          <w:rStyle w:val="sb8d990e2"/>
          <w:sz w:val="24"/>
          <w:szCs w:val="24"/>
        </w:rPr>
        <w:t>citizens</w:t>
      </w:r>
      <w:r w:rsidR="00F71F57" w:rsidRPr="00F71F57">
        <w:rPr>
          <w:rStyle w:val="sb8d990e2"/>
          <w:sz w:val="24"/>
          <w:szCs w:val="24"/>
        </w:rPr>
        <w:t xml:space="preserve"> will know ‘where the boundaries of legality’</w:t>
      </w:r>
      <w:r w:rsidR="002E0CBC">
        <w:rPr>
          <w:rStyle w:val="sb8d990e2"/>
          <w:sz w:val="24"/>
          <w:szCs w:val="24"/>
        </w:rPr>
        <w:t xml:space="preserve"> lie</w:t>
      </w:r>
      <w:r w:rsidR="00F71F57">
        <w:rPr>
          <w:rStyle w:val="FootnoteReference"/>
          <w:sz w:val="24"/>
          <w:szCs w:val="24"/>
        </w:rPr>
        <w:footnoteReference w:id="207"/>
      </w:r>
      <w:r w:rsidR="002E0CBC">
        <w:rPr>
          <w:rStyle w:val="sb8d990e2"/>
        </w:rPr>
        <w:t xml:space="preserve"> </w:t>
      </w:r>
      <w:r w:rsidR="002E0CBC" w:rsidRPr="00BD1FF9">
        <w:rPr>
          <w:rStyle w:val="sb8d990e2"/>
          <w:rFonts w:ascii="Century" w:hAnsi="Century"/>
          <w:sz w:val="24"/>
          <w:szCs w:val="24"/>
        </w:rPr>
        <w:t xml:space="preserve">and this </w:t>
      </w:r>
      <w:r w:rsidR="002E0CBC" w:rsidRPr="00BD1FF9">
        <w:rPr>
          <w:rFonts w:ascii="Century" w:hAnsi="Century"/>
          <w:sz w:val="24"/>
          <w:szCs w:val="24"/>
        </w:rPr>
        <w:t>gives them confidence when</w:t>
      </w:r>
      <w:r w:rsidR="002E0CBC">
        <w:rPr>
          <w:rFonts w:ascii="Century" w:hAnsi="Century"/>
          <w:sz w:val="24"/>
          <w:szCs w:val="24"/>
        </w:rPr>
        <w:t xml:space="preserve"> regulating their conduct.</w:t>
      </w:r>
      <w:r w:rsidR="002E0CBC" w:rsidRPr="00F32CF2">
        <w:rPr>
          <w:rStyle w:val="FootnoteReference"/>
          <w:rFonts w:ascii="Century" w:hAnsi="Century"/>
          <w:sz w:val="24"/>
          <w:szCs w:val="24"/>
        </w:rPr>
        <w:footnoteReference w:id="208"/>
      </w:r>
      <w:r w:rsidR="002E0CBC">
        <w:rPr>
          <w:rStyle w:val="sb8d990e2"/>
        </w:rPr>
        <w:t xml:space="preserve"> </w:t>
      </w:r>
      <w:r w:rsidR="007B4DD0" w:rsidRPr="00F32CF2">
        <w:rPr>
          <w:rFonts w:ascii="Century" w:hAnsi="Century"/>
          <w:sz w:val="24"/>
          <w:szCs w:val="24"/>
        </w:rPr>
        <w:t xml:space="preserve">This is </w:t>
      </w:r>
      <w:r w:rsidR="00F87AEF">
        <w:rPr>
          <w:rFonts w:ascii="Century" w:hAnsi="Century"/>
          <w:sz w:val="24"/>
          <w:szCs w:val="24"/>
        </w:rPr>
        <w:t>why</w:t>
      </w:r>
      <w:r w:rsidR="00816F3E">
        <w:rPr>
          <w:rFonts w:ascii="Century" w:hAnsi="Century"/>
          <w:sz w:val="24"/>
          <w:szCs w:val="24"/>
        </w:rPr>
        <w:t xml:space="preserve"> the</w:t>
      </w:r>
      <w:r w:rsidR="00F87AEF">
        <w:rPr>
          <w:rFonts w:ascii="Century" w:hAnsi="Century"/>
          <w:sz w:val="24"/>
          <w:szCs w:val="24"/>
        </w:rPr>
        <w:t xml:space="preserve"> preparatory stages (stage 1 and stage 2) are important because</w:t>
      </w:r>
      <w:r w:rsidR="007B4DD0" w:rsidRPr="00F32CF2">
        <w:rPr>
          <w:rFonts w:ascii="Century" w:hAnsi="Century"/>
          <w:sz w:val="24"/>
          <w:szCs w:val="24"/>
        </w:rPr>
        <w:t xml:space="preserve"> </w:t>
      </w:r>
      <w:r w:rsidR="00F87AEF">
        <w:rPr>
          <w:rFonts w:ascii="Century" w:hAnsi="Century"/>
          <w:sz w:val="24"/>
          <w:szCs w:val="24"/>
        </w:rPr>
        <w:t>i</w:t>
      </w:r>
      <w:r w:rsidR="00F87AEF" w:rsidRPr="00F32CF2">
        <w:rPr>
          <w:rFonts w:ascii="Century" w:hAnsi="Century"/>
          <w:sz w:val="24"/>
          <w:szCs w:val="24"/>
        </w:rPr>
        <w:t>f</w:t>
      </w:r>
      <w:r w:rsidR="007B4DD0" w:rsidRPr="00F32CF2">
        <w:rPr>
          <w:rFonts w:ascii="Century" w:hAnsi="Century"/>
          <w:sz w:val="24"/>
          <w:szCs w:val="24"/>
        </w:rPr>
        <w:t xml:space="preserve"> drafter</w:t>
      </w:r>
      <w:r w:rsidR="00CE0A69">
        <w:rPr>
          <w:rFonts w:ascii="Century" w:hAnsi="Century"/>
          <w:sz w:val="24"/>
          <w:szCs w:val="24"/>
        </w:rPr>
        <w:t>s do</w:t>
      </w:r>
      <w:r w:rsidR="007B4DD0" w:rsidRPr="00F32CF2">
        <w:rPr>
          <w:rFonts w:ascii="Century" w:hAnsi="Century"/>
          <w:sz w:val="24"/>
          <w:szCs w:val="24"/>
        </w:rPr>
        <w:t xml:space="preserve"> not have a sound understanding </w:t>
      </w:r>
      <w:r w:rsidR="00B3495E">
        <w:rPr>
          <w:rFonts w:ascii="Century" w:hAnsi="Century"/>
          <w:sz w:val="24"/>
          <w:szCs w:val="24"/>
        </w:rPr>
        <w:t xml:space="preserve">of what the policymaker wants </w:t>
      </w:r>
      <w:r w:rsidR="00CE0A69">
        <w:rPr>
          <w:rFonts w:ascii="Century" w:hAnsi="Century"/>
          <w:sz w:val="24"/>
          <w:szCs w:val="24"/>
        </w:rPr>
        <w:t xml:space="preserve">then they </w:t>
      </w:r>
      <w:r w:rsidR="00F87AEF">
        <w:rPr>
          <w:rFonts w:ascii="Century" w:hAnsi="Century"/>
          <w:sz w:val="24"/>
          <w:szCs w:val="24"/>
        </w:rPr>
        <w:t>will fail to accurately communicate the policy message to users.</w:t>
      </w:r>
      <w:r w:rsidR="00C37465" w:rsidRPr="00F32CF2">
        <w:rPr>
          <w:rStyle w:val="FootnoteReference"/>
          <w:rFonts w:ascii="Century" w:hAnsi="Century"/>
          <w:sz w:val="24"/>
          <w:szCs w:val="24"/>
        </w:rPr>
        <w:footnoteReference w:id="209"/>
      </w:r>
      <w:r w:rsidR="00825408" w:rsidRPr="00F32CF2">
        <w:rPr>
          <w:rFonts w:ascii="Century" w:hAnsi="Century"/>
          <w:sz w:val="24"/>
          <w:szCs w:val="24"/>
        </w:rPr>
        <w:t xml:space="preserve"> </w:t>
      </w:r>
    </w:p>
    <w:p w:rsidR="00F87AEF" w:rsidRPr="00F32CF2" w:rsidRDefault="00F87AEF" w:rsidP="00825408">
      <w:pPr>
        <w:spacing w:line="360" w:lineRule="auto"/>
        <w:jc w:val="both"/>
        <w:rPr>
          <w:rFonts w:ascii="Century" w:hAnsi="Century"/>
          <w:sz w:val="24"/>
          <w:szCs w:val="24"/>
        </w:rPr>
      </w:pPr>
    </w:p>
    <w:p w:rsidR="00363C90" w:rsidRPr="00E35A07" w:rsidRDefault="005B58EA" w:rsidP="0045495A">
      <w:pPr>
        <w:spacing w:line="360" w:lineRule="auto"/>
        <w:jc w:val="both"/>
        <w:rPr>
          <w:rFonts w:ascii="Century" w:hAnsi="Century"/>
          <w:sz w:val="24"/>
          <w:szCs w:val="24"/>
        </w:rPr>
      </w:pPr>
      <w:r>
        <w:rPr>
          <w:rFonts w:ascii="Century" w:hAnsi="Century"/>
          <w:sz w:val="24"/>
          <w:szCs w:val="24"/>
        </w:rPr>
        <w:t>It is often thought that i</w:t>
      </w:r>
      <w:r w:rsidR="00CE0A69">
        <w:rPr>
          <w:rFonts w:ascii="Century" w:hAnsi="Century"/>
          <w:sz w:val="24"/>
          <w:szCs w:val="24"/>
        </w:rPr>
        <w:t xml:space="preserve">f </w:t>
      </w:r>
      <w:r>
        <w:rPr>
          <w:rFonts w:ascii="Century" w:hAnsi="Century"/>
          <w:sz w:val="24"/>
          <w:szCs w:val="24"/>
        </w:rPr>
        <w:t>drafter</w:t>
      </w:r>
      <w:r w:rsidR="00CE0A69">
        <w:rPr>
          <w:rFonts w:ascii="Century" w:hAnsi="Century"/>
          <w:sz w:val="24"/>
          <w:szCs w:val="24"/>
        </w:rPr>
        <w:t>s</w:t>
      </w:r>
      <w:r>
        <w:rPr>
          <w:rFonts w:ascii="Century" w:hAnsi="Century"/>
          <w:sz w:val="24"/>
          <w:szCs w:val="24"/>
        </w:rPr>
        <w:t xml:space="preserve"> pursues clarity then precision may be sacrificed or vice versa</w:t>
      </w:r>
      <w:r w:rsidR="008F6421" w:rsidRPr="00F32CF2">
        <w:rPr>
          <w:rFonts w:ascii="Century" w:hAnsi="Century"/>
          <w:sz w:val="24"/>
          <w:szCs w:val="24"/>
        </w:rPr>
        <w:t xml:space="preserve">. As Vanterpool </w:t>
      </w:r>
      <w:r w:rsidR="00363C90">
        <w:rPr>
          <w:rFonts w:ascii="Century" w:hAnsi="Century"/>
          <w:sz w:val="24"/>
          <w:szCs w:val="24"/>
        </w:rPr>
        <w:t xml:space="preserve">observes, the policymaker would prefer a law to be </w:t>
      </w:r>
      <w:r w:rsidR="00AE64AD">
        <w:rPr>
          <w:rFonts w:ascii="Century" w:hAnsi="Century"/>
          <w:sz w:val="24"/>
          <w:szCs w:val="24"/>
        </w:rPr>
        <w:t>precise even if</w:t>
      </w:r>
      <w:r w:rsidR="00470645">
        <w:rPr>
          <w:rFonts w:ascii="Century" w:hAnsi="Century"/>
          <w:sz w:val="24"/>
          <w:szCs w:val="24"/>
        </w:rPr>
        <w:t xml:space="preserve"> it</w:t>
      </w:r>
      <w:r w:rsidR="00AE64AD">
        <w:rPr>
          <w:rFonts w:ascii="Century" w:hAnsi="Century"/>
          <w:sz w:val="24"/>
          <w:szCs w:val="24"/>
        </w:rPr>
        <w:t xml:space="preserve"> is not clear </w:t>
      </w:r>
      <w:r w:rsidR="00363C90">
        <w:rPr>
          <w:rFonts w:ascii="Century" w:hAnsi="Century"/>
          <w:sz w:val="24"/>
          <w:szCs w:val="24"/>
        </w:rPr>
        <w:t xml:space="preserve">so as to avoid a </w:t>
      </w:r>
      <w:r w:rsidR="00363C90">
        <w:rPr>
          <w:rFonts w:ascii="Century" w:hAnsi="Century"/>
          <w:sz w:val="24"/>
          <w:szCs w:val="24"/>
        </w:rPr>
        <w:lastRenderedPageBreak/>
        <w:t>misinterpretation by the courts</w:t>
      </w:r>
      <w:r w:rsidR="007F4991" w:rsidRPr="00F32CF2">
        <w:rPr>
          <w:rFonts w:ascii="Century" w:hAnsi="Century"/>
          <w:sz w:val="24"/>
          <w:szCs w:val="24"/>
        </w:rPr>
        <w:t>.</w:t>
      </w:r>
      <w:r w:rsidR="00AC7362" w:rsidRPr="00F32CF2">
        <w:rPr>
          <w:rStyle w:val="FootnoteReference"/>
          <w:rFonts w:ascii="Century" w:hAnsi="Century"/>
          <w:sz w:val="24"/>
          <w:szCs w:val="24"/>
        </w:rPr>
        <w:footnoteReference w:id="210"/>
      </w:r>
      <w:r w:rsidR="008F6421" w:rsidRPr="00F32CF2">
        <w:rPr>
          <w:rFonts w:ascii="Century" w:hAnsi="Century"/>
          <w:sz w:val="24"/>
          <w:szCs w:val="24"/>
        </w:rPr>
        <w:t xml:space="preserve"> </w:t>
      </w:r>
      <w:r w:rsidR="008F6421" w:rsidRPr="00E35A07">
        <w:rPr>
          <w:rFonts w:ascii="Century" w:hAnsi="Century"/>
          <w:sz w:val="24"/>
          <w:szCs w:val="24"/>
        </w:rPr>
        <w:t>However,</w:t>
      </w:r>
      <w:r w:rsidR="00AC7362" w:rsidRPr="00E35A07">
        <w:rPr>
          <w:rFonts w:ascii="Century" w:hAnsi="Century"/>
          <w:sz w:val="24"/>
          <w:szCs w:val="24"/>
        </w:rPr>
        <w:t xml:space="preserve"> </w:t>
      </w:r>
      <w:r w:rsidR="00EE50BA">
        <w:rPr>
          <w:rFonts w:ascii="Century" w:hAnsi="Century"/>
          <w:sz w:val="24"/>
          <w:szCs w:val="24"/>
        </w:rPr>
        <w:t>t</w:t>
      </w:r>
      <w:r w:rsidR="008638E5" w:rsidRPr="00E35A07">
        <w:rPr>
          <w:rFonts w:ascii="Century" w:hAnsi="Century"/>
          <w:sz w:val="24"/>
          <w:szCs w:val="24"/>
        </w:rPr>
        <w:t>he</w:t>
      </w:r>
      <w:r w:rsidR="001E5A29" w:rsidRPr="00E35A07">
        <w:rPr>
          <w:rFonts w:ascii="Century" w:hAnsi="Century"/>
          <w:sz w:val="24"/>
          <w:szCs w:val="24"/>
        </w:rPr>
        <w:t xml:space="preserve"> Law Reform Commission of Victoria </w:t>
      </w:r>
      <w:r w:rsidR="00A0336D" w:rsidRPr="00E35A07">
        <w:rPr>
          <w:rFonts w:ascii="Century" w:hAnsi="Century"/>
          <w:sz w:val="24"/>
          <w:szCs w:val="24"/>
        </w:rPr>
        <w:t xml:space="preserve">does not agree that any sacrifice has to be made </w:t>
      </w:r>
      <w:r w:rsidRPr="00E35A07">
        <w:rPr>
          <w:rFonts w:ascii="Century" w:hAnsi="Century"/>
          <w:sz w:val="24"/>
          <w:szCs w:val="24"/>
        </w:rPr>
        <w:t>and argues that</w:t>
      </w:r>
      <w:r w:rsidR="00BB2C4F" w:rsidRPr="00E35A07">
        <w:rPr>
          <w:rFonts w:ascii="Century" w:hAnsi="Century"/>
          <w:sz w:val="24"/>
          <w:szCs w:val="24"/>
        </w:rPr>
        <w:t>-</w:t>
      </w:r>
      <w:r w:rsidR="001E5A29" w:rsidRPr="00E35A07">
        <w:rPr>
          <w:rFonts w:ascii="Century" w:hAnsi="Century"/>
          <w:sz w:val="24"/>
          <w:szCs w:val="24"/>
        </w:rPr>
        <w:t xml:space="preserve"> </w:t>
      </w:r>
    </w:p>
    <w:p w:rsidR="00363C90" w:rsidRDefault="00363C90" w:rsidP="00A97C3B">
      <w:pPr>
        <w:spacing w:line="360" w:lineRule="auto"/>
        <w:ind w:left="720"/>
        <w:jc w:val="both"/>
        <w:rPr>
          <w:rFonts w:ascii="Century" w:hAnsi="Century"/>
          <w:sz w:val="24"/>
          <w:szCs w:val="24"/>
        </w:rPr>
      </w:pPr>
      <w:r w:rsidRPr="00A97C3B">
        <w:rPr>
          <w:rFonts w:ascii="Century" w:hAnsi="Century"/>
          <w:sz w:val="24"/>
          <w:szCs w:val="24"/>
        </w:rPr>
        <w:t>[P]</w:t>
      </w:r>
      <w:r w:rsidR="001E5A29" w:rsidRPr="00A97C3B">
        <w:rPr>
          <w:rFonts w:ascii="Century" w:hAnsi="Century"/>
          <w:sz w:val="24"/>
          <w:szCs w:val="24"/>
        </w:rPr>
        <w:t xml:space="preserve">recision and </w:t>
      </w:r>
      <w:r w:rsidR="00772916">
        <w:rPr>
          <w:rFonts w:ascii="Century" w:hAnsi="Century"/>
          <w:sz w:val="24"/>
          <w:szCs w:val="24"/>
        </w:rPr>
        <w:t>clarity are not competing goals.</w:t>
      </w:r>
      <w:r w:rsidR="001E5A29" w:rsidRPr="00A97C3B">
        <w:rPr>
          <w:rFonts w:ascii="Century" w:hAnsi="Century"/>
          <w:sz w:val="24"/>
          <w:szCs w:val="24"/>
        </w:rPr>
        <w:t xml:space="preserve"> </w:t>
      </w:r>
      <w:r w:rsidR="00772916">
        <w:rPr>
          <w:rFonts w:ascii="Century" w:hAnsi="Century"/>
          <w:sz w:val="24"/>
          <w:szCs w:val="24"/>
        </w:rPr>
        <w:t xml:space="preserve">Precision is desirable in order to minimise the risk of uncertainty and of consequent disputes. But a document which is </w:t>
      </w:r>
      <w:r w:rsidR="008638E5" w:rsidRPr="00A97C3B">
        <w:rPr>
          <w:rFonts w:ascii="Century" w:hAnsi="Century"/>
          <w:sz w:val="24"/>
          <w:szCs w:val="24"/>
        </w:rPr>
        <w:t>precise without being clear is as dangerous in that respect as one which is clear without being precise</w:t>
      </w:r>
      <w:r w:rsidR="00A97C3B">
        <w:rPr>
          <w:rFonts w:ascii="Century" w:hAnsi="Century"/>
          <w:sz w:val="24"/>
          <w:szCs w:val="24"/>
        </w:rPr>
        <w:t>.</w:t>
      </w:r>
      <w:r w:rsidR="00772916">
        <w:rPr>
          <w:rFonts w:ascii="Century" w:hAnsi="Century"/>
          <w:sz w:val="24"/>
          <w:szCs w:val="24"/>
        </w:rPr>
        <w:t xml:space="preserve"> In its true sense, precision is incompatible with a </w:t>
      </w:r>
      <w:r w:rsidR="00772916" w:rsidRPr="00772916">
        <w:rPr>
          <w:rFonts w:ascii="Century" w:hAnsi="Century"/>
          <w:i/>
          <w:sz w:val="24"/>
          <w:szCs w:val="24"/>
        </w:rPr>
        <w:t xml:space="preserve">lack </w:t>
      </w:r>
      <w:r w:rsidR="00772916">
        <w:rPr>
          <w:rFonts w:ascii="Century" w:hAnsi="Century"/>
          <w:sz w:val="24"/>
          <w:szCs w:val="24"/>
        </w:rPr>
        <w:t>of clarity.</w:t>
      </w:r>
      <w:r w:rsidR="008F6421" w:rsidRPr="00A97C3B">
        <w:rPr>
          <w:rStyle w:val="FootnoteReference"/>
          <w:rFonts w:ascii="Century" w:hAnsi="Century"/>
          <w:sz w:val="24"/>
          <w:szCs w:val="24"/>
        </w:rPr>
        <w:footnoteReference w:id="211"/>
      </w:r>
    </w:p>
    <w:p w:rsidR="00A97C3B" w:rsidRDefault="00596E67" w:rsidP="0045495A">
      <w:pPr>
        <w:spacing w:line="360" w:lineRule="auto"/>
        <w:jc w:val="both"/>
        <w:rPr>
          <w:rFonts w:ascii="Century" w:hAnsi="Century"/>
          <w:sz w:val="24"/>
          <w:szCs w:val="24"/>
        </w:rPr>
      </w:pPr>
      <w:r w:rsidRPr="00F32CF2">
        <w:rPr>
          <w:rFonts w:ascii="Century" w:hAnsi="Century"/>
          <w:sz w:val="24"/>
          <w:szCs w:val="24"/>
        </w:rPr>
        <w:t>L</w:t>
      </w:r>
      <w:r w:rsidR="00A853C2" w:rsidRPr="00F32CF2">
        <w:rPr>
          <w:rFonts w:ascii="Century" w:hAnsi="Century"/>
          <w:sz w:val="24"/>
          <w:szCs w:val="24"/>
        </w:rPr>
        <w:t xml:space="preserve">ikewise, </w:t>
      </w:r>
      <w:r w:rsidR="00775A5B">
        <w:rPr>
          <w:rFonts w:ascii="Century" w:hAnsi="Century"/>
          <w:sz w:val="24"/>
          <w:szCs w:val="24"/>
        </w:rPr>
        <w:t>Greenberg</w:t>
      </w:r>
      <w:r w:rsidR="00BB2C4F">
        <w:rPr>
          <w:rFonts w:ascii="Century" w:hAnsi="Century"/>
          <w:sz w:val="24"/>
          <w:szCs w:val="24"/>
        </w:rPr>
        <w:t xml:space="preserve"> states- </w:t>
      </w:r>
    </w:p>
    <w:p w:rsidR="00A97C3B" w:rsidRDefault="001B633D" w:rsidP="00A97C3B">
      <w:pPr>
        <w:spacing w:line="360" w:lineRule="auto"/>
        <w:ind w:left="720"/>
        <w:jc w:val="both"/>
        <w:rPr>
          <w:rFonts w:ascii="Century" w:hAnsi="Century"/>
          <w:sz w:val="24"/>
          <w:szCs w:val="24"/>
        </w:rPr>
      </w:pPr>
      <w:r>
        <w:rPr>
          <w:rFonts w:ascii="Century" w:hAnsi="Century"/>
          <w:sz w:val="24"/>
          <w:szCs w:val="24"/>
        </w:rPr>
        <w:t>I</w:t>
      </w:r>
      <w:r w:rsidR="00596E67" w:rsidRPr="00F32CF2">
        <w:rPr>
          <w:rFonts w:ascii="Century" w:hAnsi="Century"/>
          <w:sz w:val="24"/>
          <w:szCs w:val="24"/>
        </w:rPr>
        <w:t xml:space="preserve">n reality the requirements of certainty and clarity do not conflict. If the meaning of a </w:t>
      </w:r>
      <w:r w:rsidR="001D3FD2" w:rsidRPr="00F32CF2">
        <w:rPr>
          <w:rFonts w:ascii="Century" w:hAnsi="Century"/>
          <w:sz w:val="24"/>
          <w:szCs w:val="24"/>
        </w:rPr>
        <w:t>law is</w:t>
      </w:r>
      <w:r w:rsidR="00596E67" w:rsidRPr="00F32CF2">
        <w:rPr>
          <w:rFonts w:ascii="Century" w:hAnsi="Century"/>
          <w:sz w:val="24"/>
          <w:szCs w:val="24"/>
        </w:rPr>
        <w:t xml:space="preserve"> not sufficiently clear for it to be possible to assume that the same meaning will be ascribed to it by each of its likely readers, the law cannot be sai</w:t>
      </w:r>
      <w:r>
        <w:rPr>
          <w:rFonts w:ascii="Century" w:hAnsi="Century"/>
          <w:sz w:val="24"/>
          <w:szCs w:val="24"/>
        </w:rPr>
        <w:t>d to be in a state of certainty</w:t>
      </w:r>
      <w:r w:rsidR="00596E67" w:rsidRPr="00F32CF2">
        <w:rPr>
          <w:rFonts w:ascii="Century" w:hAnsi="Century"/>
          <w:sz w:val="24"/>
          <w:szCs w:val="24"/>
        </w:rPr>
        <w:t>.</w:t>
      </w:r>
      <w:r w:rsidR="00596E67" w:rsidRPr="00F32CF2">
        <w:rPr>
          <w:rStyle w:val="FootnoteReference"/>
          <w:rFonts w:ascii="Century" w:hAnsi="Century"/>
          <w:sz w:val="24"/>
          <w:szCs w:val="24"/>
        </w:rPr>
        <w:footnoteReference w:id="212"/>
      </w:r>
      <w:r w:rsidR="00D83DF7" w:rsidRPr="00F32CF2">
        <w:rPr>
          <w:rFonts w:ascii="Century" w:hAnsi="Century"/>
          <w:sz w:val="24"/>
          <w:szCs w:val="24"/>
        </w:rPr>
        <w:t xml:space="preserve"> </w:t>
      </w:r>
    </w:p>
    <w:p w:rsidR="00C91100" w:rsidRDefault="00C91100" w:rsidP="008F6421">
      <w:pPr>
        <w:spacing w:line="360" w:lineRule="auto"/>
        <w:jc w:val="both"/>
        <w:rPr>
          <w:rFonts w:ascii="Century" w:hAnsi="Century"/>
          <w:sz w:val="24"/>
          <w:szCs w:val="24"/>
        </w:rPr>
      </w:pPr>
    </w:p>
    <w:p w:rsidR="00491E12" w:rsidRPr="00F32CF2" w:rsidRDefault="00AE64AD" w:rsidP="008F6421">
      <w:pPr>
        <w:spacing w:line="360" w:lineRule="auto"/>
        <w:jc w:val="both"/>
        <w:rPr>
          <w:rFonts w:ascii="Century" w:hAnsi="Century"/>
          <w:sz w:val="24"/>
          <w:szCs w:val="24"/>
        </w:rPr>
      </w:pPr>
      <w:r>
        <w:rPr>
          <w:rFonts w:ascii="Century" w:hAnsi="Century"/>
          <w:sz w:val="24"/>
          <w:szCs w:val="24"/>
        </w:rPr>
        <w:t>Further, as Dorsey notes</w:t>
      </w:r>
      <w:r w:rsidRPr="00F32CF2">
        <w:rPr>
          <w:rFonts w:ascii="Century" w:hAnsi="Century"/>
          <w:sz w:val="24"/>
          <w:szCs w:val="24"/>
        </w:rPr>
        <w:t xml:space="preserve"> </w:t>
      </w:r>
      <w:r>
        <w:rPr>
          <w:rFonts w:ascii="Century" w:hAnsi="Century"/>
          <w:sz w:val="24"/>
          <w:szCs w:val="24"/>
        </w:rPr>
        <w:t>‘</w:t>
      </w:r>
      <w:r w:rsidRPr="00F32CF2">
        <w:rPr>
          <w:rFonts w:ascii="Century" w:hAnsi="Century"/>
          <w:sz w:val="24"/>
          <w:szCs w:val="24"/>
        </w:rPr>
        <w:t>a clear draft is an accurate draft</w:t>
      </w:r>
      <w:r w:rsidR="00F87AEF">
        <w:rPr>
          <w:rFonts w:ascii="Century" w:hAnsi="Century"/>
          <w:sz w:val="24"/>
          <w:szCs w:val="24"/>
        </w:rPr>
        <w:t>…</w:t>
      </w:r>
      <w:r w:rsidRPr="00F32CF2">
        <w:rPr>
          <w:rFonts w:ascii="Century" w:hAnsi="Century"/>
          <w:sz w:val="24"/>
          <w:szCs w:val="24"/>
        </w:rPr>
        <w:t xml:space="preserve"> clear writing ensures that the draft, if enacted into law, carries out the client’s policy effectively’.</w:t>
      </w:r>
      <w:r w:rsidRPr="00F32CF2">
        <w:rPr>
          <w:rStyle w:val="FootnoteReference"/>
          <w:rFonts w:ascii="Century" w:hAnsi="Century"/>
          <w:sz w:val="24"/>
          <w:szCs w:val="24"/>
        </w:rPr>
        <w:footnoteReference w:id="213"/>
      </w:r>
      <w:r>
        <w:rPr>
          <w:rFonts w:ascii="Century" w:hAnsi="Century"/>
          <w:sz w:val="24"/>
          <w:szCs w:val="24"/>
        </w:rPr>
        <w:t xml:space="preserve"> Therefore, b</w:t>
      </w:r>
      <w:r w:rsidR="00491E12">
        <w:rPr>
          <w:rFonts w:ascii="Century" w:hAnsi="Century"/>
          <w:sz w:val="24"/>
          <w:szCs w:val="24"/>
        </w:rPr>
        <w:t>oth clarity and precision are needed if the</w:t>
      </w:r>
      <w:r w:rsidR="00003085">
        <w:rPr>
          <w:rFonts w:ascii="Century" w:hAnsi="Century"/>
          <w:sz w:val="24"/>
          <w:szCs w:val="24"/>
        </w:rPr>
        <w:t xml:space="preserve"> intention of the drafter is to</w:t>
      </w:r>
      <w:r w:rsidR="00491E12">
        <w:rPr>
          <w:rFonts w:ascii="Century" w:hAnsi="Century"/>
          <w:sz w:val="24"/>
          <w:szCs w:val="24"/>
        </w:rPr>
        <w:t xml:space="preserve"> communicate effectively. Forsaking one </w:t>
      </w:r>
      <w:r w:rsidR="00320049">
        <w:rPr>
          <w:rFonts w:ascii="Century" w:hAnsi="Century"/>
          <w:sz w:val="24"/>
          <w:szCs w:val="24"/>
        </w:rPr>
        <w:t xml:space="preserve">for the other </w:t>
      </w:r>
      <w:r w:rsidR="00640E96">
        <w:rPr>
          <w:rFonts w:ascii="Century" w:hAnsi="Century"/>
          <w:sz w:val="24"/>
          <w:szCs w:val="24"/>
        </w:rPr>
        <w:t xml:space="preserve">according to Thornton will cause complexity which is </w:t>
      </w:r>
      <w:r w:rsidR="006945B9">
        <w:rPr>
          <w:rFonts w:ascii="Century" w:hAnsi="Century"/>
          <w:sz w:val="24"/>
          <w:szCs w:val="24"/>
        </w:rPr>
        <w:t>‘</w:t>
      </w:r>
      <w:r w:rsidR="00C51D4E" w:rsidRPr="00F32CF2">
        <w:rPr>
          <w:rFonts w:ascii="Century" w:hAnsi="Century"/>
          <w:sz w:val="24"/>
          <w:szCs w:val="24"/>
        </w:rPr>
        <w:t>a definite step along the way to obscurity</w:t>
      </w:r>
      <w:r w:rsidR="000B71AE">
        <w:rPr>
          <w:rFonts w:ascii="Century" w:hAnsi="Century"/>
          <w:sz w:val="24"/>
          <w:szCs w:val="24"/>
        </w:rPr>
        <w:t>’</w:t>
      </w:r>
      <w:r w:rsidR="00C51D4E" w:rsidRPr="00F32CF2">
        <w:rPr>
          <w:rFonts w:ascii="Century" w:hAnsi="Century"/>
          <w:sz w:val="24"/>
          <w:szCs w:val="24"/>
        </w:rPr>
        <w:t>.</w:t>
      </w:r>
      <w:r w:rsidR="00C51D4E" w:rsidRPr="00F32CF2">
        <w:rPr>
          <w:rStyle w:val="FootnoteReference"/>
          <w:rFonts w:ascii="Century" w:hAnsi="Century"/>
          <w:sz w:val="24"/>
          <w:szCs w:val="24"/>
        </w:rPr>
        <w:footnoteReference w:id="214"/>
      </w:r>
      <w:r w:rsidR="00697563">
        <w:rPr>
          <w:rFonts w:ascii="Century" w:hAnsi="Century"/>
          <w:sz w:val="24"/>
          <w:szCs w:val="24"/>
        </w:rPr>
        <w:t xml:space="preserve"> </w:t>
      </w:r>
      <w:r w:rsidR="002C3C16">
        <w:rPr>
          <w:rFonts w:ascii="Century" w:hAnsi="Century"/>
          <w:sz w:val="24"/>
          <w:szCs w:val="24"/>
        </w:rPr>
        <w:t>Therefore, drafter</w:t>
      </w:r>
      <w:r w:rsidR="00CE0A69">
        <w:rPr>
          <w:rFonts w:ascii="Century" w:hAnsi="Century"/>
          <w:sz w:val="24"/>
          <w:szCs w:val="24"/>
        </w:rPr>
        <w:t>s</w:t>
      </w:r>
      <w:r w:rsidR="002C3C16">
        <w:rPr>
          <w:rFonts w:ascii="Century" w:hAnsi="Century"/>
          <w:sz w:val="24"/>
          <w:szCs w:val="24"/>
        </w:rPr>
        <w:t xml:space="preserve"> must </w:t>
      </w:r>
      <w:r>
        <w:rPr>
          <w:rFonts w:ascii="Century" w:hAnsi="Century"/>
          <w:sz w:val="24"/>
          <w:szCs w:val="24"/>
        </w:rPr>
        <w:t>aim to draft simply yet precisely</w:t>
      </w:r>
      <w:r w:rsidR="002C3C16">
        <w:rPr>
          <w:rFonts w:ascii="Century" w:hAnsi="Century"/>
          <w:sz w:val="24"/>
          <w:szCs w:val="24"/>
        </w:rPr>
        <w:t xml:space="preserve"> </w:t>
      </w:r>
      <w:r w:rsidR="00502855">
        <w:rPr>
          <w:rFonts w:ascii="Century" w:hAnsi="Century"/>
          <w:sz w:val="24"/>
          <w:szCs w:val="24"/>
        </w:rPr>
        <w:t>to ensure comprehensibility</w:t>
      </w:r>
      <w:r w:rsidR="002C3C16">
        <w:rPr>
          <w:rFonts w:ascii="Century" w:hAnsi="Century"/>
          <w:sz w:val="24"/>
          <w:szCs w:val="24"/>
        </w:rPr>
        <w:t>.</w:t>
      </w:r>
      <w:r w:rsidR="00B50D58">
        <w:rPr>
          <w:rFonts w:ascii="Century" w:hAnsi="Century"/>
          <w:sz w:val="24"/>
          <w:szCs w:val="24"/>
        </w:rPr>
        <w:t xml:space="preserve"> </w:t>
      </w:r>
    </w:p>
    <w:p w:rsidR="00AE64AD" w:rsidRDefault="00AE64AD" w:rsidP="00E024ED">
      <w:pPr>
        <w:spacing w:line="360" w:lineRule="auto"/>
        <w:jc w:val="both"/>
        <w:rPr>
          <w:rFonts w:ascii="Century" w:hAnsi="Century"/>
          <w:sz w:val="24"/>
          <w:szCs w:val="24"/>
        </w:rPr>
      </w:pPr>
    </w:p>
    <w:p w:rsidR="00C91100" w:rsidRDefault="00C90B7D" w:rsidP="0045495A">
      <w:pPr>
        <w:spacing w:line="360" w:lineRule="auto"/>
        <w:jc w:val="both"/>
        <w:rPr>
          <w:rFonts w:ascii="Century" w:hAnsi="Century"/>
          <w:sz w:val="24"/>
          <w:szCs w:val="24"/>
        </w:rPr>
      </w:pPr>
      <w:r w:rsidRPr="00F32CF2">
        <w:rPr>
          <w:rFonts w:ascii="Century" w:hAnsi="Century"/>
          <w:sz w:val="24"/>
          <w:szCs w:val="24"/>
        </w:rPr>
        <w:t>In addition to clarity and precision, to make the law accessible drafter</w:t>
      </w:r>
      <w:r w:rsidR="00CE0A69">
        <w:rPr>
          <w:rFonts w:ascii="Century" w:hAnsi="Century"/>
          <w:sz w:val="24"/>
          <w:szCs w:val="24"/>
        </w:rPr>
        <w:t>s</w:t>
      </w:r>
      <w:r w:rsidRPr="00F32CF2">
        <w:rPr>
          <w:rFonts w:ascii="Century" w:hAnsi="Century"/>
          <w:sz w:val="24"/>
          <w:szCs w:val="24"/>
        </w:rPr>
        <w:t xml:space="preserve"> must pursue unambiguity</w:t>
      </w:r>
      <w:r w:rsidR="00BE419E" w:rsidRPr="00F32CF2">
        <w:rPr>
          <w:rFonts w:ascii="Century" w:hAnsi="Century"/>
          <w:sz w:val="24"/>
          <w:szCs w:val="24"/>
        </w:rPr>
        <w:t xml:space="preserve"> and avoid drafting with vagueness.</w:t>
      </w:r>
      <w:r w:rsidRPr="00F32CF2">
        <w:rPr>
          <w:rFonts w:ascii="Century" w:hAnsi="Century"/>
          <w:sz w:val="24"/>
          <w:szCs w:val="24"/>
        </w:rPr>
        <w:t xml:space="preserve"> This is made possible when the law is composed with</w:t>
      </w:r>
      <w:r w:rsidR="00967647" w:rsidRPr="00F32CF2">
        <w:rPr>
          <w:rFonts w:ascii="Century" w:hAnsi="Century"/>
          <w:sz w:val="24"/>
          <w:szCs w:val="24"/>
        </w:rPr>
        <w:t xml:space="preserve"> </w:t>
      </w:r>
      <w:r w:rsidR="00BE419E" w:rsidRPr="00F32CF2">
        <w:rPr>
          <w:rFonts w:ascii="Century" w:hAnsi="Century"/>
          <w:sz w:val="24"/>
          <w:szCs w:val="24"/>
        </w:rPr>
        <w:t xml:space="preserve">clarity and precision. </w:t>
      </w:r>
      <w:r w:rsidR="00813EA0">
        <w:rPr>
          <w:rFonts w:ascii="Century" w:hAnsi="Century"/>
          <w:sz w:val="24"/>
          <w:szCs w:val="24"/>
        </w:rPr>
        <w:t xml:space="preserve">Where the words in the legislation are ambiguous and vague it will cause users to be </w:t>
      </w:r>
      <w:r w:rsidR="00813EA0">
        <w:rPr>
          <w:rFonts w:ascii="Century" w:hAnsi="Century"/>
          <w:sz w:val="24"/>
          <w:szCs w:val="24"/>
        </w:rPr>
        <w:lastRenderedPageBreak/>
        <w:t xml:space="preserve">uncertain as </w:t>
      </w:r>
      <w:r w:rsidR="00713130">
        <w:rPr>
          <w:rFonts w:ascii="Century" w:hAnsi="Century"/>
          <w:sz w:val="24"/>
          <w:szCs w:val="24"/>
        </w:rPr>
        <w:t xml:space="preserve">to </w:t>
      </w:r>
      <w:r w:rsidR="00813EA0">
        <w:rPr>
          <w:rFonts w:ascii="Century" w:hAnsi="Century"/>
          <w:sz w:val="24"/>
          <w:szCs w:val="24"/>
        </w:rPr>
        <w:t>what the law is</w:t>
      </w:r>
      <w:r w:rsidR="006F0455" w:rsidRPr="00F32CF2">
        <w:rPr>
          <w:rFonts w:ascii="Century" w:hAnsi="Century"/>
          <w:sz w:val="24"/>
          <w:szCs w:val="24"/>
        </w:rPr>
        <w:t>.</w:t>
      </w:r>
      <w:r w:rsidR="006F0455" w:rsidRPr="00F32CF2">
        <w:rPr>
          <w:rStyle w:val="FootnoteReference"/>
          <w:rFonts w:ascii="Century" w:hAnsi="Century"/>
          <w:sz w:val="24"/>
          <w:szCs w:val="24"/>
        </w:rPr>
        <w:footnoteReference w:id="215"/>
      </w:r>
      <w:r w:rsidR="00E03272" w:rsidRPr="00E03272">
        <w:rPr>
          <w:rFonts w:ascii="Century" w:hAnsi="Century" w:cs="Arabic Typesetting"/>
          <w:sz w:val="24"/>
          <w:szCs w:val="24"/>
        </w:rPr>
        <w:t xml:space="preserve"> </w:t>
      </w:r>
      <w:r w:rsidR="00E03272">
        <w:rPr>
          <w:rFonts w:ascii="Century" w:hAnsi="Century" w:cs="Arabic Typesetting"/>
          <w:sz w:val="24"/>
          <w:szCs w:val="24"/>
        </w:rPr>
        <w:t>And uncertainty</w:t>
      </w:r>
      <w:r w:rsidR="00E03272" w:rsidRPr="00F32CF2">
        <w:rPr>
          <w:rFonts w:ascii="Century" w:hAnsi="Century" w:cs="Arabic Typesetting"/>
          <w:sz w:val="24"/>
          <w:szCs w:val="24"/>
        </w:rPr>
        <w:t xml:space="preserve"> lower</w:t>
      </w:r>
      <w:r w:rsidR="00E03272">
        <w:rPr>
          <w:rFonts w:ascii="Century" w:hAnsi="Century" w:cs="Arabic Typesetting"/>
          <w:sz w:val="24"/>
          <w:szCs w:val="24"/>
        </w:rPr>
        <w:t>s</w:t>
      </w:r>
      <w:r w:rsidR="00E03272" w:rsidRPr="00F32CF2">
        <w:rPr>
          <w:rFonts w:ascii="Century" w:hAnsi="Century" w:cs="Arabic Typesetting"/>
          <w:sz w:val="24"/>
          <w:szCs w:val="24"/>
        </w:rPr>
        <w:t xml:space="preserve"> </w:t>
      </w:r>
      <w:r w:rsidR="00E03272">
        <w:rPr>
          <w:rFonts w:ascii="Century" w:hAnsi="Century" w:cs="Arabic Typesetting"/>
          <w:sz w:val="24"/>
          <w:szCs w:val="24"/>
        </w:rPr>
        <w:t xml:space="preserve">the </w:t>
      </w:r>
      <w:r w:rsidR="00E03272" w:rsidRPr="00F32CF2">
        <w:rPr>
          <w:rFonts w:ascii="Century" w:hAnsi="Century" w:cs="Arabic Typesetting"/>
          <w:sz w:val="24"/>
          <w:szCs w:val="24"/>
        </w:rPr>
        <w:t>chance</w:t>
      </w:r>
      <w:r w:rsidR="00E03272">
        <w:rPr>
          <w:rFonts w:ascii="Century" w:hAnsi="Century" w:cs="Arabic Typesetting"/>
          <w:sz w:val="24"/>
          <w:szCs w:val="24"/>
        </w:rPr>
        <w:t>s</w:t>
      </w:r>
      <w:r w:rsidR="00E03272" w:rsidRPr="00F32CF2">
        <w:rPr>
          <w:rFonts w:ascii="Century" w:hAnsi="Century" w:cs="Arabic Typesetting"/>
          <w:sz w:val="24"/>
          <w:szCs w:val="24"/>
        </w:rPr>
        <w:t xml:space="preserve"> of achieving compliance. As Raz states, ‘</w:t>
      </w:r>
      <w:r w:rsidR="00485222">
        <w:rPr>
          <w:rFonts w:ascii="Century" w:hAnsi="Century" w:cs="Arabic Typesetting"/>
          <w:sz w:val="24"/>
          <w:szCs w:val="24"/>
        </w:rPr>
        <w:t>An ambiguous, vague, obscure or imprecise law is likely to mislead or confuse at least some of those who desire to be guided by it’</w:t>
      </w:r>
      <w:r w:rsidR="00E03272" w:rsidRPr="00F32CF2">
        <w:rPr>
          <w:rFonts w:ascii="Century" w:hAnsi="Century" w:cs="Arabic Typesetting"/>
          <w:sz w:val="24"/>
          <w:szCs w:val="24"/>
        </w:rPr>
        <w:t>.</w:t>
      </w:r>
      <w:r w:rsidR="00E03272" w:rsidRPr="00F32CF2">
        <w:rPr>
          <w:rStyle w:val="FootnoteReference"/>
          <w:rFonts w:ascii="Century" w:hAnsi="Century" w:cs="Arabic Typesetting"/>
          <w:sz w:val="24"/>
          <w:szCs w:val="24"/>
        </w:rPr>
        <w:footnoteReference w:id="216"/>
      </w:r>
      <w:r w:rsidR="00E03272" w:rsidRPr="00CC4D53">
        <w:rPr>
          <w:rFonts w:ascii="Century" w:hAnsi="Century" w:cs="Arabic Typesetting"/>
          <w:sz w:val="24"/>
          <w:szCs w:val="24"/>
        </w:rPr>
        <w:t xml:space="preserve"> </w:t>
      </w:r>
      <w:r w:rsidR="00E34551">
        <w:rPr>
          <w:rFonts w:ascii="Century" w:hAnsi="Century"/>
          <w:sz w:val="24"/>
          <w:szCs w:val="24"/>
        </w:rPr>
        <w:t>Ambiguity exists when more than one meaning can be ascribed to a</w:t>
      </w:r>
      <w:r w:rsidR="00967647" w:rsidRPr="00F32CF2">
        <w:rPr>
          <w:rFonts w:ascii="Century" w:hAnsi="Century"/>
          <w:sz w:val="24"/>
          <w:szCs w:val="24"/>
        </w:rPr>
        <w:t xml:space="preserve"> word</w:t>
      </w:r>
      <w:r w:rsidR="00E34551">
        <w:rPr>
          <w:rFonts w:ascii="Century" w:hAnsi="Century"/>
          <w:sz w:val="24"/>
          <w:szCs w:val="24"/>
        </w:rPr>
        <w:t xml:space="preserve"> or condition</w:t>
      </w:r>
      <w:r w:rsidR="00967647" w:rsidRPr="00F32CF2">
        <w:rPr>
          <w:rFonts w:ascii="Century" w:hAnsi="Century"/>
          <w:sz w:val="24"/>
          <w:szCs w:val="24"/>
        </w:rPr>
        <w:t>.</w:t>
      </w:r>
      <w:r w:rsidR="00967647" w:rsidRPr="00F32CF2">
        <w:rPr>
          <w:rStyle w:val="FootnoteReference"/>
          <w:rFonts w:ascii="Century" w:hAnsi="Century"/>
          <w:sz w:val="24"/>
          <w:szCs w:val="24"/>
        </w:rPr>
        <w:footnoteReference w:id="217"/>
      </w:r>
      <w:r w:rsidR="00967647" w:rsidRPr="00F32CF2">
        <w:rPr>
          <w:rFonts w:ascii="Century" w:hAnsi="Century"/>
          <w:sz w:val="24"/>
          <w:szCs w:val="24"/>
        </w:rPr>
        <w:t xml:space="preserve"> </w:t>
      </w:r>
      <w:r w:rsidR="002370C4">
        <w:rPr>
          <w:rFonts w:ascii="Century" w:hAnsi="Century"/>
          <w:sz w:val="24"/>
          <w:szCs w:val="24"/>
        </w:rPr>
        <w:t>Ambiguity is undesirable because it can lead to a misconstruing of the legislative message</w:t>
      </w:r>
      <w:r w:rsidR="00E27287" w:rsidRPr="00F32CF2">
        <w:rPr>
          <w:rStyle w:val="FootnoteReference"/>
          <w:rFonts w:ascii="Century" w:hAnsi="Century"/>
          <w:sz w:val="24"/>
          <w:szCs w:val="24"/>
        </w:rPr>
        <w:footnoteReference w:id="218"/>
      </w:r>
      <w:r w:rsidR="00E27287" w:rsidRPr="00F32CF2">
        <w:rPr>
          <w:rFonts w:ascii="Century" w:hAnsi="Century"/>
          <w:sz w:val="24"/>
          <w:szCs w:val="24"/>
        </w:rPr>
        <w:t xml:space="preserve"> as the </w:t>
      </w:r>
      <w:r w:rsidR="002370C4">
        <w:rPr>
          <w:rFonts w:ascii="Century" w:hAnsi="Century"/>
          <w:sz w:val="24"/>
          <w:szCs w:val="24"/>
        </w:rPr>
        <w:t>users</w:t>
      </w:r>
      <w:r w:rsidR="00E27287" w:rsidRPr="00F32CF2">
        <w:rPr>
          <w:rFonts w:ascii="Century" w:hAnsi="Century"/>
          <w:sz w:val="24"/>
          <w:szCs w:val="24"/>
        </w:rPr>
        <w:t xml:space="preserve"> will </w:t>
      </w:r>
      <w:r w:rsidR="0010706E">
        <w:rPr>
          <w:rFonts w:ascii="Century" w:hAnsi="Century"/>
          <w:sz w:val="24"/>
          <w:szCs w:val="24"/>
        </w:rPr>
        <w:t xml:space="preserve">be </w:t>
      </w:r>
      <w:r w:rsidR="00E27287" w:rsidRPr="00F32CF2">
        <w:rPr>
          <w:rFonts w:ascii="Century" w:hAnsi="Century"/>
          <w:sz w:val="24"/>
          <w:szCs w:val="24"/>
        </w:rPr>
        <w:t xml:space="preserve">uncertain </w:t>
      </w:r>
      <w:r w:rsidR="00C80227">
        <w:rPr>
          <w:rFonts w:ascii="Century" w:hAnsi="Century"/>
          <w:sz w:val="24"/>
          <w:szCs w:val="24"/>
        </w:rPr>
        <w:t>as to what the law is</w:t>
      </w:r>
      <w:r w:rsidR="00E27287" w:rsidRPr="00F32CF2">
        <w:rPr>
          <w:rFonts w:ascii="Century" w:hAnsi="Century"/>
          <w:sz w:val="24"/>
          <w:szCs w:val="24"/>
        </w:rPr>
        <w:t xml:space="preserve">. </w:t>
      </w:r>
    </w:p>
    <w:p w:rsidR="00C91100" w:rsidRDefault="00C91100" w:rsidP="0045495A">
      <w:pPr>
        <w:spacing w:line="360" w:lineRule="auto"/>
        <w:jc w:val="both"/>
        <w:rPr>
          <w:rFonts w:ascii="Century" w:hAnsi="Century"/>
          <w:sz w:val="24"/>
          <w:szCs w:val="24"/>
        </w:rPr>
      </w:pPr>
    </w:p>
    <w:p w:rsidR="00967647" w:rsidRPr="00F32CF2" w:rsidRDefault="00A10A9B" w:rsidP="0045495A">
      <w:pPr>
        <w:spacing w:line="360" w:lineRule="auto"/>
        <w:jc w:val="both"/>
        <w:rPr>
          <w:rFonts w:ascii="Century" w:hAnsi="Century"/>
          <w:sz w:val="24"/>
          <w:szCs w:val="24"/>
        </w:rPr>
      </w:pPr>
      <w:r w:rsidRPr="00F32CF2">
        <w:rPr>
          <w:rFonts w:ascii="Century" w:hAnsi="Century"/>
          <w:sz w:val="24"/>
          <w:szCs w:val="24"/>
        </w:rPr>
        <w:t xml:space="preserve">Vagueness on the other hand </w:t>
      </w:r>
      <w:r w:rsidR="00AC26A2">
        <w:rPr>
          <w:rFonts w:ascii="Century" w:hAnsi="Century"/>
          <w:sz w:val="24"/>
          <w:szCs w:val="24"/>
        </w:rPr>
        <w:t>will cause citizens to be unsure of ‘</w:t>
      </w:r>
      <w:r w:rsidR="008902A8" w:rsidRPr="00F32CF2">
        <w:rPr>
          <w:rFonts w:ascii="Century" w:hAnsi="Century"/>
          <w:sz w:val="24"/>
          <w:szCs w:val="24"/>
        </w:rPr>
        <w:t>how far the law extends</w:t>
      </w:r>
      <w:r w:rsidR="00AC26A2">
        <w:rPr>
          <w:rFonts w:ascii="Century" w:hAnsi="Century"/>
          <w:sz w:val="24"/>
          <w:szCs w:val="24"/>
        </w:rPr>
        <w:t>’</w:t>
      </w:r>
      <w:r w:rsidR="001813D8">
        <w:rPr>
          <w:rFonts w:ascii="Century" w:hAnsi="Century"/>
          <w:sz w:val="24"/>
          <w:szCs w:val="24"/>
        </w:rPr>
        <w:t xml:space="preserve">, </w:t>
      </w:r>
      <w:r w:rsidR="008902A8" w:rsidRPr="00F32CF2">
        <w:rPr>
          <w:rStyle w:val="FootnoteReference"/>
          <w:rFonts w:ascii="Century" w:hAnsi="Century"/>
          <w:sz w:val="24"/>
          <w:szCs w:val="24"/>
        </w:rPr>
        <w:footnoteReference w:id="219"/>
      </w:r>
      <w:r w:rsidRPr="00F32CF2">
        <w:rPr>
          <w:rFonts w:ascii="Century" w:hAnsi="Century"/>
          <w:sz w:val="24"/>
          <w:szCs w:val="24"/>
        </w:rPr>
        <w:t xml:space="preserve"> </w:t>
      </w:r>
      <w:r w:rsidR="001813D8">
        <w:rPr>
          <w:rFonts w:ascii="Century" w:hAnsi="Century"/>
          <w:sz w:val="24"/>
          <w:szCs w:val="24"/>
        </w:rPr>
        <w:t xml:space="preserve">this leaves the law open for </w:t>
      </w:r>
      <w:r w:rsidR="00E62633">
        <w:rPr>
          <w:rFonts w:ascii="Century" w:hAnsi="Century"/>
          <w:sz w:val="24"/>
          <w:szCs w:val="24"/>
        </w:rPr>
        <w:t>‘any meaning’</w:t>
      </w:r>
      <w:r w:rsidR="001813D8">
        <w:rPr>
          <w:rFonts w:ascii="Century" w:hAnsi="Century"/>
          <w:sz w:val="24"/>
          <w:szCs w:val="24"/>
        </w:rPr>
        <w:t xml:space="preserve"> to be ascribed to it</w:t>
      </w:r>
      <w:r w:rsidRPr="00F32CF2">
        <w:rPr>
          <w:rFonts w:ascii="Century" w:hAnsi="Century"/>
          <w:sz w:val="24"/>
          <w:szCs w:val="24"/>
        </w:rPr>
        <w:t>.</w:t>
      </w:r>
      <w:r w:rsidRPr="00F32CF2">
        <w:rPr>
          <w:rStyle w:val="FootnoteReference"/>
          <w:rFonts w:ascii="Century" w:hAnsi="Century"/>
          <w:sz w:val="24"/>
          <w:szCs w:val="24"/>
        </w:rPr>
        <w:footnoteReference w:id="220"/>
      </w:r>
      <w:r w:rsidRPr="00F32CF2">
        <w:rPr>
          <w:rFonts w:ascii="Century" w:hAnsi="Century"/>
          <w:sz w:val="24"/>
          <w:szCs w:val="24"/>
        </w:rPr>
        <w:t xml:space="preserve"> </w:t>
      </w:r>
      <w:r w:rsidR="002370C4">
        <w:rPr>
          <w:rFonts w:ascii="Century" w:hAnsi="Century"/>
          <w:sz w:val="24"/>
          <w:szCs w:val="24"/>
        </w:rPr>
        <w:t xml:space="preserve">Although, both ambiguity and vagueness can lead to difficulties in interpretation of the law, vagueness is sometimes used deliberately </w:t>
      </w:r>
      <w:r w:rsidR="00967647" w:rsidRPr="00F32CF2">
        <w:rPr>
          <w:rFonts w:ascii="Century" w:hAnsi="Century"/>
          <w:sz w:val="24"/>
          <w:szCs w:val="24"/>
        </w:rPr>
        <w:t>to allow administrati</w:t>
      </w:r>
      <w:r w:rsidR="002370C4">
        <w:rPr>
          <w:rFonts w:ascii="Century" w:hAnsi="Century"/>
          <w:sz w:val="24"/>
          <w:szCs w:val="24"/>
        </w:rPr>
        <w:t>ve authorities to fill in the gaps</w:t>
      </w:r>
      <w:r w:rsidR="0046668F" w:rsidRPr="00F32CF2">
        <w:rPr>
          <w:rFonts w:ascii="Century" w:hAnsi="Century"/>
          <w:sz w:val="24"/>
          <w:szCs w:val="24"/>
        </w:rPr>
        <w:t>.</w:t>
      </w:r>
      <w:r w:rsidR="00C80227">
        <w:rPr>
          <w:rStyle w:val="FootnoteReference"/>
          <w:rFonts w:ascii="Century" w:hAnsi="Century"/>
          <w:sz w:val="24"/>
          <w:szCs w:val="24"/>
        </w:rPr>
        <w:footnoteReference w:id="221"/>
      </w:r>
      <w:r w:rsidR="0046668F" w:rsidRPr="00F32CF2">
        <w:rPr>
          <w:rFonts w:ascii="Century" w:hAnsi="Century"/>
          <w:sz w:val="24"/>
          <w:szCs w:val="24"/>
        </w:rPr>
        <w:t xml:space="preserve"> </w:t>
      </w:r>
      <w:r w:rsidR="002370C4">
        <w:rPr>
          <w:rFonts w:ascii="Century" w:hAnsi="Century"/>
          <w:sz w:val="24"/>
          <w:szCs w:val="24"/>
        </w:rPr>
        <w:t>However, generally speaking uncertainty</w:t>
      </w:r>
      <w:r w:rsidR="00657BB7">
        <w:rPr>
          <w:rFonts w:ascii="Century" w:hAnsi="Century"/>
          <w:sz w:val="24"/>
          <w:szCs w:val="24"/>
        </w:rPr>
        <w:t xml:space="preserve"> whether caused by ambiguity or vagueness</w:t>
      </w:r>
      <w:r w:rsidR="002370C4">
        <w:rPr>
          <w:rFonts w:ascii="Century" w:hAnsi="Century"/>
          <w:sz w:val="24"/>
          <w:szCs w:val="24"/>
        </w:rPr>
        <w:t xml:space="preserve"> should be avoided if possible but at the same time drafters should not</w:t>
      </w:r>
      <w:r w:rsidR="00C80227">
        <w:rPr>
          <w:rFonts w:ascii="Century" w:hAnsi="Century"/>
          <w:sz w:val="24"/>
          <w:szCs w:val="24"/>
        </w:rPr>
        <w:t xml:space="preserve"> be too overzealous in preventing </w:t>
      </w:r>
      <w:r w:rsidRPr="00F32CF2">
        <w:rPr>
          <w:rFonts w:ascii="Century" w:hAnsi="Century"/>
          <w:sz w:val="24"/>
          <w:szCs w:val="24"/>
        </w:rPr>
        <w:t xml:space="preserve">vagueness </w:t>
      </w:r>
      <w:r w:rsidR="00C80227">
        <w:rPr>
          <w:rFonts w:ascii="Century" w:hAnsi="Century"/>
          <w:sz w:val="24"/>
          <w:szCs w:val="24"/>
        </w:rPr>
        <w:t>by being</w:t>
      </w:r>
      <w:r w:rsidRPr="00F32CF2">
        <w:rPr>
          <w:rFonts w:ascii="Century" w:hAnsi="Century"/>
          <w:sz w:val="24"/>
          <w:szCs w:val="24"/>
        </w:rPr>
        <w:t xml:space="preserve"> too precise</w:t>
      </w:r>
      <w:r w:rsidR="00055E2E">
        <w:rPr>
          <w:rFonts w:ascii="Century" w:hAnsi="Century"/>
          <w:sz w:val="24"/>
          <w:szCs w:val="24"/>
        </w:rPr>
        <w:t xml:space="preserve">. </w:t>
      </w:r>
      <w:r w:rsidR="00055E2E" w:rsidRPr="00AE6367">
        <w:rPr>
          <w:rFonts w:ascii="Century" w:hAnsi="Century"/>
          <w:sz w:val="24"/>
          <w:szCs w:val="24"/>
        </w:rPr>
        <w:t>Over-precision</w:t>
      </w:r>
      <w:r w:rsidR="00AE6367" w:rsidRPr="00AE6367">
        <w:rPr>
          <w:rFonts w:ascii="Century" w:hAnsi="Century"/>
          <w:sz w:val="24"/>
          <w:szCs w:val="24"/>
        </w:rPr>
        <w:t xml:space="preserve"> will cause drafter</w:t>
      </w:r>
      <w:r w:rsidR="003C2BAF">
        <w:rPr>
          <w:rFonts w:ascii="Century" w:hAnsi="Century"/>
          <w:sz w:val="24"/>
          <w:szCs w:val="24"/>
        </w:rPr>
        <w:t>s</w:t>
      </w:r>
      <w:r w:rsidR="00AE6367" w:rsidRPr="00AE6367">
        <w:rPr>
          <w:rFonts w:ascii="Century" w:hAnsi="Century"/>
          <w:sz w:val="24"/>
          <w:szCs w:val="24"/>
        </w:rPr>
        <w:t xml:space="preserve"> to </w:t>
      </w:r>
      <w:r w:rsidR="00D12871">
        <w:rPr>
          <w:rFonts w:ascii="Century" w:hAnsi="Century"/>
          <w:sz w:val="24"/>
          <w:szCs w:val="24"/>
        </w:rPr>
        <w:t>be</w:t>
      </w:r>
      <w:r w:rsidR="009A1EA0">
        <w:rPr>
          <w:rFonts w:ascii="Century" w:hAnsi="Century"/>
          <w:sz w:val="24"/>
          <w:szCs w:val="24"/>
        </w:rPr>
        <w:t xml:space="preserve"> longwinded</w:t>
      </w:r>
      <w:r w:rsidR="00AE6367" w:rsidRPr="00AE6367">
        <w:rPr>
          <w:rStyle w:val="FootnoteReference"/>
          <w:rFonts w:ascii="Century" w:hAnsi="Century"/>
          <w:sz w:val="24"/>
          <w:szCs w:val="24"/>
        </w:rPr>
        <w:footnoteReference w:id="222"/>
      </w:r>
      <w:r w:rsidR="00AE6367" w:rsidRPr="00AE6367">
        <w:rPr>
          <w:rFonts w:ascii="Century" w:hAnsi="Century"/>
          <w:sz w:val="24"/>
          <w:szCs w:val="24"/>
        </w:rPr>
        <w:t xml:space="preserve"> resulting in legislation that is cluttered and uncertain.</w:t>
      </w:r>
      <w:r w:rsidR="00AE6367" w:rsidRPr="00AE6367">
        <w:rPr>
          <w:rStyle w:val="FootnoteReference"/>
          <w:rFonts w:ascii="Century" w:hAnsi="Century"/>
          <w:sz w:val="24"/>
          <w:szCs w:val="24"/>
        </w:rPr>
        <w:footnoteReference w:id="223"/>
      </w:r>
      <w:r w:rsidR="00AE6367" w:rsidRPr="00AE6367">
        <w:rPr>
          <w:rFonts w:ascii="Century" w:hAnsi="Century"/>
          <w:sz w:val="24"/>
          <w:szCs w:val="24"/>
        </w:rPr>
        <w:t xml:space="preserve"> This ultimately will obstruct the communication of the regulatory message to readers.</w:t>
      </w:r>
      <w:r w:rsidR="00055E2E" w:rsidRPr="00AE6367">
        <w:rPr>
          <w:rStyle w:val="FootnoteReference"/>
          <w:rFonts w:ascii="Century" w:hAnsi="Century"/>
          <w:sz w:val="24"/>
          <w:szCs w:val="24"/>
        </w:rPr>
        <w:footnoteReference w:id="224"/>
      </w:r>
      <w:r w:rsidR="00AE6367" w:rsidRPr="00AE6367">
        <w:rPr>
          <w:rFonts w:ascii="Century" w:hAnsi="Century"/>
          <w:sz w:val="24"/>
          <w:szCs w:val="24"/>
        </w:rPr>
        <w:t xml:space="preserve"> </w:t>
      </w:r>
      <w:r w:rsidR="001813D8">
        <w:rPr>
          <w:rFonts w:ascii="Century" w:hAnsi="Century"/>
          <w:sz w:val="24"/>
          <w:szCs w:val="24"/>
        </w:rPr>
        <w:t>Facilitating accessibility would then require drafter</w:t>
      </w:r>
      <w:r w:rsidR="003C2BAF">
        <w:rPr>
          <w:rFonts w:ascii="Century" w:hAnsi="Century"/>
          <w:sz w:val="24"/>
          <w:szCs w:val="24"/>
        </w:rPr>
        <w:t>s</w:t>
      </w:r>
      <w:r w:rsidR="001813D8">
        <w:rPr>
          <w:rFonts w:ascii="Century" w:hAnsi="Century"/>
          <w:sz w:val="24"/>
          <w:szCs w:val="24"/>
        </w:rPr>
        <w:t xml:space="preserve"> </w:t>
      </w:r>
      <w:r w:rsidR="00903925">
        <w:rPr>
          <w:rFonts w:ascii="Century" w:hAnsi="Century"/>
          <w:sz w:val="24"/>
          <w:szCs w:val="24"/>
        </w:rPr>
        <w:t>to consider the subject matter of the proposal and consider how best the needs of the policy maker as well as the users can be accommodated</w:t>
      </w:r>
      <w:r w:rsidRPr="00F32CF2">
        <w:rPr>
          <w:rFonts w:ascii="Century" w:hAnsi="Century"/>
          <w:sz w:val="24"/>
          <w:szCs w:val="24"/>
        </w:rPr>
        <w:t>.</w:t>
      </w:r>
      <w:r w:rsidRPr="00F32CF2">
        <w:rPr>
          <w:rStyle w:val="FootnoteReference"/>
          <w:rFonts w:ascii="Century" w:hAnsi="Century"/>
          <w:sz w:val="24"/>
          <w:szCs w:val="24"/>
        </w:rPr>
        <w:footnoteReference w:id="225"/>
      </w:r>
      <w:r w:rsidR="00CB46A2" w:rsidRPr="00F32CF2">
        <w:rPr>
          <w:rFonts w:ascii="Century" w:hAnsi="Century"/>
          <w:sz w:val="24"/>
          <w:szCs w:val="24"/>
        </w:rPr>
        <w:t xml:space="preserve"> </w:t>
      </w:r>
    </w:p>
    <w:p w:rsidR="00967647" w:rsidRPr="00F32CF2" w:rsidRDefault="00967647" w:rsidP="0007706C">
      <w:pPr>
        <w:spacing w:line="360" w:lineRule="auto"/>
        <w:jc w:val="both"/>
        <w:rPr>
          <w:rFonts w:ascii="Century" w:hAnsi="Century"/>
          <w:sz w:val="24"/>
          <w:szCs w:val="24"/>
        </w:rPr>
      </w:pPr>
    </w:p>
    <w:p w:rsidR="00D13643" w:rsidRDefault="008971F9" w:rsidP="00022C56">
      <w:pPr>
        <w:spacing w:line="360" w:lineRule="auto"/>
        <w:jc w:val="both"/>
        <w:rPr>
          <w:rFonts w:ascii="Century" w:hAnsi="Century"/>
          <w:sz w:val="24"/>
          <w:szCs w:val="24"/>
        </w:rPr>
      </w:pPr>
      <w:r>
        <w:rPr>
          <w:rFonts w:ascii="Century" w:hAnsi="Century"/>
          <w:sz w:val="24"/>
          <w:szCs w:val="24"/>
        </w:rPr>
        <w:lastRenderedPageBreak/>
        <w:t>To ensure</w:t>
      </w:r>
      <w:r w:rsidR="00043B14">
        <w:rPr>
          <w:rFonts w:ascii="Century" w:hAnsi="Century"/>
          <w:sz w:val="24"/>
          <w:szCs w:val="24"/>
        </w:rPr>
        <w:t xml:space="preserve"> the bill confo</w:t>
      </w:r>
      <w:r>
        <w:rPr>
          <w:rFonts w:ascii="Century" w:hAnsi="Century"/>
          <w:sz w:val="24"/>
          <w:szCs w:val="24"/>
        </w:rPr>
        <w:t xml:space="preserve">rms to Lord Bingham’s criteria of accessibility all three </w:t>
      </w:r>
      <w:r w:rsidR="00476517" w:rsidRPr="00F32CF2">
        <w:rPr>
          <w:rFonts w:ascii="Century" w:hAnsi="Century"/>
          <w:sz w:val="24"/>
          <w:szCs w:val="24"/>
        </w:rPr>
        <w:t>goals</w:t>
      </w:r>
      <w:r>
        <w:rPr>
          <w:rFonts w:ascii="Century" w:hAnsi="Century"/>
          <w:sz w:val="24"/>
          <w:szCs w:val="24"/>
        </w:rPr>
        <w:t xml:space="preserve"> must be pursued</w:t>
      </w:r>
      <w:r w:rsidR="00476517" w:rsidRPr="00F32CF2">
        <w:rPr>
          <w:rFonts w:ascii="Century" w:hAnsi="Century"/>
          <w:sz w:val="24"/>
          <w:szCs w:val="24"/>
        </w:rPr>
        <w:t xml:space="preserve">. </w:t>
      </w:r>
      <w:r w:rsidR="00D35043">
        <w:rPr>
          <w:rFonts w:ascii="Century" w:hAnsi="Century"/>
          <w:sz w:val="24"/>
          <w:szCs w:val="24"/>
        </w:rPr>
        <w:t>They are linked together and</w:t>
      </w:r>
      <w:r w:rsidR="00476517" w:rsidRPr="00F32CF2">
        <w:rPr>
          <w:rFonts w:ascii="Century" w:hAnsi="Century"/>
          <w:sz w:val="24"/>
          <w:szCs w:val="24"/>
        </w:rPr>
        <w:t xml:space="preserve"> </w:t>
      </w:r>
      <w:r w:rsidR="00D35043">
        <w:rPr>
          <w:rFonts w:ascii="Century" w:hAnsi="Century"/>
          <w:sz w:val="24"/>
          <w:szCs w:val="24"/>
        </w:rPr>
        <w:t>as Majambere observe</w:t>
      </w:r>
      <w:r w:rsidR="0016626D">
        <w:rPr>
          <w:rFonts w:ascii="Century" w:hAnsi="Century"/>
          <w:sz w:val="24"/>
          <w:szCs w:val="24"/>
        </w:rPr>
        <w:t>s</w:t>
      </w:r>
      <w:r w:rsidR="00D35043">
        <w:rPr>
          <w:rFonts w:ascii="Century" w:hAnsi="Century"/>
          <w:sz w:val="24"/>
          <w:szCs w:val="24"/>
        </w:rPr>
        <w:t xml:space="preserve"> they cannot be separated</w:t>
      </w:r>
      <w:r w:rsidR="001A0764" w:rsidRPr="00375D23">
        <w:rPr>
          <w:rFonts w:ascii="Century" w:hAnsi="Century"/>
          <w:sz w:val="24"/>
          <w:szCs w:val="24"/>
        </w:rPr>
        <w:t xml:space="preserve"> when drafting.</w:t>
      </w:r>
      <w:r w:rsidR="004C1CB2" w:rsidRPr="00375D23">
        <w:rPr>
          <w:rStyle w:val="FootnoteReference"/>
          <w:rFonts w:ascii="Century" w:hAnsi="Century"/>
          <w:sz w:val="24"/>
          <w:szCs w:val="24"/>
        </w:rPr>
        <w:footnoteReference w:id="226"/>
      </w:r>
      <w:r w:rsidR="001A0764" w:rsidRPr="00F32CF2">
        <w:rPr>
          <w:rFonts w:ascii="Century" w:hAnsi="Century"/>
          <w:sz w:val="24"/>
          <w:szCs w:val="24"/>
        </w:rPr>
        <w:t xml:space="preserve"> </w:t>
      </w:r>
      <w:r w:rsidR="00476517" w:rsidRPr="00F32CF2">
        <w:rPr>
          <w:rFonts w:ascii="Century" w:hAnsi="Century"/>
          <w:sz w:val="24"/>
          <w:szCs w:val="24"/>
        </w:rPr>
        <w:t xml:space="preserve">Bekink and Botha </w:t>
      </w:r>
      <w:r w:rsidR="00225293">
        <w:rPr>
          <w:rFonts w:ascii="Century" w:hAnsi="Century"/>
          <w:sz w:val="24"/>
          <w:szCs w:val="24"/>
        </w:rPr>
        <w:t>posit</w:t>
      </w:r>
      <w:r w:rsidR="00476517" w:rsidRPr="00F32CF2">
        <w:rPr>
          <w:rFonts w:ascii="Century" w:hAnsi="Century"/>
          <w:sz w:val="24"/>
          <w:szCs w:val="24"/>
        </w:rPr>
        <w:t xml:space="preserve"> ‘clarity implies both simplicity and precision’.</w:t>
      </w:r>
      <w:r w:rsidR="00476517" w:rsidRPr="00F32CF2">
        <w:rPr>
          <w:rStyle w:val="FootnoteReference"/>
          <w:rFonts w:ascii="Century" w:hAnsi="Century"/>
          <w:sz w:val="24"/>
          <w:szCs w:val="24"/>
        </w:rPr>
        <w:footnoteReference w:id="227"/>
      </w:r>
      <w:r w:rsidR="00476517" w:rsidRPr="00F32CF2">
        <w:rPr>
          <w:rFonts w:ascii="Century" w:hAnsi="Century"/>
          <w:sz w:val="24"/>
          <w:szCs w:val="24"/>
        </w:rPr>
        <w:t xml:space="preserve"> </w:t>
      </w:r>
      <w:r w:rsidR="001A0764" w:rsidRPr="00F32CF2">
        <w:rPr>
          <w:rFonts w:ascii="Century" w:hAnsi="Century"/>
          <w:sz w:val="24"/>
          <w:szCs w:val="24"/>
        </w:rPr>
        <w:t xml:space="preserve">Kabba </w:t>
      </w:r>
      <w:r w:rsidR="00CB46A2" w:rsidRPr="00F32CF2">
        <w:rPr>
          <w:rFonts w:ascii="Century" w:hAnsi="Century"/>
          <w:sz w:val="24"/>
          <w:szCs w:val="24"/>
        </w:rPr>
        <w:t xml:space="preserve">states </w:t>
      </w:r>
      <w:r w:rsidR="00FB5BDC">
        <w:rPr>
          <w:rFonts w:ascii="Century" w:hAnsi="Century"/>
          <w:sz w:val="24"/>
          <w:szCs w:val="24"/>
        </w:rPr>
        <w:t xml:space="preserve">unambiguity </w:t>
      </w:r>
      <w:r w:rsidR="001A0764" w:rsidRPr="00F32CF2">
        <w:rPr>
          <w:rFonts w:ascii="Century" w:hAnsi="Century"/>
          <w:sz w:val="24"/>
          <w:szCs w:val="24"/>
        </w:rPr>
        <w:t xml:space="preserve">is </w:t>
      </w:r>
      <w:r w:rsidR="000B6761" w:rsidRPr="00F32CF2">
        <w:rPr>
          <w:rFonts w:ascii="Century" w:hAnsi="Century"/>
          <w:sz w:val="24"/>
          <w:szCs w:val="24"/>
        </w:rPr>
        <w:t xml:space="preserve">a </w:t>
      </w:r>
      <w:r w:rsidR="00FC4D26">
        <w:rPr>
          <w:rFonts w:ascii="Century" w:hAnsi="Century"/>
          <w:sz w:val="24"/>
          <w:szCs w:val="24"/>
        </w:rPr>
        <w:t>‘</w:t>
      </w:r>
      <w:r w:rsidR="000B6761" w:rsidRPr="00F32CF2">
        <w:rPr>
          <w:rFonts w:ascii="Century" w:hAnsi="Century"/>
          <w:sz w:val="24"/>
          <w:szCs w:val="24"/>
        </w:rPr>
        <w:t>part</w:t>
      </w:r>
      <w:r w:rsidR="00FC4D26">
        <w:rPr>
          <w:rFonts w:ascii="Century" w:hAnsi="Century"/>
          <w:sz w:val="24"/>
          <w:szCs w:val="24"/>
        </w:rPr>
        <w:t xml:space="preserve"> of clarity</w:t>
      </w:r>
      <w:r w:rsidR="001A0764" w:rsidRPr="00F32CF2">
        <w:rPr>
          <w:rFonts w:ascii="Century" w:hAnsi="Century"/>
          <w:sz w:val="24"/>
          <w:szCs w:val="24"/>
        </w:rPr>
        <w:t xml:space="preserve"> as they sh</w:t>
      </w:r>
      <w:r w:rsidR="00967647" w:rsidRPr="00F32CF2">
        <w:rPr>
          <w:rFonts w:ascii="Century" w:hAnsi="Century"/>
          <w:sz w:val="24"/>
          <w:szCs w:val="24"/>
        </w:rPr>
        <w:t>are the same characteristics</w:t>
      </w:r>
      <w:r w:rsidR="00FC4D26">
        <w:rPr>
          <w:rFonts w:ascii="Century" w:hAnsi="Century"/>
          <w:sz w:val="24"/>
          <w:szCs w:val="24"/>
        </w:rPr>
        <w:t>’</w:t>
      </w:r>
      <w:r w:rsidR="00967647" w:rsidRPr="00F32CF2">
        <w:rPr>
          <w:rFonts w:ascii="Century" w:hAnsi="Century"/>
          <w:sz w:val="24"/>
          <w:szCs w:val="24"/>
        </w:rPr>
        <w:t>.</w:t>
      </w:r>
      <w:r w:rsidR="000E086F" w:rsidRPr="00F32CF2">
        <w:rPr>
          <w:rStyle w:val="FootnoteReference"/>
          <w:rFonts w:ascii="Century" w:hAnsi="Century"/>
          <w:sz w:val="24"/>
          <w:szCs w:val="24"/>
        </w:rPr>
        <w:footnoteReference w:id="228"/>
      </w:r>
      <w:r w:rsidR="00967647" w:rsidRPr="00F32CF2">
        <w:rPr>
          <w:rFonts w:ascii="Century" w:hAnsi="Century"/>
          <w:sz w:val="24"/>
          <w:szCs w:val="24"/>
        </w:rPr>
        <w:t xml:space="preserve"> </w:t>
      </w:r>
      <w:r w:rsidR="00073D1A" w:rsidRPr="00F32CF2">
        <w:rPr>
          <w:rFonts w:ascii="Century" w:hAnsi="Century"/>
          <w:sz w:val="24"/>
          <w:szCs w:val="24"/>
        </w:rPr>
        <w:t>Stefanou notes</w:t>
      </w:r>
      <w:r w:rsidR="00073B83">
        <w:rPr>
          <w:rFonts w:ascii="Century" w:hAnsi="Century"/>
          <w:sz w:val="24"/>
          <w:szCs w:val="24"/>
        </w:rPr>
        <w:t xml:space="preserve"> that</w:t>
      </w:r>
      <w:r w:rsidR="00073D1A" w:rsidRPr="00F32CF2">
        <w:rPr>
          <w:rFonts w:ascii="Century" w:hAnsi="Century"/>
          <w:sz w:val="24"/>
          <w:szCs w:val="24"/>
        </w:rPr>
        <w:t xml:space="preserve"> ‘any draft bill that lacks clarity and precision will inevitably be challenged in court for vagueness’.</w:t>
      </w:r>
      <w:r w:rsidR="00073D1A" w:rsidRPr="00F32CF2">
        <w:rPr>
          <w:rStyle w:val="FootnoteReference"/>
          <w:rFonts w:ascii="Century" w:hAnsi="Century"/>
          <w:sz w:val="24"/>
          <w:szCs w:val="24"/>
        </w:rPr>
        <w:footnoteReference w:id="229"/>
      </w:r>
      <w:r w:rsidR="00CB46A2" w:rsidRPr="00F32CF2">
        <w:rPr>
          <w:rFonts w:ascii="Century" w:hAnsi="Century"/>
          <w:sz w:val="24"/>
          <w:szCs w:val="24"/>
        </w:rPr>
        <w:t xml:space="preserve"> </w:t>
      </w:r>
      <w:r w:rsidR="00073B83">
        <w:rPr>
          <w:rFonts w:ascii="Century" w:hAnsi="Century"/>
          <w:sz w:val="24"/>
          <w:szCs w:val="24"/>
        </w:rPr>
        <w:t xml:space="preserve">All three </w:t>
      </w:r>
      <w:r w:rsidR="0016626D">
        <w:rPr>
          <w:rFonts w:ascii="Century" w:hAnsi="Century"/>
          <w:sz w:val="24"/>
          <w:szCs w:val="24"/>
        </w:rPr>
        <w:t>t</w:t>
      </w:r>
      <w:r w:rsidR="003B2835">
        <w:rPr>
          <w:rFonts w:ascii="Century" w:hAnsi="Century"/>
          <w:sz w:val="24"/>
          <w:szCs w:val="24"/>
        </w:rPr>
        <w:t xml:space="preserve">ools </w:t>
      </w:r>
      <w:r w:rsidR="00FB5BDC">
        <w:rPr>
          <w:rFonts w:ascii="Century" w:hAnsi="Century"/>
          <w:sz w:val="24"/>
          <w:szCs w:val="24"/>
        </w:rPr>
        <w:t>allow users to understand and apply the law appropriately</w:t>
      </w:r>
      <w:r w:rsidR="0004180E">
        <w:rPr>
          <w:rFonts w:ascii="Century" w:hAnsi="Century"/>
          <w:sz w:val="24"/>
          <w:szCs w:val="24"/>
        </w:rPr>
        <w:t xml:space="preserve"> </w:t>
      </w:r>
      <w:r w:rsidR="00FB5BDC">
        <w:rPr>
          <w:rFonts w:ascii="Century" w:hAnsi="Century"/>
          <w:sz w:val="24"/>
          <w:szCs w:val="24"/>
        </w:rPr>
        <w:t>and confidently</w:t>
      </w:r>
      <w:r w:rsidR="0004180E">
        <w:rPr>
          <w:rFonts w:ascii="Century" w:hAnsi="Century"/>
          <w:sz w:val="24"/>
          <w:szCs w:val="24"/>
        </w:rPr>
        <w:t>.</w:t>
      </w:r>
      <w:r w:rsidR="0004180E" w:rsidRPr="00F32CF2">
        <w:rPr>
          <w:rStyle w:val="FootnoteReference"/>
          <w:rFonts w:ascii="Century" w:hAnsi="Century"/>
          <w:sz w:val="24"/>
          <w:szCs w:val="24"/>
        </w:rPr>
        <w:footnoteReference w:id="230"/>
      </w:r>
      <w:r w:rsidR="0004180E">
        <w:rPr>
          <w:rFonts w:ascii="Century" w:hAnsi="Century"/>
          <w:sz w:val="24"/>
          <w:szCs w:val="24"/>
        </w:rPr>
        <w:t xml:space="preserve"> </w:t>
      </w:r>
      <w:r w:rsidR="00E263F4">
        <w:rPr>
          <w:rFonts w:ascii="Century" w:hAnsi="Century"/>
          <w:sz w:val="24"/>
          <w:szCs w:val="24"/>
        </w:rPr>
        <w:t>W</w:t>
      </w:r>
      <w:r w:rsidR="00FB5BDC">
        <w:rPr>
          <w:rFonts w:ascii="Century" w:hAnsi="Century"/>
          <w:sz w:val="24"/>
          <w:szCs w:val="24"/>
        </w:rPr>
        <w:t xml:space="preserve">hen </w:t>
      </w:r>
      <w:r w:rsidR="00C80227">
        <w:rPr>
          <w:rFonts w:ascii="Century" w:hAnsi="Century"/>
          <w:sz w:val="24"/>
          <w:szCs w:val="24"/>
        </w:rPr>
        <w:t>law</w:t>
      </w:r>
      <w:r w:rsidR="00E263F4">
        <w:rPr>
          <w:rFonts w:ascii="Century" w:hAnsi="Century"/>
          <w:sz w:val="24"/>
          <w:szCs w:val="24"/>
        </w:rPr>
        <w:t>s</w:t>
      </w:r>
      <w:r w:rsidR="00C80227">
        <w:rPr>
          <w:rFonts w:ascii="Century" w:hAnsi="Century"/>
          <w:sz w:val="24"/>
          <w:szCs w:val="24"/>
        </w:rPr>
        <w:t xml:space="preserve"> </w:t>
      </w:r>
      <w:r w:rsidR="00E263F4">
        <w:rPr>
          <w:rFonts w:ascii="Century" w:hAnsi="Century"/>
          <w:sz w:val="24"/>
          <w:szCs w:val="24"/>
        </w:rPr>
        <w:t>are</w:t>
      </w:r>
      <w:r w:rsidR="00C80227">
        <w:rPr>
          <w:rFonts w:ascii="Century" w:hAnsi="Century"/>
          <w:sz w:val="24"/>
          <w:szCs w:val="24"/>
        </w:rPr>
        <w:t xml:space="preserve"> drafted with clari</w:t>
      </w:r>
      <w:r w:rsidR="004B0794">
        <w:rPr>
          <w:rFonts w:ascii="Century" w:hAnsi="Century"/>
          <w:sz w:val="24"/>
          <w:szCs w:val="24"/>
        </w:rPr>
        <w:t>ty, precision and unambiguity</w:t>
      </w:r>
      <w:r w:rsidR="00C80227">
        <w:rPr>
          <w:rFonts w:ascii="Century" w:hAnsi="Century"/>
          <w:sz w:val="24"/>
          <w:szCs w:val="24"/>
        </w:rPr>
        <w:t xml:space="preserve"> not only</w:t>
      </w:r>
      <w:r w:rsidR="00FB5BDC">
        <w:rPr>
          <w:rFonts w:ascii="Century" w:hAnsi="Century"/>
          <w:sz w:val="24"/>
          <w:szCs w:val="24"/>
        </w:rPr>
        <w:t xml:space="preserve"> will </w:t>
      </w:r>
      <w:r w:rsidR="00E263F4">
        <w:rPr>
          <w:rFonts w:ascii="Century" w:hAnsi="Century"/>
          <w:sz w:val="24"/>
          <w:szCs w:val="24"/>
        </w:rPr>
        <w:t>they</w:t>
      </w:r>
      <w:r w:rsidR="00C80227">
        <w:rPr>
          <w:rFonts w:ascii="Century" w:hAnsi="Century"/>
          <w:sz w:val="24"/>
          <w:szCs w:val="24"/>
        </w:rPr>
        <w:t xml:space="preserve"> be comprehensible but the same message will be effectively communicated to all users</w:t>
      </w:r>
      <w:r w:rsidR="00C80227" w:rsidRPr="00F32CF2">
        <w:rPr>
          <w:rFonts w:ascii="Century" w:hAnsi="Century"/>
          <w:sz w:val="24"/>
          <w:szCs w:val="24"/>
        </w:rPr>
        <w:t>.</w:t>
      </w:r>
      <w:r w:rsidR="00C80227" w:rsidRPr="00F32CF2">
        <w:rPr>
          <w:rStyle w:val="FootnoteReference"/>
          <w:rFonts w:ascii="Century" w:hAnsi="Century"/>
          <w:sz w:val="24"/>
          <w:szCs w:val="24"/>
        </w:rPr>
        <w:footnoteReference w:id="231"/>
      </w:r>
      <w:r w:rsidR="00C80227" w:rsidRPr="00F32CF2">
        <w:rPr>
          <w:rFonts w:ascii="Century" w:hAnsi="Century"/>
          <w:sz w:val="24"/>
          <w:szCs w:val="24"/>
        </w:rPr>
        <w:t xml:space="preserve"> </w:t>
      </w:r>
      <w:r w:rsidR="00D46EF7" w:rsidRPr="00F32CF2">
        <w:rPr>
          <w:rFonts w:ascii="Century" w:hAnsi="Century"/>
          <w:sz w:val="24"/>
          <w:szCs w:val="24"/>
        </w:rPr>
        <w:t xml:space="preserve"> </w:t>
      </w:r>
    </w:p>
    <w:p w:rsidR="00A240D5" w:rsidRPr="00F32CF2" w:rsidRDefault="00A240D5" w:rsidP="00022C56">
      <w:pPr>
        <w:spacing w:line="360" w:lineRule="auto"/>
        <w:jc w:val="both"/>
        <w:rPr>
          <w:rFonts w:ascii="Century" w:hAnsi="Century"/>
          <w:sz w:val="24"/>
          <w:szCs w:val="24"/>
        </w:rPr>
      </w:pPr>
    </w:p>
    <w:p w:rsidR="003B52B5" w:rsidRPr="00F32CF2" w:rsidRDefault="003B52B5" w:rsidP="00074499">
      <w:pPr>
        <w:spacing w:line="360" w:lineRule="auto"/>
        <w:ind w:firstLine="720"/>
        <w:jc w:val="both"/>
        <w:rPr>
          <w:rFonts w:ascii="Century" w:hAnsi="Century"/>
          <w:sz w:val="24"/>
          <w:szCs w:val="24"/>
        </w:rPr>
      </w:pPr>
    </w:p>
    <w:p w:rsidR="00D13643" w:rsidRPr="002F0293" w:rsidRDefault="00210332" w:rsidP="002F0293">
      <w:pPr>
        <w:pStyle w:val="Heading4"/>
        <w:numPr>
          <w:ilvl w:val="0"/>
          <w:numId w:val="24"/>
        </w:numPr>
        <w:rPr>
          <w:color w:val="auto"/>
        </w:rPr>
      </w:pPr>
      <w:bookmarkStart w:id="65" w:name="_Toc427272676"/>
      <w:bookmarkStart w:id="66" w:name="_Toc427597756"/>
      <w:r w:rsidRPr="002F0293">
        <w:rPr>
          <w:color w:val="auto"/>
        </w:rPr>
        <w:t>T</w:t>
      </w:r>
      <w:r w:rsidR="008C111D" w:rsidRPr="002F0293">
        <w:rPr>
          <w:color w:val="auto"/>
        </w:rPr>
        <w:t xml:space="preserve">echniques </w:t>
      </w:r>
      <w:r w:rsidRPr="002F0293">
        <w:rPr>
          <w:color w:val="auto"/>
        </w:rPr>
        <w:t>for Achieving</w:t>
      </w:r>
      <w:r w:rsidR="00AE47F6" w:rsidRPr="002F0293">
        <w:rPr>
          <w:color w:val="auto"/>
        </w:rPr>
        <w:t xml:space="preserve"> </w:t>
      </w:r>
      <w:r w:rsidRPr="002F0293">
        <w:rPr>
          <w:color w:val="auto"/>
        </w:rPr>
        <w:t>Clarity, Precision and Unambiguity</w:t>
      </w:r>
      <w:bookmarkEnd w:id="65"/>
      <w:bookmarkEnd w:id="66"/>
    </w:p>
    <w:p w:rsidR="00210332" w:rsidRPr="00F32CF2" w:rsidRDefault="00210332" w:rsidP="00210332">
      <w:pPr>
        <w:pStyle w:val="ListParagraph"/>
        <w:spacing w:line="360" w:lineRule="auto"/>
        <w:rPr>
          <w:rFonts w:ascii="Century" w:hAnsi="Century"/>
          <w:b/>
          <w:sz w:val="24"/>
          <w:szCs w:val="24"/>
        </w:rPr>
      </w:pPr>
    </w:p>
    <w:p w:rsidR="00102692" w:rsidRPr="002F0293" w:rsidRDefault="00210332" w:rsidP="002F0293">
      <w:pPr>
        <w:pStyle w:val="Heading4"/>
        <w:numPr>
          <w:ilvl w:val="0"/>
          <w:numId w:val="25"/>
        </w:numPr>
        <w:rPr>
          <w:color w:val="auto"/>
        </w:rPr>
      </w:pPr>
      <w:bookmarkStart w:id="67" w:name="_Toc427272677"/>
      <w:bookmarkStart w:id="68" w:name="_Toc427597757"/>
      <w:r w:rsidRPr="002F0293">
        <w:rPr>
          <w:color w:val="auto"/>
        </w:rPr>
        <w:t>Plain Language</w:t>
      </w:r>
      <w:bookmarkEnd w:id="67"/>
      <w:bookmarkEnd w:id="68"/>
    </w:p>
    <w:p w:rsidR="00B970C7" w:rsidRPr="00F32CF2" w:rsidRDefault="00B970C7" w:rsidP="00B970C7">
      <w:pPr>
        <w:pStyle w:val="ListParagraph"/>
        <w:spacing w:line="360" w:lineRule="auto"/>
        <w:ind w:left="1440"/>
        <w:jc w:val="both"/>
        <w:rPr>
          <w:rFonts w:ascii="Century" w:hAnsi="Century"/>
          <w:b/>
          <w:sz w:val="24"/>
          <w:szCs w:val="24"/>
        </w:rPr>
      </w:pPr>
    </w:p>
    <w:p w:rsidR="00B970C7" w:rsidRPr="00726DD0" w:rsidRDefault="00B970C7" w:rsidP="0022254C">
      <w:pPr>
        <w:pStyle w:val="ListParagraph"/>
        <w:numPr>
          <w:ilvl w:val="0"/>
          <w:numId w:val="9"/>
        </w:numPr>
        <w:spacing w:line="360" w:lineRule="auto"/>
        <w:jc w:val="both"/>
        <w:rPr>
          <w:rFonts w:ascii="Century" w:hAnsi="Century"/>
          <w:b/>
          <w:sz w:val="24"/>
          <w:szCs w:val="24"/>
        </w:rPr>
      </w:pPr>
      <w:r w:rsidRPr="00726DD0">
        <w:rPr>
          <w:rFonts w:ascii="Century" w:hAnsi="Century"/>
          <w:b/>
          <w:sz w:val="24"/>
          <w:szCs w:val="24"/>
        </w:rPr>
        <w:t>What is Plain Language?</w:t>
      </w:r>
    </w:p>
    <w:p w:rsidR="009D3FB7" w:rsidRPr="009574B9" w:rsidRDefault="0095080F" w:rsidP="009D3FB7">
      <w:pPr>
        <w:spacing w:line="360" w:lineRule="auto"/>
        <w:jc w:val="both"/>
        <w:rPr>
          <w:rFonts w:ascii="Century" w:hAnsi="Century"/>
          <w:sz w:val="24"/>
          <w:szCs w:val="24"/>
        </w:rPr>
      </w:pPr>
      <w:r w:rsidRPr="00F32CF2">
        <w:rPr>
          <w:rFonts w:ascii="Century" w:hAnsi="Century"/>
          <w:sz w:val="24"/>
          <w:szCs w:val="24"/>
        </w:rPr>
        <w:t>Cormacain who carried out a case study on plain language using the Business Tenancies Order (Northern Ireland) concluded that ‘plain language promotes clarity’.</w:t>
      </w:r>
      <w:r w:rsidRPr="00F32CF2">
        <w:rPr>
          <w:rStyle w:val="FootnoteReference"/>
          <w:rFonts w:ascii="Century" w:hAnsi="Century"/>
          <w:sz w:val="24"/>
          <w:szCs w:val="24"/>
        </w:rPr>
        <w:footnoteReference w:id="232"/>
      </w:r>
      <w:r w:rsidRPr="00F32CF2">
        <w:rPr>
          <w:rFonts w:ascii="Century" w:hAnsi="Century"/>
          <w:sz w:val="24"/>
          <w:szCs w:val="24"/>
        </w:rPr>
        <w:t xml:space="preserve"> </w:t>
      </w:r>
      <w:r w:rsidR="00C660CB">
        <w:rPr>
          <w:rFonts w:ascii="Century" w:hAnsi="Century"/>
          <w:sz w:val="24"/>
          <w:szCs w:val="24"/>
        </w:rPr>
        <w:t xml:space="preserve">However, </w:t>
      </w:r>
      <w:r w:rsidR="00125BC4" w:rsidRPr="00F32CF2">
        <w:rPr>
          <w:rFonts w:ascii="Century" w:hAnsi="Century"/>
          <w:sz w:val="24"/>
          <w:szCs w:val="24"/>
        </w:rPr>
        <w:t xml:space="preserve">plain language also promotes </w:t>
      </w:r>
      <w:r w:rsidR="00AE47F6" w:rsidRPr="00F32CF2">
        <w:rPr>
          <w:rFonts w:ascii="Century" w:hAnsi="Century"/>
          <w:sz w:val="24"/>
          <w:szCs w:val="24"/>
        </w:rPr>
        <w:t xml:space="preserve">precision and </w:t>
      </w:r>
      <w:r w:rsidR="00C5179F" w:rsidRPr="00F32CF2">
        <w:rPr>
          <w:rFonts w:ascii="Century" w:hAnsi="Century"/>
          <w:sz w:val="24"/>
          <w:szCs w:val="24"/>
        </w:rPr>
        <w:t>unambiguity</w:t>
      </w:r>
      <w:r w:rsidR="00055E2E">
        <w:rPr>
          <w:rFonts w:ascii="Century" w:hAnsi="Century"/>
          <w:sz w:val="24"/>
          <w:szCs w:val="24"/>
        </w:rPr>
        <w:t>.</w:t>
      </w:r>
      <w:r w:rsidR="00AE47F6" w:rsidRPr="00F32CF2">
        <w:rPr>
          <w:rStyle w:val="FootnoteReference"/>
          <w:rFonts w:ascii="Century" w:hAnsi="Century"/>
          <w:sz w:val="24"/>
          <w:szCs w:val="24"/>
        </w:rPr>
        <w:footnoteReference w:id="233"/>
      </w:r>
      <w:r w:rsidR="00055E2E">
        <w:rPr>
          <w:rFonts w:ascii="Century" w:hAnsi="Century"/>
          <w:sz w:val="24"/>
          <w:szCs w:val="24"/>
        </w:rPr>
        <w:t xml:space="preserve"> It has been described by Greenberg</w:t>
      </w:r>
      <w:r w:rsidR="00C53E57">
        <w:rPr>
          <w:rFonts w:ascii="Century" w:hAnsi="Century"/>
          <w:sz w:val="24"/>
          <w:szCs w:val="24"/>
        </w:rPr>
        <w:t xml:space="preserve"> </w:t>
      </w:r>
      <w:r w:rsidR="005443A2">
        <w:rPr>
          <w:rFonts w:ascii="Century" w:hAnsi="Century"/>
          <w:sz w:val="24"/>
          <w:szCs w:val="24"/>
        </w:rPr>
        <w:t>‘</w:t>
      </w:r>
      <w:r w:rsidR="00C53E57">
        <w:rPr>
          <w:rFonts w:ascii="Century" w:hAnsi="Century"/>
          <w:sz w:val="24"/>
          <w:szCs w:val="24"/>
        </w:rPr>
        <w:t>a</w:t>
      </w:r>
      <w:r w:rsidR="00055E2E">
        <w:rPr>
          <w:rFonts w:ascii="Century" w:hAnsi="Century"/>
          <w:sz w:val="24"/>
          <w:szCs w:val="24"/>
        </w:rPr>
        <w:t>s</w:t>
      </w:r>
      <w:r w:rsidR="005443A2">
        <w:rPr>
          <w:rFonts w:ascii="Century" w:hAnsi="Century"/>
          <w:sz w:val="24"/>
          <w:szCs w:val="24"/>
        </w:rPr>
        <w:t xml:space="preserve"> </w:t>
      </w:r>
      <w:r w:rsidR="00C53E57">
        <w:rPr>
          <w:rFonts w:ascii="Century" w:hAnsi="Century"/>
          <w:sz w:val="24"/>
          <w:szCs w:val="24"/>
        </w:rPr>
        <w:t xml:space="preserve">part </w:t>
      </w:r>
      <w:r w:rsidR="00C53E57">
        <w:rPr>
          <w:rFonts w:ascii="Century" w:hAnsi="Century"/>
          <w:sz w:val="24"/>
          <w:szCs w:val="24"/>
        </w:rPr>
        <w:lastRenderedPageBreak/>
        <w:t>of the core tools of good drafting’.</w:t>
      </w:r>
      <w:r w:rsidR="00C53E57">
        <w:rPr>
          <w:rStyle w:val="FootnoteReference"/>
          <w:rFonts w:ascii="Century" w:hAnsi="Century"/>
          <w:sz w:val="24"/>
          <w:szCs w:val="24"/>
        </w:rPr>
        <w:footnoteReference w:id="234"/>
      </w:r>
      <w:r w:rsidR="00C53E57">
        <w:rPr>
          <w:rFonts w:ascii="Century" w:hAnsi="Century"/>
          <w:i/>
          <w:sz w:val="24"/>
          <w:szCs w:val="24"/>
        </w:rPr>
        <w:t xml:space="preserve"> </w:t>
      </w:r>
      <w:r w:rsidR="00A31002" w:rsidRPr="00E37266">
        <w:rPr>
          <w:rFonts w:ascii="Century" w:hAnsi="Century"/>
          <w:sz w:val="24"/>
          <w:szCs w:val="24"/>
        </w:rPr>
        <w:t xml:space="preserve">Eagleson </w:t>
      </w:r>
      <w:r w:rsidR="005D72B0">
        <w:rPr>
          <w:rFonts w:ascii="Century" w:hAnsi="Century"/>
          <w:sz w:val="24"/>
          <w:szCs w:val="24"/>
        </w:rPr>
        <w:t>states that plain language is ‘T</w:t>
      </w:r>
      <w:r w:rsidR="00A31002">
        <w:rPr>
          <w:rFonts w:ascii="Century" w:hAnsi="Century"/>
          <w:sz w:val="24"/>
          <w:szCs w:val="24"/>
        </w:rPr>
        <w:t xml:space="preserve">he </w:t>
      </w:r>
      <w:r w:rsidR="00A31002" w:rsidRPr="00E37266">
        <w:rPr>
          <w:rFonts w:ascii="Century" w:hAnsi="Century"/>
          <w:sz w:val="24"/>
          <w:szCs w:val="24"/>
        </w:rPr>
        <w:t>most competent version</w:t>
      </w:r>
      <w:r w:rsidR="00A31002">
        <w:rPr>
          <w:rFonts w:ascii="Century" w:hAnsi="Century"/>
          <w:sz w:val="24"/>
          <w:szCs w:val="24"/>
        </w:rPr>
        <w:t xml:space="preserve"> </w:t>
      </w:r>
      <w:r w:rsidR="00073B83">
        <w:rPr>
          <w:rFonts w:ascii="Century" w:hAnsi="Century"/>
          <w:sz w:val="24"/>
          <w:szCs w:val="24"/>
        </w:rPr>
        <w:t>of language and legal drafting…</w:t>
      </w:r>
      <w:r w:rsidR="00A31002" w:rsidRPr="00E37266">
        <w:rPr>
          <w:rFonts w:ascii="Century" w:hAnsi="Century"/>
          <w:sz w:val="24"/>
          <w:szCs w:val="24"/>
        </w:rPr>
        <w:t>which enables the message to be grasped readily, without difficulty and confusion</w:t>
      </w:r>
      <w:r w:rsidR="00A31002">
        <w:rPr>
          <w:rFonts w:ascii="Century" w:hAnsi="Century"/>
          <w:sz w:val="24"/>
          <w:szCs w:val="24"/>
        </w:rPr>
        <w:t>’.</w:t>
      </w:r>
      <w:r w:rsidR="00BB5680">
        <w:rPr>
          <w:rStyle w:val="FootnoteReference"/>
          <w:rFonts w:ascii="Century" w:hAnsi="Century"/>
          <w:sz w:val="24"/>
          <w:szCs w:val="24"/>
        </w:rPr>
        <w:footnoteReference w:id="235"/>
      </w:r>
      <w:r w:rsidR="00A31002">
        <w:rPr>
          <w:rFonts w:ascii="Century" w:hAnsi="Century"/>
          <w:sz w:val="24"/>
          <w:szCs w:val="24"/>
        </w:rPr>
        <w:t xml:space="preserve"> For </w:t>
      </w:r>
      <w:r w:rsidR="009D3FB7">
        <w:rPr>
          <w:rFonts w:ascii="Century" w:hAnsi="Century"/>
          <w:sz w:val="24"/>
          <w:szCs w:val="24"/>
        </w:rPr>
        <w:t>Watson-Brown plain language is</w:t>
      </w:r>
      <w:r w:rsidR="009D3FB7" w:rsidRPr="00F32CF2">
        <w:rPr>
          <w:rFonts w:ascii="Century" w:hAnsi="Century"/>
          <w:sz w:val="24"/>
          <w:szCs w:val="24"/>
        </w:rPr>
        <w:t xml:space="preserve"> necessary for effective communication which only occurs when the</w:t>
      </w:r>
      <w:r w:rsidR="009D3FB7">
        <w:rPr>
          <w:rFonts w:ascii="Century" w:hAnsi="Century"/>
          <w:sz w:val="24"/>
          <w:szCs w:val="24"/>
        </w:rPr>
        <w:t xml:space="preserve"> regulatory</w:t>
      </w:r>
      <w:r w:rsidR="009D3FB7" w:rsidRPr="00F32CF2">
        <w:rPr>
          <w:rFonts w:ascii="Century" w:hAnsi="Century"/>
          <w:sz w:val="24"/>
          <w:szCs w:val="24"/>
        </w:rPr>
        <w:t xml:space="preserve"> message is in a manner that those affected by the law will reasonably understand the law and its intended result.</w:t>
      </w:r>
      <w:r w:rsidR="009D3FB7" w:rsidRPr="00F32CF2">
        <w:rPr>
          <w:rStyle w:val="FootnoteReference"/>
          <w:rFonts w:ascii="Century" w:hAnsi="Century"/>
          <w:sz w:val="24"/>
          <w:szCs w:val="24"/>
        </w:rPr>
        <w:footnoteReference w:id="236"/>
      </w:r>
      <w:r w:rsidR="009D3FB7" w:rsidRPr="00F32CF2">
        <w:rPr>
          <w:rFonts w:ascii="Century" w:hAnsi="Century"/>
          <w:sz w:val="24"/>
          <w:szCs w:val="24"/>
        </w:rPr>
        <w:t xml:space="preserve"> </w:t>
      </w:r>
    </w:p>
    <w:p w:rsidR="00800E80" w:rsidRPr="009D3FB7" w:rsidRDefault="00800E80" w:rsidP="00800E80">
      <w:pPr>
        <w:spacing w:line="360" w:lineRule="auto"/>
        <w:jc w:val="both"/>
        <w:rPr>
          <w:rFonts w:ascii="Century" w:hAnsi="Century"/>
          <w:sz w:val="24"/>
          <w:szCs w:val="24"/>
        </w:rPr>
      </w:pPr>
    </w:p>
    <w:p w:rsidR="009D3FB7" w:rsidRPr="00800E80" w:rsidRDefault="009D3FB7" w:rsidP="009D3FB7">
      <w:pPr>
        <w:spacing w:line="360" w:lineRule="auto"/>
        <w:jc w:val="both"/>
        <w:rPr>
          <w:rFonts w:ascii="Century" w:hAnsi="Century"/>
          <w:i/>
          <w:sz w:val="24"/>
          <w:szCs w:val="24"/>
        </w:rPr>
      </w:pPr>
      <w:r>
        <w:rPr>
          <w:rFonts w:ascii="Century" w:hAnsi="Century"/>
          <w:sz w:val="24"/>
          <w:szCs w:val="24"/>
        </w:rPr>
        <w:t xml:space="preserve">Plain language according to </w:t>
      </w:r>
      <w:r w:rsidR="00F73B9C">
        <w:rPr>
          <w:rFonts w:ascii="Century" w:hAnsi="Century"/>
          <w:sz w:val="24"/>
          <w:szCs w:val="24"/>
        </w:rPr>
        <w:t xml:space="preserve">Stefanou </w:t>
      </w:r>
      <w:r>
        <w:rPr>
          <w:rFonts w:ascii="Century" w:hAnsi="Century"/>
          <w:sz w:val="24"/>
          <w:szCs w:val="24"/>
        </w:rPr>
        <w:t>is</w:t>
      </w:r>
      <w:r w:rsidR="00F73B9C" w:rsidRPr="00F32CF2">
        <w:rPr>
          <w:rFonts w:ascii="Century" w:hAnsi="Century"/>
          <w:sz w:val="24"/>
          <w:szCs w:val="24"/>
        </w:rPr>
        <w:t xml:space="preserve"> </w:t>
      </w:r>
      <w:r>
        <w:rPr>
          <w:rFonts w:ascii="Century" w:hAnsi="Century"/>
          <w:sz w:val="24"/>
          <w:szCs w:val="24"/>
        </w:rPr>
        <w:t>‘</w:t>
      </w:r>
      <w:r w:rsidR="00F73B9C" w:rsidRPr="00F32CF2">
        <w:rPr>
          <w:rFonts w:ascii="Century" w:hAnsi="Century"/>
          <w:sz w:val="24"/>
          <w:szCs w:val="24"/>
        </w:rPr>
        <w:t>about the use of language which is clear and conveys its message without unnecessary complexity’.</w:t>
      </w:r>
      <w:r w:rsidR="00F73B9C" w:rsidRPr="00F32CF2">
        <w:rPr>
          <w:rStyle w:val="FootnoteReference"/>
          <w:rFonts w:ascii="Century" w:hAnsi="Century"/>
          <w:sz w:val="24"/>
          <w:szCs w:val="24"/>
        </w:rPr>
        <w:footnoteReference w:id="237"/>
      </w:r>
      <w:r w:rsidR="00092153">
        <w:rPr>
          <w:rFonts w:ascii="Century" w:hAnsi="Century"/>
          <w:sz w:val="24"/>
          <w:szCs w:val="24"/>
        </w:rPr>
        <w:t xml:space="preserve"> </w:t>
      </w:r>
      <w:r>
        <w:rPr>
          <w:rFonts w:ascii="Century" w:hAnsi="Century"/>
          <w:sz w:val="24"/>
          <w:szCs w:val="24"/>
        </w:rPr>
        <w:t>For</w:t>
      </w:r>
      <w:r w:rsidR="00F73B9C">
        <w:rPr>
          <w:rFonts w:ascii="Century" w:hAnsi="Century"/>
          <w:sz w:val="24"/>
          <w:szCs w:val="24"/>
        </w:rPr>
        <w:t xml:space="preserve"> Bekink and Botha plain language</w:t>
      </w:r>
      <w:r w:rsidR="00F73B9C" w:rsidRPr="00F32CF2">
        <w:rPr>
          <w:rFonts w:ascii="Century" w:hAnsi="Century"/>
          <w:sz w:val="24"/>
          <w:szCs w:val="24"/>
        </w:rPr>
        <w:t xml:space="preserve"> is </w:t>
      </w:r>
      <w:r w:rsidR="00087385">
        <w:rPr>
          <w:rFonts w:ascii="Century" w:hAnsi="Century"/>
          <w:sz w:val="24"/>
          <w:szCs w:val="24"/>
        </w:rPr>
        <w:t>‘</w:t>
      </w:r>
      <w:r w:rsidR="00F73B9C" w:rsidRPr="00F32CF2">
        <w:rPr>
          <w:rFonts w:ascii="Century" w:hAnsi="Century"/>
          <w:sz w:val="24"/>
          <w:szCs w:val="24"/>
        </w:rPr>
        <w:t>legal communication that is clear, understandable, accessible, and also user-friendly</w:t>
      </w:r>
      <w:r w:rsidR="00F73B9C">
        <w:rPr>
          <w:rFonts w:ascii="Century" w:hAnsi="Century"/>
          <w:sz w:val="24"/>
          <w:szCs w:val="24"/>
        </w:rPr>
        <w:t>’</w:t>
      </w:r>
      <w:r w:rsidR="00F73B9C" w:rsidRPr="00F32CF2">
        <w:rPr>
          <w:rFonts w:ascii="Century" w:hAnsi="Century"/>
          <w:sz w:val="24"/>
          <w:szCs w:val="24"/>
        </w:rPr>
        <w:t>.</w:t>
      </w:r>
      <w:r w:rsidR="00F73B9C" w:rsidRPr="00F32CF2">
        <w:rPr>
          <w:rStyle w:val="FootnoteReference"/>
          <w:rFonts w:ascii="Century" w:hAnsi="Century"/>
          <w:sz w:val="24"/>
          <w:szCs w:val="24"/>
        </w:rPr>
        <w:footnoteReference w:id="238"/>
      </w:r>
      <w:r>
        <w:rPr>
          <w:rFonts w:ascii="Century" w:hAnsi="Century"/>
          <w:sz w:val="24"/>
          <w:szCs w:val="24"/>
        </w:rPr>
        <w:t xml:space="preserve"> </w:t>
      </w:r>
      <w:r w:rsidR="00F73B9C">
        <w:rPr>
          <w:rFonts w:ascii="Century" w:hAnsi="Century"/>
          <w:sz w:val="24"/>
          <w:szCs w:val="24"/>
        </w:rPr>
        <w:t>Butt states</w:t>
      </w:r>
      <w:r w:rsidR="0053001B" w:rsidRPr="00F32CF2">
        <w:rPr>
          <w:rFonts w:ascii="Century" w:hAnsi="Century"/>
          <w:sz w:val="24"/>
          <w:szCs w:val="24"/>
        </w:rPr>
        <w:t>,</w:t>
      </w:r>
      <w:r>
        <w:rPr>
          <w:rFonts w:ascii="Century" w:hAnsi="Century"/>
          <w:sz w:val="24"/>
          <w:szCs w:val="24"/>
        </w:rPr>
        <w:t xml:space="preserve"> to draft using plain language is to</w:t>
      </w:r>
      <w:r w:rsidR="0053001B" w:rsidRPr="00F32CF2">
        <w:rPr>
          <w:rFonts w:ascii="Century" w:hAnsi="Century"/>
          <w:sz w:val="24"/>
          <w:szCs w:val="24"/>
        </w:rPr>
        <w:t xml:space="preserve"> </w:t>
      </w:r>
      <w:r w:rsidR="00F73B9C">
        <w:rPr>
          <w:rFonts w:ascii="Century" w:hAnsi="Century"/>
          <w:sz w:val="24"/>
          <w:szCs w:val="24"/>
        </w:rPr>
        <w:t xml:space="preserve">apply ‘the same </w:t>
      </w:r>
      <w:r w:rsidR="0053001B" w:rsidRPr="00F32CF2">
        <w:rPr>
          <w:rFonts w:ascii="Century" w:hAnsi="Century"/>
          <w:sz w:val="24"/>
          <w:szCs w:val="24"/>
        </w:rPr>
        <w:t>techniques that good writers use in normal prose</w:t>
      </w:r>
      <w:r w:rsidR="00F73B9C">
        <w:rPr>
          <w:rFonts w:ascii="Century" w:hAnsi="Century"/>
          <w:sz w:val="24"/>
          <w:szCs w:val="24"/>
        </w:rPr>
        <w:t>’ when composing and developing the bill</w:t>
      </w:r>
      <w:r w:rsidR="0053001B" w:rsidRPr="00F32CF2">
        <w:rPr>
          <w:rFonts w:ascii="Century" w:hAnsi="Century"/>
          <w:sz w:val="24"/>
          <w:szCs w:val="24"/>
        </w:rPr>
        <w:t>.</w:t>
      </w:r>
      <w:r w:rsidR="0053001B" w:rsidRPr="00F32CF2">
        <w:rPr>
          <w:rStyle w:val="FootnoteReference"/>
          <w:rFonts w:ascii="Century" w:hAnsi="Century"/>
          <w:sz w:val="24"/>
          <w:szCs w:val="24"/>
        </w:rPr>
        <w:footnoteReference w:id="239"/>
      </w:r>
      <w:r w:rsidR="0053001B" w:rsidRPr="00F32CF2">
        <w:rPr>
          <w:rFonts w:ascii="Century" w:hAnsi="Century"/>
          <w:sz w:val="24"/>
          <w:szCs w:val="24"/>
        </w:rPr>
        <w:t xml:space="preserve"> </w:t>
      </w:r>
      <w:r>
        <w:rPr>
          <w:rFonts w:ascii="Century" w:hAnsi="Century"/>
          <w:sz w:val="24"/>
          <w:szCs w:val="24"/>
        </w:rPr>
        <w:t xml:space="preserve">Whatever definition is ascribed to plain language, at its core it is simply drafting </w:t>
      </w:r>
      <w:r w:rsidR="00336DC5" w:rsidRPr="00F32CF2">
        <w:rPr>
          <w:rFonts w:ascii="Century" w:hAnsi="Century"/>
          <w:sz w:val="24"/>
          <w:szCs w:val="24"/>
        </w:rPr>
        <w:t>in a manner that accommodates the users of the legislation</w:t>
      </w:r>
      <w:r>
        <w:rPr>
          <w:rFonts w:ascii="Century" w:hAnsi="Century"/>
          <w:sz w:val="24"/>
          <w:szCs w:val="24"/>
        </w:rPr>
        <w:t>.</w:t>
      </w:r>
      <w:r w:rsidR="00336DC5" w:rsidRPr="00F32CF2">
        <w:rPr>
          <w:rStyle w:val="FootnoteReference"/>
          <w:rFonts w:ascii="Century" w:hAnsi="Century"/>
          <w:sz w:val="24"/>
          <w:szCs w:val="24"/>
        </w:rPr>
        <w:footnoteReference w:id="240"/>
      </w:r>
      <w:r w:rsidR="00336DC5" w:rsidRPr="00F32CF2">
        <w:rPr>
          <w:rFonts w:ascii="Century" w:hAnsi="Century"/>
          <w:sz w:val="24"/>
          <w:szCs w:val="24"/>
        </w:rPr>
        <w:t xml:space="preserve"> </w:t>
      </w:r>
      <w:r w:rsidR="00924BBB">
        <w:rPr>
          <w:rFonts w:ascii="Century" w:hAnsi="Century"/>
          <w:sz w:val="24"/>
          <w:szCs w:val="24"/>
        </w:rPr>
        <w:t>It includes</w:t>
      </w:r>
      <w:r>
        <w:rPr>
          <w:rFonts w:ascii="Century" w:hAnsi="Century"/>
          <w:sz w:val="24"/>
          <w:szCs w:val="24"/>
        </w:rPr>
        <w:t xml:space="preserve"> </w:t>
      </w:r>
      <w:r w:rsidR="00912727" w:rsidRPr="00F32CF2">
        <w:rPr>
          <w:rFonts w:ascii="Century" w:hAnsi="Century"/>
          <w:sz w:val="24"/>
          <w:szCs w:val="24"/>
        </w:rPr>
        <w:t>structure</w:t>
      </w:r>
      <w:r w:rsidR="00911B51" w:rsidRPr="00F32CF2">
        <w:rPr>
          <w:rFonts w:ascii="Century" w:hAnsi="Century"/>
          <w:sz w:val="24"/>
          <w:szCs w:val="24"/>
        </w:rPr>
        <w:t xml:space="preserve"> and</w:t>
      </w:r>
      <w:r w:rsidR="00912727" w:rsidRPr="00F32CF2">
        <w:rPr>
          <w:rFonts w:ascii="Century" w:hAnsi="Century"/>
          <w:sz w:val="24"/>
          <w:szCs w:val="24"/>
        </w:rPr>
        <w:t xml:space="preserve"> </w:t>
      </w:r>
      <w:r w:rsidR="00B4650A">
        <w:rPr>
          <w:rFonts w:ascii="Century" w:hAnsi="Century"/>
          <w:sz w:val="24"/>
          <w:szCs w:val="24"/>
        </w:rPr>
        <w:t xml:space="preserve">any other </w:t>
      </w:r>
      <w:r w:rsidR="00912727" w:rsidRPr="00F32CF2">
        <w:rPr>
          <w:rFonts w:ascii="Century" w:hAnsi="Century"/>
          <w:sz w:val="24"/>
          <w:szCs w:val="24"/>
        </w:rPr>
        <w:t xml:space="preserve">tool </w:t>
      </w:r>
      <w:r w:rsidR="00B4650A">
        <w:rPr>
          <w:rFonts w:ascii="Century" w:hAnsi="Century"/>
          <w:sz w:val="24"/>
          <w:szCs w:val="24"/>
        </w:rPr>
        <w:t>used to</w:t>
      </w:r>
      <w:r w:rsidR="00912727" w:rsidRPr="00F32CF2">
        <w:rPr>
          <w:rFonts w:ascii="Century" w:hAnsi="Century"/>
          <w:sz w:val="24"/>
          <w:szCs w:val="24"/>
        </w:rPr>
        <w:t xml:space="preserve"> enhance comprehensibility</w:t>
      </w:r>
      <w:r w:rsidR="00911B51" w:rsidRPr="00F32CF2">
        <w:rPr>
          <w:rFonts w:ascii="Century" w:hAnsi="Century"/>
          <w:sz w:val="24"/>
          <w:szCs w:val="24"/>
        </w:rPr>
        <w:t>.</w:t>
      </w:r>
      <w:r w:rsidR="00832889" w:rsidRPr="00F32CF2">
        <w:rPr>
          <w:rStyle w:val="FootnoteReference"/>
          <w:rFonts w:ascii="Century" w:hAnsi="Century"/>
          <w:sz w:val="24"/>
          <w:szCs w:val="24"/>
        </w:rPr>
        <w:footnoteReference w:id="241"/>
      </w:r>
      <w:r w:rsidR="00911B51" w:rsidRPr="00F32CF2">
        <w:rPr>
          <w:rFonts w:ascii="Century" w:hAnsi="Century"/>
          <w:sz w:val="24"/>
          <w:szCs w:val="24"/>
        </w:rPr>
        <w:t xml:space="preserve"> </w:t>
      </w:r>
      <w:r>
        <w:rPr>
          <w:rFonts w:ascii="Century" w:hAnsi="Century"/>
          <w:sz w:val="24"/>
          <w:szCs w:val="24"/>
        </w:rPr>
        <w:t xml:space="preserve">As </w:t>
      </w:r>
      <w:r w:rsidRPr="00F32CF2">
        <w:rPr>
          <w:rFonts w:ascii="Century" w:hAnsi="Century"/>
          <w:sz w:val="24"/>
          <w:szCs w:val="24"/>
        </w:rPr>
        <w:t xml:space="preserve">Mico, </w:t>
      </w:r>
      <w:r>
        <w:rPr>
          <w:rFonts w:ascii="Century" w:hAnsi="Century"/>
          <w:sz w:val="24"/>
          <w:szCs w:val="24"/>
        </w:rPr>
        <w:t>states</w:t>
      </w:r>
      <w:r w:rsidR="00593587">
        <w:rPr>
          <w:rFonts w:ascii="Century" w:hAnsi="Century"/>
          <w:sz w:val="24"/>
          <w:szCs w:val="24"/>
        </w:rPr>
        <w:t>-</w:t>
      </w:r>
    </w:p>
    <w:p w:rsidR="00A40283" w:rsidRPr="00F32CF2" w:rsidRDefault="009D3FB7" w:rsidP="009D3FB7">
      <w:pPr>
        <w:spacing w:line="360" w:lineRule="auto"/>
        <w:ind w:left="720"/>
        <w:jc w:val="both"/>
        <w:rPr>
          <w:rFonts w:ascii="Century" w:hAnsi="Century"/>
          <w:sz w:val="24"/>
          <w:szCs w:val="24"/>
        </w:rPr>
      </w:pPr>
      <w:r w:rsidRPr="00F32CF2">
        <w:rPr>
          <w:rFonts w:ascii="Century" w:hAnsi="Century"/>
          <w:sz w:val="24"/>
          <w:szCs w:val="24"/>
        </w:rPr>
        <w:t>Plain language combines content and format to create documents that</w:t>
      </w:r>
      <w:r>
        <w:rPr>
          <w:rFonts w:ascii="Century" w:hAnsi="Century"/>
          <w:sz w:val="24"/>
          <w:szCs w:val="24"/>
        </w:rPr>
        <w:t xml:space="preserve"> can be understood by anybody. </w:t>
      </w:r>
      <w:r w:rsidRPr="00F32CF2">
        <w:rPr>
          <w:rFonts w:ascii="Century" w:hAnsi="Century"/>
          <w:sz w:val="24"/>
          <w:szCs w:val="24"/>
        </w:rPr>
        <w:t xml:space="preserve">It is the language of the law and </w:t>
      </w:r>
      <w:r w:rsidRPr="00F32CF2">
        <w:rPr>
          <w:rFonts w:ascii="Century" w:hAnsi="Century"/>
          <w:sz w:val="24"/>
          <w:szCs w:val="24"/>
        </w:rPr>
        <w:lastRenderedPageBreak/>
        <w:t>a bridge between the audience and the legislation. It is an approach which helps readers to understand what they are reading.</w:t>
      </w:r>
      <w:r w:rsidRPr="00F32CF2">
        <w:rPr>
          <w:rStyle w:val="FootnoteReference"/>
          <w:rFonts w:ascii="Century" w:hAnsi="Century"/>
          <w:sz w:val="24"/>
          <w:szCs w:val="24"/>
        </w:rPr>
        <w:footnoteReference w:id="242"/>
      </w:r>
      <w:r>
        <w:rPr>
          <w:rFonts w:ascii="Century" w:hAnsi="Century"/>
          <w:sz w:val="24"/>
          <w:szCs w:val="24"/>
        </w:rPr>
        <w:t xml:space="preserve"> </w:t>
      </w:r>
    </w:p>
    <w:p w:rsidR="00912727" w:rsidRPr="00F32CF2" w:rsidRDefault="009D3FB7" w:rsidP="000A215A">
      <w:pPr>
        <w:spacing w:line="360" w:lineRule="auto"/>
        <w:jc w:val="both"/>
        <w:rPr>
          <w:rFonts w:ascii="Century" w:hAnsi="Century"/>
          <w:sz w:val="24"/>
          <w:szCs w:val="24"/>
        </w:rPr>
      </w:pPr>
      <w:r>
        <w:rPr>
          <w:rFonts w:ascii="Century" w:hAnsi="Century"/>
          <w:sz w:val="24"/>
          <w:szCs w:val="24"/>
        </w:rPr>
        <w:t xml:space="preserve">Similarly, </w:t>
      </w:r>
      <w:r w:rsidR="008238DB" w:rsidRPr="00F32CF2">
        <w:rPr>
          <w:rFonts w:ascii="Century" w:hAnsi="Century"/>
          <w:sz w:val="24"/>
          <w:szCs w:val="24"/>
        </w:rPr>
        <w:t>Eagleson</w:t>
      </w:r>
      <w:r>
        <w:rPr>
          <w:rFonts w:ascii="Century" w:hAnsi="Century"/>
          <w:sz w:val="24"/>
          <w:szCs w:val="24"/>
        </w:rPr>
        <w:t xml:space="preserve"> opines </w:t>
      </w:r>
      <w:r w:rsidR="00CE0A69">
        <w:rPr>
          <w:rFonts w:ascii="Century" w:hAnsi="Century"/>
          <w:sz w:val="24"/>
          <w:szCs w:val="24"/>
        </w:rPr>
        <w:t xml:space="preserve">that </w:t>
      </w:r>
      <w:r w:rsidR="00336DC5" w:rsidRPr="00F32CF2">
        <w:rPr>
          <w:rFonts w:ascii="Century" w:hAnsi="Century"/>
          <w:sz w:val="24"/>
          <w:szCs w:val="24"/>
        </w:rPr>
        <w:t xml:space="preserve">plain language is not </w:t>
      </w:r>
      <w:r w:rsidR="005265C5">
        <w:rPr>
          <w:rFonts w:ascii="Century" w:hAnsi="Century"/>
          <w:sz w:val="24"/>
          <w:szCs w:val="24"/>
        </w:rPr>
        <w:t xml:space="preserve">confined </w:t>
      </w:r>
      <w:r w:rsidR="00336DC5" w:rsidRPr="00F32CF2">
        <w:rPr>
          <w:rFonts w:ascii="Century" w:hAnsi="Century"/>
          <w:sz w:val="24"/>
          <w:szCs w:val="24"/>
        </w:rPr>
        <w:t>to a particular form</w:t>
      </w:r>
      <w:r w:rsidR="005265C5">
        <w:rPr>
          <w:rFonts w:ascii="Century" w:hAnsi="Century"/>
          <w:sz w:val="24"/>
          <w:szCs w:val="24"/>
        </w:rPr>
        <w:t xml:space="preserve"> of drafting</w:t>
      </w:r>
      <w:r w:rsidR="00336DC5" w:rsidRPr="00F32CF2">
        <w:rPr>
          <w:rFonts w:ascii="Century" w:hAnsi="Century"/>
          <w:sz w:val="24"/>
          <w:szCs w:val="24"/>
        </w:rPr>
        <w:t xml:space="preserve"> because plain language is audience based.</w:t>
      </w:r>
      <w:r w:rsidR="00C73D1A" w:rsidRPr="00C73D1A">
        <w:rPr>
          <w:rStyle w:val="FootnoteReference"/>
          <w:rFonts w:ascii="Century" w:hAnsi="Century"/>
          <w:sz w:val="24"/>
          <w:szCs w:val="24"/>
        </w:rPr>
        <w:t xml:space="preserve"> </w:t>
      </w:r>
      <w:r w:rsidR="00C73D1A" w:rsidRPr="00F32CF2">
        <w:rPr>
          <w:rStyle w:val="FootnoteReference"/>
          <w:rFonts w:ascii="Century" w:hAnsi="Century"/>
          <w:sz w:val="24"/>
          <w:szCs w:val="24"/>
        </w:rPr>
        <w:footnoteReference w:id="243"/>
      </w:r>
      <w:r w:rsidR="00C73D1A">
        <w:rPr>
          <w:rFonts w:ascii="Century" w:hAnsi="Century"/>
          <w:sz w:val="24"/>
          <w:szCs w:val="24"/>
        </w:rPr>
        <w:t xml:space="preserve"> </w:t>
      </w:r>
      <w:r w:rsidR="001C341E">
        <w:rPr>
          <w:rFonts w:ascii="Century" w:hAnsi="Century"/>
          <w:sz w:val="24"/>
          <w:szCs w:val="24"/>
        </w:rPr>
        <w:t>Utilising plain language requires drafter</w:t>
      </w:r>
      <w:r w:rsidR="00CE0A69">
        <w:rPr>
          <w:rFonts w:ascii="Century" w:hAnsi="Century"/>
          <w:sz w:val="24"/>
          <w:szCs w:val="24"/>
        </w:rPr>
        <w:t>s</w:t>
      </w:r>
      <w:r w:rsidR="001C341E">
        <w:rPr>
          <w:rFonts w:ascii="Century" w:hAnsi="Century"/>
          <w:sz w:val="24"/>
          <w:szCs w:val="24"/>
        </w:rPr>
        <w:t xml:space="preserve"> to consider the audience then decide what structure, language or supplementary tool would make the law accessible for its users</w:t>
      </w:r>
      <w:r w:rsidR="000D4ABE" w:rsidRPr="00F32CF2">
        <w:rPr>
          <w:rFonts w:ascii="Century" w:hAnsi="Century"/>
          <w:sz w:val="24"/>
          <w:szCs w:val="24"/>
        </w:rPr>
        <w:t xml:space="preserve">.  </w:t>
      </w:r>
    </w:p>
    <w:p w:rsidR="00A40283" w:rsidRPr="00F32CF2" w:rsidRDefault="00A40283" w:rsidP="000D4ABE">
      <w:pPr>
        <w:spacing w:line="360" w:lineRule="auto"/>
        <w:ind w:firstLine="720"/>
        <w:jc w:val="both"/>
        <w:rPr>
          <w:rFonts w:ascii="Century" w:hAnsi="Century"/>
          <w:sz w:val="24"/>
          <w:szCs w:val="24"/>
        </w:rPr>
      </w:pPr>
    </w:p>
    <w:p w:rsidR="004C4E5D" w:rsidRDefault="001C341E" w:rsidP="004C4E5D">
      <w:pPr>
        <w:spacing w:line="360" w:lineRule="auto"/>
        <w:jc w:val="both"/>
        <w:rPr>
          <w:rFonts w:ascii="Century" w:hAnsi="Century"/>
          <w:sz w:val="24"/>
          <w:szCs w:val="24"/>
        </w:rPr>
      </w:pPr>
      <w:r>
        <w:rPr>
          <w:rFonts w:ascii="Century" w:hAnsi="Century"/>
          <w:sz w:val="24"/>
          <w:szCs w:val="24"/>
        </w:rPr>
        <w:t>While there are no fixed rules to plain language drafting, several guidelines have been offered over the years</w:t>
      </w:r>
      <w:r w:rsidR="004F1D0A" w:rsidRPr="00F32CF2">
        <w:rPr>
          <w:rFonts w:ascii="Century" w:hAnsi="Century"/>
          <w:sz w:val="24"/>
          <w:szCs w:val="24"/>
        </w:rPr>
        <w:t>.</w:t>
      </w:r>
      <w:r w:rsidR="00964E16">
        <w:rPr>
          <w:rStyle w:val="FootnoteReference"/>
          <w:rFonts w:ascii="Century" w:hAnsi="Century"/>
          <w:sz w:val="24"/>
          <w:szCs w:val="24"/>
        </w:rPr>
        <w:footnoteReference w:id="244"/>
      </w:r>
      <w:r w:rsidR="004F1D0A" w:rsidRPr="00F32CF2">
        <w:rPr>
          <w:rFonts w:ascii="Century" w:hAnsi="Century"/>
          <w:sz w:val="24"/>
          <w:szCs w:val="24"/>
        </w:rPr>
        <w:t xml:space="preserve"> </w:t>
      </w:r>
      <w:r>
        <w:rPr>
          <w:rFonts w:ascii="Century" w:hAnsi="Century"/>
          <w:sz w:val="24"/>
          <w:szCs w:val="24"/>
        </w:rPr>
        <w:t>These guidelines are to make the law</w:t>
      </w:r>
      <w:r w:rsidR="00D53F13">
        <w:rPr>
          <w:rFonts w:ascii="Century" w:hAnsi="Century"/>
          <w:sz w:val="24"/>
          <w:szCs w:val="24"/>
        </w:rPr>
        <w:t xml:space="preserve"> </w:t>
      </w:r>
      <w:r>
        <w:rPr>
          <w:rFonts w:ascii="Century" w:hAnsi="Century"/>
          <w:sz w:val="24"/>
          <w:szCs w:val="24"/>
        </w:rPr>
        <w:t>‘</w:t>
      </w:r>
      <w:r w:rsidR="00330F3E" w:rsidRPr="00F32CF2">
        <w:rPr>
          <w:rFonts w:ascii="Century" w:hAnsi="Century"/>
          <w:sz w:val="24"/>
          <w:szCs w:val="24"/>
        </w:rPr>
        <w:t xml:space="preserve">leaner and cleaner, and </w:t>
      </w:r>
      <w:r w:rsidR="00745D02">
        <w:rPr>
          <w:rFonts w:ascii="Century" w:hAnsi="Century"/>
          <w:sz w:val="24"/>
          <w:szCs w:val="24"/>
        </w:rPr>
        <w:t>…</w:t>
      </w:r>
      <w:r w:rsidR="00330F3E" w:rsidRPr="00F32CF2">
        <w:rPr>
          <w:rFonts w:ascii="Century" w:hAnsi="Century"/>
          <w:sz w:val="24"/>
          <w:szCs w:val="24"/>
        </w:rPr>
        <w:t>easier to read and understand</w:t>
      </w:r>
      <w:r w:rsidR="00D53F13">
        <w:rPr>
          <w:rFonts w:ascii="Century" w:hAnsi="Century"/>
          <w:sz w:val="24"/>
          <w:szCs w:val="24"/>
        </w:rPr>
        <w:t>’</w:t>
      </w:r>
      <w:r w:rsidR="00330F3E" w:rsidRPr="00F32CF2">
        <w:rPr>
          <w:rFonts w:ascii="Century" w:hAnsi="Century"/>
          <w:sz w:val="24"/>
          <w:szCs w:val="24"/>
        </w:rPr>
        <w:t>.</w:t>
      </w:r>
      <w:r w:rsidR="00330F3E" w:rsidRPr="00F32CF2">
        <w:rPr>
          <w:rStyle w:val="FootnoteReference"/>
          <w:rFonts w:ascii="Century" w:hAnsi="Century"/>
          <w:sz w:val="24"/>
          <w:szCs w:val="24"/>
        </w:rPr>
        <w:footnoteReference w:id="245"/>
      </w:r>
      <w:r w:rsidR="00330F3E" w:rsidRPr="00F32CF2">
        <w:rPr>
          <w:rFonts w:ascii="Century" w:hAnsi="Century"/>
          <w:sz w:val="24"/>
          <w:szCs w:val="24"/>
        </w:rPr>
        <w:t xml:space="preserve"> </w:t>
      </w:r>
      <w:r>
        <w:rPr>
          <w:rFonts w:ascii="Century" w:hAnsi="Century"/>
          <w:sz w:val="24"/>
          <w:szCs w:val="24"/>
        </w:rPr>
        <w:t>One of the guidelines is to</w:t>
      </w:r>
      <w:r w:rsidR="003E5021" w:rsidRPr="00F32CF2">
        <w:rPr>
          <w:rFonts w:ascii="Century" w:hAnsi="Century"/>
          <w:sz w:val="24"/>
          <w:szCs w:val="24"/>
        </w:rPr>
        <w:t xml:space="preserve"> use</w:t>
      </w:r>
      <w:r w:rsidR="00622712" w:rsidRPr="00F32CF2">
        <w:rPr>
          <w:rFonts w:ascii="Century" w:hAnsi="Century"/>
          <w:sz w:val="24"/>
          <w:szCs w:val="24"/>
        </w:rPr>
        <w:t xml:space="preserve"> short sentences as oppose</w:t>
      </w:r>
      <w:r w:rsidR="004B0794">
        <w:rPr>
          <w:rFonts w:ascii="Century" w:hAnsi="Century"/>
          <w:sz w:val="24"/>
          <w:szCs w:val="24"/>
        </w:rPr>
        <w:t>d</w:t>
      </w:r>
      <w:r w:rsidR="00622712" w:rsidRPr="00F32CF2">
        <w:rPr>
          <w:rFonts w:ascii="Century" w:hAnsi="Century"/>
          <w:sz w:val="24"/>
          <w:szCs w:val="24"/>
        </w:rPr>
        <w:t xml:space="preserve"> to </w:t>
      </w:r>
      <w:r w:rsidR="00434B41">
        <w:rPr>
          <w:rFonts w:ascii="Century" w:hAnsi="Century"/>
          <w:sz w:val="24"/>
          <w:szCs w:val="24"/>
        </w:rPr>
        <w:t>‘</w:t>
      </w:r>
      <w:r w:rsidR="00622712" w:rsidRPr="00F32CF2">
        <w:rPr>
          <w:rFonts w:ascii="Century" w:hAnsi="Century"/>
          <w:sz w:val="24"/>
          <w:szCs w:val="24"/>
        </w:rPr>
        <w:t>long convoluted sentences</w:t>
      </w:r>
      <w:r w:rsidR="00434B41">
        <w:rPr>
          <w:rFonts w:ascii="Century" w:hAnsi="Century"/>
          <w:sz w:val="24"/>
          <w:szCs w:val="24"/>
        </w:rPr>
        <w:t>’</w:t>
      </w:r>
      <w:r w:rsidR="00622712" w:rsidRPr="00F32CF2">
        <w:rPr>
          <w:rFonts w:ascii="Century" w:hAnsi="Century"/>
          <w:sz w:val="24"/>
          <w:szCs w:val="24"/>
        </w:rPr>
        <w:t>.</w:t>
      </w:r>
      <w:r w:rsidR="003E5021" w:rsidRPr="00F32CF2">
        <w:rPr>
          <w:rStyle w:val="FootnoteReference"/>
          <w:rFonts w:ascii="Century" w:hAnsi="Century"/>
          <w:sz w:val="24"/>
          <w:szCs w:val="24"/>
        </w:rPr>
        <w:footnoteReference w:id="246"/>
      </w:r>
      <w:r>
        <w:rPr>
          <w:rFonts w:ascii="Century" w:hAnsi="Century"/>
          <w:sz w:val="24"/>
          <w:szCs w:val="24"/>
        </w:rPr>
        <w:t xml:space="preserve"> </w:t>
      </w:r>
      <w:r w:rsidR="00232696">
        <w:rPr>
          <w:rFonts w:ascii="Century" w:hAnsi="Century"/>
          <w:sz w:val="24"/>
          <w:szCs w:val="24"/>
        </w:rPr>
        <w:t>For Berry, short sentences are appealing and they enhance comprehension</w:t>
      </w:r>
      <w:r w:rsidR="00D53F13">
        <w:rPr>
          <w:rFonts w:ascii="Century" w:hAnsi="Century"/>
          <w:sz w:val="24"/>
          <w:szCs w:val="24"/>
        </w:rPr>
        <w:t xml:space="preserve"> while</w:t>
      </w:r>
      <w:r w:rsidR="00232696">
        <w:rPr>
          <w:rFonts w:ascii="Century" w:hAnsi="Century"/>
          <w:sz w:val="24"/>
          <w:szCs w:val="24"/>
        </w:rPr>
        <w:t xml:space="preserve"> long and complex sentences </w:t>
      </w:r>
      <w:r w:rsidR="00D53F13">
        <w:rPr>
          <w:rFonts w:ascii="Century" w:hAnsi="Century"/>
          <w:sz w:val="24"/>
          <w:szCs w:val="24"/>
        </w:rPr>
        <w:t>are difficult to remember</w:t>
      </w:r>
      <w:r w:rsidR="00232696">
        <w:rPr>
          <w:rFonts w:ascii="Century" w:hAnsi="Century"/>
          <w:sz w:val="24"/>
          <w:szCs w:val="24"/>
        </w:rPr>
        <w:t>.</w:t>
      </w:r>
      <w:r w:rsidR="00232696">
        <w:rPr>
          <w:rStyle w:val="FootnoteReference"/>
          <w:rFonts w:ascii="Century" w:hAnsi="Century"/>
          <w:sz w:val="24"/>
          <w:szCs w:val="24"/>
        </w:rPr>
        <w:footnoteReference w:id="247"/>
      </w:r>
      <w:r w:rsidR="00232696">
        <w:rPr>
          <w:rFonts w:ascii="Century" w:hAnsi="Century"/>
          <w:sz w:val="24"/>
          <w:szCs w:val="24"/>
        </w:rPr>
        <w:t xml:space="preserve"> </w:t>
      </w:r>
      <w:r w:rsidR="00D53F13">
        <w:rPr>
          <w:rFonts w:ascii="Century" w:hAnsi="Century"/>
          <w:sz w:val="24"/>
          <w:szCs w:val="24"/>
        </w:rPr>
        <w:t xml:space="preserve">This results in users losing interest as it takes longer for them to understand the regulatory message. </w:t>
      </w:r>
      <w:r w:rsidR="003D6FA4">
        <w:rPr>
          <w:rFonts w:ascii="Century" w:hAnsi="Century"/>
          <w:sz w:val="24"/>
          <w:szCs w:val="24"/>
        </w:rPr>
        <w:t>As stated by Ai</w:t>
      </w:r>
      <w:r w:rsidR="00BF5479">
        <w:rPr>
          <w:rFonts w:ascii="Century" w:hAnsi="Century"/>
          <w:sz w:val="24"/>
          <w:szCs w:val="24"/>
        </w:rPr>
        <w:t>t</w:t>
      </w:r>
      <w:r w:rsidR="003D6FA4">
        <w:rPr>
          <w:rFonts w:ascii="Century" w:hAnsi="Century"/>
          <w:sz w:val="24"/>
          <w:szCs w:val="24"/>
        </w:rPr>
        <w:t>ken, ‘legal writing should be an effective communication of the author’s meaning to the reader without undue concentration or effort by the latter’.</w:t>
      </w:r>
      <w:r w:rsidR="003D6FA4">
        <w:rPr>
          <w:rStyle w:val="FootnoteReference"/>
          <w:rFonts w:ascii="Century" w:hAnsi="Century"/>
          <w:sz w:val="24"/>
          <w:szCs w:val="24"/>
        </w:rPr>
        <w:footnoteReference w:id="248"/>
      </w:r>
      <w:r w:rsidR="003D6FA4">
        <w:rPr>
          <w:rFonts w:ascii="Century" w:hAnsi="Century"/>
          <w:sz w:val="24"/>
          <w:szCs w:val="24"/>
        </w:rPr>
        <w:t xml:space="preserve"> </w:t>
      </w:r>
      <w:r w:rsidR="00B358C4">
        <w:rPr>
          <w:rFonts w:ascii="Century" w:hAnsi="Century"/>
          <w:sz w:val="24"/>
          <w:szCs w:val="24"/>
        </w:rPr>
        <w:t>Similarly, Burrows and Carter find long sentences to be grammatically inelegant</w:t>
      </w:r>
      <w:r w:rsidR="007F2E7F">
        <w:rPr>
          <w:rFonts w:ascii="Century" w:hAnsi="Century"/>
          <w:sz w:val="24"/>
          <w:szCs w:val="24"/>
        </w:rPr>
        <w:t>,</w:t>
      </w:r>
      <w:r w:rsidR="00B358C4">
        <w:rPr>
          <w:rFonts w:ascii="Century" w:hAnsi="Century"/>
          <w:sz w:val="24"/>
          <w:szCs w:val="24"/>
        </w:rPr>
        <w:t xml:space="preserve"> making the provision ‘ungainly and difficult to understand’.</w:t>
      </w:r>
      <w:r w:rsidR="00B358C4" w:rsidRPr="00F32CF2">
        <w:rPr>
          <w:rStyle w:val="FootnoteReference"/>
          <w:rFonts w:ascii="Century" w:hAnsi="Century"/>
          <w:sz w:val="24"/>
          <w:szCs w:val="24"/>
        </w:rPr>
        <w:footnoteReference w:id="249"/>
      </w:r>
      <w:r w:rsidR="00B358C4">
        <w:rPr>
          <w:rFonts w:ascii="Century" w:hAnsi="Century"/>
          <w:sz w:val="24"/>
          <w:szCs w:val="24"/>
        </w:rPr>
        <w:t xml:space="preserve"> </w:t>
      </w:r>
      <w:r w:rsidR="006D31C2">
        <w:rPr>
          <w:rFonts w:ascii="Century" w:hAnsi="Century"/>
          <w:sz w:val="24"/>
          <w:szCs w:val="24"/>
        </w:rPr>
        <w:t>D</w:t>
      </w:r>
      <w:r w:rsidR="00622712" w:rsidRPr="00F32CF2">
        <w:rPr>
          <w:rFonts w:ascii="Century" w:hAnsi="Century"/>
          <w:sz w:val="24"/>
          <w:szCs w:val="24"/>
        </w:rPr>
        <w:t xml:space="preserve">rafters are </w:t>
      </w:r>
      <w:r w:rsidR="006D31C2">
        <w:rPr>
          <w:rFonts w:ascii="Century" w:hAnsi="Century"/>
          <w:sz w:val="24"/>
          <w:szCs w:val="24"/>
        </w:rPr>
        <w:t xml:space="preserve">also </w:t>
      </w:r>
      <w:r w:rsidR="00622712" w:rsidRPr="00F32CF2">
        <w:rPr>
          <w:rFonts w:ascii="Century" w:hAnsi="Century"/>
          <w:sz w:val="24"/>
          <w:szCs w:val="24"/>
        </w:rPr>
        <w:t>advised to avoid using technical language</w:t>
      </w:r>
      <w:r w:rsidR="00810294">
        <w:rPr>
          <w:rFonts w:ascii="Century" w:hAnsi="Century"/>
          <w:sz w:val="24"/>
          <w:szCs w:val="24"/>
        </w:rPr>
        <w:t>,</w:t>
      </w:r>
      <w:r w:rsidR="003E5021" w:rsidRPr="00F32CF2">
        <w:rPr>
          <w:rStyle w:val="FootnoteReference"/>
          <w:rFonts w:ascii="Century" w:hAnsi="Century"/>
          <w:sz w:val="24"/>
          <w:szCs w:val="24"/>
        </w:rPr>
        <w:footnoteReference w:id="250"/>
      </w:r>
      <w:r w:rsidR="00622712" w:rsidRPr="00F32CF2">
        <w:rPr>
          <w:rFonts w:ascii="Century" w:hAnsi="Century"/>
          <w:sz w:val="24"/>
          <w:szCs w:val="24"/>
        </w:rPr>
        <w:t xml:space="preserve"> </w:t>
      </w:r>
      <w:r w:rsidR="000B57F3" w:rsidRPr="00F32CF2">
        <w:rPr>
          <w:rFonts w:ascii="Century" w:hAnsi="Century"/>
          <w:sz w:val="24"/>
          <w:szCs w:val="24"/>
        </w:rPr>
        <w:t>archaic language</w:t>
      </w:r>
      <w:r w:rsidR="00964E16">
        <w:rPr>
          <w:rFonts w:ascii="Century" w:hAnsi="Century"/>
          <w:sz w:val="24"/>
          <w:szCs w:val="24"/>
        </w:rPr>
        <w:t xml:space="preserve"> and legalese words</w:t>
      </w:r>
      <w:r w:rsidR="000B57F3" w:rsidRPr="001C341E">
        <w:rPr>
          <w:rStyle w:val="FootnoteReference"/>
          <w:rFonts w:ascii="Century" w:hAnsi="Century"/>
          <w:sz w:val="24"/>
          <w:szCs w:val="24"/>
        </w:rPr>
        <w:footnoteReference w:id="251"/>
      </w:r>
      <w:r w:rsidR="00964E16" w:rsidRPr="001C341E">
        <w:rPr>
          <w:rFonts w:ascii="Century" w:hAnsi="Century"/>
          <w:sz w:val="24"/>
          <w:szCs w:val="24"/>
        </w:rPr>
        <w:t xml:space="preserve"> </w:t>
      </w:r>
      <w:r w:rsidR="00964E16" w:rsidRPr="001C341E">
        <w:rPr>
          <w:rFonts w:ascii="Century" w:hAnsi="Century"/>
          <w:sz w:val="24"/>
          <w:szCs w:val="24"/>
        </w:rPr>
        <w:lastRenderedPageBreak/>
        <w:t>and non-English expressions</w:t>
      </w:r>
      <w:r w:rsidR="00622712" w:rsidRPr="001C341E">
        <w:rPr>
          <w:rFonts w:ascii="Century" w:hAnsi="Century"/>
          <w:sz w:val="24"/>
          <w:szCs w:val="24"/>
        </w:rPr>
        <w:t>.</w:t>
      </w:r>
      <w:r w:rsidR="00964E16" w:rsidRPr="001C341E">
        <w:rPr>
          <w:rStyle w:val="FootnoteReference"/>
          <w:rFonts w:ascii="Century" w:hAnsi="Century"/>
          <w:sz w:val="24"/>
          <w:szCs w:val="24"/>
        </w:rPr>
        <w:footnoteReference w:id="252"/>
      </w:r>
      <w:r w:rsidR="00622712" w:rsidRPr="00F32CF2">
        <w:rPr>
          <w:rFonts w:ascii="Century" w:hAnsi="Century"/>
          <w:sz w:val="24"/>
          <w:szCs w:val="24"/>
        </w:rPr>
        <w:t xml:space="preserve"> </w:t>
      </w:r>
      <w:r w:rsidR="00CD5972">
        <w:rPr>
          <w:rFonts w:ascii="Century" w:hAnsi="Century"/>
          <w:sz w:val="24"/>
          <w:szCs w:val="24"/>
        </w:rPr>
        <w:t xml:space="preserve">Abandoning these expressions </w:t>
      </w:r>
      <w:r w:rsidR="007869F8" w:rsidRPr="00F32CF2">
        <w:rPr>
          <w:rFonts w:ascii="Century" w:hAnsi="Century"/>
          <w:sz w:val="24"/>
          <w:szCs w:val="24"/>
        </w:rPr>
        <w:t xml:space="preserve">is necessary because </w:t>
      </w:r>
      <w:r w:rsidR="00CD5972">
        <w:rPr>
          <w:rFonts w:ascii="Century" w:hAnsi="Century"/>
          <w:sz w:val="24"/>
          <w:szCs w:val="24"/>
        </w:rPr>
        <w:t>lay users</w:t>
      </w:r>
      <w:r w:rsidR="007869F8" w:rsidRPr="00F32CF2">
        <w:rPr>
          <w:rFonts w:ascii="Century" w:hAnsi="Century"/>
          <w:sz w:val="24"/>
          <w:szCs w:val="24"/>
        </w:rPr>
        <w:t xml:space="preserve"> will</w:t>
      </w:r>
      <w:r w:rsidR="00CD5972">
        <w:rPr>
          <w:rFonts w:ascii="Century" w:hAnsi="Century"/>
          <w:sz w:val="24"/>
          <w:szCs w:val="24"/>
        </w:rPr>
        <w:t xml:space="preserve"> have difficulty understanding them and ‘</w:t>
      </w:r>
      <w:r w:rsidR="007869F8" w:rsidRPr="00F32CF2">
        <w:rPr>
          <w:rFonts w:ascii="Century" w:hAnsi="Century"/>
          <w:sz w:val="24"/>
          <w:szCs w:val="24"/>
        </w:rPr>
        <w:t>they only have value when used</w:t>
      </w:r>
      <w:r w:rsidR="00AA5CF4">
        <w:rPr>
          <w:rFonts w:ascii="Century" w:hAnsi="Century"/>
          <w:sz w:val="24"/>
          <w:szCs w:val="24"/>
        </w:rPr>
        <w:t xml:space="preserve"> </w:t>
      </w:r>
      <w:r w:rsidR="007869F8" w:rsidRPr="00F32CF2">
        <w:rPr>
          <w:rFonts w:ascii="Century" w:hAnsi="Century"/>
          <w:sz w:val="24"/>
          <w:szCs w:val="24"/>
        </w:rPr>
        <w:t>between professionals</w:t>
      </w:r>
      <w:r w:rsidR="00CD5972">
        <w:rPr>
          <w:rFonts w:ascii="Century" w:hAnsi="Century"/>
          <w:sz w:val="24"/>
          <w:szCs w:val="24"/>
        </w:rPr>
        <w:t>’</w:t>
      </w:r>
      <w:r w:rsidR="007869F8" w:rsidRPr="00F32CF2">
        <w:rPr>
          <w:rFonts w:ascii="Century" w:hAnsi="Century"/>
          <w:sz w:val="24"/>
          <w:szCs w:val="24"/>
        </w:rPr>
        <w:t>.</w:t>
      </w:r>
      <w:r w:rsidR="007869F8" w:rsidRPr="00F32CF2">
        <w:rPr>
          <w:rStyle w:val="FootnoteReference"/>
          <w:rFonts w:ascii="Century" w:hAnsi="Century"/>
          <w:sz w:val="24"/>
          <w:szCs w:val="24"/>
        </w:rPr>
        <w:footnoteReference w:id="253"/>
      </w:r>
      <w:r w:rsidR="00CC4723" w:rsidRPr="00F32CF2">
        <w:rPr>
          <w:rFonts w:ascii="Century" w:hAnsi="Century"/>
          <w:sz w:val="24"/>
          <w:szCs w:val="24"/>
        </w:rPr>
        <w:t xml:space="preserve"> </w:t>
      </w:r>
    </w:p>
    <w:p w:rsidR="003F3100" w:rsidRDefault="003F3100" w:rsidP="00C011B9">
      <w:pPr>
        <w:spacing w:line="360" w:lineRule="auto"/>
        <w:jc w:val="both"/>
        <w:rPr>
          <w:rFonts w:ascii="Century" w:hAnsi="Century"/>
          <w:sz w:val="24"/>
          <w:szCs w:val="24"/>
        </w:rPr>
      </w:pPr>
    </w:p>
    <w:p w:rsidR="00231019" w:rsidRPr="00F32CF2" w:rsidRDefault="00231019" w:rsidP="00C011B9">
      <w:pPr>
        <w:spacing w:line="360" w:lineRule="auto"/>
        <w:jc w:val="both"/>
        <w:rPr>
          <w:rFonts w:ascii="Century" w:hAnsi="Century"/>
          <w:sz w:val="24"/>
          <w:szCs w:val="24"/>
        </w:rPr>
      </w:pPr>
    </w:p>
    <w:p w:rsidR="00973A60" w:rsidRPr="00F32CF2" w:rsidRDefault="00F8176D" w:rsidP="0022254C">
      <w:pPr>
        <w:pStyle w:val="ListParagraph"/>
        <w:numPr>
          <w:ilvl w:val="0"/>
          <w:numId w:val="9"/>
        </w:numPr>
        <w:spacing w:line="360" w:lineRule="auto"/>
        <w:jc w:val="both"/>
        <w:rPr>
          <w:rFonts w:ascii="Century" w:hAnsi="Century"/>
          <w:b/>
          <w:sz w:val="24"/>
          <w:szCs w:val="24"/>
        </w:rPr>
      </w:pPr>
      <w:r>
        <w:rPr>
          <w:rFonts w:ascii="Century" w:hAnsi="Century"/>
          <w:b/>
          <w:sz w:val="24"/>
          <w:szCs w:val="24"/>
        </w:rPr>
        <w:t>T</w:t>
      </w:r>
      <w:r w:rsidR="00973A60" w:rsidRPr="00F32CF2">
        <w:rPr>
          <w:rFonts w:ascii="Century" w:hAnsi="Century"/>
          <w:b/>
          <w:sz w:val="24"/>
          <w:szCs w:val="24"/>
        </w:rPr>
        <w:t xml:space="preserve">ools to </w:t>
      </w:r>
      <w:r w:rsidR="0090459E">
        <w:rPr>
          <w:rFonts w:ascii="Century" w:hAnsi="Century"/>
          <w:b/>
          <w:sz w:val="24"/>
          <w:szCs w:val="24"/>
        </w:rPr>
        <w:t>C</w:t>
      </w:r>
      <w:r w:rsidR="00391657">
        <w:rPr>
          <w:rFonts w:ascii="Century" w:hAnsi="Century"/>
          <w:b/>
          <w:sz w:val="24"/>
          <w:szCs w:val="24"/>
        </w:rPr>
        <w:t>omple</w:t>
      </w:r>
      <w:r w:rsidR="00726DD0">
        <w:rPr>
          <w:rFonts w:ascii="Century" w:hAnsi="Century"/>
          <w:b/>
          <w:sz w:val="24"/>
          <w:szCs w:val="24"/>
        </w:rPr>
        <w:t>ment</w:t>
      </w:r>
      <w:r w:rsidR="00973A60" w:rsidRPr="00F32CF2">
        <w:rPr>
          <w:rFonts w:ascii="Century" w:hAnsi="Century"/>
          <w:b/>
          <w:sz w:val="24"/>
          <w:szCs w:val="24"/>
        </w:rPr>
        <w:t xml:space="preserve"> </w:t>
      </w:r>
      <w:r w:rsidR="0090459E">
        <w:rPr>
          <w:rFonts w:ascii="Century" w:hAnsi="Century"/>
          <w:b/>
          <w:sz w:val="24"/>
          <w:szCs w:val="24"/>
        </w:rPr>
        <w:t>P</w:t>
      </w:r>
      <w:r w:rsidR="00726DD0">
        <w:rPr>
          <w:rFonts w:ascii="Century" w:hAnsi="Century"/>
          <w:b/>
          <w:sz w:val="24"/>
          <w:szCs w:val="24"/>
        </w:rPr>
        <w:t xml:space="preserve">lain </w:t>
      </w:r>
      <w:r w:rsidR="0090459E">
        <w:rPr>
          <w:rFonts w:ascii="Century" w:hAnsi="Century"/>
          <w:b/>
          <w:sz w:val="24"/>
          <w:szCs w:val="24"/>
        </w:rPr>
        <w:t>L</w:t>
      </w:r>
      <w:r w:rsidR="00726DD0">
        <w:rPr>
          <w:rFonts w:ascii="Century" w:hAnsi="Century"/>
          <w:b/>
          <w:sz w:val="24"/>
          <w:szCs w:val="24"/>
        </w:rPr>
        <w:t>anguage</w:t>
      </w:r>
    </w:p>
    <w:p w:rsidR="00742546" w:rsidRDefault="00C222DB" w:rsidP="00B11EB9">
      <w:pPr>
        <w:spacing w:line="360" w:lineRule="auto"/>
        <w:jc w:val="both"/>
        <w:rPr>
          <w:rFonts w:ascii="Century" w:hAnsi="Century"/>
          <w:sz w:val="24"/>
          <w:szCs w:val="24"/>
        </w:rPr>
      </w:pPr>
      <w:r w:rsidRPr="00F32CF2">
        <w:rPr>
          <w:rFonts w:ascii="Century" w:hAnsi="Century"/>
          <w:sz w:val="24"/>
          <w:szCs w:val="24"/>
        </w:rPr>
        <w:t>Drafting legislation is different from other writings as drafter</w:t>
      </w:r>
      <w:r w:rsidR="00CE0A69">
        <w:rPr>
          <w:rFonts w:ascii="Century" w:hAnsi="Century"/>
          <w:sz w:val="24"/>
          <w:szCs w:val="24"/>
        </w:rPr>
        <w:t>s</w:t>
      </w:r>
      <w:r w:rsidRPr="00F32CF2">
        <w:rPr>
          <w:rFonts w:ascii="Century" w:hAnsi="Century"/>
          <w:sz w:val="24"/>
          <w:szCs w:val="24"/>
        </w:rPr>
        <w:t xml:space="preserve"> cannot employ the </w:t>
      </w:r>
      <w:r w:rsidR="00DB2627">
        <w:rPr>
          <w:rFonts w:ascii="Century" w:hAnsi="Century"/>
          <w:sz w:val="24"/>
          <w:szCs w:val="24"/>
        </w:rPr>
        <w:t>same</w:t>
      </w:r>
      <w:r w:rsidRPr="00F32CF2">
        <w:rPr>
          <w:rFonts w:ascii="Century" w:hAnsi="Century"/>
          <w:sz w:val="24"/>
          <w:szCs w:val="24"/>
        </w:rPr>
        <w:t xml:space="preserve"> literary techniques such as repetition or colourful language to make the law comprehensible to users.</w:t>
      </w:r>
      <w:r w:rsidR="006333FE" w:rsidRPr="00F32CF2">
        <w:rPr>
          <w:rStyle w:val="FootnoteReference"/>
          <w:rFonts w:ascii="Century" w:hAnsi="Century"/>
          <w:sz w:val="24"/>
          <w:szCs w:val="24"/>
        </w:rPr>
        <w:footnoteReference w:id="254"/>
      </w:r>
      <w:r w:rsidR="006333FE">
        <w:rPr>
          <w:rFonts w:ascii="Century" w:hAnsi="Century"/>
          <w:sz w:val="24"/>
          <w:szCs w:val="24"/>
        </w:rPr>
        <w:t xml:space="preserve"> </w:t>
      </w:r>
      <w:r>
        <w:rPr>
          <w:rFonts w:ascii="Century" w:hAnsi="Century"/>
          <w:sz w:val="24"/>
          <w:szCs w:val="24"/>
        </w:rPr>
        <w:t>However, t</w:t>
      </w:r>
      <w:r w:rsidR="00F81F0F" w:rsidRPr="00F32CF2">
        <w:rPr>
          <w:rFonts w:ascii="Century" w:hAnsi="Century"/>
          <w:sz w:val="24"/>
          <w:szCs w:val="24"/>
        </w:rPr>
        <w:t xml:space="preserve">o </w:t>
      </w:r>
      <w:r w:rsidR="00CE0A69" w:rsidRPr="00F32CF2">
        <w:rPr>
          <w:rFonts w:ascii="Century" w:hAnsi="Century"/>
          <w:sz w:val="24"/>
          <w:szCs w:val="24"/>
        </w:rPr>
        <w:t>the advantage</w:t>
      </w:r>
      <w:r w:rsidR="00CE0A69">
        <w:rPr>
          <w:rFonts w:ascii="Century" w:hAnsi="Century"/>
          <w:sz w:val="24"/>
          <w:szCs w:val="24"/>
        </w:rPr>
        <w:t xml:space="preserve"> of drafters</w:t>
      </w:r>
      <w:r w:rsidR="000943F1">
        <w:rPr>
          <w:rFonts w:ascii="Century" w:hAnsi="Century"/>
          <w:sz w:val="24"/>
          <w:szCs w:val="24"/>
        </w:rPr>
        <w:t xml:space="preserve"> there are useful supplementary tools</w:t>
      </w:r>
      <w:r w:rsidR="00F81F0F" w:rsidRPr="00F32CF2">
        <w:rPr>
          <w:rFonts w:ascii="Century" w:hAnsi="Century"/>
          <w:sz w:val="24"/>
          <w:szCs w:val="24"/>
        </w:rPr>
        <w:t xml:space="preserve"> </w:t>
      </w:r>
      <w:r w:rsidR="00742546">
        <w:rPr>
          <w:rFonts w:ascii="Century" w:hAnsi="Century"/>
          <w:sz w:val="24"/>
          <w:szCs w:val="24"/>
        </w:rPr>
        <w:t xml:space="preserve">available </w:t>
      </w:r>
      <w:r w:rsidR="00126E15">
        <w:rPr>
          <w:rFonts w:ascii="Century" w:hAnsi="Century"/>
          <w:sz w:val="24"/>
          <w:szCs w:val="24"/>
        </w:rPr>
        <w:t xml:space="preserve">to enhance accessibility. </w:t>
      </w:r>
      <w:r w:rsidR="009A5FD7">
        <w:rPr>
          <w:rFonts w:ascii="Century" w:hAnsi="Century"/>
          <w:sz w:val="24"/>
          <w:szCs w:val="24"/>
        </w:rPr>
        <w:t xml:space="preserve">These tools are </w:t>
      </w:r>
      <w:r w:rsidR="0072744C">
        <w:rPr>
          <w:rFonts w:ascii="Century" w:hAnsi="Century"/>
          <w:sz w:val="24"/>
          <w:szCs w:val="24"/>
        </w:rPr>
        <w:t xml:space="preserve">especially useful </w:t>
      </w:r>
      <w:r w:rsidR="009A5FD7">
        <w:rPr>
          <w:rFonts w:ascii="Century" w:hAnsi="Century"/>
          <w:sz w:val="24"/>
          <w:szCs w:val="24"/>
        </w:rPr>
        <w:t>where the bill deals with a tec</w:t>
      </w:r>
      <w:r w:rsidR="0072744C">
        <w:rPr>
          <w:rFonts w:ascii="Century" w:hAnsi="Century"/>
          <w:sz w:val="24"/>
          <w:szCs w:val="24"/>
        </w:rPr>
        <w:t xml:space="preserve">hnical and </w:t>
      </w:r>
      <w:r w:rsidR="009A5FD7">
        <w:rPr>
          <w:rFonts w:ascii="Century" w:hAnsi="Century"/>
          <w:sz w:val="24"/>
          <w:szCs w:val="24"/>
        </w:rPr>
        <w:t>complex subject</w:t>
      </w:r>
      <w:r w:rsidR="009A5FD7" w:rsidRPr="00F32CF2">
        <w:rPr>
          <w:rStyle w:val="FootnoteReference"/>
          <w:rFonts w:ascii="Century" w:hAnsi="Century"/>
          <w:sz w:val="24"/>
          <w:szCs w:val="24"/>
        </w:rPr>
        <w:footnoteReference w:id="255"/>
      </w:r>
      <w:r w:rsidR="009A5FD7">
        <w:rPr>
          <w:rFonts w:ascii="Century" w:hAnsi="Century"/>
          <w:sz w:val="24"/>
          <w:szCs w:val="24"/>
        </w:rPr>
        <w:t xml:space="preserve"> or where the bill is lengthy.</w:t>
      </w:r>
      <w:r w:rsidR="009A5FD7" w:rsidRPr="00F32CF2">
        <w:rPr>
          <w:rStyle w:val="FootnoteReference"/>
          <w:rFonts w:ascii="Century" w:hAnsi="Century"/>
          <w:sz w:val="24"/>
          <w:szCs w:val="24"/>
        </w:rPr>
        <w:footnoteReference w:id="256"/>
      </w:r>
      <w:r w:rsidR="009A5FD7">
        <w:rPr>
          <w:rFonts w:ascii="Century" w:hAnsi="Century"/>
          <w:sz w:val="24"/>
          <w:szCs w:val="24"/>
        </w:rPr>
        <w:t xml:space="preserve"> </w:t>
      </w:r>
      <w:r w:rsidR="00A00B1A" w:rsidRPr="00F32CF2">
        <w:rPr>
          <w:rFonts w:ascii="Century" w:hAnsi="Century"/>
          <w:sz w:val="24"/>
          <w:szCs w:val="24"/>
        </w:rPr>
        <w:t>As expressed by Thornton ‘</w:t>
      </w:r>
      <w:r w:rsidR="00B437A0">
        <w:rPr>
          <w:rFonts w:ascii="Century" w:hAnsi="Century"/>
          <w:sz w:val="24"/>
          <w:szCs w:val="24"/>
        </w:rPr>
        <w:t>T</w:t>
      </w:r>
      <w:r w:rsidR="00A00B1A" w:rsidRPr="00F32CF2">
        <w:rPr>
          <w:rFonts w:ascii="Century" w:hAnsi="Century"/>
          <w:sz w:val="24"/>
          <w:szCs w:val="24"/>
        </w:rPr>
        <w:t>he complexity of much of the material that the legislative drafter is compelled to distil and communicate is unavoidable.’</w:t>
      </w:r>
      <w:r w:rsidR="00A00B1A" w:rsidRPr="00F32CF2">
        <w:rPr>
          <w:rStyle w:val="FootnoteReference"/>
          <w:rFonts w:ascii="Century" w:hAnsi="Century"/>
          <w:sz w:val="24"/>
          <w:szCs w:val="24"/>
        </w:rPr>
        <w:footnoteReference w:id="257"/>
      </w:r>
      <w:r w:rsidR="00A00B1A" w:rsidRPr="00F32CF2">
        <w:rPr>
          <w:rFonts w:ascii="Century" w:hAnsi="Century"/>
          <w:sz w:val="24"/>
          <w:szCs w:val="24"/>
        </w:rPr>
        <w:t xml:space="preserve"> Equally, Elliot notes that ‘some provisions are tough to write. Despite our best efforts they may not be easy to understand.’</w:t>
      </w:r>
      <w:r w:rsidR="00A00B1A" w:rsidRPr="00F32CF2">
        <w:rPr>
          <w:rStyle w:val="FootnoteReference"/>
          <w:rFonts w:ascii="Century" w:hAnsi="Century"/>
          <w:sz w:val="24"/>
          <w:szCs w:val="24"/>
        </w:rPr>
        <w:footnoteReference w:id="258"/>
      </w:r>
      <w:r w:rsidR="00A00B1A" w:rsidRPr="00F32CF2">
        <w:rPr>
          <w:rFonts w:ascii="Century" w:hAnsi="Century"/>
          <w:sz w:val="24"/>
          <w:szCs w:val="24"/>
        </w:rPr>
        <w:t xml:space="preserve"> </w:t>
      </w:r>
      <w:r w:rsidR="00CA18D1">
        <w:rPr>
          <w:rFonts w:ascii="Century" w:hAnsi="Century"/>
          <w:sz w:val="24"/>
          <w:szCs w:val="24"/>
        </w:rPr>
        <w:t xml:space="preserve">As explained by the Irish Law Commission, while every statute should be drafted clearly not all </w:t>
      </w:r>
      <w:r w:rsidR="00796C50">
        <w:rPr>
          <w:rFonts w:ascii="Century" w:hAnsi="Century"/>
          <w:sz w:val="24"/>
          <w:szCs w:val="24"/>
        </w:rPr>
        <w:t>can be converted</w:t>
      </w:r>
      <w:r w:rsidR="00CA18D1">
        <w:rPr>
          <w:rFonts w:ascii="Century" w:hAnsi="Century"/>
          <w:sz w:val="24"/>
          <w:szCs w:val="24"/>
        </w:rPr>
        <w:t xml:space="preserve"> to layman terms especially those </w:t>
      </w:r>
      <w:r w:rsidR="00796C50">
        <w:rPr>
          <w:rFonts w:ascii="Century" w:hAnsi="Century"/>
          <w:sz w:val="24"/>
          <w:szCs w:val="24"/>
        </w:rPr>
        <w:t xml:space="preserve">situations </w:t>
      </w:r>
      <w:r w:rsidR="00CA18D1">
        <w:rPr>
          <w:rFonts w:ascii="Century" w:hAnsi="Century"/>
          <w:sz w:val="24"/>
          <w:szCs w:val="24"/>
        </w:rPr>
        <w:t xml:space="preserve">where technical words and jargons form part of the vernacular of </w:t>
      </w:r>
      <w:r w:rsidR="00AE1665">
        <w:rPr>
          <w:rFonts w:ascii="Century" w:hAnsi="Century"/>
          <w:sz w:val="24"/>
          <w:szCs w:val="24"/>
        </w:rPr>
        <w:t>a</w:t>
      </w:r>
      <w:r w:rsidR="00CA18D1">
        <w:rPr>
          <w:rFonts w:ascii="Century" w:hAnsi="Century"/>
          <w:sz w:val="24"/>
          <w:szCs w:val="24"/>
        </w:rPr>
        <w:t xml:space="preserve"> specific group. Trying to reduce these words to plain language might cause them to lose their effectiveness.</w:t>
      </w:r>
      <w:r w:rsidR="00CA18D1">
        <w:rPr>
          <w:rStyle w:val="FootnoteReference"/>
          <w:rFonts w:ascii="Century" w:hAnsi="Century"/>
          <w:sz w:val="24"/>
          <w:szCs w:val="24"/>
        </w:rPr>
        <w:footnoteReference w:id="259"/>
      </w:r>
    </w:p>
    <w:p w:rsidR="00742546" w:rsidRDefault="00742546" w:rsidP="00B11EB9">
      <w:pPr>
        <w:spacing w:line="360" w:lineRule="auto"/>
        <w:jc w:val="both"/>
        <w:rPr>
          <w:rFonts w:ascii="Century" w:hAnsi="Century"/>
          <w:sz w:val="24"/>
          <w:szCs w:val="24"/>
        </w:rPr>
      </w:pPr>
    </w:p>
    <w:p w:rsidR="00742546" w:rsidRDefault="00AA69F8" w:rsidP="00B11EB9">
      <w:pPr>
        <w:spacing w:line="360" w:lineRule="auto"/>
        <w:jc w:val="both"/>
        <w:rPr>
          <w:rFonts w:ascii="Century" w:hAnsi="Century"/>
          <w:sz w:val="24"/>
          <w:szCs w:val="24"/>
        </w:rPr>
      </w:pPr>
      <w:r>
        <w:rPr>
          <w:rFonts w:ascii="Century" w:hAnsi="Century"/>
          <w:sz w:val="24"/>
          <w:szCs w:val="24"/>
        </w:rPr>
        <w:lastRenderedPageBreak/>
        <w:t>The use of supplementary tools allows drafter</w:t>
      </w:r>
      <w:r w:rsidR="00CE0A69">
        <w:rPr>
          <w:rFonts w:ascii="Century" w:hAnsi="Century"/>
          <w:sz w:val="24"/>
          <w:szCs w:val="24"/>
        </w:rPr>
        <w:t>s</w:t>
      </w:r>
      <w:r>
        <w:rPr>
          <w:rFonts w:ascii="Century" w:hAnsi="Century"/>
          <w:sz w:val="24"/>
          <w:szCs w:val="24"/>
        </w:rPr>
        <w:t xml:space="preserve"> to </w:t>
      </w:r>
      <w:r w:rsidR="00742546">
        <w:rPr>
          <w:rFonts w:ascii="Century" w:hAnsi="Century"/>
          <w:sz w:val="24"/>
          <w:szCs w:val="24"/>
        </w:rPr>
        <w:t xml:space="preserve">explain </w:t>
      </w:r>
      <w:r w:rsidR="000943F1">
        <w:rPr>
          <w:rFonts w:ascii="Century" w:hAnsi="Century"/>
          <w:sz w:val="24"/>
          <w:szCs w:val="24"/>
        </w:rPr>
        <w:t xml:space="preserve">the purpose and operation of </w:t>
      </w:r>
      <w:r w:rsidR="00742546">
        <w:rPr>
          <w:rFonts w:ascii="Century" w:hAnsi="Century"/>
          <w:sz w:val="24"/>
          <w:szCs w:val="24"/>
        </w:rPr>
        <w:t xml:space="preserve">complex </w:t>
      </w:r>
      <w:r w:rsidR="000943F1">
        <w:rPr>
          <w:rFonts w:ascii="Century" w:hAnsi="Century"/>
          <w:sz w:val="24"/>
          <w:szCs w:val="24"/>
        </w:rPr>
        <w:t xml:space="preserve">provisions as well as aid users </w:t>
      </w:r>
      <w:r w:rsidR="00742546">
        <w:rPr>
          <w:rFonts w:ascii="Century" w:hAnsi="Century"/>
          <w:sz w:val="24"/>
          <w:szCs w:val="24"/>
        </w:rPr>
        <w:t>in navigating</w:t>
      </w:r>
      <w:r w:rsidR="000943F1">
        <w:rPr>
          <w:rFonts w:ascii="Century" w:hAnsi="Century"/>
          <w:sz w:val="24"/>
          <w:szCs w:val="24"/>
        </w:rPr>
        <w:t xml:space="preserve"> the act. </w:t>
      </w:r>
      <w:r>
        <w:rPr>
          <w:rFonts w:ascii="Century" w:hAnsi="Century"/>
          <w:sz w:val="24"/>
          <w:szCs w:val="24"/>
        </w:rPr>
        <w:t>Therefore, encountering</w:t>
      </w:r>
      <w:r w:rsidR="00621F0E" w:rsidRPr="00F32CF2">
        <w:rPr>
          <w:rFonts w:ascii="Century" w:hAnsi="Century"/>
          <w:sz w:val="24"/>
          <w:szCs w:val="24"/>
        </w:rPr>
        <w:t xml:space="preserve"> </w:t>
      </w:r>
      <w:r>
        <w:rPr>
          <w:rFonts w:ascii="Century" w:hAnsi="Century"/>
          <w:sz w:val="24"/>
          <w:szCs w:val="24"/>
        </w:rPr>
        <w:t xml:space="preserve">complex subject matters </w:t>
      </w:r>
      <w:r w:rsidR="00621F0E" w:rsidRPr="00F32CF2">
        <w:rPr>
          <w:rFonts w:ascii="Century" w:hAnsi="Century"/>
          <w:sz w:val="24"/>
          <w:szCs w:val="24"/>
        </w:rPr>
        <w:t xml:space="preserve">is an opportunity for the drafter to be </w:t>
      </w:r>
      <w:r w:rsidR="000943F1">
        <w:rPr>
          <w:rFonts w:ascii="Century" w:hAnsi="Century"/>
          <w:sz w:val="24"/>
          <w:szCs w:val="24"/>
        </w:rPr>
        <w:t>creative</w:t>
      </w:r>
      <w:r w:rsidR="00621F0E" w:rsidRPr="00F32CF2">
        <w:rPr>
          <w:rFonts w:ascii="Century" w:hAnsi="Century"/>
          <w:sz w:val="24"/>
          <w:szCs w:val="24"/>
        </w:rPr>
        <w:t xml:space="preserve"> and make use of </w:t>
      </w:r>
      <w:r w:rsidR="00742546">
        <w:rPr>
          <w:rFonts w:ascii="Century" w:hAnsi="Century"/>
          <w:sz w:val="24"/>
          <w:szCs w:val="24"/>
        </w:rPr>
        <w:t>supplementary</w:t>
      </w:r>
      <w:r w:rsidR="00621F0E" w:rsidRPr="00F32CF2">
        <w:rPr>
          <w:rFonts w:ascii="Century" w:hAnsi="Century"/>
          <w:sz w:val="24"/>
          <w:szCs w:val="24"/>
        </w:rPr>
        <w:t xml:space="preserve"> tool</w:t>
      </w:r>
      <w:r w:rsidR="00742546">
        <w:rPr>
          <w:rFonts w:ascii="Century" w:hAnsi="Century"/>
          <w:sz w:val="24"/>
          <w:szCs w:val="24"/>
        </w:rPr>
        <w:t>s</w:t>
      </w:r>
      <w:r w:rsidR="00621F0E" w:rsidRPr="00F32CF2">
        <w:rPr>
          <w:rFonts w:ascii="Century" w:hAnsi="Century"/>
          <w:sz w:val="24"/>
          <w:szCs w:val="24"/>
        </w:rPr>
        <w:t xml:space="preserve"> to </w:t>
      </w:r>
      <w:r w:rsidR="00742546">
        <w:rPr>
          <w:rFonts w:ascii="Century" w:hAnsi="Century"/>
          <w:sz w:val="24"/>
          <w:szCs w:val="24"/>
        </w:rPr>
        <w:t xml:space="preserve">enhance </w:t>
      </w:r>
      <w:r w:rsidR="00621F0E" w:rsidRPr="00F32CF2">
        <w:rPr>
          <w:rFonts w:ascii="Century" w:hAnsi="Century"/>
          <w:sz w:val="24"/>
          <w:szCs w:val="24"/>
        </w:rPr>
        <w:t>communication</w:t>
      </w:r>
      <w:r w:rsidR="002121CF">
        <w:rPr>
          <w:rFonts w:ascii="Century" w:hAnsi="Century"/>
          <w:sz w:val="24"/>
          <w:szCs w:val="24"/>
        </w:rPr>
        <w:t xml:space="preserve">. </w:t>
      </w:r>
      <w:r w:rsidR="00742546">
        <w:rPr>
          <w:rFonts w:ascii="Century" w:hAnsi="Century"/>
          <w:sz w:val="24"/>
          <w:szCs w:val="24"/>
        </w:rPr>
        <w:t>Complex provisions are simply the opportunity to make the law easier to understand.</w:t>
      </w:r>
      <w:r w:rsidR="00ED6859" w:rsidRPr="00384AAD">
        <w:rPr>
          <w:rStyle w:val="FootnoteReference"/>
          <w:rFonts w:ascii="Century" w:hAnsi="Century"/>
          <w:sz w:val="24"/>
          <w:szCs w:val="24"/>
        </w:rPr>
        <w:footnoteReference w:id="260"/>
      </w:r>
      <w:r w:rsidR="00742546">
        <w:rPr>
          <w:rFonts w:ascii="Century" w:hAnsi="Century"/>
          <w:sz w:val="24"/>
          <w:szCs w:val="24"/>
        </w:rPr>
        <w:t xml:space="preserve"> </w:t>
      </w:r>
    </w:p>
    <w:p w:rsidR="00271871" w:rsidRDefault="00271871" w:rsidP="00B11EB9">
      <w:pPr>
        <w:spacing w:line="360" w:lineRule="auto"/>
        <w:jc w:val="both"/>
        <w:rPr>
          <w:rFonts w:ascii="Century" w:hAnsi="Century"/>
          <w:sz w:val="24"/>
          <w:szCs w:val="24"/>
        </w:rPr>
      </w:pPr>
    </w:p>
    <w:p w:rsidR="00887DB0" w:rsidRPr="00F32CF2" w:rsidRDefault="00622AC7" w:rsidP="00B11EB9">
      <w:pPr>
        <w:spacing w:line="360" w:lineRule="auto"/>
        <w:jc w:val="both"/>
        <w:rPr>
          <w:rFonts w:ascii="Century" w:hAnsi="Century"/>
          <w:sz w:val="24"/>
          <w:szCs w:val="24"/>
        </w:rPr>
      </w:pPr>
      <w:r>
        <w:rPr>
          <w:rFonts w:ascii="Century" w:hAnsi="Century"/>
          <w:sz w:val="24"/>
          <w:szCs w:val="24"/>
        </w:rPr>
        <w:t>Countries like Australia and</w:t>
      </w:r>
      <w:r w:rsidR="006D517F" w:rsidRPr="00F32CF2">
        <w:rPr>
          <w:rFonts w:ascii="Century" w:hAnsi="Century"/>
          <w:sz w:val="24"/>
          <w:szCs w:val="24"/>
        </w:rPr>
        <w:t xml:space="preserve"> New Zealand</w:t>
      </w:r>
      <w:r>
        <w:rPr>
          <w:rFonts w:ascii="Century" w:hAnsi="Century"/>
          <w:sz w:val="24"/>
          <w:szCs w:val="24"/>
        </w:rPr>
        <w:t xml:space="preserve"> </w:t>
      </w:r>
      <w:r w:rsidRPr="00F32CF2">
        <w:rPr>
          <w:rFonts w:ascii="Century" w:hAnsi="Century"/>
          <w:sz w:val="24"/>
          <w:szCs w:val="24"/>
        </w:rPr>
        <w:t>have</w:t>
      </w:r>
      <w:r w:rsidR="006D517F" w:rsidRPr="00F32CF2">
        <w:rPr>
          <w:rFonts w:ascii="Century" w:hAnsi="Century"/>
          <w:sz w:val="24"/>
          <w:szCs w:val="24"/>
        </w:rPr>
        <w:t xml:space="preserve"> </w:t>
      </w:r>
      <w:r w:rsidR="00B11EB9">
        <w:rPr>
          <w:rFonts w:ascii="Century" w:hAnsi="Century"/>
          <w:sz w:val="24"/>
          <w:szCs w:val="24"/>
        </w:rPr>
        <w:t>embraced</w:t>
      </w:r>
      <w:r>
        <w:rPr>
          <w:rFonts w:ascii="Century" w:hAnsi="Century"/>
          <w:sz w:val="24"/>
          <w:szCs w:val="24"/>
        </w:rPr>
        <w:t xml:space="preserve"> and encouraged their drafters to</w:t>
      </w:r>
      <w:r w:rsidR="00B11EB9">
        <w:rPr>
          <w:rFonts w:ascii="Century" w:hAnsi="Century"/>
          <w:sz w:val="24"/>
          <w:szCs w:val="24"/>
        </w:rPr>
        <w:t xml:space="preserve"> </w:t>
      </w:r>
      <w:r w:rsidR="006D517F" w:rsidRPr="00F32CF2">
        <w:rPr>
          <w:rFonts w:ascii="Century" w:hAnsi="Century"/>
          <w:sz w:val="24"/>
          <w:szCs w:val="24"/>
        </w:rPr>
        <w:t>use</w:t>
      </w:r>
      <w:r w:rsidR="004B0794">
        <w:rPr>
          <w:rFonts w:ascii="Century" w:hAnsi="Century"/>
          <w:sz w:val="24"/>
          <w:szCs w:val="24"/>
        </w:rPr>
        <w:t xml:space="preserve"> </w:t>
      </w:r>
      <w:r w:rsidR="006D517F" w:rsidRPr="00F32CF2">
        <w:rPr>
          <w:rFonts w:ascii="Century" w:hAnsi="Century"/>
          <w:sz w:val="24"/>
          <w:szCs w:val="24"/>
        </w:rPr>
        <w:t xml:space="preserve">supplementary tools to aid interpretation. </w:t>
      </w:r>
      <w:r w:rsidR="00742546">
        <w:rPr>
          <w:rFonts w:ascii="Century" w:hAnsi="Century"/>
          <w:sz w:val="24"/>
          <w:szCs w:val="24"/>
        </w:rPr>
        <w:t xml:space="preserve">For example, </w:t>
      </w:r>
      <w:r w:rsidR="00FD7511">
        <w:rPr>
          <w:rFonts w:ascii="Century" w:hAnsi="Century"/>
          <w:sz w:val="24"/>
          <w:szCs w:val="24"/>
        </w:rPr>
        <w:t>N</w:t>
      </w:r>
      <w:r>
        <w:rPr>
          <w:rFonts w:ascii="Century" w:hAnsi="Century"/>
          <w:sz w:val="24"/>
          <w:szCs w:val="24"/>
        </w:rPr>
        <w:t xml:space="preserve">ew </w:t>
      </w:r>
      <w:r w:rsidR="00FD7511">
        <w:rPr>
          <w:rFonts w:ascii="Century" w:hAnsi="Century"/>
          <w:sz w:val="24"/>
          <w:szCs w:val="24"/>
        </w:rPr>
        <w:t>Z</w:t>
      </w:r>
      <w:r>
        <w:rPr>
          <w:rFonts w:ascii="Century" w:hAnsi="Century"/>
          <w:sz w:val="24"/>
          <w:szCs w:val="24"/>
        </w:rPr>
        <w:t>ealand</w:t>
      </w:r>
      <w:r w:rsidR="00E66320" w:rsidRPr="00F32CF2">
        <w:rPr>
          <w:rFonts w:ascii="Century" w:hAnsi="Century"/>
          <w:sz w:val="24"/>
          <w:szCs w:val="24"/>
        </w:rPr>
        <w:t xml:space="preserve"> encourages the use o</w:t>
      </w:r>
      <w:r>
        <w:rPr>
          <w:rFonts w:ascii="Century" w:hAnsi="Century"/>
          <w:sz w:val="24"/>
          <w:szCs w:val="24"/>
        </w:rPr>
        <w:t>f tables, examples and formulas,</w:t>
      </w:r>
      <w:r w:rsidR="00E66320" w:rsidRPr="00F32CF2">
        <w:rPr>
          <w:rStyle w:val="FootnoteReference"/>
          <w:rFonts w:ascii="Century" w:hAnsi="Century"/>
          <w:sz w:val="24"/>
          <w:szCs w:val="24"/>
        </w:rPr>
        <w:footnoteReference w:id="261"/>
      </w:r>
      <w:r w:rsidR="00E66320" w:rsidRPr="00F32CF2">
        <w:rPr>
          <w:rFonts w:ascii="Century" w:hAnsi="Century"/>
          <w:sz w:val="24"/>
          <w:szCs w:val="24"/>
        </w:rPr>
        <w:t xml:space="preserve"> </w:t>
      </w:r>
      <w:r w:rsidR="00676746">
        <w:rPr>
          <w:rFonts w:ascii="Century" w:hAnsi="Century"/>
          <w:sz w:val="24"/>
          <w:szCs w:val="24"/>
        </w:rPr>
        <w:t>‘</w:t>
      </w:r>
      <w:r w:rsidR="00E43C7E" w:rsidRPr="00F32CF2">
        <w:rPr>
          <w:rFonts w:ascii="Century" w:hAnsi="Century"/>
          <w:sz w:val="24"/>
          <w:szCs w:val="24"/>
        </w:rPr>
        <w:t>explanatory notes, flow-charts</w:t>
      </w:r>
      <w:r w:rsidR="00676746" w:rsidRPr="00F32CF2">
        <w:rPr>
          <w:rFonts w:ascii="Century" w:hAnsi="Century"/>
          <w:sz w:val="24"/>
          <w:szCs w:val="24"/>
        </w:rPr>
        <w:t>…</w:t>
      </w:r>
      <w:r w:rsidR="00353600">
        <w:rPr>
          <w:rFonts w:ascii="Century" w:hAnsi="Century"/>
          <w:sz w:val="24"/>
          <w:szCs w:val="24"/>
        </w:rPr>
        <w:t>graphs, diagrams</w:t>
      </w:r>
      <w:r w:rsidR="00676746">
        <w:rPr>
          <w:rFonts w:ascii="Century" w:hAnsi="Century"/>
          <w:sz w:val="24"/>
          <w:szCs w:val="24"/>
        </w:rPr>
        <w:t>…</w:t>
      </w:r>
      <w:r w:rsidR="00353600">
        <w:rPr>
          <w:rFonts w:ascii="Century" w:hAnsi="Century"/>
          <w:sz w:val="24"/>
          <w:szCs w:val="24"/>
        </w:rPr>
        <w:t xml:space="preserve"> and</w:t>
      </w:r>
      <w:r>
        <w:rPr>
          <w:rFonts w:ascii="Century" w:hAnsi="Century"/>
          <w:sz w:val="24"/>
          <w:szCs w:val="24"/>
        </w:rPr>
        <w:t xml:space="preserve"> </w:t>
      </w:r>
      <w:r w:rsidR="00676746">
        <w:rPr>
          <w:rFonts w:ascii="Century" w:hAnsi="Century"/>
          <w:sz w:val="24"/>
          <w:szCs w:val="24"/>
        </w:rPr>
        <w:t xml:space="preserve">in longer Acts </w:t>
      </w:r>
      <w:r w:rsidR="00E43C7E" w:rsidRPr="00F32CF2">
        <w:rPr>
          <w:rFonts w:ascii="Century" w:hAnsi="Century"/>
          <w:sz w:val="24"/>
          <w:szCs w:val="24"/>
        </w:rPr>
        <w:t xml:space="preserve">indexes of </w:t>
      </w:r>
      <w:r w:rsidR="00856F9C">
        <w:rPr>
          <w:rFonts w:ascii="Century" w:hAnsi="Century"/>
          <w:sz w:val="24"/>
          <w:szCs w:val="24"/>
        </w:rPr>
        <w:t xml:space="preserve">key </w:t>
      </w:r>
      <w:r w:rsidR="00E43C7E" w:rsidRPr="00F32CF2">
        <w:rPr>
          <w:rFonts w:ascii="Century" w:hAnsi="Century"/>
          <w:sz w:val="24"/>
          <w:szCs w:val="24"/>
        </w:rPr>
        <w:t>words</w:t>
      </w:r>
      <w:r w:rsidR="002B3E17">
        <w:rPr>
          <w:rFonts w:ascii="Century" w:hAnsi="Century"/>
          <w:sz w:val="24"/>
          <w:szCs w:val="24"/>
        </w:rPr>
        <w:t xml:space="preserve"> and phrases</w:t>
      </w:r>
      <w:r w:rsidR="00676746">
        <w:rPr>
          <w:rFonts w:ascii="Century" w:hAnsi="Century"/>
          <w:sz w:val="24"/>
          <w:szCs w:val="24"/>
        </w:rPr>
        <w:t>’</w:t>
      </w:r>
      <w:r w:rsidR="00353600">
        <w:rPr>
          <w:rFonts w:ascii="Century" w:hAnsi="Century"/>
          <w:sz w:val="24"/>
          <w:szCs w:val="24"/>
        </w:rPr>
        <w:t>.</w:t>
      </w:r>
      <w:r w:rsidR="00E43C7E" w:rsidRPr="00F32CF2">
        <w:rPr>
          <w:rStyle w:val="FootnoteReference"/>
          <w:rFonts w:ascii="Century" w:hAnsi="Century"/>
          <w:sz w:val="24"/>
          <w:szCs w:val="24"/>
        </w:rPr>
        <w:footnoteReference w:id="262"/>
      </w:r>
      <w:r w:rsidR="00F23B98" w:rsidRPr="00F32CF2">
        <w:rPr>
          <w:rFonts w:ascii="Century" w:hAnsi="Century"/>
          <w:sz w:val="24"/>
          <w:szCs w:val="24"/>
        </w:rPr>
        <w:t xml:space="preserve"> </w:t>
      </w:r>
      <w:r w:rsidR="00742546">
        <w:rPr>
          <w:rFonts w:ascii="Century" w:hAnsi="Century"/>
          <w:sz w:val="24"/>
          <w:szCs w:val="24"/>
        </w:rPr>
        <w:t xml:space="preserve">Australian drafters are encouraged to use </w:t>
      </w:r>
      <w:r w:rsidR="00F21A60">
        <w:rPr>
          <w:rFonts w:ascii="Century" w:hAnsi="Century"/>
          <w:sz w:val="24"/>
          <w:szCs w:val="24"/>
        </w:rPr>
        <w:t>‘</w:t>
      </w:r>
      <w:r w:rsidR="00742546" w:rsidRPr="00F32CF2">
        <w:rPr>
          <w:rFonts w:ascii="Century" w:hAnsi="Century"/>
          <w:sz w:val="24"/>
          <w:szCs w:val="24"/>
        </w:rPr>
        <w:t xml:space="preserve">purpose clauses, </w:t>
      </w:r>
      <w:r w:rsidR="00483EE2">
        <w:rPr>
          <w:rFonts w:ascii="Century" w:hAnsi="Century"/>
          <w:sz w:val="24"/>
          <w:szCs w:val="24"/>
        </w:rPr>
        <w:t>preambles</w:t>
      </w:r>
      <w:r w:rsidR="00483EE2" w:rsidRPr="00F32CF2">
        <w:rPr>
          <w:rFonts w:ascii="Century" w:hAnsi="Century"/>
          <w:sz w:val="24"/>
          <w:szCs w:val="24"/>
        </w:rPr>
        <w:t>…</w:t>
      </w:r>
      <w:r w:rsidR="00742546" w:rsidRPr="00F32CF2">
        <w:rPr>
          <w:rFonts w:ascii="Century" w:hAnsi="Century"/>
          <w:sz w:val="24"/>
          <w:szCs w:val="24"/>
        </w:rPr>
        <w:t>definiti</w:t>
      </w:r>
      <w:r w:rsidR="002660EA">
        <w:rPr>
          <w:rFonts w:ascii="Century" w:hAnsi="Century"/>
          <w:sz w:val="24"/>
          <w:szCs w:val="24"/>
        </w:rPr>
        <w:t>ons, and explanatory provisions</w:t>
      </w:r>
      <w:r w:rsidR="00F21A60">
        <w:rPr>
          <w:rFonts w:ascii="Century" w:hAnsi="Century"/>
          <w:sz w:val="24"/>
          <w:szCs w:val="24"/>
        </w:rPr>
        <w:t>’</w:t>
      </w:r>
      <w:r w:rsidR="00483EE2">
        <w:rPr>
          <w:rStyle w:val="FootnoteReference"/>
          <w:rFonts w:ascii="Century" w:hAnsi="Century"/>
          <w:sz w:val="24"/>
          <w:szCs w:val="24"/>
        </w:rPr>
        <w:footnoteReference w:id="263"/>
      </w:r>
      <w:r w:rsidR="00742546" w:rsidRPr="00F32CF2">
        <w:rPr>
          <w:rFonts w:ascii="Century" w:hAnsi="Century"/>
          <w:sz w:val="24"/>
          <w:szCs w:val="24"/>
        </w:rPr>
        <w:t xml:space="preserve"> in order to ‘establish context, relevance and meaning’</w:t>
      </w:r>
      <w:r w:rsidR="00773733">
        <w:rPr>
          <w:rFonts w:ascii="Century" w:hAnsi="Century"/>
          <w:sz w:val="24"/>
          <w:szCs w:val="24"/>
        </w:rPr>
        <w:t>.</w:t>
      </w:r>
      <w:r w:rsidR="00742546" w:rsidRPr="00F32CF2">
        <w:rPr>
          <w:rStyle w:val="FootnoteReference"/>
          <w:rFonts w:ascii="Century" w:hAnsi="Century"/>
          <w:sz w:val="24"/>
          <w:szCs w:val="24"/>
        </w:rPr>
        <w:footnoteReference w:id="264"/>
      </w:r>
      <w:r w:rsidR="00593931">
        <w:rPr>
          <w:rFonts w:ascii="Century" w:hAnsi="Century"/>
          <w:sz w:val="24"/>
          <w:szCs w:val="24"/>
        </w:rPr>
        <w:t xml:space="preserve"> </w:t>
      </w:r>
      <w:r w:rsidR="00742546" w:rsidRPr="00F32CF2">
        <w:rPr>
          <w:rFonts w:ascii="Century" w:hAnsi="Century"/>
          <w:sz w:val="24"/>
          <w:szCs w:val="24"/>
        </w:rPr>
        <w:t xml:space="preserve">They </w:t>
      </w:r>
      <w:r w:rsidR="00593931">
        <w:rPr>
          <w:rFonts w:ascii="Century" w:hAnsi="Century"/>
          <w:sz w:val="24"/>
          <w:szCs w:val="24"/>
        </w:rPr>
        <w:t>also advocate</w:t>
      </w:r>
      <w:r w:rsidR="00742546" w:rsidRPr="00F32CF2">
        <w:rPr>
          <w:rFonts w:ascii="Century" w:hAnsi="Century"/>
          <w:sz w:val="24"/>
          <w:szCs w:val="24"/>
        </w:rPr>
        <w:t xml:space="preserve"> the use </w:t>
      </w:r>
      <w:r w:rsidR="00742546">
        <w:rPr>
          <w:rFonts w:ascii="Century" w:hAnsi="Century"/>
          <w:sz w:val="24"/>
          <w:szCs w:val="24"/>
        </w:rPr>
        <w:t>headings</w:t>
      </w:r>
      <w:r w:rsidR="00742546" w:rsidRPr="00F32CF2">
        <w:rPr>
          <w:rFonts w:ascii="Century" w:hAnsi="Century"/>
          <w:sz w:val="24"/>
          <w:szCs w:val="24"/>
        </w:rPr>
        <w:t>, good cross referencing and signposting.</w:t>
      </w:r>
      <w:r w:rsidR="00742546" w:rsidRPr="00F32CF2">
        <w:rPr>
          <w:rStyle w:val="FootnoteReference"/>
          <w:rFonts w:ascii="Century" w:hAnsi="Century"/>
          <w:sz w:val="24"/>
          <w:szCs w:val="24"/>
        </w:rPr>
        <w:footnoteReference w:id="265"/>
      </w:r>
      <w:r w:rsidR="000943F1" w:rsidRPr="00127029">
        <w:rPr>
          <w:rFonts w:ascii="Century" w:hAnsi="Century"/>
          <w:sz w:val="24"/>
          <w:szCs w:val="24"/>
        </w:rPr>
        <w:t xml:space="preserve"> </w:t>
      </w:r>
      <w:r w:rsidRPr="00F32CF2">
        <w:rPr>
          <w:rFonts w:ascii="Century" w:hAnsi="Century"/>
          <w:sz w:val="24"/>
          <w:szCs w:val="24"/>
        </w:rPr>
        <w:t>A practical example of the use of</w:t>
      </w:r>
      <w:r w:rsidR="007D46E7">
        <w:rPr>
          <w:rFonts w:ascii="Century" w:hAnsi="Century"/>
          <w:sz w:val="24"/>
          <w:szCs w:val="24"/>
        </w:rPr>
        <w:t xml:space="preserve"> supplementary</w:t>
      </w:r>
      <w:r w:rsidRPr="00F32CF2">
        <w:rPr>
          <w:rFonts w:ascii="Century" w:hAnsi="Century"/>
          <w:sz w:val="24"/>
          <w:szCs w:val="24"/>
        </w:rPr>
        <w:t xml:space="preserve"> tools to enhance accessibility was the rewrite of the Income Tax Act</w:t>
      </w:r>
      <w:r w:rsidR="00613A57">
        <w:rPr>
          <w:rFonts w:ascii="Century" w:hAnsi="Century"/>
          <w:sz w:val="24"/>
          <w:szCs w:val="24"/>
        </w:rPr>
        <w:t xml:space="preserve"> (1936)</w:t>
      </w:r>
      <w:r w:rsidRPr="00F32CF2">
        <w:rPr>
          <w:rFonts w:ascii="Century" w:hAnsi="Century"/>
          <w:sz w:val="24"/>
          <w:szCs w:val="24"/>
        </w:rPr>
        <w:t xml:space="preserve"> of Australia. The aim of this rewrite </w:t>
      </w:r>
      <w:r w:rsidR="001E16C3">
        <w:rPr>
          <w:rFonts w:ascii="Century" w:hAnsi="Century"/>
          <w:sz w:val="24"/>
          <w:szCs w:val="24"/>
        </w:rPr>
        <w:t xml:space="preserve">‘was </w:t>
      </w:r>
      <w:r w:rsidRPr="00F32CF2">
        <w:rPr>
          <w:rFonts w:ascii="Century" w:hAnsi="Century"/>
          <w:sz w:val="24"/>
          <w:szCs w:val="24"/>
        </w:rPr>
        <w:t>to replace the layers of obscurity and uncertainty in the law with simple, clear and unambiguous provisions’.</w:t>
      </w:r>
      <w:r w:rsidRPr="00F32CF2">
        <w:rPr>
          <w:rStyle w:val="FootnoteReference"/>
          <w:rFonts w:ascii="Century" w:hAnsi="Century"/>
          <w:sz w:val="24"/>
          <w:szCs w:val="24"/>
        </w:rPr>
        <w:footnoteReference w:id="266"/>
      </w:r>
      <w:r w:rsidRPr="00F32CF2">
        <w:rPr>
          <w:rFonts w:ascii="Century" w:hAnsi="Century"/>
          <w:sz w:val="24"/>
          <w:szCs w:val="24"/>
        </w:rPr>
        <w:t xml:space="preserve"> </w:t>
      </w:r>
      <w:r w:rsidR="00480057">
        <w:rPr>
          <w:rFonts w:ascii="Century" w:hAnsi="Century"/>
          <w:sz w:val="24"/>
          <w:szCs w:val="24"/>
        </w:rPr>
        <w:t>Some of the</w:t>
      </w:r>
      <w:r w:rsidR="00CA67CF">
        <w:rPr>
          <w:rFonts w:ascii="Century" w:hAnsi="Century"/>
          <w:sz w:val="24"/>
          <w:szCs w:val="24"/>
        </w:rPr>
        <w:t xml:space="preserve"> </w:t>
      </w:r>
      <w:r>
        <w:rPr>
          <w:rFonts w:ascii="Century" w:hAnsi="Century"/>
          <w:sz w:val="24"/>
          <w:szCs w:val="24"/>
        </w:rPr>
        <w:t>supplementary aids</w:t>
      </w:r>
      <w:r w:rsidR="00480057">
        <w:rPr>
          <w:rFonts w:ascii="Century" w:hAnsi="Century"/>
          <w:sz w:val="24"/>
          <w:szCs w:val="24"/>
        </w:rPr>
        <w:t xml:space="preserve"> used were</w:t>
      </w:r>
      <w:r w:rsidRPr="00F32CF2">
        <w:rPr>
          <w:rFonts w:ascii="Century" w:hAnsi="Century"/>
          <w:sz w:val="24"/>
          <w:szCs w:val="24"/>
        </w:rPr>
        <w:t xml:space="preserve"> </w:t>
      </w:r>
      <w:r w:rsidR="00827CB7">
        <w:rPr>
          <w:rFonts w:ascii="Century" w:hAnsi="Century"/>
          <w:sz w:val="24"/>
          <w:szCs w:val="24"/>
        </w:rPr>
        <w:t>‘</w:t>
      </w:r>
      <w:r w:rsidRPr="00F32CF2">
        <w:rPr>
          <w:rFonts w:ascii="Century" w:hAnsi="Century"/>
          <w:sz w:val="24"/>
          <w:szCs w:val="24"/>
        </w:rPr>
        <w:t xml:space="preserve">guides to the structure of the law, notes with </w:t>
      </w:r>
      <w:r w:rsidRPr="00F32CF2">
        <w:rPr>
          <w:rFonts w:ascii="Century" w:hAnsi="Century"/>
          <w:sz w:val="24"/>
          <w:szCs w:val="24"/>
        </w:rPr>
        <w:lastRenderedPageBreak/>
        <w:t>illustrations</w:t>
      </w:r>
      <w:r>
        <w:rPr>
          <w:rFonts w:ascii="Century" w:hAnsi="Century"/>
          <w:sz w:val="24"/>
          <w:szCs w:val="24"/>
        </w:rPr>
        <w:t xml:space="preserve"> of the application of sections</w:t>
      </w:r>
      <w:r w:rsidR="00827CB7">
        <w:rPr>
          <w:rFonts w:ascii="Century" w:hAnsi="Century"/>
          <w:sz w:val="24"/>
          <w:szCs w:val="24"/>
        </w:rPr>
        <w:t>’</w:t>
      </w:r>
      <w:r>
        <w:rPr>
          <w:rFonts w:ascii="Century" w:hAnsi="Century"/>
          <w:sz w:val="24"/>
          <w:szCs w:val="24"/>
        </w:rPr>
        <w:t xml:space="preserve">, cross-references, </w:t>
      </w:r>
      <w:r w:rsidRPr="00F32CF2">
        <w:rPr>
          <w:rFonts w:ascii="Century" w:hAnsi="Century"/>
          <w:sz w:val="24"/>
          <w:szCs w:val="24"/>
        </w:rPr>
        <w:t>diagrams and flow charts.</w:t>
      </w:r>
      <w:r w:rsidRPr="00F32CF2">
        <w:rPr>
          <w:rStyle w:val="FootnoteReference"/>
          <w:rFonts w:ascii="Century" w:hAnsi="Century"/>
          <w:sz w:val="24"/>
          <w:szCs w:val="24"/>
        </w:rPr>
        <w:footnoteReference w:id="267"/>
      </w:r>
      <w:r>
        <w:rPr>
          <w:rFonts w:ascii="Century" w:hAnsi="Century"/>
          <w:sz w:val="24"/>
          <w:szCs w:val="24"/>
        </w:rPr>
        <w:t xml:space="preserve"> </w:t>
      </w:r>
    </w:p>
    <w:p w:rsidR="00B11EB9" w:rsidRDefault="00B11EB9" w:rsidP="00B11EB9">
      <w:pPr>
        <w:spacing w:line="360" w:lineRule="auto"/>
        <w:jc w:val="both"/>
        <w:rPr>
          <w:rFonts w:ascii="Century" w:hAnsi="Century"/>
          <w:sz w:val="24"/>
          <w:szCs w:val="24"/>
        </w:rPr>
      </w:pPr>
    </w:p>
    <w:p w:rsidR="00FD0DD9" w:rsidRDefault="001E59A9" w:rsidP="009574B9">
      <w:pPr>
        <w:spacing w:line="360" w:lineRule="auto"/>
        <w:jc w:val="both"/>
        <w:rPr>
          <w:rFonts w:ascii="Century" w:hAnsi="Century"/>
          <w:sz w:val="24"/>
          <w:szCs w:val="24"/>
        </w:rPr>
      </w:pPr>
      <w:r w:rsidRPr="00F32CF2">
        <w:rPr>
          <w:rFonts w:ascii="Century" w:hAnsi="Century"/>
          <w:sz w:val="24"/>
          <w:szCs w:val="24"/>
        </w:rPr>
        <w:t>However, while</w:t>
      </w:r>
      <w:r w:rsidR="00A24FBB">
        <w:rPr>
          <w:rFonts w:ascii="Century" w:hAnsi="Century"/>
          <w:sz w:val="24"/>
          <w:szCs w:val="24"/>
        </w:rPr>
        <w:t xml:space="preserve"> supplementary aids are</w:t>
      </w:r>
      <w:r w:rsidRPr="00F32CF2">
        <w:rPr>
          <w:rFonts w:ascii="Century" w:hAnsi="Century"/>
          <w:sz w:val="24"/>
          <w:szCs w:val="24"/>
        </w:rPr>
        <w:t xml:space="preserve"> useful drafters should not allow </w:t>
      </w:r>
      <w:r w:rsidR="00A24FBB">
        <w:rPr>
          <w:rFonts w:ascii="Century" w:hAnsi="Century"/>
          <w:sz w:val="24"/>
          <w:szCs w:val="24"/>
        </w:rPr>
        <w:t>them</w:t>
      </w:r>
      <w:r w:rsidRPr="00F32CF2">
        <w:rPr>
          <w:rFonts w:ascii="Century" w:hAnsi="Century"/>
          <w:sz w:val="24"/>
          <w:szCs w:val="24"/>
        </w:rPr>
        <w:t xml:space="preserve"> to distract users or overshadow the regulatory message.  Therefore, if they are seen to be useful yet a hindrance then it might be best if they are placed in explanatory notes, schedules or appendices. </w:t>
      </w:r>
      <w:r w:rsidR="000943F1">
        <w:rPr>
          <w:rFonts w:ascii="Century" w:hAnsi="Century"/>
          <w:sz w:val="24"/>
          <w:szCs w:val="24"/>
        </w:rPr>
        <w:t>As</w:t>
      </w:r>
      <w:r w:rsidR="000943F1" w:rsidRPr="00F32CF2">
        <w:rPr>
          <w:rFonts w:ascii="Century" w:hAnsi="Century"/>
          <w:sz w:val="24"/>
          <w:szCs w:val="24"/>
        </w:rPr>
        <w:t xml:space="preserve"> </w:t>
      </w:r>
      <w:r w:rsidR="000943F1">
        <w:rPr>
          <w:rFonts w:ascii="Century" w:hAnsi="Century"/>
          <w:sz w:val="24"/>
          <w:szCs w:val="24"/>
        </w:rPr>
        <w:t xml:space="preserve">cautioned by </w:t>
      </w:r>
      <w:r w:rsidR="000943F1" w:rsidRPr="00F32CF2">
        <w:rPr>
          <w:rFonts w:ascii="Century" w:hAnsi="Century"/>
          <w:sz w:val="24"/>
          <w:szCs w:val="24"/>
        </w:rPr>
        <w:t>Thornton ‘</w:t>
      </w:r>
      <w:r w:rsidR="009A6E42">
        <w:rPr>
          <w:rFonts w:ascii="Century" w:hAnsi="Century"/>
          <w:sz w:val="24"/>
          <w:szCs w:val="24"/>
        </w:rPr>
        <w:t xml:space="preserve">the </w:t>
      </w:r>
      <w:r w:rsidR="000943F1" w:rsidRPr="00F32CF2">
        <w:rPr>
          <w:rFonts w:ascii="Century" w:hAnsi="Century"/>
          <w:sz w:val="24"/>
          <w:szCs w:val="24"/>
        </w:rPr>
        <w:t>desire to communicat</w:t>
      </w:r>
      <w:r w:rsidR="009A6E42">
        <w:rPr>
          <w:rFonts w:ascii="Century" w:hAnsi="Century"/>
          <w:sz w:val="24"/>
          <w:szCs w:val="24"/>
        </w:rPr>
        <w:t xml:space="preserve">e successfully </w:t>
      </w:r>
      <w:r w:rsidR="000943F1" w:rsidRPr="00F32CF2">
        <w:rPr>
          <w:rFonts w:ascii="Century" w:hAnsi="Century"/>
          <w:sz w:val="24"/>
          <w:szCs w:val="24"/>
        </w:rPr>
        <w:t>must not be permitted to cloud the fact that the actual text of the statute is and should always be recognised as being in a special and powerful position.’</w:t>
      </w:r>
      <w:r w:rsidR="000943F1" w:rsidRPr="00F32CF2">
        <w:rPr>
          <w:rStyle w:val="FootnoteReference"/>
          <w:rFonts w:ascii="Century" w:hAnsi="Century"/>
          <w:sz w:val="24"/>
          <w:szCs w:val="24"/>
        </w:rPr>
        <w:footnoteReference w:id="268"/>
      </w:r>
      <w:r w:rsidR="000943F1" w:rsidRPr="00F32CF2">
        <w:rPr>
          <w:rFonts w:ascii="Century" w:hAnsi="Century"/>
          <w:sz w:val="24"/>
          <w:szCs w:val="24"/>
        </w:rPr>
        <w:t xml:space="preserve"> </w:t>
      </w:r>
      <w:r w:rsidRPr="00F32CF2">
        <w:rPr>
          <w:rFonts w:ascii="Century" w:hAnsi="Century"/>
          <w:sz w:val="24"/>
          <w:szCs w:val="24"/>
        </w:rPr>
        <w:t xml:space="preserve"> </w:t>
      </w:r>
      <w:r w:rsidR="00E06508" w:rsidRPr="00F32CF2">
        <w:rPr>
          <w:rFonts w:ascii="Century" w:hAnsi="Century"/>
          <w:sz w:val="24"/>
          <w:szCs w:val="24"/>
        </w:rPr>
        <w:t xml:space="preserve">For instance, the Consumer Credit Act 1974 </w:t>
      </w:r>
      <w:r w:rsidR="00404B4A">
        <w:rPr>
          <w:rFonts w:ascii="Century" w:hAnsi="Century"/>
          <w:sz w:val="24"/>
          <w:szCs w:val="24"/>
        </w:rPr>
        <w:t>(</w:t>
      </w:r>
      <w:r w:rsidR="00E06508" w:rsidRPr="00F32CF2">
        <w:rPr>
          <w:rFonts w:ascii="Century" w:hAnsi="Century"/>
          <w:sz w:val="24"/>
          <w:szCs w:val="24"/>
        </w:rPr>
        <w:t>UK</w:t>
      </w:r>
      <w:r w:rsidR="00404B4A">
        <w:rPr>
          <w:rFonts w:ascii="Century" w:hAnsi="Century"/>
          <w:sz w:val="24"/>
          <w:szCs w:val="24"/>
        </w:rPr>
        <w:t>)</w:t>
      </w:r>
      <w:r w:rsidR="00E06508" w:rsidRPr="00F32CF2">
        <w:rPr>
          <w:rFonts w:ascii="Century" w:hAnsi="Century"/>
          <w:sz w:val="24"/>
          <w:szCs w:val="24"/>
        </w:rPr>
        <w:t xml:space="preserve"> contained several descriptive examples explaining new terminologies</w:t>
      </w:r>
      <w:r w:rsidR="00953D7C" w:rsidRPr="00F32CF2">
        <w:rPr>
          <w:rFonts w:ascii="Century" w:hAnsi="Century"/>
          <w:sz w:val="24"/>
          <w:szCs w:val="24"/>
        </w:rPr>
        <w:t xml:space="preserve"> but t</w:t>
      </w:r>
      <w:r w:rsidR="00B31FB4">
        <w:rPr>
          <w:rFonts w:ascii="Century" w:hAnsi="Century"/>
          <w:sz w:val="24"/>
          <w:szCs w:val="24"/>
        </w:rPr>
        <w:t>hey were placed in</w:t>
      </w:r>
      <w:r w:rsidR="00BD1C3E">
        <w:rPr>
          <w:rFonts w:ascii="Century" w:hAnsi="Century"/>
          <w:sz w:val="24"/>
          <w:szCs w:val="24"/>
        </w:rPr>
        <w:t xml:space="preserve"> </w:t>
      </w:r>
      <w:r w:rsidR="00B31FB4">
        <w:rPr>
          <w:rFonts w:ascii="Century" w:hAnsi="Century"/>
          <w:sz w:val="24"/>
          <w:szCs w:val="24"/>
        </w:rPr>
        <w:t>S</w:t>
      </w:r>
      <w:r w:rsidR="00BD1C3E">
        <w:rPr>
          <w:rFonts w:ascii="Century" w:hAnsi="Century"/>
          <w:sz w:val="24"/>
          <w:szCs w:val="24"/>
        </w:rPr>
        <w:t>chedule</w:t>
      </w:r>
      <w:r w:rsidR="005D211C">
        <w:rPr>
          <w:rFonts w:ascii="Century" w:hAnsi="Century"/>
          <w:sz w:val="24"/>
          <w:szCs w:val="24"/>
        </w:rPr>
        <w:t xml:space="preserve"> 2</w:t>
      </w:r>
      <w:r w:rsidR="00953D7C" w:rsidRPr="00F32CF2">
        <w:rPr>
          <w:rFonts w:ascii="Century" w:hAnsi="Century"/>
          <w:sz w:val="24"/>
          <w:szCs w:val="24"/>
        </w:rPr>
        <w:t xml:space="preserve"> of the Act</w:t>
      </w:r>
      <w:r w:rsidR="00E06508" w:rsidRPr="00F32CF2">
        <w:rPr>
          <w:rFonts w:ascii="Century" w:hAnsi="Century"/>
          <w:sz w:val="24"/>
          <w:szCs w:val="24"/>
        </w:rPr>
        <w:t>.</w:t>
      </w:r>
      <w:r w:rsidR="002B6DF0">
        <w:rPr>
          <w:rStyle w:val="FootnoteReference"/>
          <w:rFonts w:ascii="Century" w:hAnsi="Century"/>
          <w:sz w:val="24"/>
          <w:szCs w:val="24"/>
        </w:rPr>
        <w:footnoteReference w:id="269"/>
      </w:r>
      <w:r w:rsidR="00E06508" w:rsidRPr="00F32CF2">
        <w:rPr>
          <w:rFonts w:ascii="Century" w:hAnsi="Century"/>
          <w:sz w:val="24"/>
          <w:szCs w:val="24"/>
        </w:rPr>
        <w:t xml:space="preserve"> Placing these examples in the body of the legislation would have been a distraction and also affected the structure </w:t>
      </w:r>
      <w:r w:rsidR="00706315">
        <w:rPr>
          <w:rFonts w:ascii="Century" w:hAnsi="Century"/>
          <w:sz w:val="24"/>
          <w:szCs w:val="24"/>
        </w:rPr>
        <w:t xml:space="preserve">and layout of the legislation. </w:t>
      </w:r>
      <w:r w:rsidR="00E06508" w:rsidRPr="00F32CF2">
        <w:rPr>
          <w:rFonts w:ascii="Century" w:hAnsi="Century"/>
          <w:sz w:val="24"/>
          <w:szCs w:val="24"/>
        </w:rPr>
        <w:t xml:space="preserve">Therefore, drafters must consider what effect these tools would have on the overall presentation of the legislation and then decide on their placement. </w:t>
      </w:r>
      <w:r w:rsidR="007711FF">
        <w:rPr>
          <w:rFonts w:ascii="Century" w:hAnsi="Century"/>
          <w:sz w:val="24"/>
          <w:szCs w:val="24"/>
        </w:rPr>
        <w:t xml:space="preserve">As Ross and </w:t>
      </w:r>
      <w:r w:rsidR="004D432F">
        <w:rPr>
          <w:rFonts w:ascii="Century" w:hAnsi="Century"/>
          <w:sz w:val="24"/>
          <w:szCs w:val="24"/>
        </w:rPr>
        <w:t>Green</w:t>
      </w:r>
      <w:r w:rsidR="007711FF">
        <w:rPr>
          <w:rFonts w:ascii="Century" w:hAnsi="Century"/>
          <w:sz w:val="24"/>
          <w:szCs w:val="24"/>
        </w:rPr>
        <w:t xml:space="preserve"> cautions</w:t>
      </w:r>
      <w:r w:rsidR="00713130">
        <w:rPr>
          <w:rFonts w:ascii="Century" w:hAnsi="Century"/>
          <w:sz w:val="24"/>
          <w:szCs w:val="24"/>
        </w:rPr>
        <w:t>,</w:t>
      </w:r>
      <w:r w:rsidR="007711FF">
        <w:rPr>
          <w:rFonts w:ascii="Century" w:hAnsi="Century"/>
          <w:sz w:val="24"/>
          <w:szCs w:val="24"/>
        </w:rPr>
        <w:t xml:space="preserve"> ‘</w:t>
      </w:r>
      <w:r w:rsidR="00FF799E" w:rsidRPr="00F32CF2">
        <w:rPr>
          <w:rFonts w:ascii="Century" w:hAnsi="Century"/>
          <w:sz w:val="24"/>
          <w:szCs w:val="24"/>
        </w:rPr>
        <w:t xml:space="preserve">The inclusion of explanatory provisions </w:t>
      </w:r>
      <w:r w:rsidR="00C017C6">
        <w:rPr>
          <w:rFonts w:ascii="Century" w:hAnsi="Century"/>
          <w:sz w:val="24"/>
          <w:szCs w:val="24"/>
        </w:rPr>
        <w:t>can be</w:t>
      </w:r>
      <w:r w:rsidR="00D54039">
        <w:rPr>
          <w:rFonts w:ascii="Century" w:hAnsi="Century"/>
          <w:sz w:val="24"/>
          <w:szCs w:val="24"/>
        </w:rPr>
        <w:t xml:space="preserve"> justified</w:t>
      </w:r>
      <w:r w:rsidR="00FF799E" w:rsidRPr="00F32CF2">
        <w:rPr>
          <w:rFonts w:ascii="Century" w:hAnsi="Century"/>
          <w:sz w:val="24"/>
          <w:szCs w:val="24"/>
        </w:rPr>
        <w:t xml:space="preserve"> only if they are effectual-that is</w:t>
      </w:r>
      <w:r w:rsidR="00C017C6">
        <w:rPr>
          <w:rFonts w:ascii="Century" w:hAnsi="Century"/>
          <w:sz w:val="24"/>
          <w:szCs w:val="24"/>
        </w:rPr>
        <w:t>,</w:t>
      </w:r>
      <w:r w:rsidR="00FF799E" w:rsidRPr="00F32CF2">
        <w:rPr>
          <w:rFonts w:ascii="Century" w:hAnsi="Century"/>
          <w:sz w:val="24"/>
          <w:szCs w:val="24"/>
        </w:rPr>
        <w:t xml:space="preserve"> only if they </w:t>
      </w:r>
      <w:r w:rsidR="00C017C6">
        <w:rPr>
          <w:rFonts w:ascii="Century" w:hAnsi="Century"/>
          <w:sz w:val="24"/>
          <w:szCs w:val="24"/>
        </w:rPr>
        <w:t>actually</w:t>
      </w:r>
      <w:r w:rsidR="00FF799E" w:rsidRPr="00F32CF2">
        <w:rPr>
          <w:rFonts w:ascii="Century" w:hAnsi="Century"/>
          <w:sz w:val="24"/>
          <w:szCs w:val="24"/>
        </w:rPr>
        <w:t xml:space="preserve"> help readers’ understanding</w:t>
      </w:r>
      <w:r w:rsidR="007711FF">
        <w:rPr>
          <w:rFonts w:ascii="Century" w:hAnsi="Century"/>
          <w:sz w:val="24"/>
          <w:szCs w:val="24"/>
        </w:rPr>
        <w:t>’</w:t>
      </w:r>
      <w:r w:rsidR="00FF799E" w:rsidRPr="00F32CF2">
        <w:rPr>
          <w:rFonts w:ascii="Century" w:hAnsi="Century"/>
          <w:sz w:val="24"/>
          <w:szCs w:val="24"/>
        </w:rPr>
        <w:t>.</w:t>
      </w:r>
      <w:r w:rsidR="00A42A14" w:rsidRPr="00F32CF2">
        <w:rPr>
          <w:rStyle w:val="FootnoteReference"/>
          <w:rFonts w:ascii="Century" w:hAnsi="Century"/>
          <w:sz w:val="24"/>
          <w:szCs w:val="24"/>
        </w:rPr>
        <w:footnoteReference w:id="270"/>
      </w:r>
      <w:r w:rsidR="00AE0535" w:rsidRPr="00F32CF2">
        <w:rPr>
          <w:rFonts w:ascii="Century" w:hAnsi="Century"/>
          <w:sz w:val="24"/>
          <w:szCs w:val="24"/>
        </w:rPr>
        <w:t xml:space="preserve"> </w:t>
      </w:r>
    </w:p>
    <w:p w:rsidR="00FD0DD9" w:rsidRDefault="00FD0DD9" w:rsidP="009574B9">
      <w:pPr>
        <w:spacing w:line="360" w:lineRule="auto"/>
        <w:jc w:val="both"/>
        <w:rPr>
          <w:rFonts w:ascii="Century" w:hAnsi="Century"/>
          <w:sz w:val="24"/>
          <w:szCs w:val="24"/>
        </w:rPr>
      </w:pPr>
    </w:p>
    <w:p w:rsidR="00822737" w:rsidRDefault="00822737" w:rsidP="009574B9">
      <w:pPr>
        <w:spacing w:line="360" w:lineRule="auto"/>
        <w:jc w:val="both"/>
        <w:rPr>
          <w:rFonts w:ascii="Century" w:hAnsi="Century"/>
          <w:sz w:val="24"/>
          <w:szCs w:val="24"/>
        </w:rPr>
      </w:pPr>
    </w:p>
    <w:p w:rsidR="00822737" w:rsidRDefault="00822737" w:rsidP="009574B9">
      <w:pPr>
        <w:spacing w:line="360" w:lineRule="auto"/>
        <w:jc w:val="both"/>
        <w:rPr>
          <w:rFonts w:ascii="Century" w:hAnsi="Century"/>
          <w:sz w:val="24"/>
          <w:szCs w:val="24"/>
        </w:rPr>
      </w:pPr>
    </w:p>
    <w:p w:rsidR="00822737" w:rsidRDefault="00822737" w:rsidP="009574B9">
      <w:pPr>
        <w:spacing w:line="360" w:lineRule="auto"/>
        <w:jc w:val="both"/>
        <w:rPr>
          <w:rFonts w:ascii="Century" w:hAnsi="Century"/>
          <w:sz w:val="24"/>
          <w:szCs w:val="24"/>
        </w:rPr>
      </w:pPr>
    </w:p>
    <w:p w:rsidR="00822737" w:rsidRDefault="00822737" w:rsidP="009574B9">
      <w:pPr>
        <w:spacing w:line="360" w:lineRule="auto"/>
        <w:jc w:val="both"/>
        <w:rPr>
          <w:rFonts w:ascii="Century" w:hAnsi="Century"/>
          <w:sz w:val="24"/>
          <w:szCs w:val="24"/>
        </w:rPr>
      </w:pPr>
    </w:p>
    <w:p w:rsidR="00822737" w:rsidRDefault="00822737" w:rsidP="009574B9">
      <w:pPr>
        <w:spacing w:line="360" w:lineRule="auto"/>
        <w:jc w:val="both"/>
        <w:rPr>
          <w:rFonts w:ascii="Century" w:hAnsi="Century"/>
          <w:sz w:val="24"/>
          <w:szCs w:val="24"/>
        </w:rPr>
      </w:pPr>
    </w:p>
    <w:p w:rsidR="00822737" w:rsidRDefault="00822737" w:rsidP="009574B9">
      <w:pPr>
        <w:spacing w:line="360" w:lineRule="auto"/>
        <w:jc w:val="both"/>
        <w:rPr>
          <w:rFonts w:ascii="Century" w:hAnsi="Century"/>
          <w:sz w:val="24"/>
          <w:szCs w:val="24"/>
        </w:rPr>
      </w:pPr>
    </w:p>
    <w:p w:rsidR="00FD0DD9" w:rsidRPr="00F32CF2" w:rsidRDefault="00FD0DD9" w:rsidP="009574B9">
      <w:pPr>
        <w:spacing w:line="360" w:lineRule="auto"/>
        <w:jc w:val="both"/>
        <w:rPr>
          <w:rFonts w:ascii="Century" w:hAnsi="Century"/>
          <w:sz w:val="24"/>
          <w:szCs w:val="24"/>
        </w:rPr>
      </w:pPr>
    </w:p>
    <w:p w:rsidR="00D13643" w:rsidRPr="002F0293" w:rsidRDefault="00210332" w:rsidP="002F0293">
      <w:pPr>
        <w:pStyle w:val="Heading4"/>
        <w:numPr>
          <w:ilvl w:val="0"/>
          <w:numId w:val="25"/>
        </w:numPr>
        <w:rPr>
          <w:color w:val="auto"/>
        </w:rPr>
      </w:pPr>
      <w:bookmarkStart w:id="69" w:name="_Toc427272678"/>
      <w:bookmarkStart w:id="70" w:name="_Toc427597758"/>
      <w:r w:rsidRPr="002F0293">
        <w:rPr>
          <w:color w:val="auto"/>
        </w:rPr>
        <w:t>Gender</w:t>
      </w:r>
      <w:r w:rsidR="000867BE">
        <w:rPr>
          <w:color w:val="auto"/>
        </w:rPr>
        <w:t>-</w:t>
      </w:r>
      <w:r w:rsidRPr="002F0293">
        <w:rPr>
          <w:color w:val="auto"/>
        </w:rPr>
        <w:t xml:space="preserve"> Neutral Language</w:t>
      </w:r>
      <w:bookmarkEnd w:id="69"/>
      <w:bookmarkEnd w:id="70"/>
    </w:p>
    <w:p w:rsidR="002F0293" w:rsidRDefault="002F0293" w:rsidP="00897AB9">
      <w:pPr>
        <w:spacing w:line="360" w:lineRule="auto"/>
        <w:jc w:val="both"/>
        <w:rPr>
          <w:rFonts w:ascii="Century" w:hAnsi="Century"/>
          <w:sz w:val="24"/>
          <w:szCs w:val="24"/>
        </w:rPr>
      </w:pPr>
    </w:p>
    <w:p w:rsidR="00C20C11" w:rsidRPr="00F32CF2" w:rsidRDefault="0055131C" w:rsidP="00897AB9">
      <w:pPr>
        <w:spacing w:line="360" w:lineRule="auto"/>
        <w:jc w:val="both"/>
        <w:rPr>
          <w:rFonts w:ascii="Century" w:hAnsi="Century"/>
          <w:sz w:val="24"/>
          <w:szCs w:val="24"/>
        </w:rPr>
      </w:pPr>
      <w:r w:rsidRPr="00F32CF2">
        <w:rPr>
          <w:rFonts w:ascii="Century" w:hAnsi="Century"/>
          <w:sz w:val="24"/>
          <w:szCs w:val="24"/>
        </w:rPr>
        <w:t>Gender</w:t>
      </w:r>
      <w:r w:rsidR="000867BE">
        <w:rPr>
          <w:rFonts w:ascii="Century" w:hAnsi="Century"/>
          <w:sz w:val="24"/>
          <w:szCs w:val="24"/>
        </w:rPr>
        <w:t>-</w:t>
      </w:r>
      <w:r w:rsidRPr="00F32CF2">
        <w:rPr>
          <w:rFonts w:ascii="Century" w:hAnsi="Century"/>
          <w:sz w:val="24"/>
          <w:szCs w:val="24"/>
        </w:rPr>
        <w:t xml:space="preserve"> neutral language is</w:t>
      </w:r>
      <w:r w:rsidR="00FD2862">
        <w:rPr>
          <w:rFonts w:ascii="Century" w:hAnsi="Century"/>
          <w:sz w:val="24"/>
          <w:szCs w:val="24"/>
        </w:rPr>
        <w:t xml:space="preserve"> used by drafters to achieve</w:t>
      </w:r>
      <w:r w:rsidRPr="00F32CF2">
        <w:rPr>
          <w:rFonts w:ascii="Century" w:hAnsi="Century"/>
          <w:sz w:val="24"/>
          <w:szCs w:val="24"/>
        </w:rPr>
        <w:t xml:space="preserve"> </w:t>
      </w:r>
      <w:r w:rsidR="00FD2862">
        <w:rPr>
          <w:rFonts w:ascii="Century" w:hAnsi="Century"/>
          <w:sz w:val="24"/>
          <w:szCs w:val="24"/>
        </w:rPr>
        <w:t>accuracy</w:t>
      </w:r>
      <w:r w:rsidRPr="00F32CF2">
        <w:rPr>
          <w:rFonts w:ascii="Century" w:hAnsi="Century"/>
          <w:sz w:val="24"/>
          <w:szCs w:val="24"/>
        </w:rPr>
        <w:t xml:space="preserve"> </w:t>
      </w:r>
      <w:r w:rsidR="00FD2862">
        <w:rPr>
          <w:rFonts w:ascii="Century" w:hAnsi="Century"/>
          <w:sz w:val="24"/>
          <w:szCs w:val="24"/>
        </w:rPr>
        <w:t xml:space="preserve">as ‘it </w:t>
      </w:r>
      <w:r w:rsidRPr="00F32CF2">
        <w:rPr>
          <w:rFonts w:ascii="Century" w:hAnsi="Century"/>
          <w:sz w:val="24"/>
          <w:szCs w:val="24"/>
        </w:rPr>
        <w:t>aims to promote gender specificity in the pronoun u</w:t>
      </w:r>
      <w:r w:rsidR="00897AB9">
        <w:rPr>
          <w:rFonts w:ascii="Century" w:hAnsi="Century"/>
          <w:sz w:val="24"/>
          <w:szCs w:val="24"/>
        </w:rPr>
        <w:t>sed when drafting legislation</w:t>
      </w:r>
      <w:r w:rsidR="00FA2985">
        <w:rPr>
          <w:rFonts w:ascii="Century" w:hAnsi="Century"/>
          <w:sz w:val="24"/>
          <w:szCs w:val="24"/>
        </w:rPr>
        <w:t>’</w:t>
      </w:r>
      <w:r w:rsidR="00897AB9">
        <w:rPr>
          <w:rFonts w:ascii="Century" w:hAnsi="Century"/>
          <w:sz w:val="24"/>
          <w:szCs w:val="24"/>
        </w:rPr>
        <w:t>.</w:t>
      </w:r>
      <w:r w:rsidR="004C7690">
        <w:rPr>
          <w:rStyle w:val="FootnoteReference"/>
          <w:rFonts w:ascii="Century" w:hAnsi="Century"/>
          <w:sz w:val="24"/>
          <w:szCs w:val="24"/>
        </w:rPr>
        <w:footnoteReference w:id="271"/>
      </w:r>
      <w:r w:rsidR="00897AB9">
        <w:rPr>
          <w:rFonts w:ascii="Century" w:hAnsi="Century"/>
          <w:sz w:val="24"/>
          <w:szCs w:val="24"/>
        </w:rPr>
        <w:t xml:space="preserve"> </w:t>
      </w:r>
      <w:r w:rsidR="00EB218F">
        <w:rPr>
          <w:rFonts w:ascii="Century" w:hAnsi="Century"/>
          <w:sz w:val="24"/>
          <w:szCs w:val="24"/>
        </w:rPr>
        <w:t xml:space="preserve">Like plain language, </w:t>
      </w:r>
      <w:r w:rsidR="003E6C83">
        <w:rPr>
          <w:rFonts w:ascii="Century" w:hAnsi="Century"/>
          <w:sz w:val="24"/>
          <w:szCs w:val="24"/>
        </w:rPr>
        <w:t>it promotes</w:t>
      </w:r>
      <w:r w:rsidRPr="00F32CF2">
        <w:rPr>
          <w:rFonts w:ascii="Century" w:hAnsi="Century"/>
          <w:sz w:val="24"/>
          <w:szCs w:val="24"/>
        </w:rPr>
        <w:t xml:space="preserve"> precision, clarity and unambiguity.</w:t>
      </w:r>
      <w:r w:rsidRPr="00F32CF2">
        <w:rPr>
          <w:rStyle w:val="FootnoteReference"/>
          <w:rFonts w:ascii="Century" w:hAnsi="Century"/>
          <w:sz w:val="24"/>
          <w:szCs w:val="24"/>
        </w:rPr>
        <w:footnoteReference w:id="272"/>
      </w:r>
      <w:r w:rsidRPr="00F32CF2">
        <w:rPr>
          <w:rFonts w:ascii="Century" w:hAnsi="Century"/>
          <w:sz w:val="24"/>
          <w:szCs w:val="24"/>
        </w:rPr>
        <w:t xml:space="preserve"> </w:t>
      </w:r>
      <w:r w:rsidR="001839B8">
        <w:rPr>
          <w:rFonts w:ascii="Century" w:hAnsi="Century"/>
          <w:sz w:val="24"/>
          <w:szCs w:val="24"/>
        </w:rPr>
        <w:t>Where drafter</w:t>
      </w:r>
      <w:r w:rsidR="00CE0A69">
        <w:rPr>
          <w:rFonts w:ascii="Century" w:hAnsi="Century"/>
          <w:sz w:val="24"/>
          <w:szCs w:val="24"/>
        </w:rPr>
        <w:t>s</w:t>
      </w:r>
      <w:r w:rsidR="00454DA2">
        <w:rPr>
          <w:rFonts w:ascii="Century" w:hAnsi="Century"/>
          <w:sz w:val="24"/>
          <w:szCs w:val="24"/>
        </w:rPr>
        <w:t xml:space="preserve"> </w:t>
      </w:r>
      <w:r w:rsidR="00BA704D">
        <w:rPr>
          <w:rFonts w:ascii="Century" w:hAnsi="Century"/>
          <w:sz w:val="24"/>
          <w:szCs w:val="24"/>
        </w:rPr>
        <w:t>utilize</w:t>
      </w:r>
      <w:r w:rsidR="001839B8">
        <w:rPr>
          <w:rFonts w:ascii="Century" w:hAnsi="Century"/>
          <w:sz w:val="24"/>
          <w:szCs w:val="24"/>
        </w:rPr>
        <w:t xml:space="preserve"> g</w:t>
      </w:r>
      <w:r w:rsidR="001F14FC" w:rsidRPr="00F32CF2">
        <w:rPr>
          <w:rFonts w:ascii="Century" w:hAnsi="Century"/>
          <w:sz w:val="24"/>
          <w:szCs w:val="24"/>
        </w:rPr>
        <w:t xml:space="preserve">ender-neutral language </w:t>
      </w:r>
      <w:r w:rsidR="001839B8">
        <w:rPr>
          <w:rFonts w:ascii="Century" w:hAnsi="Century"/>
          <w:sz w:val="24"/>
          <w:szCs w:val="24"/>
        </w:rPr>
        <w:t xml:space="preserve">the words used will include </w:t>
      </w:r>
      <w:r w:rsidR="001F14FC" w:rsidRPr="00F32CF2">
        <w:rPr>
          <w:rFonts w:ascii="Century" w:hAnsi="Century"/>
          <w:sz w:val="24"/>
          <w:szCs w:val="24"/>
        </w:rPr>
        <w:t>both sexes</w:t>
      </w:r>
      <w:r w:rsidR="004C7690">
        <w:rPr>
          <w:rFonts w:ascii="Century" w:hAnsi="Century"/>
          <w:sz w:val="24"/>
          <w:szCs w:val="24"/>
        </w:rPr>
        <w:t>-treating men and women equally</w:t>
      </w:r>
      <w:r w:rsidR="001F14FC" w:rsidRPr="00F32CF2">
        <w:rPr>
          <w:rFonts w:ascii="Century" w:hAnsi="Century"/>
          <w:sz w:val="24"/>
          <w:szCs w:val="24"/>
        </w:rPr>
        <w:t xml:space="preserve">. </w:t>
      </w:r>
      <w:r w:rsidR="001839B8">
        <w:rPr>
          <w:rFonts w:ascii="Century" w:hAnsi="Century"/>
          <w:sz w:val="24"/>
          <w:szCs w:val="24"/>
        </w:rPr>
        <w:t>Therefore, the male pronoun will not be used to refer to both men and women</w:t>
      </w:r>
      <w:r w:rsidR="001F14FC" w:rsidRPr="00F32CF2">
        <w:rPr>
          <w:rFonts w:ascii="Century" w:hAnsi="Century"/>
          <w:sz w:val="24"/>
          <w:szCs w:val="24"/>
        </w:rPr>
        <w:t>.</w:t>
      </w:r>
      <w:r w:rsidR="001F14FC" w:rsidRPr="00F32CF2">
        <w:rPr>
          <w:rStyle w:val="FootnoteReference"/>
          <w:rFonts w:ascii="Century" w:hAnsi="Century"/>
          <w:sz w:val="24"/>
          <w:szCs w:val="24"/>
        </w:rPr>
        <w:footnoteReference w:id="273"/>
      </w:r>
      <w:r w:rsidR="001F14FC" w:rsidRPr="00F32CF2">
        <w:rPr>
          <w:rFonts w:ascii="Century" w:hAnsi="Century"/>
          <w:sz w:val="24"/>
          <w:szCs w:val="24"/>
        </w:rPr>
        <w:t xml:space="preserve"> </w:t>
      </w:r>
      <w:r w:rsidR="00E00125" w:rsidRPr="00F32CF2">
        <w:rPr>
          <w:rFonts w:ascii="Century" w:hAnsi="Century"/>
          <w:sz w:val="24"/>
          <w:szCs w:val="24"/>
        </w:rPr>
        <w:t xml:space="preserve">The use of </w:t>
      </w:r>
      <w:r w:rsidR="004C7690">
        <w:rPr>
          <w:rFonts w:ascii="Century" w:hAnsi="Century"/>
          <w:sz w:val="24"/>
          <w:szCs w:val="24"/>
        </w:rPr>
        <w:t>gender</w:t>
      </w:r>
      <w:r w:rsidR="00087F18">
        <w:rPr>
          <w:rFonts w:ascii="Century" w:hAnsi="Century"/>
          <w:sz w:val="24"/>
          <w:szCs w:val="24"/>
        </w:rPr>
        <w:t>-</w:t>
      </w:r>
      <w:r w:rsidR="004C7690">
        <w:rPr>
          <w:rFonts w:ascii="Century" w:hAnsi="Century"/>
          <w:sz w:val="24"/>
          <w:szCs w:val="24"/>
        </w:rPr>
        <w:t xml:space="preserve"> neutral language promotes certainty because there will be no doubt that the law refers to both men and women</w:t>
      </w:r>
      <w:r w:rsidR="004C6600">
        <w:rPr>
          <w:rFonts w:ascii="Century" w:hAnsi="Century"/>
          <w:sz w:val="24"/>
          <w:szCs w:val="24"/>
        </w:rPr>
        <w:t xml:space="preserve"> </w:t>
      </w:r>
      <w:r w:rsidR="004C7690">
        <w:rPr>
          <w:rFonts w:ascii="Century" w:hAnsi="Century"/>
          <w:sz w:val="24"/>
          <w:szCs w:val="24"/>
        </w:rPr>
        <w:t>and this promotes the rule of law</w:t>
      </w:r>
      <w:r w:rsidR="00C20C11" w:rsidRPr="00F32CF2">
        <w:rPr>
          <w:rFonts w:ascii="Century" w:hAnsi="Century"/>
          <w:sz w:val="24"/>
          <w:szCs w:val="24"/>
        </w:rPr>
        <w:t>.</w:t>
      </w:r>
      <w:r w:rsidR="00C20C11" w:rsidRPr="00F32CF2">
        <w:rPr>
          <w:rStyle w:val="FootnoteReference"/>
          <w:rFonts w:ascii="Century" w:hAnsi="Century"/>
          <w:sz w:val="24"/>
          <w:szCs w:val="24"/>
        </w:rPr>
        <w:footnoteReference w:id="274"/>
      </w:r>
      <w:r w:rsidR="002C0233" w:rsidRPr="00F32CF2">
        <w:rPr>
          <w:rFonts w:ascii="Century" w:hAnsi="Century"/>
          <w:sz w:val="24"/>
          <w:szCs w:val="24"/>
        </w:rPr>
        <w:t xml:space="preserve"> </w:t>
      </w:r>
    </w:p>
    <w:p w:rsidR="00897AB9" w:rsidRDefault="00897AB9" w:rsidP="00897AB9">
      <w:pPr>
        <w:spacing w:line="360" w:lineRule="auto"/>
        <w:jc w:val="both"/>
        <w:rPr>
          <w:rFonts w:ascii="Century" w:hAnsi="Century"/>
          <w:sz w:val="24"/>
          <w:szCs w:val="24"/>
        </w:rPr>
      </w:pPr>
    </w:p>
    <w:p w:rsidR="00511512" w:rsidRDefault="001F14FC" w:rsidP="00897AB9">
      <w:pPr>
        <w:spacing w:line="360" w:lineRule="auto"/>
        <w:jc w:val="both"/>
        <w:rPr>
          <w:rFonts w:ascii="Century" w:hAnsi="Century"/>
          <w:sz w:val="24"/>
          <w:szCs w:val="24"/>
        </w:rPr>
      </w:pPr>
      <w:r w:rsidRPr="00F32CF2">
        <w:rPr>
          <w:rFonts w:ascii="Century" w:hAnsi="Century"/>
          <w:sz w:val="24"/>
          <w:szCs w:val="24"/>
        </w:rPr>
        <w:t>To achieve a gender</w:t>
      </w:r>
      <w:r w:rsidR="00087F18">
        <w:rPr>
          <w:rFonts w:ascii="Century" w:hAnsi="Century"/>
          <w:sz w:val="24"/>
          <w:szCs w:val="24"/>
        </w:rPr>
        <w:t>-</w:t>
      </w:r>
      <w:r w:rsidRPr="00F32CF2">
        <w:rPr>
          <w:rFonts w:ascii="Century" w:hAnsi="Century"/>
          <w:sz w:val="24"/>
          <w:szCs w:val="24"/>
        </w:rPr>
        <w:t xml:space="preserve"> neutral legislation there are several techniques at </w:t>
      </w:r>
      <w:r w:rsidR="00CE0A69" w:rsidRPr="00F32CF2">
        <w:rPr>
          <w:rFonts w:ascii="Century" w:hAnsi="Century"/>
          <w:sz w:val="24"/>
          <w:szCs w:val="24"/>
        </w:rPr>
        <w:t xml:space="preserve">the </w:t>
      </w:r>
      <w:r w:rsidR="00833C78">
        <w:rPr>
          <w:rFonts w:ascii="Century" w:hAnsi="Century"/>
          <w:sz w:val="24"/>
          <w:szCs w:val="24"/>
        </w:rPr>
        <w:t xml:space="preserve">drafter’s </w:t>
      </w:r>
      <w:r w:rsidR="00CE0A69" w:rsidRPr="00F32CF2">
        <w:rPr>
          <w:rFonts w:ascii="Century" w:hAnsi="Century"/>
          <w:sz w:val="24"/>
          <w:szCs w:val="24"/>
        </w:rPr>
        <w:t>disposal</w:t>
      </w:r>
      <w:r w:rsidRPr="00F32CF2">
        <w:rPr>
          <w:rFonts w:ascii="Century" w:hAnsi="Century"/>
          <w:sz w:val="24"/>
          <w:szCs w:val="24"/>
        </w:rPr>
        <w:t xml:space="preserve">. </w:t>
      </w:r>
      <w:r w:rsidR="006A3AE7" w:rsidRPr="00F32CF2">
        <w:rPr>
          <w:rFonts w:ascii="Century" w:hAnsi="Century"/>
          <w:sz w:val="24"/>
          <w:szCs w:val="24"/>
        </w:rPr>
        <w:t xml:space="preserve">Some </w:t>
      </w:r>
      <w:r w:rsidR="00085DD0">
        <w:rPr>
          <w:rFonts w:ascii="Century" w:hAnsi="Century"/>
          <w:sz w:val="24"/>
          <w:szCs w:val="24"/>
        </w:rPr>
        <w:t>suggested</w:t>
      </w:r>
      <w:r w:rsidR="006A3AE7" w:rsidRPr="00F32CF2">
        <w:rPr>
          <w:rFonts w:ascii="Century" w:hAnsi="Century"/>
          <w:sz w:val="24"/>
          <w:szCs w:val="24"/>
        </w:rPr>
        <w:t xml:space="preserve"> by </w:t>
      </w:r>
      <w:r w:rsidR="006A3AE7" w:rsidRPr="007C0CB7">
        <w:rPr>
          <w:rFonts w:ascii="Century" w:hAnsi="Century"/>
          <w:sz w:val="24"/>
          <w:szCs w:val="24"/>
        </w:rPr>
        <w:t>Greenberg</w:t>
      </w:r>
      <w:r w:rsidR="007C0CB7" w:rsidRPr="007C0CB7">
        <w:rPr>
          <w:rFonts w:ascii="Century" w:hAnsi="Century"/>
          <w:sz w:val="24"/>
          <w:szCs w:val="24"/>
        </w:rPr>
        <w:t xml:space="preserve"> </w:t>
      </w:r>
      <w:r w:rsidR="0010126D" w:rsidRPr="007C0CB7">
        <w:rPr>
          <w:rFonts w:ascii="Century" w:hAnsi="Century"/>
          <w:sz w:val="24"/>
          <w:szCs w:val="24"/>
        </w:rPr>
        <w:t>are</w:t>
      </w:r>
      <w:r w:rsidR="00A07527">
        <w:rPr>
          <w:rFonts w:ascii="Century" w:hAnsi="Century"/>
          <w:sz w:val="24"/>
          <w:szCs w:val="24"/>
        </w:rPr>
        <w:t xml:space="preserve"> </w:t>
      </w:r>
      <w:r w:rsidR="006A3AE7" w:rsidRPr="007C0CB7">
        <w:rPr>
          <w:rFonts w:ascii="Century" w:hAnsi="Century"/>
          <w:sz w:val="24"/>
          <w:szCs w:val="24"/>
        </w:rPr>
        <w:t>rep</w:t>
      </w:r>
      <w:r w:rsidR="00667064">
        <w:rPr>
          <w:rFonts w:ascii="Century" w:hAnsi="Century"/>
          <w:sz w:val="24"/>
          <w:szCs w:val="24"/>
        </w:rPr>
        <w:t>etition of</w:t>
      </w:r>
      <w:r w:rsidR="006A3AE7" w:rsidRPr="007C0CB7">
        <w:rPr>
          <w:rFonts w:ascii="Century" w:hAnsi="Century"/>
          <w:sz w:val="24"/>
          <w:szCs w:val="24"/>
        </w:rPr>
        <w:t xml:space="preserve"> the </w:t>
      </w:r>
      <w:r w:rsidR="00B96238">
        <w:rPr>
          <w:rFonts w:ascii="Century" w:hAnsi="Century"/>
          <w:sz w:val="24"/>
          <w:szCs w:val="24"/>
        </w:rPr>
        <w:t>gender-neutral</w:t>
      </w:r>
      <w:r w:rsidR="006A3AE7" w:rsidRPr="007C0CB7">
        <w:rPr>
          <w:rFonts w:ascii="Century" w:hAnsi="Century"/>
          <w:sz w:val="24"/>
          <w:szCs w:val="24"/>
        </w:rPr>
        <w:t xml:space="preserve"> noun</w:t>
      </w:r>
      <w:r w:rsidR="007C0CB7" w:rsidRPr="007C0CB7">
        <w:rPr>
          <w:rFonts w:ascii="Century" w:hAnsi="Century"/>
          <w:sz w:val="24"/>
          <w:szCs w:val="24"/>
        </w:rPr>
        <w:t xml:space="preserve">, </w:t>
      </w:r>
      <w:r w:rsidR="006A3AE7" w:rsidRPr="007C0CB7">
        <w:rPr>
          <w:rFonts w:ascii="Century" w:hAnsi="Century"/>
          <w:sz w:val="24"/>
          <w:szCs w:val="24"/>
        </w:rPr>
        <w:t xml:space="preserve">omission of </w:t>
      </w:r>
      <w:r w:rsidR="008A7DDF">
        <w:rPr>
          <w:rFonts w:ascii="Century" w:hAnsi="Century"/>
          <w:sz w:val="24"/>
          <w:szCs w:val="24"/>
        </w:rPr>
        <w:t>pronoun</w:t>
      </w:r>
      <w:r w:rsidR="006C104A">
        <w:rPr>
          <w:rFonts w:ascii="Century" w:hAnsi="Century"/>
          <w:sz w:val="24"/>
          <w:szCs w:val="24"/>
        </w:rPr>
        <w:t xml:space="preserve">, </w:t>
      </w:r>
      <w:r w:rsidR="00A07527">
        <w:rPr>
          <w:rFonts w:ascii="Century" w:hAnsi="Century"/>
          <w:sz w:val="24"/>
          <w:szCs w:val="24"/>
        </w:rPr>
        <w:t>reorganising</w:t>
      </w:r>
      <w:r w:rsidR="006A3AE7" w:rsidRPr="007C0CB7">
        <w:rPr>
          <w:rFonts w:ascii="Century" w:hAnsi="Century"/>
          <w:sz w:val="24"/>
          <w:szCs w:val="24"/>
        </w:rPr>
        <w:t xml:space="preserve"> </w:t>
      </w:r>
      <w:r w:rsidR="00BA0552">
        <w:rPr>
          <w:rFonts w:ascii="Century" w:hAnsi="Century"/>
          <w:sz w:val="24"/>
          <w:szCs w:val="24"/>
        </w:rPr>
        <w:t xml:space="preserve">the </w:t>
      </w:r>
      <w:r w:rsidR="00B31BDE">
        <w:rPr>
          <w:rFonts w:ascii="Century" w:hAnsi="Century"/>
          <w:sz w:val="24"/>
          <w:szCs w:val="24"/>
        </w:rPr>
        <w:t xml:space="preserve">sentence from the active to the passive voice, using the </w:t>
      </w:r>
      <w:r w:rsidR="00A07527">
        <w:rPr>
          <w:rFonts w:ascii="Century" w:hAnsi="Century"/>
          <w:sz w:val="24"/>
          <w:szCs w:val="24"/>
        </w:rPr>
        <w:t>relative pronoun</w:t>
      </w:r>
      <w:r w:rsidR="006C104A">
        <w:rPr>
          <w:rFonts w:ascii="Century" w:hAnsi="Century"/>
          <w:sz w:val="24"/>
          <w:szCs w:val="24"/>
        </w:rPr>
        <w:t xml:space="preserve"> and using alternative gender</w:t>
      </w:r>
      <w:r w:rsidR="00087F18">
        <w:rPr>
          <w:rFonts w:ascii="Century" w:hAnsi="Century"/>
          <w:sz w:val="24"/>
          <w:szCs w:val="24"/>
        </w:rPr>
        <w:t>-</w:t>
      </w:r>
      <w:r w:rsidR="006C104A">
        <w:rPr>
          <w:rFonts w:ascii="Century" w:hAnsi="Century"/>
          <w:sz w:val="24"/>
          <w:szCs w:val="24"/>
        </w:rPr>
        <w:t xml:space="preserve"> neutral pronouns</w:t>
      </w:r>
      <w:r w:rsidR="00ED6B2A" w:rsidRPr="007C0CB7">
        <w:rPr>
          <w:rFonts w:ascii="Century" w:hAnsi="Century"/>
          <w:sz w:val="24"/>
          <w:szCs w:val="24"/>
        </w:rPr>
        <w:t>.</w:t>
      </w:r>
      <w:r w:rsidR="007C0CB7" w:rsidRPr="007C0CB7">
        <w:rPr>
          <w:rStyle w:val="FootnoteReference"/>
          <w:rFonts w:ascii="Century" w:hAnsi="Century"/>
          <w:sz w:val="24"/>
          <w:szCs w:val="24"/>
        </w:rPr>
        <w:footnoteReference w:id="275"/>
      </w:r>
      <w:r w:rsidR="002C0233" w:rsidRPr="00F32CF2">
        <w:rPr>
          <w:rFonts w:ascii="Century" w:hAnsi="Century"/>
          <w:sz w:val="24"/>
          <w:szCs w:val="24"/>
        </w:rPr>
        <w:t xml:space="preserve"> </w:t>
      </w:r>
      <w:r w:rsidR="0070327A">
        <w:rPr>
          <w:rFonts w:ascii="Century" w:hAnsi="Century"/>
          <w:sz w:val="24"/>
          <w:szCs w:val="24"/>
        </w:rPr>
        <w:t xml:space="preserve">The drafter </w:t>
      </w:r>
      <w:r w:rsidR="00586065">
        <w:rPr>
          <w:rFonts w:ascii="Century" w:hAnsi="Century"/>
          <w:sz w:val="24"/>
          <w:szCs w:val="24"/>
        </w:rPr>
        <w:t xml:space="preserve">can also </w:t>
      </w:r>
      <w:r w:rsidR="00093415">
        <w:rPr>
          <w:rFonts w:ascii="Century" w:hAnsi="Century"/>
          <w:sz w:val="24"/>
          <w:szCs w:val="24"/>
        </w:rPr>
        <w:t>use</w:t>
      </w:r>
      <w:r w:rsidR="00586065">
        <w:rPr>
          <w:rFonts w:ascii="Century" w:hAnsi="Century"/>
          <w:sz w:val="24"/>
          <w:szCs w:val="24"/>
        </w:rPr>
        <w:t xml:space="preserve"> </w:t>
      </w:r>
      <w:r w:rsidR="00093415">
        <w:rPr>
          <w:rFonts w:ascii="Century" w:hAnsi="Century"/>
          <w:sz w:val="24"/>
          <w:szCs w:val="24"/>
        </w:rPr>
        <w:t>gender-</w:t>
      </w:r>
      <w:r w:rsidR="00586065">
        <w:rPr>
          <w:rFonts w:ascii="Century" w:hAnsi="Century"/>
          <w:sz w:val="24"/>
          <w:szCs w:val="24"/>
        </w:rPr>
        <w:t>n</w:t>
      </w:r>
      <w:r w:rsidR="00851285">
        <w:rPr>
          <w:rFonts w:ascii="Century" w:hAnsi="Century"/>
          <w:sz w:val="24"/>
          <w:szCs w:val="24"/>
        </w:rPr>
        <w:t xml:space="preserve">eutral </w:t>
      </w:r>
      <w:r w:rsidR="00093415">
        <w:rPr>
          <w:rFonts w:ascii="Century" w:hAnsi="Century"/>
          <w:sz w:val="24"/>
          <w:szCs w:val="24"/>
        </w:rPr>
        <w:t>nouns</w:t>
      </w:r>
      <w:r w:rsidR="00851285">
        <w:rPr>
          <w:rFonts w:ascii="Century" w:hAnsi="Century"/>
          <w:sz w:val="24"/>
          <w:szCs w:val="24"/>
        </w:rPr>
        <w:t xml:space="preserve"> for example</w:t>
      </w:r>
      <w:r w:rsidR="00093415">
        <w:rPr>
          <w:rFonts w:ascii="Century" w:hAnsi="Century"/>
          <w:sz w:val="24"/>
          <w:szCs w:val="24"/>
        </w:rPr>
        <w:t xml:space="preserve"> ‘person’,</w:t>
      </w:r>
      <w:r w:rsidR="00093415" w:rsidRPr="00F32CF2">
        <w:rPr>
          <w:rFonts w:ascii="Century" w:hAnsi="Century"/>
          <w:sz w:val="24"/>
          <w:szCs w:val="24"/>
        </w:rPr>
        <w:t xml:space="preserve"> ‘individual</w:t>
      </w:r>
      <w:r w:rsidR="002C0233" w:rsidRPr="00F32CF2">
        <w:rPr>
          <w:rFonts w:ascii="Century" w:hAnsi="Century"/>
          <w:sz w:val="24"/>
          <w:szCs w:val="24"/>
        </w:rPr>
        <w:t>’</w:t>
      </w:r>
      <w:r w:rsidR="00093415">
        <w:rPr>
          <w:rFonts w:ascii="Century" w:hAnsi="Century"/>
          <w:sz w:val="24"/>
          <w:szCs w:val="24"/>
        </w:rPr>
        <w:t>,</w:t>
      </w:r>
      <w:r w:rsidR="00851285">
        <w:rPr>
          <w:rStyle w:val="FootnoteReference"/>
          <w:rFonts w:ascii="Century" w:hAnsi="Century"/>
          <w:sz w:val="24"/>
          <w:szCs w:val="24"/>
        </w:rPr>
        <w:footnoteReference w:id="276"/>
      </w:r>
      <w:r w:rsidR="002C0233" w:rsidRPr="00F32CF2">
        <w:rPr>
          <w:rFonts w:ascii="Century" w:hAnsi="Century"/>
          <w:sz w:val="24"/>
          <w:szCs w:val="24"/>
        </w:rPr>
        <w:t xml:space="preserve"> </w:t>
      </w:r>
      <w:r w:rsidR="00EF748F">
        <w:rPr>
          <w:rFonts w:ascii="Century" w:hAnsi="Century"/>
          <w:sz w:val="24"/>
          <w:szCs w:val="24"/>
        </w:rPr>
        <w:t xml:space="preserve"> </w:t>
      </w:r>
      <w:r w:rsidR="004D4282">
        <w:rPr>
          <w:rFonts w:ascii="Century" w:hAnsi="Century"/>
          <w:sz w:val="24"/>
          <w:szCs w:val="24"/>
        </w:rPr>
        <w:t>‘</w:t>
      </w:r>
      <w:r w:rsidR="00093415">
        <w:rPr>
          <w:rFonts w:ascii="Century" w:hAnsi="Century"/>
          <w:sz w:val="24"/>
          <w:szCs w:val="24"/>
        </w:rPr>
        <w:t>ambulance worker</w:t>
      </w:r>
      <w:r w:rsidR="004D4282">
        <w:rPr>
          <w:rFonts w:ascii="Century" w:hAnsi="Century"/>
          <w:sz w:val="24"/>
          <w:szCs w:val="24"/>
        </w:rPr>
        <w:t>’</w:t>
      </w:r>
      <w:r w:rsidR="00EF748F">
        <w:rPr>
          <w:rStyle w:val="FootnoteReference"/>
          <w:rFonts w:ascii="Century" w:hAnsi="Century"/>
          <w:sz w:val="24"/>
          <w:szCs w:val="24"/>
        </w:rPr>
        <w:footnoteReference w:id="277"/>
      </w:r>
      <w:r w:rsidR="003A7563">
        <w:rPr>
          <w:rFonts w:ascii="Century" w:hAnsi="Century"/>
          <w:sz w:val="24"/>
          <w:szCs w:val="24"/>
        </w:rPr>
        <w:t xml:space="preserve"> or ‘chairperson’.</w:t>
      </w:r>
      <w:r w:rsidR="003A7563">
        <w:rPr>
          <w:rStyle w:val="FootnoteReference"/>
          <w:rFonts w:ascii="Century" w:hAnsi="Century"/>
          <w:sz w:val="24"/>
          <w:szCs w:val="24"/>
        </w:rPr>
        <w:footnoteReference w:id="278"/>
      </w:r>
      <w:r w:rsidR="00EF748F">
        <w:rPr>
          <w:rFonts w:ascii="Century" w:hAnsi="Century"/>
          <w:sz w:val="24"/>
          <w:szCs w:val="24"/>
        </w:rPr>
        <w:t xml:space="preserve"> </w:t>
      </w:r>
      <w:r w:rsidR="0049003E">
        <w:rPr>
          <w:rFonts w:ascii="Century" w:hAnsi="Century"/>
          <w:sz w:val="24"/>
          <w:szCs w:val="24"/>
        </w:rPr>
        <w:t>Also both pronouns (</w:t>
      </w:r>
      <w:r w:rsidR="00FC5D9C">
        <w:rPr>
          <w:rFonts w:ascii="Century" w:hAnsi="Century"/>
          <w:sz w:val="24"/>
          <w:szCs w:val="24"/>
        </w:rPr>
        <w:t xml:space="preserve">his or her, </w:t>
      </w:r>
      <w:r w:rsidR="0049003E">
        <w:rPr>
          <w:rFonts w:ascii="Century" w:hAnsi="Century"/>
          <w:sz w:val="24"/>
          <w:szCs w:val="24"/>
        </w:rPr>
        <w:t>he or</w:t>
      </w:r>
      <w:r w:rsidR="00EA772F" w:rsidRPr="00F32CF2">
        <w:rPr>
          <w:rFonts w:ascii="Century" w:hAnsi="Century"/>
          <w:sz w:val="24"/>
          <w:szCs w:val="24"/>
        </w:rPr>
        <w:t xml:space="preserve"> she, he/she or s/he) </w:t>
      </w:r>
      <w:r w:rsidR="00EA772F" w:rsidRPr="00F32CF2">
        <w:rPr>
          <w:rFonts w:ascii="Century" w:hAnsi="Century"/>
          <w:sz w:val="24"/>
          <w:szCs w:val="24"/>
        </w:rPr>
        <w:lastRenderedPageBreak/>
        <w:t>can be used where the</w:t>
      </w:r>
      <w:r w:rsidR="00F32CF2">
        <w:rPr>
          <w:rFonts w:ascii="Century" w:hAnsi="Century"/>
          <w:sz w:val="24"/>
          <w:szCs w:val="24"/>
        </w:rPr>
        <w:t xml:space="preserve"> provision refers to both sexes</w:t>
      </w:r>
      <w:r w:rsidR="00EA772F" w:rsidRPr="00F32CF2">
        <w:rPr>
          <w:rFonts w:ascii="Century" w:hAnsi="Century"/>
          <w:sz w:val="24"/>
          <w:szCs w:val="24"/>
        </w:rPr>
        <w:t>.</w:t>
      </w:r>
      <w:r w:rsidR="00EA772F" w:rsidRPr="00F32CF2">
        <w:rPr>
          <w:rStyle w:val="FootnoteReference"/>
          <w:rFonts w:ascii="Century" w:hAnsi="Century"/>
          <w:sz w:val="24"/>
          <w:szCs w:val="24"/>
        </w:rPr>
        <w:footnoteReference w:id="279"/>
      </w:r>
      <w:r w:rsidR="00EA772F" w:rsidRPr="00F32CF2">
        <w:rPr>
          <w:rFonts w:ascii="Century" w:hAnsi="Century"/>
          <w:sz w:val="24"/>
          <w:szCs w:val="24"/>
        </w:rPr>
        <w:t xml:space="preserve"> </w:t>
      </w:r>
      <w:r w:rsidR="006A3AE7" w:rsidRPr="00F32CF2">
        <w:rPr>
          <w:rFonts w:ascii="Century" w:hAnsi="Century"/>
          <w:sz w:val="24"/>
          <w:szCs w:val="24"/>
        </w:rPr>
        <w:t>Others include using the plural noun</w:t>
      </w:r>
      <w:r w:rsidR="00312D53" w:rsidRPr="00F32CF2">
        <w:rPr>
          <w:rFonts w:ascii="Century" w:hAnsi="Century"/>
          <w:sz w:val="24"/>
          <w:szCs w:val="24"/>
        </w:rPr>
        <w:t xml:space="preserve"> or singular noun</w:t>
      </w:r>
      <w:r w:rsidR="006A3AE7" w:rsidRPr="00F32CF2">
        <w:rPr>
          <w:rFonts w:ascii="Century" w:hAnsi="Century"/>
          <w:sz w:val="24"/>
          <w:szCs w:val="24"/>
        </w:rPr>
        <w:t xml:space="preserve"> followed by ‘they’</w:t>
      </w:r>
      <w:r w:rsidR="00312D53" w:rsidRPr="00F32CF2">
        <w:rPr>
          <w:rFonts w:ascii="Century" w:hAnsi="Century"/>
          <w:sz w:val="24"/>
          <w:szCs w:val="24"/>
        </w:rPr>
        <w:t xml:space="preserve"> rather than singular pronouns ‘he’ or ‘she’</w:t>
      </w:r>
      <w:r w:rsidR="006A3AE7" w:rsidRPr="00F32CF2">
        <w:rPr>
          <w:rFonts w:ascii="Century" w:hAnsi="Century"/>
          <w:sz w:val="24"/>
          <w:szCs w:val="24"/>
        </w:rPr>
        <w:t>; or replacing the noun with a letter.</w:t>
      </w:r>
      <w:r w:rsidR="006A3AE7" w:rsidRPr="00F32CF2">
        <w:rPr>
          <w:rStyle w:val="FootnoteReference"/>
          <w:rFonts w:ascii="Century" w:hAnsi="Century"/>
          <w:sz w:val="24"/>
          <w:szCs w:val="24"/>
        </w:rPr>
        <w:footnoteReference w:id="280"/>
      </w:r>
      <w:r w:rsidR="006A3AE7" w:rsidRPr="00F32CF2">
        <w:rPr>
          <w:rFonts w:ascii="Century" w:hAnsi="Century"/>
          <w:sz w:val="24"/>
          <w:szCs w:val="24"/>
        </w:rPr>
        <w:t xml:space="preserve"> </w:t>
      </w:r>
    </w:p>
    <w:p w:rsidR="00511512" w:rsidRDefault="00511512" w:rsidP="00897AB9">
      <w:pPr>
        <w:spacing w:line="360" w:lineRule="auto"/>
        <w:jc w:val="both"/>
        <w:rPr>
          <w:rFonts w:ascii="Century" w:hAnsi="Century"/>
          <w:sz w:val="24"/>
          <w:szCs w:val="24"/>
        </w:rPr>
      </w:pPr>
    </w:p>
    <w:p w:rsidR="001F14FC" w:rsidRPr="00F32CF2" w:rsidRDefault="00C87EE4" w:rsidP="00897AB9">
      <w:pPr>
        <w:spacing w:line="360" w:lineRule="auto"/>
        <w:jc w:val="both"/>
        <w:rPr>
          <w:rFonts w:ascii="Century" w:hAnsi="Century"/>
          <w:sz w:val="24"/>
          <w:szCs w:val="24"/>
        </w:rPr>
      </w:pPr>
      <w:r w:rsidRPr="00F32CF2">
        <w:rPr>
          <w:rFonts w:ascii="Century" w:hAnsi="Century"/>
          <w:sz w:val="24"/>
          <w:szCs w:val="24"/>
        </w:rPr>
        <w:t>These techniques are n</w:t>
      </w:r>
      <w:r w:rsidR="00B4382F" w:rsidRPr="00F32CF2">
        <w:rPr>
          <w:rFonts w:ascii="Century" w:hAnsi="Century"/>
          <w:sz w:val="24"/>
          <w:szCs w:val="24"/>
        </w:rPr>
        <w:t>ot suitable in all contexts and in the UK some of these tec</w:t>
      </w:r>
      <w:r w:rsidR="004B716D">
        <w:rPr>
          <w:rFonts w:ascii="Century" w:hAnsi="Century"/>
          <w:sz w:val="24"/>
          <w:szCs w:val="24"/>
        </w:rPr>
        <w:t>hniques have been frowned upon f</w:t>
      </w:r>
      <w:r w:rsidR="00B4382F" w:rsidRPr="00F32CF2">
        <w:rPr>
          <w:rFonts w:ascii="Century" w:hAnsi="Century"/>
          <w:sz w:val="24"/>
          <w:szCs w:val="24"/>
        </w:rPr>
        <w:t>or instance</w:t>
      </w:r>
      <w:r w:rsidR="004B716D">
        <w:rPr>
          <w:rFonts w:ascii="Century" w:hAnsi="Century"/>
          <w:sz w:val="24"/>
          <w:szCs w:val="24"/>
        </w:rPr>
        <w:t>,</w:t>
      </w:r>
      <w:r w:rsidR="00B4382F" w:rsidRPr="00F32CF2">
        <w:rPr>
          <w:rFonts w:ascii="Century" w:hAnsi="Century"/>
          <w:sz w:val="24"/>
          <w:szCs w:val="24"/>
        </w:rPr>
        <w:t xml:space="preserve"> using a letter in place of a noun. </w:t>
      </w:r>
      <w:r w:rsidR="004B716D">
        <w:rPr>
          <w:rFonts w:ascii="Century" w:hAnsi="Century"/>
          <w:sz w:val="24"/>
          <w:szCs w:val="24"/>
        </w:rPr>
        <w:t>This technique</w:t>
      </w:r>
      <w:r w:rsidR="00C06540">
        <w:rPr>
          <w:rFonts w:ascii="Century" w:hAnsi="Century"/>
          <w:sz w:val="24"/>
          <w:szCs w:val="24"/>
        </w:rPr>
        <w:t xml:space="preserve"> is said to</w:t>
      </w:r>
      <w:r w:rsidR="004B716D">
        <w:rPr>
          <w:rFonts w:ascii="Century" w:hAnsi="Century"/>
          <w:sz w:val="24"/>
          <w:szCs w:val="24"/>
        </w:rPr>
        <w:t xml:space="preserve"> </w:t>
      </w:r>
      <w:r w:rsidR="00FD179A">
        <w:rPr>
          <w:rFonts w:ascii="Century" w:hAnsi="Century"/>
          <w:sz w:val="24"/>
          <w:szCs w:val="24"/>
        </w:rPr>
        <w:t>‘</w:t>
      </w:r>
      <w:r w:rsidR="004B716D">
        <w:rPr>
          <w:rFonts w:ascii="Century" w:hAnsi="Century"/>
          <w:sz w:val="24"/>
          <w:szCs w:val="24"/>
        </w:rPr>
        <w:t>decrease readability</w:t>
      </w:r>
      <w:r w:rsidR="00FD179A">
        <w:rPr>
          <w:rFonts w:ascii="Century" w:hAnsi="Century"/>
          <w:sz w:val="24"/>
          <w:szCs w:val="24"/>
        </w:rPr>
        <w:t>…</w:t>
      </w:r>
      <w:r w:rsidR="004B716D">
        <w:rPr>
          <w:rFonts w:ascii="Century" w:hAnsi="Century"/>
          <w:sz w:val="24"/>
          <w:szCs w:val="24"/>
        </w:rPr>
        <w:t xml:space="preserve"> because it </w:t>
      </w:r>
      <w:r w:rsidR="00B4382F" w:rsidRPr="00F32CF2">
        <w:rPr>
          <w:rFonts w:ascii="Century" w:hAnsi="Century"/>
          <w:sz w:val="24"/>
          <w:szCs w:val="24"/>
        </w:rPr>
        <w:t>does not reflect how</w:t>
      </w:r>
      <w:r w:rsidR="004B716D">
        <w:rPr>
          <w:rFonts w:ascii="Century" w:hAnsi="Century"/>
          <w:sz w:val="24"/>
          <w:szCs w:val="24"/>
        </w:rPr>
        <w:t xml:space="preserve"> people normally speak or write</w:t>
      </w:r>
      <w:r w:rsidR="00A03332">
        <w:rPr>
          <w:rFonts w:ascii="Century" w:hAnsi="Century"/>
          <w:sz w:val="24"/>
          <w:szCs w:val="24"/>
        </w:rPr>
        <w:t>’</w:t>
      </w:r>
      <w:r w:rsidR="004B716D">
        <w:rPr>
          <w:rFonts w:ascii="Century" w:hAnsi="Century"/>
          <w:sz w:val="24"/>
          <w:szCs w:val="24"/>
        </w:rPr>
        <w:t xml:space="preserve"> and it gives users the additional work of </w:t>
      </w:r>
      <w:r w:rsidR="00A03332">
        <w:rPr>
          <w:rFonts w:ascii="Century" w:hAnsi="Century"/>
          <w:sz w:val="24"/>
          <w:szCs w:val="24"/>
        </w:rPr>
        <w:t>replacing</w:t>
      </w:r>
      <w:r w:rsidR="004B716D">
        <w:rPr>
          <w:rFonts w:ascii="Century" w:hAnsi="Century"/>
          <w:sz w:val="24"/>
          <w:szCs w:val="24"/>
        </w:rPr>
        <w:t xml:space="preserve"> the noun being referred to.</w:t>
      </w:r>
      <w:r w:rsidR="00B4382F" w:rsidRPr="00F32CF2">
        <w:rPr>
          <w:rStyle w:val="FootnoteReference"/>
          <w:rFonts w:ascii="Century" w:hAnsi="Century"/>
          <w:sz w:val="24"/>
          <w:szCs w:val="24"/>
        </w:rPr>
        <w:footnoteReference w:id="281"/>
      </w:r>
      <w:r w:rsidRPr="00F32CF2">
        <w:rPr>
          <w:rFonts w:ascii="Century" w:hAnsi="Century"/>
          <w:sz w:val="24"/>
          <w:szCs w:val="24"/>
        </w:rPr>
        <w:t xml:space="preserve">  </w:t>
      </w:r>
      <w:r w:rsidR="00312D53" w:rsidRPr="00F32CF2">
        <w:rPr>
          <w:rFonts w:ascii="Century" w:hAnsi="Century"/>
          <w:sz w:val="24"/>
          <w:szCs w:val="24"/>
        </w:rPr>
        <w:t xml:space="preserve">Another technique that </w:t>
      </w:r>
      <w:r w:rsidR="00FC24E3">
        <w:rPr>
          <w:rFonts w:ascii="Century" w:hAnsi="Century"/>
          <w:sz w:val="24"/>
          <w:szCs w:val="24"/>
        </w:rPr>
        <w:t>is not favoured</w:t>
      </w:r>
      <w:r w:rsidR="00312D53" w:rsidRPr="00F32CF2">
        <w:rPr>
          <w:rFonts w:ascii="Century" w:hAnsi="Century"/>
          <w:sz w:val="24"/>
          <w:szCs w:val="24"/>
        </w:rPr>
        <w:t xml:space="preserve"> </w:t>
      </w:r>
      <w:r w:rsidR="00F32CF2" w:rsidRPr="00F32CF2">
        <w:rPr>
          <w:rFonts w:ascii="Century" w:hAnsi="Century"/>
          <w:sz w:val="24"/>
          <w:szCs w:val="24"/>
        </w:rPr>
        <w:t>is</w:t>
      </w:r>
      <w:r w:rsidR="00B1615F" w:rsidRPr="00F32CF2">
        <w:rPr>
          <w:rFonts w:ascii="Century" w:hAnsi="Century"/>
          <w:sz w:val="24"/>
          <w:szCs w:val="24"/>
        </w:rPr>
        <w:t xml:space="preserve"> the</w:t>
      </w:r>
      <w:r w:rsidRPr="00F32CF2">
        <w:rPr>
          <w:rFonts w:ascii="Century" w:hAnsi="Century"/>
          <w:sz w:val="24"/>
          <w:szCs w:val="24"/>
        </w:rPr>
        <w:t xml:space="preserve"> repetition</w:t>
      </w:r>
      <w:r w:rsidR="00B1615F" w:rsidRPr="00F32CF2">
        <w:rPr>
          <w:rFonts w:ascii="Century" w:hAnsi="Century"/>
          <w:sz w:val="24"/>
          <w:szCs w:val="24"/>
        </w:rPr>
        <w:t xml:space="preserve"> of nouns in place of pronouns </w:t>
      </w:r>
      <w:r w:rsidR="00F32CF2">
        <w:rPr>
          <w:rFonts w:ascii="Century" w:hAnsi="Century"/>
          <w:sz w:val="24"/>
          <w:szCs w:val="24"/>
        </w:rPr>
        <w:t xml:space="preserve">because it </w:t>
      </w:r>
      <w:r w:rsidR="00BC0A92">
        <w:rPr>
          <w:rFonts w:ascii="Century" w:hAnsi="Century"/>
          <w:sz w:val="24"/>
          <w:szCs w:val="24"/>
        </w:rPr>
        <w:t>‘</w:t>
      </w:r>
      <w:r w:rsidRPr="00F32CF2">
        <w:rPr>
          <w:rFonts w:ascii="Century" w:hAnsi="Century"/>
          <w:sz w:val="24"/>
          <w:szCs w:val="24"/>
        </w:rPr>
        <w:t>may produce a clumsy sentence</w:t>
      </w:r>
      <w:r w:rsidR="00D6215E">
        <w:rPr>
          <w:rFonts w:ascii="Century" w:hAnsi="Century"/>
          <w:sz w:val="24"/>
          <w:szCs w:val="24"/>
        </w:rPr>
        <w:t>’</w:t>
      </w:r>
      <w:r w:rsidRPr="00F32CF2">
        <w:rPr>
          <w:rFonts w:ascii="Century" w:hAnsi="Century"/>
          <w:sz w:val="24"/>
          <w:szCs w:val="24"/>
        </w:rPr>
        <w:t>.</w:t>
      </w:r>
      <w:r w:rsidR="00DA7C76" w:rsidRPr="00F32CF2">
        <w:rPr>
          <w:rStyle w:val="FootnoteReference"/>
          <w:rFonts w:ascii="Century" w:hAnsi="Century"/>
          <w:sz w:val="24"/>
          <w:szCs w:val="24"/>
        </w:rPr>
        <w:footnoteReference w:id="282"/>
      </w:r>
      <w:r w:rsidRPr="00F32CF2">
        <w:rPr>
          <w:rFonts w:ascii="Century" w:hAnsi="Century"/>
          <w:sz w:val="24"/>
          <w:szCs w:val="24"/>
        </w:rPr>
        <w:t xml:space="preserve"> </w:t>
      </w:r>
      <w:r w:rsidR="001F14FC" w:rsidRPr="00F32CF2">
        <w:rPr>
          <w:rFonts w:ascii="Century" w:hAnsi="Century"/>
          <w:sz w:val="24"/>
          <w:szCs w:val="24"/>
        </w:rPr>
        <w:t>As noted by Greenberg</w:t>
      </w:r>
      <w:r w:rsidR="00B1615F" w:rsidRPr="00F32CF2">
        <w:rPr>
          <w:rFonts w:ascii="Century" w:hAnsi="Century"/>
          <w:sz w:val="24"/>
          <w:szCs w:val="24"/>
        </w:rPr>
        <w:t>-</w:t>
      </w:r>
      <w:r w:rsidR="001F14FC" w:rsidRPr="00F32CF2">
        <w:rPr>
          <w:rFonts w:ascii="Century" w:hAnsi="Century"/>
          <w:sz w:val="24"/>
          <w:szCs w:val="24"/>
        </w:rPr>
        <w:t xml:space="preserve"> </w:t>
      </w:r>
    </w:p>
    <w:p w:rsidR="001F14FC" w:rsidRPr="00F32CF2" w:rsidRDefault="001F14FC" w:rsidP="001F14FC">
      <w:pPr>
        <w:spacing w:line="360" w:lineRule="auto"/>
        <w:ind w:left="720"/>
        <w:jc w:val="both"/>
        <w:rPr>
          <w:rFonts w:ascii="Century" w:hAnsi="Century"/>
          <w:sz w:val="24"/>
          <w:szCs w:val="24"/>
        </w:rPr>
      </w:pPr>
      <w:r w:rsidRPr="00F32CF2">
        <w:rPr>
          <w:rFonts w:ascii="Century" w:hAnsi="Century"/>
          <w:sz w:val="24"/>
          <w:szCs w:val="24"/>
        </w:rPr>
        <w:t>[R]epetition is</w:t>
      </w:r>
      <w:r w:rsidR="00C87EE4" w:rsidRPr="00F32CF2">
        <w:rPr>
          <w:rFonts w:ascii="Century" w:hAnsi="Century"/>
          <w:sz w:val="24"/>
          <w:szCs w:val="24"/>
        </w:rPr>
        <w:t xml:space="preserve"> </w:t>
      </w:r>
      <w:r w:rsidRPr="00F32CF2">
        <w:rPr>
          <w:rFonts w:ascii="Century" w:hAnsi="Century"/>
          <w:sz w:val="24"/>
          <w:szCs w:val="24"/>
        </w:rPr>
        <w:t>also necessarily the one that tends to produce the longest drafts, and those that are the most dissonant for the reader. In the</w:t>
      </w:r>
      <w:r w:rsidR="00DE6569">
        <w:rPr>
          <w:rFonts w:ascii="Century" w:hAnsi="Century"/>
          <w:sz w:val="24"/>
          <w:szCs w:val="24"/>
        </w:rPr>
        <w:t xml:space="preserve"> traditional use of repetition…</w:t>
      </w:r>
      <w:r w:rsidRPr="00F32CF2">
        <w:rPr>
          <w:rFonts w:ascii="Century" w:hAnsi="Century"/>
          <w:sz w:val="24"/>
          <w:szCs w:val="24"/>
        </w:rPr>
        <w:t>to avoid ambiguity in a sentence with two actors, we have always accepted d</w:t>
      </w:r>
      <w:r w:rsidR="000B48D3">
        <w:rPr>
          <w:rFonts w:ascii="Century" w:hAnsi="Century"/>
          <w:sz w:val="24"/>
          <w:szCs w:val="24"/>
        </w:rPr>
        <w:t>issonance as the reasonable pri</w:t>
      </w:r>
      <w:r w:rsidRPr="00F32CF2">
        <w:rPr>
          <w:rFonts w:ascii="Century" w:hAnsi="Century"/>
          <w:sz w:val="24"/>
          <w:szCs w:val="24"/>
        </w:rPr>
        <w:t>ce of clarity, reminding ourselves that we are writing the law not poetry and that certainty must always be preferred to elegance or brevity.</w:t>
      </w:r>
      <w:r w:rsidR="00B1615F" w:rsidRPr="00F32CF2">
        <w:rPr>
          <w:rStyle w:val="FootnoteReference"/>
          <w:rFonts w:ascii="Century" w:hAnsi="Century"/>
          <w:sz w:val="24"/>
          <w:szCs w:val="24"/>
        </w:rPr>
        <w:footnoteReference w:id="283"/>
      </w:r>
    </w:p>
    <w:p w:rsidR="00897AB9" w:rsidRDefault="00897AB9" w:rsidP="006B24A5">
      <w:pPr>
        <w:spacing w:line="360" w:lineRule="auto"/>
        <w:jc w:val="both"/>
        <w:rPr>
          <w:rFonts w:ascii="Century" w:hAnsi="Century"/>
          <w:sz w:val="24"/>
          <w:szCs w:val="24"/>
        </w:rPr>
      </w:pPr>
    </w:p>
    <w:p w:rsidR="00FD0DD9" w:rsidRPr="00F32CF2" w:rsidRDefault="001F14FC" w:rsidP="0049683B">
      <w:pPr>
        <w:spacing w:line="360" w:lineRule="auto"/>
        <w:jc w:val="both"/>
        <w:rPr>
          <w:rFonts w:ascii="Century" w:hAnsi="Century"/>
          <w:sz w:val="24"/>
          <w:szCs w:val="24"/>
        </w:rPr>
      </w:pPr>
      <w:r w:rsidRPr="00F32CF2">
        <w:rPr>
          <w:rFonts w:ascii="Century" w:hAnsi="Century"/>
          <w:sz w:val="24"/>
          <w:szCs w:val="24"/>
        </w:rPr>
        <w:t xml:space="preserve"> </w:t>
      </w:r>
      <w:r w:rsidR="00FD0DD9">
        <w:rPr>
          <w:rFonts w:ascii="Century" w:hAnsi="Century"/>
          <w:sz w:val="24"/>
          <w:szCs w:val="24"/>
        </w:rPr>
        <w:t>Utilizing</w:t>
      </w:r>
      <w:r w:rsidR="00F65588">
        <w:rPr>
          <w:rFonts w:ascii="Century" w:hAnsi="Century"/>
          <w:sz w:val="24"/>
          <w:szCs w:val="24"/>
        </w:rPr>
        <w:t xml:space="preserve"> gender</w:t>
      </w:r>
      <w:r w:rsidR="00087F18">
        <w:rPr>
          <w:rFonts w:ascii="Century" w:hAnsi="Century"/>
          <w:sz w:val="24"/>
          <w:szCs w:val="24"/>
        </w:rPr>
        <w:t>-</w:t>
      </w:r>
      <w:r w:rsidR="00F65588">
        <w:rPr>
          <w:rFonts w:ascii="Century" w:hAnsi="Century"/>
          <w:sz w:val="24"/>
          <w:szCs w:val="24"/>
        </w:rPr>
        <w:t xml:space="preserve"> </w:t>
      </w:r>
      <w:r w:rsidR="00F65588" w:rsidRPr="00F32CF2">
        <w:rPr>
          <w:rFonts w:ascii="Century" w:hAnsi="Century"/>
          <w:sz w:val="24"/>
          <w:szCs w:val="24"/>
        </w:rPr>
        <w:t xml:space="preserve">neutral language </w:t>
      </w:r>
      <w:r w:rsidR="00DE6569">
        <w:rPr>
          <w:rFonts w:ascii="Century" w:hAnsi="Century"/>
          <w:sz w:val="24"/>
          <w:szCs w:val="24"/>
        </w:rPr>
        <w:t xml:space="preserve">as noted above </w:t>
      </w:r>
      <w:r w:rsidR="00753EAE">
        <w:rPr>
          <w:rFonts w:ascii="Century" w:hAnsi="Century"/>
          <w:sz w:val="24"/>
          <w:szCs w:val="24"/>
        </w:rPr>
        <w:t>can cause the text to lose its simplicity and</w:t>
      </w:r>
      <w:r w:rsidR="00F32CF2">
        <w:rPr>
          <w:rFonts w:ascii="Century" w:hAnsi="Century"/>
          <w:sz w:val="24"/>
          <w:szCs w:val="24"/>
        </w:rPr>
        <w:t xml:space="preserve"> elegance</w:t>
      </w:r>
      <w:r w:rsidR="00753EAE">
        <w:rPr>
          <w:rFonts w:ascii="Century" w:hAnsi="Century"/>
          <w:sz w:val="24"/>
          <w:szCs w:val="24"/>
        </w:rPr>
        <w:t>.</w:t>
      </w:r>
      <w:r w:rsidR="007C191A" w:rsidRPr="00F32CF2">
        <w:rPr>
          <w:rStyle w:val="FootnoteReference"/>
          <w:rFonts w:ascii="Century" w:hAnsi="Century"/>
          <w:sz w:val="24"/>
          <w:szCs w:val="24"/>
        </w:rPr>
        <w:footnoteReference w:id="284"/>
      </w:r>
      <w:r w:rsidR="00753EAE">
        <w:rPr>
          <w:rFonts w:ascii="Century" w:hAnsi="Century"/>
          <w:sz w:val="24"/>
          <w:szCs w:val="24"/>
        </w:rPr>
        <w:t xml:space="preserve"> </w:t>
      </w:r>
      <w:r w:rsidR="00F32CF2">
        <w:rPr>
          <w:rFonts w:ascii="Century" w:hAnsi="Century"/>
          <w:sz w:val="24"/>
          <w:szCs w:val="24"/>
        </w:rPr>
        <w:t>However, the goal</w:t>
      </w:r>
      <w:r w:rsidR="00DE6569">
        <w:rPr>
          <w:rFonts w:ascii="Century" w:hAnsi="Century"/>
          <w:sz w:val="24"/>
          <w:szCs w:val="24"/>
        </w:rPr>
        <w:t xml:space="preserve"> as Greenberg </w:t>
      </w:r>
      <w:r w:rsidR="00CC51BB">
        <w:rPr>
          <w:rFonts w:ascii="Century" w:hAnsi="Century"/>
          <w:sz w:val="24"/>
          <w:szCs w:val="24"/>
        </w:rPr>
        <w:t xml:space="preserve">notes </w:t>
      </w:r>
      <w:r w:rsidR="00DE6569">
        <w:rPr>
          <w:rFonts w:ascii="Century" w:hAnsi="Century"/>
          <w:sz w:val="24"/>
          <w:szCs w:val="24"/>
        </w:rPr>
        <w:t>is not to write poetry but</w:t>
      </w:r>
      <w:r w:rsidR="00F32CF2">
        <w:rPr>
          <w:rFonts w:ascii="Century" w:hAnsi="Century"/>
          <w:sz w:val="24"/>
          <w:szCs w:val="24"/>
        </w:rPr>
        <w:t xml:space="preserve"> </w:t>
      </w:r>
      <w:r w:rsidR="00CC51BB">
        <w:rPr>
          <w:rFonts w:ascii="Century" w:hAnsi="Century"/>
          <w:sz w:val="24"/>
          <w:szCs w:val="24"/>
        </w:rPr>
        <w:t>to effectively communicate</w:t>
      </w:r>
      <w:r w:rsidR="00F32CF2">
        <w:rPr>
          <w:rFonts w:ascii="Century" w:hAnsi="Century"/>
          <w:sz w:val="24"/>
          <w:szCs w:val="24"/>
        </w:rPr>
        <w:t xml:space="preserve"> the law to </w:t>
      </w:r>
      <w:r w:rsidR="00CC51BB">
        <w:rPr>
          <w:rFonts w:ascii="Century" w:hAnsi="Century"/>
          <w:sz w:val="24"/>
          <w:szCs w:val="24"/>
        </w:rPr>
        <w:t>its audience</w:t>
      </w:r>
      <w:r w:rsidR="00C87EE4" w:rsidRPr="00F32CF2">
        <w:rPr>
          <w:rFonts w:ascii="Century" w:hAnsi="Century"/>
          <w:sz w:val="24"/>
          <w:szCs w:val="24"/>
        </w:rPr>
        <w:t>.</w:t>
      </w:r>
      <w:r w:rsidR="00DE6569">
        <w:rPr>
          <w:rStyle w:val="FootnoteReference"/>
          <w:rFonts w:ascii="Century" w:hAnsi="Century"/>
          <w:sz w:val="24"/>
          <w:szCs w:val="24"/>
        </w:rPr>
        <w:footnoteReference w:id="285"/>
      </w:r>
      <w:r w:rsidR="00706496">
        <w:rPr>
          <w:rFonts w:ascii="Century" w:hAnsi="Century"/>
          <w:sz w:val="24"/>
          <w:szCs w:val="24"/>
        </w:rPr>
        <w:t xml:space="preserve"> </w:t>
      </w:r>
      <w:r w:rsidR="00AC6044" w:rsidRPr="000401F8">
        <w:rPr>
          <w:rFonts w:ascii="Century" w:hAnsi="Century"/>
          <w:sz w:val="24"/>
          <w:szCs w:val="24"/>
        </w:rPr>
        <w:t>Therefore, drafter</w:t>
      </w:r>
      <w:r w:rsidR="00DE6569">
        <w:rPr>
          <w:rFonts w:ascii="Century" w:hAnsi="Century"/>
          <w:sz w:val="24"/>
          <w:szCs w:val="24"/>
        </w:rPr>
        <w:t>s</w:t>
      </w:r>
      <w:r w:rsidR="00AC6044" w:rsidRPr="000401F8">
        <w:rPr>
          <w:rFonts w:ascii="Century" w:hAnsi="Century"/>
          <w:sz w:val="24"/>
          <w:szCs w:val="24"/>
        </w:rPr>
        <w:t xml:space="preserve"> may have to forego s</w:t>
      </w:r>
      <w:r w:rsidR="00753EAE" w:rsidRPr="000401F8">
        <w:rPr>
          <w:rFonts w:ascii="Century" w:hAnsi="Century"/>
          <w:sz w:val="24"/>
          <w:szCs w:val="24"/>
        </w:rPr>
        <w:t xml:space="preserve">implicity and elegance </w:t>
      </w:r>
      <w:r w:rsidR="00F65588" w:rsidRPr="000401F8">
        <w:rPr>
          <w:rFonts w:ascii="Century" w:hAnsi="Century"/>
          <w:sz w:val="24"/>
          <w:szCs w:val="24"/>
        </w:rPr>
        <w:t>to ensure that there is certainty in the law which is achieved through gender</w:t>
      </w:r>
      <w:r w:rsidR="00087F18">
        <w:rPr>
          <w:rFonts w:ascii="Century" w:hAnsi="Century"/>
          <w:sz w:val="24"/>
          <w:szCs w:val="24"/>
        </w:rPr>
        <w:t>-</w:t>
      </w:r>
      <w:r w:rsidR="00F65588" w:rsidRPr="000401F8">
        <w:rPr>
          <w:rFonts w:ascii="Century" w:hAnsi="Century"/>
          <w:sz w:val="24"/>
          <w:szCs w:val="24"/>
        </w:rPr>
        <w:t xml:space="preserve"> neutral </w:t>
      </w:r>
      <w:r w:rsidR="00F65588" w:rsidRPr="000401F8">
        <w:rPr>
          <w:rFonts w:ascii="Century" w:hAnsi="Century"/>
          <w:sz w:val="24"/>
          <w:szCs w:val="24"/>
        </w:rPr>
        <w:lastRenderedPageBreak/>
        <w:t>language.</w:t>
      </w:r>
      <w:r w:rsidR="00DC354D" w:rsidRPr="000401F8">
        <w:rPr>
          <w:rStyle w:val="FootnoteReference"/>
          <w:rFonts w:ascii="Century" w:hAnsi="Century"/>
          <w:sz w:val="24"/>
          <w:szCs w:val="24"/>
        </w:rPr>
        <w:footnoteReference w:id="286"/>
      </w:r>
      <w:r w:rsidR="00DC354D">
        <w:rPr>
          <w:rFonts w:ascii="Century" w:hAnsi="Century"/>
          <w:sz w:val="24"/>
          <w:szCs w:val="24"/>
        </w:rPr>
        <w:t xml:space="preserve"> </w:t>
      </w:r>
      <w:r w:rsidR="00F65588">
        <w:rPr>
          <w:rFonts w:ascii="Century" w:hAnsi="Century"/>
          <w:sz w:val="24"/>
          <w:szCs w:val="24"/>
        </w:rPr>
        <w:t xml:space="preserve">At the end of the day the rule of law requires that the audience who might comprise both genders understand that the law applies to them equally. </w:t>
      </w:r>
    </w:p>
    <w:p w:rsidR="001E5877" w:rsidRPr="00D47BE8" w:rsidRDefault="001E5877" w:rsidP="00D47BE8">
      <w:pPr>
        <w:pStyle w:val="Heading1"/>
        <w:jc w:val="center"/>
        <w:rPr>
          <w:color w:val="auto"/>
        </w:rPr>
      </w:pPr>
      <w:bookmarkStart w:id="71" w:name="_Toc427272183"/>
      <w:bookmarkStart w:id="72" w:name="_Toc427272679"/>
      <w:bookmarkStart w:id="73" w:name="_Toc427597759"/>
      <w:r w:rsidRPr="00D47BE8">
        <w:rPr>
          <w:color w:val="auto"/>
        </w:rPr>
        <w:t xml:space="preserve">CHAPTER </w:t>
      </w:r>
      <w:r w:rsidR="00EB50F3" w:rsidRPr="00D47BE8">
        <w:rPr>
          <w:color w:val="auto"/>
        </w:rPr>
        <w:t>SIX</w:t>
      </w:r>
      <w:bookmarkEnd w:id="71"/>
      <w:bookmarkEnd w:id="72"/>
      <w:bookmarkEnd w:id="73"/>
    </w:p>
    <w:p w:rsidR="001E5877" w:rsidRPr="00D47BE8" w:rsidRDefault="001E5877" w:rsidP="00D47BE8">
      <w:pPr>
        <w:pStyle w:val="Heading1"/>
        <w:jc w:val="center"/>
        <w:rPr>
          <w:color w:val="auto"/>
        </w:rPr>
      </w:pPr>
      <w:bookmarkStart w:id="74" w:name="_Toc427272184"/>
      <w:bookmarkStart w:id="75" w:name="_Toc427272680"/>
      <w:bookmarkStart w:id="76" w:name="_Toc427597760"/>
      <w:r w:rsidRPr="00D47BE8">
        <w:rPr>
          <w:color w:val="auto"/>
        </w:rPr>
        <w:t xml:space="preserve">STAGE </w:t>
      </w:r>
      <w:r w:rsidR="00AC6044" w:rsidRPr="00D47BE8">
        <w:rPr>
          <w:color w:val="auto"/>
        </w:rPr>
        <w:t>5</w:t>
      </w:r>
      <w:r w:rsidRPr="00D47BE8">
        <w:rPr>
          <w:color w:val="auto"/>
        </w:rPr>
        <w:t>-</w:t>
      </w:r>
      <w:r w:rsidR="009F0BD4" w:rsidRPr="00D47BE8">
        <w:rPr>
          <w:color w:val="auto"/>
        </w:rPr>
        <w:t xml:space="preserve">SCRUTINY AND </w:t>
      </w:r>
      <w:r w:rsidR="00AA3F6C" w:rsidRPr="00D47BE8">
        <w:rPr>
          <w:color w:val="auto"/>
        </w:rPr>
        <w:t xml:space="preserve">TESTING </w:t>
      </w:r>
      <w:r w:rsidRPr="00D47BE8">
        <w:rPr>
          <w:color w:val="auto"/>
        </w:rPr>
        <w:t>OF THE BILL</w:t>
      </w:r>
      <w:bookmarkEnd w:id="74"/>
      <w:bookmarkEnd w:id="75"/>
      <w:bookmarkEnd w:id="76"/>
    </w:p>
    <w:p w:rsidR="008458CD" w:rsidRDefault="008458CD" w:rsidP="002F0293">
      <w:pPr>
        <w:pStyle w:val="Heading4"/>
      </w:pPr>
    </w:p>
    <w:p w:rsidR="00BE5408" w:rsidRPr="002F0293" w:rsidRDefault="00BE5408" w:rsidP="002F0293">
      <w:pPr>
        <w:pStyle w:val="Heading4"/>
        <w:numPr>
          <w:ilvl w:val="0"/>
          <w:numId w:val="26"/>
        </w:numPr>
        <w:rPr>
          <w:color w:val="auto"/>
        </w:rPr>
      </w:pPr>
      <w:bookmarkStart w:id="77" w:name="_Toc427272681"/>
      <w:bookmarkStart w:id="78" w:name="_Toc427597761"/>
      <w:r w:rsidRPr="002F0293">
        <w:rPr>
          <w:color w:val="auto"/>
        </w:rPr>
        <w:t xml:space="preserve">What is the </w:t>
      </w:r>
      <w:r w:rsidR="00BE7240">
        <w:rPr>
          <w:color w:val="auto"/>
        </w:rPr>
        <w:t>S</w:t>
      </w:r>
      <w:r w:rsidRPr="002F0293">
        <w:rPr>
          <w:color w:val="auto"/>
        </w:rPr>
        <w:t>crutiny</w:t>
      </w:r>
      <w:r w:rsidR="005D30A6" w:rsidRPr="002F0293">
        <w:rPr>
          <w:color w:val="auto"/>
        </w:rPr>
        <w:t xml:space="preserve"> and </w:t>
      </w:r>
      <w:r w:rsidR="00BE7240">
        <w:rPr>
          <w:color w:val="auto"/>
        </w:rPr>
        <w:t>T</w:t>
      </w:r>
      <w:r w:rsidR="005D30A6" w:rsidRPr="002F0293">
        <w:rPr>
          <w:color w:val="auto"/>
        </w:rPr>
        <w:t>esting</w:t>
      </w:r>
      <w:r w:rsidRPr="002F0293">
        <w:rPr>
          <w:color w:val="auto"/>
        </w:rPr>
        <w:t xml:space="preserve"> stage?</w:t>
      </w:r>
      <w:bookmarkEnd w:id="77"/>
      <w:bookmarkEnd w:id="78"/>
    </w:p>
    <w:p w:rsidR="00530EEF" w:rsidRDefault="00530EEF" w:rsidP="003310D5">
      <w:pPr>
        <w:spacing w:line="360" w:lineRule="auto"/>
        <w:jc w:val="both"/>
        <w:rPr>
          <w:rFonts w:ascii="Century" w:hAnsi="Century"/>
          <w:sz w:val="24"/>
          <w:szCs w:val="24"/>
        </w:rPr>
      </w:pPr>
    </w:p>
    <w:p w:rsidR="003310D5" w:rsidRDefault="008458CD" w:rsidP="003310D5">
      <w:pPr>
        <w:spacing w:line="360" w:lineRule="auto"/>
        <w:jc w:val="both"/>
        <w:rPr>
          <w:rFonts w:ascii="Century" w:hAnsi="Century"/>
          <w:sz w:val="24"/>
          <w:szCs w:val="24"/>
        </w:rPr>
      </w:pPr>
      <w:r>
        <w:rPr>
          <w:rFonts w:ascii="Century" w:hAnsi="Century"/>
          <w:sz w:val="24"/>
          <w:szCs w:val="24"/>
        </w:rPr>
        <w:t xml:space="preserve">The </w:t>
      </w:r>
      <w:r w:rsidR="005D30A6">
        <w:rPr>
          <w:rFonts w:ascii="Century" w:hAnsi="Century"/>
          <w:sz w:val="24"/>
          <w:szCs w:val="24"/>
        </w:rPr>
        <w:t>scrutiny</w:t>
      </w:r>
      <w:r>
        <w:rPr>
          <w:rFonts w:ascii="Century" w:hAnsi="Century"/>
          <w:sz w:val="24"/>
          <w:szCs w:val="24"/>
        </w:rPr>
        <w:t xml:space="preserve"> and </w:t>
      </w:r>
      <w:r w:rsidR="005D30A6">
        <w:rPr>
          <w:rFonts w:ascii="Century" w:hAnsi="Century"/>
          <w:sz w:val="24"/>
          <w:szCs w:val="24"/>
        </w:rPr>
        <w:t>testing</w:t>
      </w:r>
      <w:r>
        <w:rPr>
          <w:rFonts w:ascii="Century" w:hAnsi="Century"/>
          <w:sz w:val="24"/>
          <w:szCs w:val="24"/>
        </w:rPr>
        <w:t xml:space="preserve"> stage is the final stage in the drafting process. </w:t>
      </w:r>
      <w:r w:rsidR="004D3A28">
        <w:rPr>
          <w:rFonts w:ascii="Century" w:hAnsi="Century"/>
          <w:sz w:val="24"/>
          <w:szCs w:val="24"/>
        </w:rPr>
        <w:t xml:space="preserve">This stage like the others is relevant to the work of drafters </w:t>
      </w:r>
      <w:r w:rsidR="00C64333">
        <w:rPr>
          <w:rFonts w:ascii="Century" w:hAnsi="Century"/>
          <w:sz w:val="24"/>
          <w:szCs w:val="24"/>
        </w:rPr>
        <w:t xml:space="preserve">who </w:t>
      </w:r>
      <w:r w:rsidR="00AD27E7">
        <w:rPr>
          <w:rFonts w:ascii="Century" w:hAnsi="Century"/>
          <w:sz w:val="24"/>
          <w:szCs w:val="24"/>
        </w:rPr>
        <w:t>bear</w:t>
      </w:r>
      <w:r w:rsidR="004D3A28">
        <w:rPr>
          <w:rFonts w:ascii="Century" w:hAnsi="Century"/>
          <w:sz w:val="24"/>
          <w:szCs w:val="24"/>
        </w:rPr>
        <w:t xml:space="preserve"> the burden of ensuring that the bill is in order.</w:t>
      </w:r>
      <w:r w:rsidR="004D3A28">
        <w:rPr>
          <w:rStyle w:val="FootnoteReference"/>
          <w:rFonts w:ascii="Century" w:hAnsi="Century"/>
          <w:sz w:val="24"/>
          <w:szCs w:val="24"/>
        </w:rPr>
        <w:footnoteReference w:id="287"/>
      </w:r>
      <w:r w:rsidR="00CE0A69">
        <w:rPr>
          <w:rFonts w:ascii="Century" w:hAnsi="Century"/>
          <w:sz w:val="24"/>
          <w:szCs w:val="24"/>
        </w:rPr>
        <w:t xml:space="preserve"> D</w:t>
      </w:r>
      <w:r w:rsidR="005836BC">
        <w:rPr>
          <w:rFonts w:ascii="Century" w:hAnsi="Century"/>
          <w:sz w:val="24"/>
          <w:szCs w:val="24"/>
        </w:rPr>
        <w:t>rafter</w:t>
      </w:r>
      <w:r w:rsidR="00CE0A69">
        <w:rPr>
          <w:rFonts w:ascii="Century" w:hAnsi="Century"/>
          <w:sz w:val="24"/>
          <w:szCs w:val="24"/>
        </w:rPr>
        <w:t>s</w:t>
      </w:r>
      <w:r w:rsidR="005836BC">
        <w:rPr>
          <w:rFonts w:ascii="Century" w:hAnsi="Century"/>
          <w:sz w:val="24"/>
          <w:szCs w:val="24"/>
        </w:rPr>
        <w:t xml:space="preserve"> </w:t>
      </w:r>
      <w:r w:rsidR="00CE0A69">
        <w:rPr>
          <w:rFonts w:ascii="Century" w:hAnsi="Century"/>
          <w:sz w:val="24"/>
          <w:szCs w:val="24"/>
        </w:rPr>
        <w:t>are</w:t>
      </w:r>
      <w:r w:rsidR="005836BC">
        <w:rPr>
          <w:rFonts w:ascii="Century" w:hAnsi="Century"/>
          <w:sz w:val="24"/>
          <w:szCs w:val="24"/>
        </w:rPr>
        <w:t xml:space="preserve"> not perfect and mistakes are bound to be made and issues overlooked</w:t>
      </w:r>
      <w:r w:rsidR="00F121DF">
        <w:rPr>
          <w:rFonts w:ascii="Century" w:hAnsi="Century"/>
          <w:sz w:val="24"/>
          <w:szCs w:val="24"/>
        </w:rPr>
        <w:t xml:space="preserve">. </w:t>
      </w:r>
      <w:r w:rsidR="00224254">
        <w:rPr>
          <w:rFonts w:ascii="Century" w:hAnsi="Century"/>
          <w:sz w:val="24"/>
          <w:szCs w:val="24"/>
        </w:rPr>
        <w:t>W</w:t>
      </w:r>
      <w:r w:rsidR="005836BC">
        <w:rPr>
          <w:rFonts w:ascii="Century" w:hAnsi="Century"/>
          <w:sz w:val="24"/>
          <w:szCs w:val="24"/>
        </w:rPr>
        <w:t xml:space="preserve">hile perfection is an </w:t>
      </w:r>
      <w:r w:rsidR="00524548">
        <w:rPr>
          <w:rFonts w:ascii="Century" w:hAnsi="Century"/>
          <w:sz w:val="24"/>
          <w:szCs w:val="24"/>
        </w:rPr>
        <w:t>unattainable</w:t>
      </w:r>
      <w:r w:rsidR="005836BC">
        <w:rPr>
          <w:rFonts w:ascii="Century" w:hAnsi="Century"/>
          <w:sz w:val="24"/>
          <w:szCs w:val="24"/>
        </w:rPr>
        <w:t xml:space="preserve"> goal, nothing should</w:t>
      </w:r>
      <w:r w:rsidR="00A1319D">
        <w:rPr>
          <w:rFonts w:ascii="Century" w:hAnsi="Century"/>
          <w:sz w:val="24"/>
          <w:szCs w:val="24"/>
        </w:rPr>
        <w:t xml:space="preserve"> stop drafter</w:t>
      </w:r>
      <w:r w:rsidR="00CE0A69">
        <w:rPr>
          <w:rFonts w:ascii="Century" w:hAnsi="Century"/>
          <w:sz w:val="24"/>
          <w:szCs w:val="24"/>
        </w:rPr>
        <w:t>s</w:t>
      </w:r>
      <w:r w:rsidR="00A1319D">
        <w:rPr>
          <w:rFonts w:ascii="Century" w:hAnsi="Century"/>
          <w:sz w:val="24"/>
          <w:szCs w:val="24"/>
        </w:rPr>
        <w:t xml:space="preserve"> from trying. </w:t>
      </w:r>
      <w:r w:rsidR="00D53F48">
        <w:rPr>
          <w:rFonts w:ascii="Century" w:hAnsi="Century"/>
          <w:sz w:val="24"/>
          <w:szCs w:val="24"/>
        </w:rPr>
        <w:t>Contributing to</w:t>
      </w:r>
      <w:r w:rsidR="005836BC">
        <w:rPr>
          <w:rFonts w:ascii="Century" w:hAnsi="Century"/>
          <w:sz w:val="24"/>
          <w:szCs w:val="24"/>
        </w:rPr>
        <w:t xml:space="preserve"> the rule of law </w:t>
      </w:r>
      <w:r w:rsidR="00D53F48">
        <w:rPr>
          <w:rFonts w:ascii="Century" w:hAnsi="Century"/>
          <w:sz w:val="24"/>
          <w:szCs w:val="24"/>
        </w:rPr>
        <w:t>by</w:t>
      </w:r>
      <w:r w:rsidR="005836BC">
        <w:rPr>
          <w:rFonts w:ascii="Century" w:hAnsi="Century"/>
          <w:sz w:val="24"/>
          <w:szCs w:val="24"/>
        </w:rPr>
        <w:t xml:space="preserve"> making legislation accessible requires the drafter to give a hundred percent right down </w:t>
      </w:r>
      <w:r w:rsidR="004B0794">
        <w:rPr>
          <w:rFonts w:ascii="Century" w:hAnsi="Century"/>
          <w:sz w:val="24"/>
          <w:szCs w:val="24"/>
        </w:rPr>
        <w:t xml:space="preserve">to </w:t>
      </w:r>
      <w:r w:rsidR="005836BC">
        <w:rPr>
          <w:rFonts w:ascii="Century" w:hAnsi="Century"/>
          <w:sz w:val="24"/>
          <w:szCs w:val="24"/>
        </w:rPr>
        <w:t>the very end.</w:t>
      </w:r>
      <w:r w:rsidR="00F24575">
        <w:rPr>
          <w:rFonts w:ascii="Century" w:hAnsi="Century"/>
          <w:sz w:val="24"/>
          <w:szCs w:val="24"/>
        </w:rPr>
        <w:t xml:space="preserve"> </w:t>
      </w:r>
      <w:r w:rsidR="00F121DF">
        <w:rPr>
          <w:rFonts w:ascii="Century" w:hAnsi="Century"/>
          <w:sz w:val="24"/>
          <w:szCs w:val="24"/>
        </w:rPr>
        <w:t xml:space="preserve">Therefore, this stage should form part of the research </w:t>
      </w:r>
      <w:r w:rsidR="00CC0A24">
        <w:rPr>
          <w:rFonts w:ascii="Century" w:hAnsi="Century"/>
          <w:sz w:val="24"/>
          <w:szCs w:val="24"/>
        </w:rPr>
        <w:t xml:space="preserve">and editing </w:t>
      </w:r>
      <w:r w:rsidR="00F121DF">
        <w:rPr>
          <w:rFonts w:ascii="Century" w:hAnsi="Century"/>
          <w:sz w:val="24"/>
          <w:szCs w:val="24"/>
        </w:rPr>
        <w:t>need</w:t>
      </w:r>
      <w:r w:rsidR="004B0794">
        <w:rPr>
          <w:rFonts w:ascii="Century" w:hAnsi="Century"/>
          <w:sz w:val="24"/>
          <w:szCs w:val="24"/>
        </w:rPr>
        <w:t>ed</w:t>
      </w:r>
      <w:r w:rsidR="00F121DF">
        <w:rPr>
          <w:rFonts w:ascii="Century" w:hAnsi="Century"/>
          <w:sz w:val="24"/>
          <w:szCs w:val="24"/>
        </w:rPr>
        <w:t xml:space="preserve"> to produce a</w:t>
      </w:r>
      <w:r w:rsidR="00E50571">
        <w:rPr>
          <w:rFonts w:ascii="Century" w:hAnsi="Century"/>
          <w:sz w:val="24"/>
          <w:szCs w:val="24"/>
        </w:rPr>
        <w:t>n effective</w:t>
      </w:r>
      <w:r w:rsidR="00F121DF">
        <w:rPr>
          <w:rFonts w:ascii="Century" w:hAnsi="Century"/>
          <w:sz w:val="24"/>
          <w:szCs w:val="24"/>
        </w:rPr>
        <w:t xml:space="preserve"> </w:t>
      </w:r>
      <w:r w:rsidR="00E50571">
        <w:rPr>
          <w:rFonts w:ascii="Century" w:hAnsi="Century"/>
          <w:sz w:val="24"/>
          <w:szCs w:val="24"/>
        </w:rPr>
        <w:t>legislation</w:t>
      </w:r>
      <w:r w:rsidR="00F121DF">
        <w:rPr>
          <w:rFonts w:ascii="Century" w:hAnsi="Century"/>
          <w:sz w:val="24"/>
          <w:szCs w:val="24"/>
        </w:rPr>
        <w:t>.</w:t>
      </w:r>
      <w:r w:rsidR="00F121DF">
        <w:rPr>
          <w:rStyle w:val="FootnoteReference"/>
          <w:rFonts w:ascii="Century" w:hAnsi="Century"/>
          <w:sz w:val="24"/>
          <w:szCs w:val="24"/>
        </w:rPr>
        <w:footnoteReference w:id="288"/>
      </w:r>
      <w:r w:rsidR="00F121DF">
        <w:rPr>
          <w:rFonts w:ascii="Century" w:hAnsi="Century"/>
          <w:sz w:val="24"/>
          <w:szCs w:val="24"/>
        </w:rPr>
        <w:t xml:space="preserve"> </w:t>
      </w:r>
      <w:r w:rsidR="00295989">
        <w:rPr>
          <w:rFonts w:ascii="Century" w:hAnsi="Century"/>
          <w:sz w:val="24"/>
          <w:szCs w:val="24"/>
        </w:rPr>
        <w:t>I</w:t>
      </w:r>
      <w:r w:rsidR="00F24575">
        <w:rPr>
          <w:rFonts w:ascii="Century" w:hAnsi="Century"/>
          <w:sz w:val="24"/>
          <w:szCs w:val="24"/>
        </w:rPr>
        <w:t>t</w:t>
      </w:r>
      <w:r w:rsidR="00295989">
        <w:rPr>
          <w:rFonts w:ascii="Century" w:hAnsi="Century"/>
          <w:sz w:val="24"/>
          <w:szCs w:val="24"/>
        </w:rPr>
        <w:t xml:space="preserve"> i</w:t>
      </w:r>
      <w:r w:rsidR="00F24575">
        <w:rPr>
          <w:rFonts w:ascii="Century" w:hAnsi="Century"/>
          <w:sz w:val="24"/>
          <w:szCs w:val="24"/>
        </w:rPr>
        <w:t>s</w:t>
      </w:r>
      <w:r w:rsidR="00E343F9">
        <w:rPr>
          <w:rFonts w:ascii="Century" w:hAnsi="Century"/>
          <w:sz w:val="24"/>
          <w:szCs w:val="24"/>
        </w:rPr>
        <w:t xml:space="preserve"> a critical stage that contributes to </w:t>
      </w:r>
      <w:r w:rsidR="00F24575">
        <w:rPr>
          <w:rFonts w:ascii="Century" w:hAnsi="Century"/>
          <w:sz w:val="24"/>
          <w:szCs w:val="24"/>
        </w:rPr>
        <w:t xml:space="preserve">the </w:t>
      </w:r>
      <w:r w:rsidR="00D848B1">
        <w:rPr>
          <w:rFonts w:ascii="Century" w:hAnsi="Century"/>
          <w:sz w:val="24"/>
          <w:szCs w:val="24"/>
        </w:rPr>
        <w:t>‘</w:t>
      </w:r>
      <w:r w:rsidR="00F24575">
        <w:rPr>
          <w:rFonts w:ascii="Century" w:hAnsi="Century"/>
          <w:sz w:val="24"/>
          <w:szCs w:val="24"/>
        </w:rPr>
        <w:t>effectiveness and efficiency</w:t>
      </w:r>
      <w:r w:rsidR="00D848B1">
        <w:rPr>
          <w:rFonts w:ascii="Century" w:hAnsi="Century"/>
          <w:sz w:val="24"/>
          <w:szCs w:val="24"/>
        </w:rPr>
        <w:t>’</w:t>
      </w:r>
      <w:r w:rsidR="00D848B1">
        <w:rPr>
          <w:rStyle w:val="FootnoteReference"/>
          <w:rFonts w:ascii="Century" w:hAnsi="Century"/>
          <w:sz w:val="24"/>
          <w:szCs w:val="24"/>
        </w:rPr>
        <w:footnoteReference w:id="289"/>
      </w:r>
      <w:r w:rsidR="00F24575">
        <w:rPr>
          <w:rFonts w:ascii="Century" w:hAnsi="Century"/>
          <w:sz w:val="24"/>
          <w:szCs w:val="24"/>
        </w:rPr>
        <w:t xml:space="preserve"> of the law</w:t>
      </w:r>
      <w:r w:rsidR="00965A99">
        <w:rPr>
          <w:rFonts w:ascii="Century" w:hAnsi="Century"/>
          <w:sz w:val="24"/>
          <w:szCs w:val="24"/>
        </w:rPr>
        <w:t xml:space="preserve"> </w:t>
      </w:r>
      <w:r w:rsidR="00E343F9">
        <w:rPr>
          <w:rFonts w:ascii="Century" w:hAnsi="Century"/>
          <w:sz w:val="24"/>
          <w:szCs w:val="24"/>
        </w:rPr>
        <w:t xml:space="preserve">and for this reason it is said to be </w:t>
      </w:r>
      <w:r w:rsidR="00F24575">
        <w:rPr>
          <w:rFonts w:ascii="Century" w:hAnsi="Century"/>
          <w:sz w:val="24"/>
          <w:szCs w:val="24"/>
        </w:rPr>
        <w:t>‘synonymous with good practices, adherence to standards, regulations and the rule of law’.</w:t>
      </w:r>
      <w:r w:rsidR="00F24575">
        <w:rPr>
          <w:rStyle w:val="FootnoteReference"/>
          <w:rFonts w:ascii="Century" w:hAnsi="Century"/>
          <w:sz w:val="24"/>
          <w:szCs w:val="24"/>
        </w:rPr>
        <w:footnoteReference w:id="290"/>
      </w:r>
    </w:p>
    <w:p w:rsidR="00897AB9" w:rsidRDefault="00897AB9" w:rsidP="00897AB9">
      <w:pPr>
        <w:spacing w:line="360" w:lineRule="auto"/>
        <w:jc w:val="both"/>
        <w:rPr>
          <w:rFonts w:ascii="Century" w:hAnsi="Century"/>
          <w:sz w:val="24"/>
          <w:szCs w:val="24"/>
        </w:rPr>
      </w:pPr>
    </w:p>
    <w:p w:rsidR="005B3340" w:rsidRPr="00D313FF" w:rsidRDefault="005B3340" w:rsidP="005B3340">
      <w:pPr>
        <w:spacing w:line="360" w:lineRule="auto"/>
        <w:jc w:val="both"/>
        <w:rPr>
          <w:rFonts w:ascii="Century" w:hAnsi="Century"/>
          <w:sz w:val="24"/>
          <w:szCs w:val="24"/>
        </w:rPr>
      </w:pPr>
      <w:r w:rsidRPr="0017148A">
        <w:rPr>
          <w:rFonts w:ascii="Century" w:hAnsi="Century"/>
          <w:sz w:val="24"/>
          <w:szCs w:val="24"/>
        </w:rPr>
        <w:t>Drafter</w:t>
      </w:r>
      <w:r>
        <w:rPr>
          <w:rFonts w:ascii="Century" w:hAnsi="Century"/>
          <w:sz w:val="24"/>
          <w:szCs w:val="24"/>
        </w:rPr>
        <w:t>s</w:t>
      </w:r>
      <w:r w:rsidRPr="0017148A">
        <w:rPr>
          <w:rFonts w:ascii="Century" w:hAnsi="Century"/>
          <w:sz w:val="24"/>
          <w:szCs w:val="24"/>
        </w:rPr>
        <w:t xml:space="preserve"> at this stage must take a critical and objective look at their</w:t>
      </w:r>
      <w:r>
        <w:rPr>
          <w:rFonts w:ascii="Century" w:hAnsi="Century"/>
          <w:sz w:val="24"/>
          <w:szCs w:val="24"/>
        </w:rPr>
        <w:t xml:space="preserve"> work</w:t>
      </w:r>
      <w:r w:rsidRPr="0017148A">
        <w:rPr>
          <w:rFonts w:ascii="Century" w:hAnsi="Century"/>
          <w:sz w:val="24"/>
          <w:szCs w:val="24"/>
        </w:rPr>
        <w:t>.</w:t>
      </w:r>
      <w:r w:rsidR="00521B67">
        <w:rPr>
          <w:rStyle w:val="FootnoteReference"/>
          <w:rFonts w:ascii="Century" w:hAnsi="Century"/>
          <w:sz w:val="24"/>
          <w:szCs w:val="24"/>
        </w:rPr>
        <w:footnoteReference w:id="291"/>
      </w:r>
      <w:r w:rsidRPr="0017148A">
        <w:rPr>
          <w:rFonts w:ascii="Century" w:hAnsi="Century"/>
          <w:sz w:val="24"/>
          <w:szCs w:val="24"/>
        </w:rPr>
        <w:t xml:space="preserve"> </w:t>
      </w:r>
      <w:r>
        <w:rPr>
          <w:rFonts w:ascii="Century" w:hAnsi="Century"/>
          <w:sz w:val="24"/>
          <w:szCs w:val="24"/>
        </w:rPr>
        <w:t>They must start at the beginning and ensure that the bill accurately repre</w:t>
      </w:r>
      <w:r w:rsidR="0080006D">
        <w:rPr>
          <w:rFonts w:ascii="Century" w:hAnsi="Century"/>
          <w:sz w:val="24"/>
          <w:szCs w:val="24"/>
        </w:rPr>
        <w:t>sents the drafting instructions and</w:t>
      </w:r>
      <w:r>
        <w:rPr>
          <w:rFonts w:ascii="Century" w:hAnsi="Century"/>
          <w:sz w:val="24"/>
          <w:szCs w:val="24"/>
        </w:rPr>
        <w:t xml:space="preserve"> that the structure and language chosen to convey the regulatory message is appropriate to achieve the </w:t>
      </w:r>
      <w:r>
        <w:rPr>
          <w:rFonts w:ascii="Century" w:hAnsi="Century"/>
          <w:sz w:val="24"/>
          <w:szCs w:val="24"/>
        </w:rPr>
        <w:lastRenderedPageBreak/>
        <w:t>desired results.</w:t>
      </w:r>
      <w:r w:rsidRPr="00F32CF2">
        <w:rPr>
          <w:rStyle w:val="FootnoteReference"/>
          <w:rFonts w:ascii="Century" w:hAnsi="Century"/>
          <w:sz w:val="24"/>
          <w:szCs w:val="24"/>
        </w:rPr>
        <w:footnoteReference w:id="292"/>
      </w:r>
      <w:r w:rsidRPr="00D313FF">
        <w:rPr>
          <w:rFonts w:ascii="Century" w:hAnsi="Century"/>
          <w:sz w:val="24"/>
          <w:szCs w:val="24"/>
        </w:rPr>
        <w:t xml:space="preserve"> </w:t>
      </w:r>
      <w:r>
        <w:rPr>
          <w:rFonts w:ascii="Century" w:hAnsi="Century"/>
          <w:sz w:val="24"/>
          <w:szCs w:val="24"/>
        </w:rPr>
        <w:t xml:space="preserve">Although during the analysis stage </w:t>
      </w:r>
      <w:r w:rsidR="00CE0A69">
        <w:rPr>
          <w:rFonts w:ascii="Century" w:hAnsi="Century"/>
          <w:sz w:val="24"/>
          <w:szCs w:val="24"/>
        </w:rPr>
        <w:t xml:space="preserve">the </w:t>
      </w:r>
      <w:r>
        <w:rPr>
          <w:rFonts w:ascii="Century" w:hAnsi="Century"/>
          <w:sz w:val="24"/>
          <w:szCs w:val="24"/>
        </w:rPr>
        <w:t xml:space="preserve">drafter would have scrutinised the legislative proposal, Thornton recommends that </w:t>
      </w:r>
      <w:r w:rsidR="00CE0A69">
        <w:rPr>
          <w:rFonts w:ascii="Century" w:hAnsi="Century"/>
          <w:sz w:val="24"/>
          <w:szCs w:val="24"/>
        </w:rPr>
        <w:t>the drafter once again ensures</w:t>
      </w:r>
      <w:r>
        <w:rPr>
          <w:rFonts w:ascii="Century" w:hAnsi="Century"/>
          <w:sz w:val="24"/>
          <w:szCs w:val="24"/>
        </w:rPr>
        <w:t xml:space="preserve"> that the bill is compatible with the existing law, both domestic and international.</w:t>
      </w:r>
      <w:r w:rsidRPr="00F32CF2">
        <w:rPr>
          <w:rStyle w:val="FootnoteReference"/>
          <w:rFonts w:ascii="Century" w:hAnsi="Century"/>
          <w:sz w:val="24"/>
          <w:szCs w:val="24"/>
        </w:rPr>
        <w:footnoteReference w:id="293"/>
      </w:r>
      <w:r w:rsidRPr="00D313FF">
        <w:rPr>
          <w:rFonts w:ascii="Century" w:hAnsi="Century"/>
          <w:sz w:val="24"/>
          <w:szCs w:val="24"/>
        </w:rPr>
        <w:t xml:space="preserve"> </w:t>
      </w:r>
    </w:p>
    <w:p w:rsidR="005B3340" w:rsidRDefault="005B3340" w:rsidP="00897AB9">
      <w:pPr>
        <w:spacing w:line="360" w:lineRule="auto"/>
        <w:jc w:val="both"/>
        <w:rPr>
          <w:rFonts w:ascii="Century" w:hAnsi="Century"/>
          <w:sz w:val="24"/>
          <w:szCs w:val="24"/>
        </w:rPr>
      </w:pPr>
    </w:p>
    <w:p w:rsidR="00A94974" w:rsidRPr="004C45D2" w:rsidRDefault="00201E30" w:rsidP="004C45D2">
      <w:pPr>
        <w:spacing w:line="360" w:lineRule="auto"/>
        <w:jc w:val="both"/>
        <w:rPr>
          <w:rFonts w:ascii="Century" w:hAnsi="Century"/>
          <w:sz w:val="24"/>
          <w:szCs w:val="24"/>
        </w:rPr>
      </w:pPr>
      <w:r>
        <w:rPr>
          <w:rFonts w:ascii="Century" w:hAnsi="Century"/>
          <w:sz w:val="24"/>
          <w:szCs w:val="24"/>
        </w:rPr>
        <w:t>Achieving</w:t>
      </w:r>
      <w:r w:rsidR="007B1BDC">
        <w:rPr>
          <w:rFonts w:ascii="Century" w:hAnsi="Century"/>
          <w:sz w:val="24"/>
          <w:szCs w:val="24"/>
        </w:rPr>
        <w:t xml:space="preserve"> </w:t>
      </w:r>
      <w:r w:rsidR="009A582B">
        <w:rPr>
          <w:rFonts w:ascii="Century" w:hAnsi="Century"/>
          <w:sz w:val="24"/>
          <w:szCs w:val="24"/>
        </w:rPr>
        <w:t>optimum</w:t>
      </w:r>
      <w:r w:rsidR="007B1BDC">
        <w:rPr>
          <w:rFonts w:ascii="Century" w:hAnsi="Century"/>
          <w:sz w:val="24"/>
          <w:szCs w:val="24"/>
        </w:rPr>
        <w:t xml:space="preserve"> </w:t>
      </w:r>
      <w:r>
        <w:rPr>
          <w:rFonts w:ascii="Century" w:hAnsi="Century"/>
          <w:sz w:val="24"/>
          <w:szCs w:val="24"/>
        </w:rPr>
        <w:t>results at</w:t>
      </w:r>
      <w:r w:rsidR="007B1BDC">
        <w:rPr>
          <w:rFonts w:ascii="Century" w:hAnsi="Century"/>
          <w:sz w:val="24"/>
          <w:szCs w:val="24"/>
        </w:rPr>
        <w:t xml:space="preserve"> this stage </w:t>
      </w:r>
      <w:r>
        <w:rPr>
          <w:rFonts w:ascii="Century" w:hAnsi="Century"/>
          <w:sz w:val="24"/>
          <w:szCs w:val="24"/>
        </w:rPr>
        <w:t xml:space="preserve">requires </w:t>
      </w:r>
      <w:r w:rsidR="007B1BDC">
        <w:rPr>
          <w:rFonts w:ascii="Century" w:hAnsi="Century"/>
          <w:sz w:val="24"/>
          <w:szCs w:val="24"/>
        </w:rPr>
        <w:t>collaborati</w:t>
      </w:r>
      <w:r>
        <w:rPr>
          <w:rFonts w:ascii="Century" w:hAnsi="Century"/>
          <w:sz w:val="24"/>
          <w:szCs w:val="24"/>
        </w:rPr>
        <w:t>on</w:t>
      </w:r>
      <w:r w:rsidR="007B1BDC">
        <w:rPr>
          <w:rFonts w:ascii="Century" w:hAnsi="Century"/>
          <w:sz w:val="24"/>
          <w:szCs w:val="24"/>
        </w:rPr>
        <w:t xml:space="preserve">. </w:t>
      </w:r>
      <w:r w:rsidR="006108F0">
        <w:rPr>
          <w:rFonts w:ascii="Century" w:hAnsi="Century"/>
          <w:sz w:val="24"/>
          <w:szCs w:val="24"/>
        </w:rPr>
        <w:t>This revisionary work</w:t>
      </w:r>
      <w:r w:rsidR="006108F0" w:rsidRPr="00F32CF2">
        <w:rPr>
          <w:rStyle w:val="FootnoteReference"/>
          <w:rFonts w:ascii="Century" w:hAnsi="Century"/>
          <w:sz w:val="24"/>
          <w:szCs w:val="24"/>
        </w:rPr>
        <w:footnoteReference w:id="294"/>
      </w:r>
      <w:r w:rsidR="007B1BDC">
        <w:rPr>
          <w:rFonts w:ascii="Century" w:hAnsi="Century"/>
          <w:sz w:val="24"/>
          <w:szCs w:val="24"/>
        </w:rPr>
        <w:t xml:space="preserve">must involve </w:t>
      </w:r>
      <w:r w:rsidR="005D30A6">
        <w:rPr>
          <w:rFonts w:ascii="Century" w:hAnsi="Century"/>
          <w:sz w:val="24"/>
          <w:szCs w:val="24"/>
        </w:rPr>
        <w:t>a</w:t>
      </w:r>
      <w:r w:rsidR="007B1BDC">
        <w:rPr>
          <w:rFonts w:ascii="Century" w:hAnsi="Century"/>
          <w:sz w:val="24"/>
          <w:szCs w:val="24"/>
        </w:rPr>
        <w:t>long with</w:t>
      </w:r>
      <w:r w:rsidR="00A11AF8">
        <w:rPr>
          <w:rFonts w:ascii="Century" w:hAnsi="Century"/>
          <w:sz w:val="24"/>
          <w:szCs w:val="24"/>
        </w:rPr>
        <w:t xml:space="preserve"> the</w:t>
      </w:r>
      <w:r w:rsidR="007B1BDC">
        <w:rPr>
          <w:rFonts w:ascii="Century" w:hAnsi="Century"/>
          <w:sz w:val="24"/>
          <w:szCs w:val="24"/>
        </w:rPr>
        <w:t xml:space="preserve"> </w:t>
      </w:r>
      <w:r w:rsidR="00CE0A69">
        <w:rPr>
          <w:rFonts w:ascii="Century" w:hAnsi="Century"/>
          <w:sz w:val="24"/>
          <w:szCs w:val="24"/>
        </w:rPr>
        <w:t>drafter</w:t>
      </w:r>
      <w:r w:rsidR="008458CD">
        <w:rPr>
          <w:rFonts w:ascii="Century" w:hAnsi="Century"/>
          <w:sz w:val="24"/>
          <w:szCs w:val="24"/>
        </w:rPr>
        <w:t xml:space="preserve">, </w:t>
      </w:r>
      <w:r w:rsidR="007B1BDC">
        <w:rPr>
          <w:rFonts w:ascii="Century" w:hAnsi="Century"/>
          <w:sz w:val="24"/>
          <w:szCs w:val="24"/>
        </w:rPr>
        <w:t>colleagues of the drafting department</w:t>
      </w:r>
      <w:r w:rsidR="00362501">
        <w:rPr>
          <w:rFonts w:ascii="Century" w:hAnsi="Century"/>
          <w:sz w:val="24"/>
          <w:szCs w:val="24"/>
        </w:rPr>
        <w:t>,</w:t>
      </w:r>
      <w:r w:rsidR="007B1BDC" w:rsidRPr="00F32CF2">
        <w:rPr>
          <w:rStyle w:val="FootnoteReference"/>
          <w:rFonts w:ascii="Century" w:hAnsi="Century"/>
          <w:sz w:val="24"/>
          <w:szCs w:val="24"/>
        </w:rPr>
        <w:footnoteReference w:id="295"/>
      </w:r>
      <w:r w:rsidR="00362501">
        <w:rPr>
          <w:rFonts w:ascii="Century" w:hAnsi="Century"/>
          <w:sz w:val="24"/>
          <w:szCs w:val="24"/>
        </w:rPr>
        <w:t xml:space="preserve"> </w:t>
      </w:r>
      <w:r w:rsidR="008458CD">
        <w:rPr>
          <w:rFonts w:ascii="Century" w:hAnsi="Century"/>
          <w:sz w:val="24"/>
          <w:szCs w:val="24"/>
        </w:rPr>
        <w:t>the instructing officer and if possible interest groups</w:t>
      </w:r>
      <w:r w:rsidR="007B1BDC">
        <w:rPr>
          <w:rFonts w:ascii="Century" w:hAnsi="Century"/>
          <w:sz w:val="24"/>
          <w:szCs w:val="24"/>
        </w:rPr>
        <w:t>,</w:t>
      </w:r>
      <w:r w:rsidR="00B40C09" w:rsidRPr="00F32CF2">
        <w:rPr>
          <w:rFonts w:ascii="Century" w:hAnsi="Century"/>
          <w:sz w:val="24"/>
          <w:szCs w:val="24"/>
        </w:rPr>
        <w:t xml:space="preserve"> experts and </w:t>
      </w:r>
      <w:r w:rsidR="00E86A81">
        <w:rPr>
          <w:rFonts w:ascii="Century" w:hAnsi="Century"/>
          <w:sz w:val="24"/>
          <w:szCs w:val="24"/>
        </w:rPr>
        <w:t>focus group testing</w:t>
      </w:r>
      <w:r w:rsidR="00BE24C6">
        <w:rPr>
          <w:rFonts w:ascii="Century" w:hAnsi="Century"/>
          <w:sz w:val="24"/>
          <w:szCs w:val="24"/>
        </w:rPr>
        <w:t>.</w:t>
      </w:r>
      <w:r w:rsidR="00E86A81">
        <w:rPr>
          <w:rStyle w:val="FootnoteReference"/>
          <w:rFonts w:ascii="Century" w:hAnsi="Century"/>
          <w:sz w:val="24"/>
          <w:szCs w:val="24"/>
        </w:rPr>
        <w:footnoteReference w:id="296"/>
      </w:r>
      <w:r w:rsidR="00BE24C6">
        <w:rPr>
          <w:rFonts w:ascii="Century" w:hAnsi="Century"/>
          <w:sz w:val="24"/>
          <w:szCs w:val="24"/>
        </w:rPr>
        <w:t xml:space="preserve"> </w:t>
      </w:r>
      <w:r w:rsidR="005536A8">
        <w:rPr>
          <w:rFonts w:ascii="Century" w:hAnsi="Century"/>
          <w:sz w:val="24"/>
          <w:szCs w:val="24"/>
        </w:rPr>
        <w:t xml:space="preserve">For example, </w:t>
      </w:r>
      <w:r w:rsidR="00DA441E">
        <w:rPr>
          <w:rFonts w:ascii="Century" w:hAnsi="Century"/>
          <w:sz w:val="24"/>
          <w:szCs w:val="24"/>
        </w:rPr>
        <w:t xml:space="preserve">Australia’s </w:t>
      </w:r>
      <w:r w:rsidR="00E86A81">
        <w:rPr>
          <w:rFonts w:ascii="Century" w:hAnsi="Century"/>
          <w:sz w:val="24"/>
          <w:szCs w:val="24"/>
        </w:rPr>
        <w:t>Corporation Law rewrite benefited from focus group testing to</w:t>
      </w:r>
      <w:r w:rsidR="001968F9">
        <w:rPr>
          <w:rFonts w:ascii="Century" w:hAnsi="Century"/>
          <w:sz w:val="24"/>
          <w:szCs w:val="24"/>
        </w:rPr>
        <w:t xml:space="preserve"> get feedback on the </w:t>
      </w:r>
      <w:r w:rsidR="00944E7D">
        <w:rPr>
          <w:rFonts w:ascii="Century" w:hAnsi="Century"/>
          <w:sz w:val="24"/>
          <w:szCs w:val="24"/>
        </w:rPr>
        <w:t>design, structure and</w:t>
      </w:r>
      <w:r w:rsidR="001968F9">
        <w:rPr>
          <w:rFonts w:ascii="Century" w:hAnsi="Century"/>
          <w:sz w:val="24"/>
          <w:szCs w:val="24"/>
        </w:rPr>
        <w:t xml:space="preserve"> text of the act</w:t>
      </w:r>
      <w:r w:rsidR="00E86A81">
        <w:rPr>
          <w:rFonts w:ascii="Century" w:hAnsi="Century"/>
          <w:sz w:val="24"/>
          <w:szCs w:val="24"/>
        </w:rPr>
        <w:t>.</w:t>
      </w:r>
      <w:r w:rsidR="00E86A81">
        <w:rPr>
          <w:rStyle w:val="FootnoteReference"/>
          <w:rFonts w:ascii="Century" w:hAnsi="Century"/>
          <w:sz w:val="24"/>
          <w:szCs w:val="24"/>
        </w:rPr>
        <w:footnoteReference w:id="297"/>
      </w:r>
      <w:r w:rsidR="00E86A81">
        <w:rPr>
          <w:rFonts w:ascii="Century" w:hAnsi="Century"/>
          <w:sz w:val="24"/>
          <w:szCs w:val="24"/>
        </w:rPr>
        <w:t xml:space="preserve"> </w:t>
      </w:r>
      <w:r w:rsidR="005536A8">
        <w:rPr>
          <w:rFonts w:ascii="Century" w:hAnsi="Century"/>
          <w:sz w:val="24"/>
          <w:szCs w:val="24"/>
        </w:rPr>
        <w:t>Also,</w:t>
      </w:r>
      <w:r w:rsidR="00CA7836">
        <w:rPr>
          <w:rFonts w:ascii="Century" w:hAnsi="Century"/>
          <w:sz w:val="24"/>
          <w:szCs w:val="24"/>
        </w:rPr>
        <w:t xml:space="preserve"> in Canada, a copy of each draft bill</w:t>
      </w:r>
      <w:r w:rsidR="000818DF">
        <w:rPr>
          <w:rFonts w:ascii="Century" w:hAnsi="Century"/>
          <w:sz w:val="24"/>
          <w:szCs w:val="24"/>
        </w:rPr>
        <w:t xml:space="preserve"> is</w:t>
      </w:r>
      <w:r w:rsidR="00CA7836">
        <w:rPr>
          <w:rFonts w:ascii="Century" w:hAnsi="Century"/>
          <w:sz w:val="24"/>
          <w:szCs w:val="24"/>
        </w:rPr>
        <w:t xml:space="preserve"> </w:t>
      </w:r>
      <w:r w:rsidR="00845407">
        <w:rPr>
          <w:rFonts w:ascii="Century" w:hAnsi="Century"/>
          <w:sz w:val="24"/>
          <w:szCs w:val="24"/>
        </w:rPr>
        <w:t>checked by more than one drafter and the instructing Ministry</w:t>
      </w:r>
      <w:r w:rsidR="006108F0">
        <w:rPr>
          <w:rFonts w:ascii="Century" w:hAnsi="Century"/>
          <w:sz w:val="24"/>
          <w:szCs w:val="24"/>
        </w:rPr>
        <w:t>.</w:t>
      </w:r>
      <w:r w:rsidR="00845407">
        <w:rPr>
          <w:rFonts w:ascii="Century" w:hAnsi="Century"/>
          <w:sz w:val="24"/>
          <w:szCs w:val="24"/>
        </w:rPr>
        <w:t xml:space="preserve"> Additionally, the draft is sent to an</w:t>
      </w:r>
      <w:r w:rsidR="006108F0">
        <w:rPr>
          <w:rFonts w:ascii="Century" w:hAnsi="Century"/>
          <w:sz w:val="24"/>
          <w:szCs w:val="24"/>
        </w:rPr>
        <w:t xml:space="preserve"> </w:t>
      </w:r>
      <w:r w:rsidR="00CA7836">
        <w:rPr>
          <w:rFonts w:ascii="Century" w:hAnsi="Century"/>
          <w:sz w:val="24"/>
          <w:szCs w:val="24"/>
        </w:rPr>
        <w:t>editing unit</w:t>
      </w:r>
      <w:r w:rsidR="00845407">
        <w:rPr>
          <w:rFonts w:ascii="Century" w:hAnsi="Century"/>
          <w:sz w:val="24"/>
          <w:szCs w:val="24"/>
        </w:rPr>
        <w:t xml:space="preserve"> which</w:t>
      </w:r>
      <w:r w:rsidR="00CA7836">
        <w:rPr>
          <w:rFonts w:ascii="Century" w:hAnsi="Century"/>
          <w:sz w:val="24"/>
          <w:szCs w:val="24"/>
        </w:rPr>
        <w:t xml:space="preserve"> </w:t>
      </w:r>
      <w:r w:rsidR="002A476E">
        <w:rPr>
          <w:rFonts w:ascii="Century" w:hAnsi="Century"/>
          <w:sz w:val="24"/>
          <w:szCs w:val="24"/>
        </w:rPr>
        <w:t>checks</w:t>
      </w:r>
      <w:r w:rsidR="00CA7836">
        <w:rPr>
          <w:rFonts w:ascii="Century" w:hAnsi="Century"/>
          <w:sz w:val="24"/>
          <w:szCs w:val="24"/>
        </w:rPr>
        <w:t xml:space="preserve"> all drafts for </w:t>
      </w:r>
      <w:r w:rsidR="00BF63EE">
        <w:rPr>
          <w:rFonts w:ascii="Century" w:hAnsi="Century"/>
          <w:sz w:val="24"/>
          <w:szCs w:val="24"/>
        </w:rPr>
        <w:t>‘</w:t>
      </w:r>
      <w:r w:rsidR="00CA7836">
        <w:rPr>
          <w:rFonts w:ascii="Century" w:hAnsi="Century"/>
          <w:sz w:val="24"/>
          <w:szCs w:val="24"/>
        </w:rPr>
        <w:t>consistency, punctuation, numbering, cross-r</w:t>
      </w:r>
      <w:r w:rsidR="00AD0090">
        <w:rPr>
          <w:rFonts w:ascii="Century" w:hAnsi="Century"/>
          <w:sz w:val="24"/>
          <w:szCs w:val="24"/>
        </w:rPr>
        <w:t xml:space="preserve">eferencing, grammar, structure and </w:t>
      </w:r>
      <w:r w:rsidR="00CA7836">
        <w:rPr>
          <w:rFonts w:ascii="Century" w:hAnsi="Century"/>
          <w:sz w:val="24"/>
          <w:szCs w:val="24"/>
        </w:rPr>
        <w:t>spelling</w:t>
      </w:r>
      <w:r w:rsidR="00845407">
        <w:rPr>
          <w:rFonts w:ascii="Century" w:hAnsi="Century"/>
          <w:sz w:val="24"/>
          <w:szCs w:val="24"/>
        </w:rPr>
        <w:t xml:space="preserve"> and</w:t>
      </w:r>
      <w:r w:rsidR="001900E1">
        <w:rPr>
          <w:rFonts w:ascii="Century" w:hAnsi="Century"/>
          <w:sz w:val="24"/>
          <w:szCs w:val="24"/>
        </w:rPr>
        <w:t xml:space="preserve"> also</w:t>
      </w:r>
      <w:r w:rsidR="00845407">
        <w:rPr>
          <w:rFonts w:ascii="Century" w:hAnsi="Century"/>
          <w:sz w:val="24"/>
          <w:szCs w:val="24"/>
        </w:rPr>
        <w:t xml:space="preserve"> clarity of idea expression</w:t>
      </w:r>
      <w:r w:rsidR="00BF63EE">
        <w:rPr>
          <w:rFonts w:ascii="Century" w:hAnsi="Century"/>
          <w:sz w:val="24"/>
          <w:szCs w:val="24"/>
        </w:rPr>
        <w:t>’</w:t>
      </w:r>
      <w:r w:rsidR="00CA7836">
        <w:rPr>
          <w:rFonts w:ascii="Century" w:hAnsi="Century"/>
          <w:sz w:val="24"/>
          <w:szCs w:val="24"/>
        </w:rPr>
        <w:t>.</w:t>
      </w:r>
      <w:r w:rsidR="00CA7836">
        <w:rPr>
          <w:rStyle w:val="FootnoteReference"/>
          <w:rFonts w:ascii="Century" w:hAnsi="Century"/>
          <w:sz w:val="24"/>
          <w:szCs w:val="24"/>
        </w:rPr>
        <w:footnoteReference w:id="298"/>
      </w:r>
      <w:r w:rsidR="00380A16">
        <w:rPr>
          <w:rFonts w:ascii="Century" w:hAnsi="Century"/>
          <w:sz w:val="24"/>
          <w:szCs w:val="24"/>
        </w:rPr>
        <w:t xml:space="preserve"> </w:t>
      </w:r>
      <w:r w:rsidR="005536A8">
        <w:rPr>
          <w:rFonts w:ascii="Century" w:hAnsi="Century"/>
          <w:sz w:val="24"/>
          <w:szCs w:val="24"/>
        </w:rPr>
        <w:t>Collaboration is necessary because having a second pair of eyes look over the bill enables the drafter to see whether the choices made to give effect to the policy were suitable</w:t>
      </w:r>
      <w:r w:rsidR="005536A8" w:rsidRPr="00F32CF2">
        <w:rPr>
          <w:rFonts w:ascii="Century" w:hAnsi="Century"/>
          <w:sz w:val="24"/>
          <w:szCs w:val="24"/>
        </w:rPr>
        <w:t>.</w:t>
      </w:r>
      <w:r w:rsidR="005536A8" w:rsidRPr="00F32CF2">
        <w:rPr>
          <w:rStyle w:val="FootnoteReference"/>
          <w:rFonts w:ascii="Century" w:hAnsi="Century"/>
          <w:sz w:val="24"/>
          <w:szCs w:val="24"/>
        </w:rPr>
        <w:footnoteReference w:id="299"/>
      </w:r>
    </w:p>
    <w:p w:rsidR="00A94974" w:rsidRDefault="00A94974" w:rsidP="00C57E7D">
      <w:pPr>
        <w:pStyle w:val="ListParagraph"/>
        <w:spacing w:line="360" w:lineRule="auto"/>
        <w:ind w:left="1080"/>
        <w:jc w:val="both"/>
        <w:rPr>
          <w:rFonts w:ascii="Century" w:hAnsi="Century"/>
          <w:b/>
          <w:sz w:val="24"/>
          <w:szCs w:val="24"/>
        </w:rPr>
      </w:pPr>
    </w:p>
    <w:p w:rsidR="00A94974" w:rsidRDefault="00A94974" w:rsidP="002F0293">
      <w:pPr>
        <w:pStyle w:val="Heading4"/>
      </w:pPr>
    </w:p>
    <w:p w:rsidR="00897AB9" w:rsidRPr="002F0293" w:rsidRDefault="00F75CE9" w:rsidP="002F0293">
      <w:pPr>
        <w:pStyle w:val="Heading4"/>
        <w:numPr>
          <w:ilvl w:val="0"/>
          <w:numId w:val="26"/>
        </w:numPr>
        <w:rPr>
          <w:color w:val="auto"/>
        </w:rPr>
      </w:pPr>
      <w:bookmarkStart w:id="79" w:name="_Toc427272682"/>
      <w:bookmarkStart w:id="80" w:name="_Toc427597762"/>
      <w:r>
        <w:rPr>
          <w:color w:val="auto"/>
        </w:rPr>
        <w:t xml:space="preserve">How do </w:t>
      </w:r>
      <w:r w:rsidR="00BE7240">
        <w:rPr>
          <w:color w:val="auto"/>
        </w:rPr>
        <w:t>D</w:t>
      </w:r>
      <w:r w:rsidR="00BC2FE0" w:rsidRPr="002F0293">
        <w:rPr>
          <w:color w:val="auto"/>
        </w:rPr>
        <w:t>rafter</w:t>
      </w:r>
      <w:r>
        <w:rPr>
          <w:color w:val="auto"/>
        </w:rPr>
        <w:t>s</w:t>
      </w:r>
      <w:r w:rsidR="00BC2FE0" w:rsidRPr="002F0293">
        <w:rPr>
          <w:color w:val="auto"/>
        </w:rPr>
        <w:t xml:space="preserve"> </w:t>
      </w:r>
      <w:r w:rsidR="00BE7240">
        <w:rPr>
          <w:color w:val="auto"/>
        </w:rPr>
        <w:t>C</w:t>
      </w:r>
      <w:r w:rsidR="00BC2FE0" w:rsidRPr="002F0293">
        <w:rPr>
          <w:color w:val="auto"/>
        </w:rPr>
        <w:t xml:space="preserve">ontribute to </w:t>
      </w:r>
      <w:r w:rsidR="00BE7240">
        <w:rPr>
          <w:color w:val="auto"/>
        </w:rPr>
        <w:t>A</w:t>
      </w:r>
      <w:r w:rsidR="00BC2FE0" w:rsidRPr="002F0293">
        <w:rPr>
          <w:color w:val="auto"/>
        </w:rPr>
        <w:t>ccessibility at this stage?</w:t>
      </w:r>
      <w:bookmarkEnd w:id="79"/>
      <w:bookmarkEnd w:id="80"/>
    </w:p>
    <w:p w:rsidR="002F0293" w:rsidRDefault="002F0293" w:rsidP="00897AB9">
      <w:pPr>
        <w:spacing w:line="360" w:lineRule="auto"/>
        <w:jc w:val="both"/>
        <w:rPr>
          <w:rFonts w:ascii="Century" w:hAnsi="Century"/>
          <w:sz w:val="24"/>
          <w:szCs w:val="24"/>
        </w:rPr>
      </w:pPr>
    </w:p>
    <w:p w:rsidR="0017148A" w:rsidRDefault="00B40C09" w:rsidP="00897AB9">
      <w:pPr>
        <w:spacing w:line="360" w:lineRule="auto"/>
        <w:jc w:val="both"/>
        <w:rPr>
          <w:rFonts w:ascii="Century" w:hAnsi="Century"/>
          <w:sz w:val="24"/>
          <w:szCs w:val="24"/>
        </w:rPr>
      </w:pPr>
      <w:r>
        <w:rPr>
          <w:rFonts w:ascii="Century" w:hAnsi="Century"/>
          <w:sz w:val="24"/>
          <w:szCs w:val="24"/>
        </w:rPr>
        <w:t xml:space="preserve">Making the </w:t>
      </w:r>
      <w:r w:rsidR="00965A60">
        <w:rPr>
          <w:rFonts w:ascii="Century" w:hAnsi="Century"/>
          <w:sz w:val="24"/>
          <w:szCs w:val="24"/>
        </w:rPr>
        <w:t>law</w:t>
      </w:r>
      <w:r>
        <w:rPr>
          <w:rFonts w:ascii="Century" w:hAnsi="Century"/>
          <w:sz w:val="24"/>
          <w:szCs w:val="24"/>
        </w:rPr>
        <w:t xml:space="preserve"> accessible is dependent on every stage of the drafting process. Therefore, </w:t>
      </w:r>
      <w:r w:rsidR="003A287D" w:rsidRPr="00F32CF2">
        <w:rPr>
          <w:rFonts w:ascii="Century" w:hAnsi="Century"/>
          <w:sz w:val="24"/>
          <w:szCs w:val="24"/>
        </w:rPr>
        <w:t xml:space="preserve">every opportunity allowed </w:t>
      </w:r>
      <w:r>
        <w:rPr>
          <w:rFonts w:ascii="Century" w:hAnsi="Century"/>
          <w:sz w:val="24"/>
          <w:szCs w:val="24"/>
        </w:rPr>
        <w:t>to scruti</w:t>
      </w:r>
      <w:r w:rsidR="003310D5">
        <w:rPr>
          <w:rFonts w:ascii="Century" w:hAnsi="Century"/>
          <w:sz w:val="24"/>
          <w:szCs w:val="24"/>
        </w:rPr>
        <w:t>nise</w:t>
      </w:r>
      <w:r w:rsidR="00DA441E">
        <w:rPr>
          <w:rFonts w:ascii="Century" w:hAnsi="Century"/>
          <w:sz w:val="24"/>
          <w:szCs w:val="24"/>
        </w:rPr>
        <w:t xml:space="preserve"> and test</w:t>
      </w:r>
      <w:r w:rsidR="003310D5">
        <w:rPr>
          <w:rFonts w:ascii="Century" w:hAnsi="Century"/>
          <w:sz w:val="24"/>
          <w:szCs w:val="24"/>
        </w:rPr>
        <w:t xml:space="preserve"> the bill </w:t>
      </w:r>
      <w:r w:rsidR="003310D5">
        <w:rPr>
          <w:rFonts w:ascii="Century" w:hAnsi="Century"/>
          <w:sz w:val="24"/>
          <w:szCs w:val="24"/>
        </w:rPr>
        <w:lastRenderedPageBreak/>
        <w:t>should be taken. Scrutiny</w:t>
      </w:r>
      <w:r w:rsidR="00DA441E">
        <w:rPr>
          <w:rFonts w:ascii="Century" w:hAnsi="Century"/>
          <w:sz w:val="24"/>
          <w:szCs w:val="24"/>
        </w:rPr>
        <w:t xml:space="preserve"> and testing</w:t>
      </w:r>
      <w:r w:rsidR="003310D5">
        <w:rPr>
          <w:rFonts w:ascii="Century" w:hAnsi="Century"/>
          <w:sz w:val="24"/>
          <w:szCs w:val="24"/>
        </w:rPr>
        <w:t xml:space="preserve"> ensures that the legislation can have the desired effect of </w:t>
      </w:r>
      <w:r w:rsidR="00A10BBE">
        <w:rPr>
          <w:rFonts w:ascii="Century" w:hAnsi="Century"/>
          <w:sz w:val="24"/>
          <w:szCs w:val="24"/>
        </w:rPr>
        <w:t>‘</w:t>
      </w:r>
      <w:r w:rsidR="003310D5">
        <w:rPr>
          <w:rFonts w:ascii="Century" w:hAnsi="Century"/>
          <w:sz w:val="24"/>
          <w:szCs w:val="24"/>
        </w:rPr>
        <w:t>achieving social change</w:t>
      </w:r>
      <w:r w:rsidR="00A10BBE">
        <w:rPr>
          <w:rFonts w:ascii="Century" w:hAnsi="Century"/>
          <w:sz w:val="24"/>
          <w:szCs w:val="24"/>
        </w:rPr>
        <w:t>’</w:t>
      </w:r>
      <w:r w:rsidR="003310D5">
        <w:rPr>
          <w:rFonts w:ascii="Century" w:hAnsi="Century"/>
          <w:sz w:val="24"/>
          <w:szCs w:val="24"/>
        </w:rPr>
        <w:t xml:space="preserve"> after the drafter has </w:t>
      </w:r>
      <w:r w:rsidR="00F56E72">
        <w:rPr>
          <w:rFonts w:ascii="Century" w:hAnsi="Century"/>
          <w:sz w:val="24"/>
          <w:szCs w:val="24"/>
        </w:rPr>
        <w:t>made all the appropriate judgements</w:t>
      </w:r>
      <w:r w:rsidR="003310D5">
        <w:rPr>
          <w:rFonts w:ascii="Century" w:hAnsi="Century"/>
          <w:sz w:val="24"/>
          <w:szCs w:val="24"/>
        </w:rPr>
        <w:t xml:space="preserve"> leading to this final stage.</w:t>
      </w:r>
      <w:r w:rsidR="003310D5">
        <w:rPr>
          <w:rStyle w:val="FootnoteReference"/>
          <w:rFonts w:ascii="Century" w:hAnsi="Century"/>
          <w:sz w:val="24"/>
          <w:szCs w:val="24"/>
        </w:rPr>
        <w:footnoteReference w:id="300"/>
      </w:r>
      <w:r w:rsidR="003310D5">
        <w:rPr>
          <w:rFonts w:ascii="Century" w:hAnsi="Century"/>
          <w:sz w:val="24"/>
          <w:szCs w:val="24"/>
        </w:rPr>
        <w:t xml:space="preserve"> </w:t>
      </w:r>
      <w:r w:rsidR="0017148A">
        <w:rPr>
          <w:rFonts w:ascii="Century" w:hAnsi="Century"/>
          <w:sz w:val="24"/>
          <w:szCs w:val="24"/>
        </w:rPr>
        <w:t xml:space="preserve">As stated by Vanterpool, </w:t>
      </w:r>
    </w:p>
    <w:p w:rsidR="0017148A" w:rsidRDefault="0017148A" w:rsidP="0017148A">
      <w:pPr>
        <w:spacing w:line="360" w:lineRule="auto"/>
        <w:ind w:left="720"/>
        <w:jc w:val="both"/>
        <w:rPr>
          <w:rFonts w:ascii="Century" w:hAnsi="Century"/>
          <w:sz w:val="24"/>
          <w:szCs w:val="24"/>
        </w:rPr>
      </w:pPr>
      <w:r>
        <w:rPr>
          <w:rFonts w:ascii="Century" w:hAnsi="Century"/>
          <w:sz w:val="24"/>
          <w:szCs w:val="24"/>
        </w:rPr>
        <w:t>[T]</w:t>
      </w:r>
      <w:r w:rsidR="003A287D" w:rsidRPr="00F32CF2">
        <w:rPr>
          <w:rFonts w:ascii="Century" w:hAnsi="Century"/>
          <w:sz w:val="24"/>
          <w:szCs w:val="24"/>
        </w:rPr>
        <w:t xml:space="preserve">he intention of there being a stage five in the drafting process, which is solely dedicated for further evaluation of the legislation product, is, for Thornton, a deliberate and crucial stage in achieving quality in the final </w:t>
      </w:r>
      <w:r w:rsidR="00296ED2">
        <w:rPr>
          <w:rFonts w:ascii="Century" w:hAnsi="Century"/>
          <w:sz w:val="24"/>
          <w:szCs w:val="24"/>
        </w:rPr>
        <w:t xml:space="preserve">legislative </w:t>
      </w:r>
      <w:r w:rsidR="003A287D" w:rsidRPr="00F32CF2">
        <w:rPr>
          <w:rFonts w:ascii="Century" w:hAnsi="Century"/>
          <w:sz w:val="24"/>
          <w:szCs w:val="24"/>
        </w:rPr>
        <w:t>draft.</w:t>
      </w:r>
      <w:r w:rsidR="00026C3F" w:rsidRPr="00F32CF2">
        <w:rPr>
          <w:rStyle w:val="FootnoteReference"/>
          <w:rFonts w:ascii="Century" w:hAnsi="Century"/>
          <w:sz w:val="24"/>
          <w:szCs w:val="24"/>
        </w:rPr>
        <w:footnoteReference w:id="301"/>
      </w:r>
      <w:r w:rsidR="00865BE6">
        <w:rPr>
          <w:rFonts w:ascii="Century" w:hAnsi="Century"/>
          <w:sz w:val="24"/>
          <w:szCs w:val="24"/>
        </w:rPr>
        <w:t xml:space="preserve"> </w:t>
      </w:r>
    </w:p>
    <w:p w:rsidR="003E11EB" w:rsidRPr="00F32CF2" w:rsidRDefault="002F0CD1" w:rsidP="0049683B">
      <w:pPr>
        <w:spacing w:line="360" w:lineRule="auto"/>
        <w:jc w:val="both"/>
        <w:rPr>
          <w:rFonts w:ascii="Century" w:hAnsi="Century"/>
          <w:sz w:val="24"/>
          <w:szCs w:val="24"/>
        </w:rPr>
      </w:pPr>
      <w:r w:rsidRPr="00F32CF2">
        <w:rPr>
          <w:rFonts w:ascii="Century" w:hAnsi="Century"/>
          <w:sz w:val="24"/>
          <w:szCs w:val="24"/>
        </w:rPr>
        <w:tab/>
      </w:r>
      <w:r w:rsidR="000418FD" w:rsidRPr="00F32CF2">
        <w:rPr>
          <w:rFonts w:ascii="Century" w:hAnsi="Century"/>
          <w:sz w:val="24"/>
          <w:szCs w:val="24"/>
        </w:rPr>
        <w:t xml:space="preserve"> </w:t>
      </w:r>
    </w:p>
    <w:p w:rsidR="00DA441E" w:rsidRDefault="006C6651" w:rsidP="00897AB9">
      <w:pPr>
        <w:spacing w:line="360" w:lineRule="auto"/>
        <w:jc w:val="both"/>
        <w:rPr>
          <w:rFonts w:ascii="Century" w:hAnsi="Century"/>
          <w:sz w:val="24"/>
          <w:szCs w:val="24"/>
        </w:rPr>
      </w:pPr>
      <w:r>
        <w:rPr>
          <w:rFonts w:ascii="Century" w:hAnsi="Century"/>
          <w:sz w:val="24"/>
          <w:szCs w:val="24"/>
        </w:rPr>
        <w:t>Scrutiny</w:t>
      </w:r>
      <w:r w:rsidR="00DA441E">
        <w:rPr>
          <w:rFonts w:ascii="Century" w:hAnsi="Century"/>
          <w:sz w:val="24"/>
          <w:szCs w:val="24"/>
        </w:rPr>
        <w:t xml:space="preserve"> and testing</w:t>
      </w:r>
      <w:r>
        <w:rPr>
          <w:rFonts w:ascii="Century" w:hAnsi="Century"/>
          <w:sz w:val="24"/>
          <w:szCs w:val="24"/>
        </w:rPr>
        <w:t xml:space="preserve"> </w:t>
      </w:r>
      <w:r w:rsidR="005836BC">
        <w:rPr>
          <w:rFonts w:ascii="Century" w:hAnsi="Century"/>
          <w:sz w:val="24"/>
          <w:szCs w:val="24"/>
        </w:rPr>
        <w:t xml:space="preserve">help drafters to consider whether the bill does justice to the instructions of the government as well as does justice to the audience of the bill. </w:t>
      </w:r>
      <w:r w:rsidR="000D76BA">
        <w:rPr>
          <w:rFonts w:ascii="Century" w:hAnsi="Century"/>
          <w:sz w:val="24"/>
          <w:szCs w:val="24"/>
        </w:rPr>
        <w:t>Because through scrutiny</w:t>
      </w:r>
      <w:r w:rsidR="00DA441E">
        <w:rPr>
          <w:rFonts w:ascii="Century" w:hAnsi="Century"/>
          <w:sz w:val="24"/>
          <w:szCs w:val="24"/>
        </w:rPr>
        <w:t xml:space="preserve"> and testing</w:t>
      </w:r>
      <w:r w:rsidR="000D76BA">
        <w:rPr>
          <w:rFonts w:ascii="Century" w:hAnsi="Century"/>
          <w:sz w:val="24"/>
          <w:szCs w:val="24"/>
        </w:rPr>
        <w:t xml:space="preserve"> the bill would be</w:t>
      </w:r>
      <w:r w:rsidR="00A9564F">
        <w:rPr>
          <w:rFonts w:ascii="Century" w:hAnsi="Century"/>
          <w:sz w:val="24"/>
          <w:szCs w:val="24"/>
        </w:rPr>
        <w:t xml:space="preserve"> </w:t>
      </w:r>
      <w:r w:rsidR="000D76BA">
        <w:rPr>
          <w:rFonts w:ascii="Century" w:hAnsi="Century"/>
          <w:sz w:val="24"/>
          <w:szCs w:val="24"/>
        </w:rPr>
        <w:t>‘</w:t>
      </w:r>
      <w:r w:rsidR="00A9564F" w:rsidRPr="00F32CF2">
        <w:rPr>
          <w:rFonts w:ascii="Century" w:hAnsi="Century"/>
          <w:sz w:val="24"/>
          <w:szCs w:val="24"/>
        </w:rPr>
        <w:t>properly, seriously and systematically checked</w:t>
      </w:r>
      <w:r w:rsidR="000D76BA">
        <w:rPr>
          <w:rFonts w:ascii="Century" w:hAnsi="Century"/>
          <w:sz w:val="24"/>
          <w:szCs w:val="24"/>
        </w:rPr>
        <w:t>’</w:t>
      </w:r>
      <w:r w:rsidR="00A9564F" w:rsidRPr="00F32CF2">
        <w:rPr>
          <w:rStyle w:val="FootnoteReference"/>
          <w:rFonts w:ascii="Century" w:hAnsi="Century"/>
          <w:sz w:val="24"/>
          <w:szCs w:val="24"/>
        </w:rPr>
        <w:footnoteReference w:id="302"/>
      </w:r>
      <w:r w:rsidR="00A9564F">
        <w:rPr>
          <w:rFonts w:ascii="Century" w:hAnsi="Century"/>
          <w:sz w:val="24"/>
          <w:szCs w:val="24"/>
        </w:rPr>
        <w:t xml:space="preserve"> </w:t>
      </w:r>
      <w:r w:rsidR="000D76BA">
        <w:rPr>
          <w:rFonts w:ascii="Century" w:hAnsi="Century"/>
          <w:sz w:val="24"/>
          <w:szCs w:val="24"/>
        </w:rPr>
        <w:t>the</w:t>
      </w:r>
      <w:r w:rsidR="00566B5F">
        <w:rPr>
          <w:rFonts w:ascii="Century" w:hAnsi="Century"/>
          <w:sz w:val="24"/>
          <w:szCs w:val="24"/>
        </w:rPr>
        <w:t xml:space="preserve"> drafter </w:t>
      </w:r>
      <w:r w:rsidR="000D76BA">
        <w:rPr>
          <w:rFonts w:ascii="Century" w:hAnsi="Century"/>
          <w:sz w:val="24"/>
          <w:szCs w:val="24"/>
        </w:rPr>
        <w:t>would</w:t>
      </w:r>
      <w:r w:rsidR="00566B5F">
        <w:rPr>
          <w:rFonts w:ascii="Century" w:hAnsi="Century"/>
          <w:sz w:val="24"/>
          <w:szCs w:val="24"/>
        </w:rPr>
        <w:t xml:space="preserve"> be able to access whether the choices made during the draftin</w:t>
      </w:r>
      <w:r w:rsidR="00DA441E">
        <w:rPr>
          <w:rFonts w:ascii="Century" w:hAnsi="Century"/>
          <w:sz w:val="24"/>
          <w:szCs w:val="24"/>
        </w:rPr>
        <w:t>g process achieve accessibility.</w:t>
      </w:r>
      <w:r w:rsidR="00FE535A">
        <w:rPr>
          <w:rFonts w:ascii="Century" w:hAnsi="Century"/>
          <w:sz w:val="24"/>
          <w:szCs w:val="24"/>
        </w:rPr>
        <w:t xml:space="preserve"> For example, </w:t>
      </w:r>
      <w:r>
        <w:rPr>
          <w:rFonts w:ascii="Century" w:hAnsi="Century"/>
          <w:sz w:val="24"/>
          <w:szCs w:val="24"/>
        </w:rPr>
        <w:t>comments from</w:t>
      </w:r>
      <w:r w:rsidR="00FE535A">
        <w:rPr>
          <w:rFonts w:ascii="Century" w:hAnsi="Century"/>
          <w:sz w:val="24"/>
          <w:szCs w:val="24"/>
        </w:rPr>
        <w:t xml:space="preserve"> the experts and interest</w:t>
      </w:r>
      <w:r w:rsidR="00DA441E">
        <w:rPr>
          <w:rFonts w:ascii="Century" w:hAnsi="Century"/>
          <w:sz w:val="24"/>
          <w:szCs w:val="24"/>
        </w:rPr>
        <w:t xml:space="preserve"> and focus</w:t>
      </w:r>
      <w:r w:rsidR="00FE535A">
        <w:rPr>
          <w:rFonts w:ascii="Century" w:hAnsi="Century"/>
          <w:sz w:val="24"/>
          <w:szCs w:val="24"/>
        </w:rPr>
        <w:t xml:space="preserve"> groups would b</w:t>
      </w:r>
      <w:r>
        <w:rPr>
          <w:rFonts w:ascii="Century" w:hAnsi="Century"/>
          <w:sz w:val="24"/>
          <w:szCs w:val="24"/>
        </w:rPr>
        <w:t>e able to give the drafter valuable</w:t>
      </w:r>
      <w:r w:rsidR="00FE535A">
        <w:rPr>
          <w:rFonts w:ascii="Century" w:hAnsi="Century"/>
          <w:sz w:val="24"/>
          <w:szCs w:val="24"/>
        </w:rPr>
        <w:t xml:space="preserve"> feedback as to whether the structure and word choices amounts to comprehensibility.</w:t>
      </w:r>
      <w:r w:rsidR="00566B5F">
        <w:rPr>
          <w:rFonts w:ascii="Century" w:hAnsi="Century"/>
          <w:sz w:val="24"/>
          <w:szCs w:val="24"/>
        </w:rPr>
        <w:t xml:space="preserve"> </w:t>
      </w:r>
    </w:p>
    <w:p w:rsidR="00F121DF" w:rsidRDefault="00F121DF" w:rsidP="00897AB9">
      <w:pPr>
        <w:spacing w:line="360" w:lineRule="auto"/>
        <w:jc w:val="both"/>
        <w:rPr>
          <w:rFonts w:ascii="Century" w:hAnsi="Century"/>
          <w:sz w:val="24"/>
          <w:szCs w:val="24"/>
        </w:rPr>
      </w:pPr>
    </w:p>
    <w:p w:rsidR="0049683B" w:rsidRPr="00F32CF2" w:rsidRDefault="001F05B6" w:rsidP="00897AB9">
      <w:pPr>
        <w:spacing w:line="360" w:lineRule="auto"/>
        <w:jc w:val="both"/>
        <w:rPr>
          <w:rFonts w:ascii="Century" w:hAnsi="Century"/>
          <w:sz w:val="24"/>
          <w:szCs w:val="24"/>
        </w:rPr>
      </w:pPr>
      <w:r w:rsidRPr="004F6A91">
        <w:rPr>
          <w:rFonts w:ascii="Century" w:hAnsi="Century"/>
          <w:sz w:val="24"/>
          <w:szCs w:val="24"/>
        </w:rPr>
        <w:t>When issues are discovered it is here that they are clarified and gaps filled.</w:t>
      </w:r>
      <w:r>
        <w:rPr>
          <w:rFonts w:ascii="Century" w:hAnsi="Century"/>
          <w:sz w:val="24"/>
          <w:szCs w:val="24"/>
        </w:rPr>
        <w:t xml:space="preserve"> </w:t>
      </w:r>
      <w:r w:rsidR="00C30AF1">
        <w:rPr>
          <w:rFonts w:ascii="Century" w:hAnsi="Century"/>
          <w:sz w:val="24"/>
          <w:szCs w:val="24"/>
        </w:rPr>
        <w:t>For this reason</w:t>
      </w:r>
      <w:r w:rsidR="00390833">
        <w:rPr>
          <w:rFonts w:ascii="Century" w:hAnsi="Century"/>
          <w:sz w:val="24"/>
          <w:szCs w:val="24"/>
        </w:rPr>
        <w:t>, t</w:t>
      </w:r>
      <w:r>
        <w:rPr>
          <w:rFonts w:ascii="Century" w:hAnsi="Century"/>
          <w:sz w:val="24"/>
          <w:szCs w:val="24"/>
        </w:rPr>
        <w:t>horoughly</w:t>
      </w:r>
      <w:r w:rsidR="00A9564F">
        <w:rPr>
          <w:rFonts w:ascii="Century" w:hAnsi="Century"/>
          <w:sz w:val="24"/>
          <w:szCs w:val="24"/>
        </w:rPr>
        <w:t xml:space="preserve"> scrutinising and </w:t>
      </w:r>
      <w:r w:rsidR="005D30A6">
        <w:rPr>
          <w:rFonts w:ascii="Century" w:hAnsi="Century"/>
          <w:sz w:val="24"/>
          <w:szCs w:val="24"/>
        </w:rPr>
        <w:t>test</w:t>
      </w:r>
      <w:r w:rsidR="00A9564F">
        <w:rPr>
          <w:rFonts w:ascii="Century" w:hAnsi="Century"/>
          <w:sz w:val="24"/>
          <w:szCs w:val="24"/>
        </w:rPr>
        <w:t xml:space="preserve">ing the bill </w:t>
      </w:r>
      <w:r w:rsidR="003D6A47" w:rsidRPr="00F32CF2">
        <w:rPr>
          <w:rFonts w:ascii="Century" w:hAnsi="Century"/>
          <w:sz w:val="24"/>
          <w:szCs w:val="24"/>
        </w:rPr>
        <w:t xml:space="preserve">is </w:t>
      </w:r>
      <w:r w:rsidR="00390833">
        <w:rPr>
          <w:rFonts w:ascii="Century" w:hAnsi="Century"/>
          <w:sz w:val="24"/>
          <w:szCs w:val="24"/>
        </w:rPr>
        <w:t xml:space="preserve">considered </w:t>
      </w:r>
      <w:r w:rsidR="00B07184">
        <w:rPr>
          <w:rFonts w:ascii="Century" w:hAnsi="Century"/>
          <w:sz w:val="24"/>
          <w:szCs w:val="24"/>
        </w:rPr>
        <w:t>one of the most</w:t>
      </w:r>
      <w:r w:rsidR="003D6A47" w:rsidRPr="00F32CF2">
        <w:rPr>
          <w:rFonts w:ascii="Century" w:hAnsi="Century"/>
          <w:sz w:val="24"/>
          <w:szCs w:val="24"/>
        </w:rPr>
        <w:t xml:space="preserve"> effective way</w:t>
      </w:r>
      <w:r w:rsidR="00B07184">
        <w:rPr>
          <w:rFonts w:ascii="Century" w:hAnsi="Century"/>
          <w:sz w:val="24"/>
          <w:szCs w:val="24"/>
        </w:rPr>
        <w:t>s</w:t>
      </w:r>
      <w:r w:rsidR="000D76BA">
        <w:rPr>
          <w:rFonts w:ascii="Century" w:hAnsi="Century"/>
          <w:sz w:val="24"/>
          <w:szCs w:val="24"/>
        </w:rPr>
        <w:t xml:space="preserve"> of not only making the legislation accessible but also</w:t>
      </w:r>
      <w:r w:rsidR="003D6A47" w:rsidRPr="00F32CF2">
        <w:rPr>
          <w:rFonts w:ascii="Century" w:hAnsi="Century"/>
          <w:sz w:val="24"/>
          <w:szCs w:val="24"/>
        </w:rPr>
        <w:t xml:space="preserve"> improv</w:t>
      </w:r>
      <w:r w:rsidR="00B07184">
        <w:rPr>
          <w:rFonts w:ascii="Century" w:hAnsi="Century"/>
          <w:sz w:val="24"/>
          <w:szCs w:val="24"/>
        </w:rPr>
        <w:t>ing the overall</w:t>
      </w:r>
      <w:r w:rsidR="00A9564F">
        <w:rPr>
          <w:rFonts w:ascii="Century" w:hAnsi="Century"/>
          <w:sz w:val="24"/>
          <w:szCs w:val="24"/>
        </w:rPr>
        <w:t xml:space="preserve"> quality of legislation</w:t>
      </w:r>
      <w:r w:rsidR="003D6A47" w:rsidRPr="00F32CF2">
        <w:rPr>
          <w:rFonts w:ascii="Century" w:hAnsi="Century"/>
          <w:sz w:val="24"/>
          <w:szCs w:val="24"/>
        </w:rPr>
        <w:t>.</w:t>
      </w:r>
      <w:r w:rsidR="003D6A47" w:rsidRPr="00F32CF2">
        <w:rPr>
          <w:rStyle w:val="FootnoteReference"/>
          <w:rFonts w:ascii="Century" w:hAnsi="Century"/>
          <w:sz w:val="24"/>
          <w:szCs w:val="24"/>
        </w:rPr>
        <w:footnoteReference w:id="303"/>
      </w:r>
      <w:r w:rsidR="00872136">
        <w:rPr>
          <w:rFonts w:ascii="Century" w:hAnsi="Century"/>
          <w:sz w:val="24"/>
          <w:szCs w:val="24"/>
        </w:rPr>
        <w:t xml:space="preserve"> Without proper scrutiny and testing drafters will miss their </w:t>
      </w:r>
      <w:r w:rsidR="00BE5408">
        <w:rPr>
          <w:rFonts w:ascii="Century" w:hAnsi="Century"/>
          <w:sz w:val="24"/>
          <w:szCs w:val="24"/>
        </w:rPr>
        <w:t xml:space="preserve">opportunity </w:t>
      </w:r>
      <w:r w:rsidR="003F3389">
        <w:rPr>
          <w:rFonts w:ascii="Century" w:hAnsi="Century"/>
          <w:sz w:val="24"/>
          <w:szCs w:val="24"/>
        </w:rPr>
        <w:t xml:space="preserve">to contribute effectively </w:t>
      </w:r>
      <w:r w:rsidR="003A6C32">
        <w:rPr>
          <w:rFonts w:ascii="Century" w:hAnsi="Century"/>
          <w:sz w:val="24"/>
          <w:szCs w:val="24"/>
        </w:rPr>
        <w:t xml:space="preserve">to the rule of law </w:t>
      </w:r>
      <w:r w:rsidR="00390833">
        <w:rPr>
          <w:rFonts w:ascii="Century" w:hAnsi="Century"/>
          <w:sz w:val="24"/>
          <w:szCs w:val="24"/>
        </w:rPr>
        <w:t>and</w:t>
      </w:r>
      <w:r w:rsidR="003A6C32">
        <w:rPr>
          <w:rFonts w:ascii="Century" w:hAnsi="Century"/>
          <w:sz w:val="24"/>
          <w:szCs w:val="24"/>
        </w:rPr>
        <w:t xml:space="preserve"> the quality of the law</w:t>
      </w:r>
      <w:r w:rsidR="004F6A91">
        <w:rPr>
          <w:rFonts w:ascii="Century" w:hAnsi="Century"/>
          <w:sz w:val="24"/>
          <w:szCs w:val="24"/>
        </w:rPr>
        <w:t xml:space="preserve">. </w:t>
      </w:r>
      <w:r w:rsidR="00696D7F">
        <w:rPr>
          <w:rFonts w:ascii="Century" w:hAnsi="Century"/>
          <w:sz w:val="24"/>
          <w:szCs w:val="24"/>
        </w:rPr>
        <w:t>As Tanner states ‘</w:t>
      </w:r>
      <w:r w:rsidR="000D39ED">
        <w:rPr>
          <w:rFonts w:ascii="Century" w:hAnsi="Century"/>
          <w:sz w:val="24"/>
          <w:szCs w:val="24"/>
        </w:rPr>
        <w:t>E</w:t>
      </w:r>
      <w:r w:rsidR="00696D7F">
        <w:rPr>
          <w:rFonts w:ascii="Century" w:hAnsi="Century"/>
          <w:sz w:val="24"/>
          <w:szCs w:val="24"/>
        </w:rPr>
        <w:t xml:space="preserve">very piece has to be right from the central components right through to the smallest detail. A small error in the detail can have catastrophic </w:t>
      </w:r>
      <w:r w:rsidR="00696D7F">
        <w:rPr>
          <w:rFonts w:ascii="Century" w:hAnsi="Century"/>
          <w:sz w:val="24"/>
          <w:szCs w:val="24"/>
        </w:rPr>
        <w:lastRenderedPageBreak/>
        <w:t>consequences’.</w:t>
      </w:r>
      <w:r w:rsidR="00696D7F">
        <w:rPr>
          <w:rStyle w:val="FootnoteReference"/>
          <w:rFonts w:ascii="Century" w:hAnsi="Century"/>
          <w:sz w:val="24"/>
          <w:szCs w:val="24"/>
        </w:rPr>
        <w:footnoteReference w:id="304"/>
      </w:r>
      <w:r w:rsidR="00696D7F">
        <w:rPr>
          <w:rFonts w:ascii="Century" w:hAnsi="Century"/>
          <w:sz w:val="24"/>
          <w:szCs w:val="24"/>
        </w:rPr>
        <w:t xml:space="preserve"> </w:t>
      </w:r>
      <w:r w:rsidR="00F121DF">
        <w:rPr>
          <w:rFonts w:ascii="Century" w:hAnsi="Century"/>
          <w:sz w:val="24"/>
          <w:szCs w:val="24"/>
        </w:rPr>
        <w:t>Communicating the law is not easy, it is very complex and there</w:t>
      </w:r>
      <w:r w:rsidR="004B0794">
        <w:rPr>
          <w:rFonts w:ascii="Century" w:hAnsi="Century"/>
          <w:sz w:val="24"/>
          <w:szCs w:val="24"/>
        </w:rPr>
        <w:t xml:space="preserve"> </w:t>
      </w:r>
      <w:r w:rsidR="00D9220A">
        <w:rPr>
          <w:rFonts w:ascii="Century" w:hAnsi="Century"/>
          <w:sz w:val="24"/>
          <w:szCs w:val="24"/>
        </w:rPr>
        <w:t>are</w:t>
      </w:r>
      <w:r w:rsidR="00F121DF">
        <w:rPr>
          <w:rFonts w:ascii="Century" w:hAnsi="Century"/>
          <w:sz w:val="24"/>
          <w:szCs w:val="24"/>
        </w:rPr>
        <w:t xml:space="preserve"> </w:t>
      </w:r>
      <w:r w:rsidR="005E7A01">
        <w:rPr>
          <w:rFonts w:ascii="Century" w:hAnsi="Century"/>
          <w:sz w:val="24"/>
          <w:szCs w:val="24"/>
        </w:rPr>
        <w:t>plenty</w:t>
      </w:r>
      <w:r w:rsidR="00F121DF">
        <w:rPr>
          <w:rFonts w:ascii="Century" w:hAnsi="Century"/>
          <w:sz w:val="24"/>
          <w:szCs w:val="24"/>
        </w:rPr>
        <w:t xml:space="preserve"> </w:t>
      </w:r>
      <w:r w:rsidR="003C1C58">
        <w:rPr>
          <w:rFonts w:ascii="Century" w:hAnsi="Century"/>
          <w:sz w:val="24"/>
          <w:szCs w:val="24"/>
        </w:rPr>
        <w:t>opportunities</w:t>
      </w:r>
      <w:r w:rsidR="00F121DF">
        <w:rPr>
          <w:rFonts w:ascii="Century" w:hAnsi="Century"/>
          <w:sz w:val="24"/>
          <w:szCs w:val="24"/>
        </w:rPr>
        <w:t xml:space="preserve"> for</w:t>
      </w:r>
      <w:r w:rsidR="00E81CDA">
        <w:rPr>
          <w:rFonts w:ascii="Century" w:hAnsi="Century"/>
          <w:sz w:val="24"/>
          <w:szCs w:val="24"/>
        </w:rPr>
        <w:t xml:space="preserve"> mistakes to be made</w:t>
      </w:r>
      <w:r w:rsidR="00F121DF">
        <w:rPr>
          <w:rFonts w:ascii="Century" w:hAnsi="Century"/>
          <w:sz w:val="24"/>
          <w:szCs w:val="24"/>
        </w:rPr>
        <w:t>.</w:t>
      </w:r>
      <w:r w:rsidR="00F121DF">
        <w:rPr>
          <w:rStyle w:val="FootnoteReference"/>
          <w:rFonts w:ascii="Century" w:hAnsi="Century"/>
          <w:sz w:val="24"/>
          <w:szCs w:val="24"/>
        </w:rPr>
        <w:footnoteReference w:id="305"/>
      </w:r>
      <w:r w:rsidR="006C6651">
        <w:rPr>
          <w:rFonts w:ascii="Century" w:hAnsi="Century"/>
          <w:sz w:val="24"/>
          <w:szCs w:val="24"/>
        </w:rPr>
        <w:t xml:space="preserve"> </w:t>
      </w:r>
      <w:r w:rsidR="00CC6F04">
        <w:rPr>
          <w:rFonts w:ascii="Century" w:hAnsi="Century"/>
          <w:sz w:val="24"/>
          <w:szCs w:val="24"/>
        </w:rPr>
        <w:t xml:space="preserve">Therefore, </w:t>
      </w:r>
      <w:r w:rsidR="0028175F">
        <w:rPr>
          <w:rFonts w:ascii="Century" w:hAnsi="Century"/>
          <w:sz w:val="24"/>
          <w:szCs w:val="24"/>
        </w:rPr>
        <w:t xml:space="preserve">it is important that </w:t>
      </w:r>
      <w:r w:rsidR="00F21CC9">
        <w:rPr>
          <w:rFonts w:ascii="Century" w:hAnsi="Century"/>
          <w:sz w:val="24"/>
          <w:szCs w:val="24"/>
        </w:rPr>
        <w:t xml:space="preserve">drafters give </w:t>
      </w:r>
      <w:r w:rsidR="00CC6F04">
        <w:rPr>
          <w:rFonts w:ascii="Century" w:hAnsi="Century"/>
          <w:sz w:val="24"/>
          <w:szCs w:val="24"/>
        </w:rPr>
        <w:t>this</w:t>
      </w:r>
      <w:r w:rsidR="005D30A6">
        <w:rPr>
          <w:rFonts w:ascii="Century" w:hAnsi="Century"/>
          <w:sz w:val="24"/>
          <w:szCs w:val="24"/>
        </w:rPr>
        <w:t xml:space="preserve"> stage</w:t>
      </w:r>
      <w:r w:rsidR="00883F6C">
        <w:rPr>
          <w:rFonts w:ascii="Century" w:hAnsi="Century"/>
          <w:sz w:val="24"/>
          <w:szCs w:val="24"/>
        </w:rPr>
        <w:t xml:space="preserve"> as much</w:t>
      </w:r>
      <w:r w:rsidR="005D30A6">
        <w:rPr>
          <w:rFonts w:ascii="Century" w:hAnsi="Century"/>
          <w:sz w:val="24"/>
          <w:szCs w:val="24"/>
        </w:rPr>
        <w:t xml:space="preserve"> </w:t>
      </w:r>
      <w:r w:rsidR="00165A09">
        <w:rPr>
          <w:rFonts w:ascii="Century" w:hAnsi="Century"/>
          <w:sz w:val="24"/>
          <w:szCs w:val="24"/>
        </w:rPr>
        <w:t xml:space="preserve">priority </w:t>
      </w:r>
      <w:r w:rsidR="00694283">
        <w:rPr>
          <w:rFonts w:ascii="Century" w:hAnsi="Century"/>
          <w:sz w:val="24"/>
          <w:szCs w:val="24"/>
        </w:rPr>
        <w:t>as</w:t>
      </w:r>
      <w:r w:rsidR="005D098B">
        <w:rPr>
          <w:rFonts w:ascii="Century" w:hAnsi="Century"/>
          <w:sz w:val="24"/>
          <w:szCs w:val="24"/>
        </w:rPr>
        <w:t xml:space="preserve"> </w:t>
      </w:r>
      <w:r w:rsidR="00165A09">
        <w:rPr>
          <w:rFonts w:ascii="Century" w:hAnsi="Century"/>
          <w:sz w:val="24"/>
          <w:szCs w:val="24"/>
        </w:rPr>
        <w:t>the other four</w:t>
      </w:r>
      <w:r w:rsidR="006C6651">
        <w:rPr>
          <w:rFonts w:ascii="Century" w:hAnsi="Century"/>
          <w:sz w:val="24"/>
          <w:szCs w:val="24"/>
        </w:rPr>
        <w:t xml:space="preserve"> stage</w:t>
      </w:r>
      <w:r w:rsidR="00165A09">
        <w:rPr>
          <w:rFonts w:ascii="Century" w:hAnsi="Century"/>
          <w:sz w:val="24"/>
          <w:szCs w:val="24"/>
        </w:rPr>
        <w:t>s</w:t>
      </w:r>
      <w:r w:rsidR="005D098B">
        <w:rPr>
          <w:rFonts w:ascii="Century" w:hAnsi="Century"/>
          <w:sz w:val="24"/>
          <w:szCs w:val="24"/>
        </w:rPr>
        <w:t>.</w:t>
      </w:r>
      <w:r w:rsidR="005D098B">
        <w:rPr>
          <w:rStyle w:val="FootnoteReference"/>
          <w:rFonts w:ascii="Century" w:hAnsi="Century"/>
          <w:sz w:val="24"/>
          <w:szCs w:val="24"/>
        </w:rPr>
        <w:footnoteReference w:id="306"/>
      </w:r>
      <w:r w:rsidR="005D098B">
        <w:rPr>
          <w:rFonts w:ascii="Century" w:hAnsi="Century"/>
          <w:sz w:val="24"/>
          <w:szCs w:val="24"/>
        </w:rPr>
        <w:t xml:space="preserve">  </w:t>
      </w:r>
    </w:p>
    <w:p w:rsidR="0049683B" w:rsidRPr="00F32CF2" w:rsidRDefault="0049683B" w:rsidP="0049683B">
      <w:pPr>
        <w:spacing w:line="360" w:lineRule="auto"/>
        <w:jc w:val="both"/>
        <w:rPr>
          <w:rFonts w:ascii="Century" w:hAnsi="Century"/>
          <w:sz w:val="24"/>
          <w:szCs w:val="24"/>
        </w:rPr>
      </w:pPr>
    </w:p>
    <w:p w:rsidR="00501923" w:rsidRDefault="00501923">
      <w:pPr>
        <w:rPr>
          <w:rFonts w:ascii="Century" w:hAnsi="Century"/>
        </w:rPr>
      </w:pPr>
    </w:p>
    <w:p w:rsidR="00DB721F" w:rsidRDefault="00DB721F">
      <w:pPr>
        <w:rPr>
          <w:rFonts w:ascii="Century" w:hAnsi="Century"/>
        </w:rPr>
      </w:pPr>
    </w:p>
    <w:p w:rsidR="00DB721F" w:rsidRDefault="00DB721F">
      <w:pPr>
        <w:rPr>
          <w:rFonts w:ascii="Century" w:hAnsi="Century"/>
        </w:rPr>
      </w:pPr>
    </w:p>
    <w:p w:rsidR="004A4857" w:rsidRDefault="004A4857">
      <w:pPr>
        <w:rPr>
          <w:rFonts w:ascii="Century" w:hAnsi="Century"/>
        </w:rPr>
      </w:pPr>
    </w:p>
    <w:p w:rsidR="008A7F89" w:rsidRDefault="008A7F89">
      <w:pPr>
        <w:rPr>
          <w:rFonts w:ascii="Century" w:hAnsi="Century"/>
        </w:rPr>
      </w:pPr>
    </w:p>
    <w:p w:rsidR="008A7F89" w:rsidRDefault="008A7F89">
      <w:pPr>
        <w:rPr>
          <w:rFonts w:ascii="Century" w:hAnsi="Century"/>
        </w:rPr>
      </w:pPr>
    </w:p>
    <w:p w:rsidR="002531CC" w:rsidRDefault="002531CC">
      <w:pPr>
        <w:rPr>
          <w:rFonts w:ascii="Century" w:hAnsi="Century"/>
        </w:rPr>
      </w:pPr>
    </w:p>
    <w:p w:rsidR="005B3340" w:rsidRDefault="005B3340">
      <w:pPr>
        <w:rPr>
          <w:rFonts w:ascii="Century" w:hAnsi="Century"/>
        </w:rPr>
      </w:pPr>
    </w:p>
    <w:p w:rsidR="00782737" w:rsidRDefault="00782737">
      <w:pPr>
        <w:rPr>
          <w:rFonts w:ascii="Century" w:hAnsi="Century"/>
        </w:rPr>
      </w:pPr>
    </w:p>
    <w:p w:rsidR="003B52B5" w:rsidRDefault="003B52B5">
      <w:pPr>
        <w:rPr>
          <w:rFonts w:ascii="Century" w:hAnsi="Century"/>
        </w:rPr>
      </w:pPr>
    </w:p>
    <w:p w:rsidR="003B52B5" w:rsidRDefault="003B52B5">
      <w:pPr>
        <w:rPr>
          <w:rFonts w:ascii="Century" w:hAnsi="Century"/>
        </w:rPr>
      </w:pPr>
    </w:p>
    <w:p w:rsidR="003B52B5" w:rsidRDefault="003B52B5">
      <w:pPr>
        <w:rPr>
          <w:rFonts w:ascii="Century" w:hAnsi="Century"/>
        </w:rPr>
      </w:pPr>
    </w:p>
    <w:p w:rsidR="003B52B5" w:rsidRDefault="003B52B5">
      <w:pPr>
        <w:rPr>
          <w:rFonts w:ascii="Century" w:hAnsi="Century"/>
        </w:rPr>
      </w:pPr>
    </w:p>
    <w:p w:rsidR="003B52B5" w:rsidRDefault="003B52B5">
      <w:pPr>
        <w:rPr>
          <w:rFonts w:ascii="Century" w:hAnsi="Century"/>
        </w:rPr>
      </w:pPr>
    </w:p>
    <w:p w:rsidR="003B52B5" w:rsidRDefault="003B52B5">
      <w:pPr>
        <w:rPr>
          <w:rFonts w:ascii="Century" w:hAnsi="Century"/>
        </w:rPr>
      </w:pPr>
    </w:p>
    <w:p w:rsidR="003B52B5" w:rsidRDefault="003B52B5">
      <w:pPr>
        <w:rPr>
          <w:rFonts w:ascii="Century" w:hAnsi="Century"/>
        </w:rPr>
      </w:pPr>
    </w:p>
    <w:p w:rsidR="003B52B5" w:rsidRDefault="003B52B5">
      <w:pPr>
        <w:rPr>
          <w:rFonts w:ascii="Century" w:hAnsi="Century"/>
        </w:rPr>
      </w:pPr>
    </w:p>
    <w:p w:rsidR="003B52B5" w:rsidRDefault="003B52B5">
      <w:pPr>
        <w:rPr>
          <w:rFonts w:ascii="Century" w:hAnsi="Century"/>
        </w:rPr>
      </w:pPr>
    </w:p>
    <w:p w:rsidR="003B52B5" w:rsidRDefault="003B52B5">
      <w:pPr>
        <w:rPr>
          <w:rFonts w:ascii="Century" w:hAnsi="Century"/>
        </w:rPr>
      </w:pPr>
    </w:p>
    <w:p w:rsidR="006E12BF" w:rsidRDefault="006E12BF" w:rsidP="00872136">
      <w:pPr>
        <w:pStyle w:val="Heading1"/>
        <w:rPr>
          <w:rFonts w:ascii="Century" w:eastAsiaTheme="minorHAnsi" w:hAnsi="Century" w:cstheme="minorBidi"/>
          <w:b w:val="0"/>
          <w:bCs w:val="0"/>
          <w:color w:val="auto"/>
          <w:sz w:val="22"/>
          <w:szCs w:val="22"/>
        </w:rPr>
      </w:pPr>
      <w:bookmarkStart w:id="81" w:name="_Toc427272185"/>
      <w:bookmarkStart w:id="82" w:name="_Toc427272683"/>
      <w:bookmarkStart w:id="83" w:name="_Toc427597763"/>
    </w:p>
    <w:p w:rsidR="00DB47B3" w:rsidRPr="00DB47B3" w:rsidRDefault="00DB47B3" w:rsidP="00DB47B3"/>
    <w:p w:rsidR="00DB721F" w:rsidRPr="00D47BE8" w:rsidRDefault="00DB721F" w:rsidP="005B1695">
      <w:pPr>
        <w:pStyle w:val="Heading1"/>
        <w:jc w:val="center"/>
        <w:rPr>
          <w:color w:val="auto"/>
        </w:rPr>
      </w:pPr>
      <w:r w:rsidRPr="00D47BE8">
        <w:rPr>
          <w:color w:val="auto"/>
        </w:rPr>
        <w:lastRenderedPageBreak/>
        <w:t xml:space="preserve">CHAPTER </w:t>
      </w:r>
      <w:r w:rsidR="00EB50F3" w:rsidRPr="00D47BE8">
        <w:rPr>
          <w:color w:val="auto"/>
        </w:rPr>
        <w:t>SEVEN</w:t>
      </w:r>
      <w:bookmarkEnd w:id="81"/>
      <w:bookmarkEnd w:id="82"/>
      <w:bookmarkEnd w:id="83"/>
    </w:p>
    <w:p w:rsidR="00DB721F" w:rsidRPr="00D47BE8" w:rsidRDefault="00DB721F" w:rsidP="00D47BE8">
      <w:pPr>
        <w:pStyle w:val="Heading1"/>
        <w:jc w:val="center"/>
        <w:rPr>
          <w:color w:val="auto"/>
        </w:rPr>
      </w:pPr>
      <w:bookmarkStart w:id="84" w:name="_Toc427272186"/>
      <w:bookmarkStart w:id="85" w:name="_Toc427272684"/>
      <w:bookmarkStart w:id="86" w:name="_Toc427597764"/>
      <w:r w:rsidRPr="00D47BE8">
        <w:rPr>
          <w:color w:val="auto"/>
        </w:rPr>
        <w:t>CONCLUSION</w:t>
      </w:r>
      <w:bookmarkEnd w:id="84"/>
      <w:bookmarkEnd w:id="85"/>
      <w:bookmarkEnd w:id="86"/>
    </w:p>
    <w:p w:rsidR="00134B03" w:rsidRDefault="00134B03" w:rsidP="00DB721F">
      <w:pPr>
        <w:spacing w:line="360" w:lineRule="auto"/>
        <w:jc w:val="both"/>
        <w:rPr>
          <w:rStyle w:val="sb8d990e2"/>
          <w:rFonts w:ascii="Century" w:hAnsi="Century"/>
          <w:sz w:val="24"/>
          <w:szCs w:val="24"/>
        </w:rPr>
      </w:pPr>
    </w:p>
    <w:p w:rsidR="00134B03" w:rsidRDefault="00134B03" w:rsidP="00DB721F">
      <w:pPr>
        <w:spacing w:line="360" w:lineRule="auto"/>
        <w:jc w:val="both"/>
        <w:rPr>
          <w:rStyle w:val="sb8d990e2"/>
          <w:rFonts w:ascii="Century" w:hAnsi="Century"/>
          <w:sz w:val="24"/>
          <w:szCs w:val="24"/>
        </w:rPr>
      </w:pPr>
    </w:p>
    <w:p w:rsidR="003621DA" w:rsidRDefault="00134B03" w:rsidP="00DB721F">
      <w:pPr>
        <w:spacing w:line="360" w:lineRule="auto"/>
        <w:jc w:val="both"/>
        <w:rPr>
          <w:rStyle w:val="sb8d990e2"/>
          <w:rFonts w:ascii="Century" w:hAnsi="Century"/>
          <w:sz w:val="24"/>
          <w:szCs w:val="24"/>
        </w:rPr>
      </w:pPr>
      <w:r>
        <w:rPr>
          <w:rStyle w:val="sb8d990e2"/>
          <w:rFonts w:ascii="Century" w:hAnsi="Century"/>
          <w:sz w:val="24"/>
          <w:szCs w:val="24"/>
        </w:rPr>
        <w:t>The objective of this dissertation was to prove that legislative drafters can make a significant contribution to the rule of law by making l</w:t>
      </w:r>
      <w:r w:rsidR="005D30A6">
        <w:rPr>
          <w:rStyle w:val="sb8d990e2"/>
          <w:rFonts w:ascii="Century" w:hAnsi="Century"/>
          <w:sz w:val="24"/>
          <w:szCs w:val="24"/>
        </w:rPr>
        <w:t>egislation</w:t>
      </w:r>
      <w:r>
        <w:rPr>
          <w:rStyle w:val="sb8d990e2"/>
          <w:rFonts w:ascii="Century" w:hAnsi="Century"/>
          <w:sz w:val="24"/>
          <w:szCs w:val="24"/>
        </w:rPr>
        <w:t xml:space="preserve"> accessible. This dissertation was built on Lord Bingham’s </w:t>
      </w:r>
      <w:r w:rsidR="00A45EB1">
        <w:rPr>
          <w:rStyle w:val="sb8d990e2"/>
          <w:rFonts w:ascii="Century" w:hAnsi="Century"/>
          <w:sz w:val="24"/>
          <w:szCs w:val="24"/>
        </w:rPr>
        <w:t xml:space="preserve">first principle of the rule of law, </w:t>
      </w:r>
      <w:r>
        <w:rPr>
          <w:rStyle w:val="sb8d990e2"/>
          <w:rFonts w:ascii="Century" w:hAnsi="Century"/>
          <w:sz w:val="24"/>
          <w:szCs w:val="24"/>
        </w:rPr>
        <w:t xml:space="preserve">namely that </w:t>
      </w:r>
      <w:r w:rsidR="00A45EB1">
        <w:rPr>
          <w:rStyle w:val="sb8d990e2"/>
          <w:rFonts w:ascii="Century" w:hAnsi="Century"/>
          <w:sz w:val="24"/>
          <w:szCs w:val="24"/>
        </w:rPr>
        <w:t>‘</w:t>
      </w:r>
      <w:r w:rsidR="00C43093">
        <w:rPr>
          <w:rStyle w:val="sb8d990e2"/>
          <w:rFonts w:ascii="Century" w:hAnsi="Century"/>
          <w:sz w:val="24"/>
          <w:szCs w:val="24"/>
        </w:rPr>
        <w:t>the law must</w:t>
      </w:r>
      <w:r>
        <w:rPr>
          <w:rStyle w:val="sb8d990e2"/>
          <w:rFonts w:ascii="Century" w:hAnsi="Century"/>
          <w:sz w:val="24"/>
          <w:szCs w:val="24"/>
        </w:rPr>
        <w:t xml:space="preserve"> be</w:t>
      </w:r>
      <w:r w:rsidR="00A45EB1">
        <w:rPr>
          <w:rStyle w:val="sb8d990e2"/>
          <w:rFonts w:ascii="Century" w:hAnsi="Century"/>
          <w:sz w:val="24"/>
          <w:szCs w:val="24"/>
        </w:rPr>
        <w:t xml:space="preserve"> accessible and so far as</w:t>
      </w:r>
      <w:r>
        <w:rPr>
          <w:rStyle w:val="sb8d990e2"/>
          <w:rFonts w:ascii="Century" w:hAnsi="Century"/>
          <w:sz w:val="24"/>
          <w:szCs w:val="24"/>
        </w:rPr>
        <w:t xml:space="preserve"> </w:t>
      </w:r>
      <w:r w:rsidR="00AA21BE">
        <w:rPr>
          <w:rStyle w:val="sb8d990e2"/>
          <w:rFonts w:ascii="Century" w:hAnsi="Century"/>
          <w:sz w:val="24"/>
          <w:szCs w:val="24"/>
        </w:rPr>
        <w:t xml:space="preserve">possible </w:t>
      </w:r>
      <w:r>
        <w:rPr>
          <w:rStyle w:val="sb8d990e2"/>
          <w:rFonts w:ascii="Century" w:hAnsi="Century"/>
          <w:sz w:val="24"/>
          <w:szCs w:val="24"/>
        </w:rPr>
        <w:t>intelligible, clear and predictable</w:t>
      </w:r>
      <w:r w:rsidR="00A45EB1">
        <w:rPr>
          <w:rStyle w:val="sb8d990e2"/>
          <w:rFonts w:ascii="Century" w:hAnsi="Century"/>
          <w:sz w:val="24"/>
          <w:szCs w:val="24"/>
        </w:rPr>
        <w:t>’</w:t>
      </w:r>
      <w:r>
        <w:rPr>
          <w:rStyle w:val="sb8d990e2"/>
          <w:rFonts w:ascii="Century" w:hAnsi="Century"/>
          <w:sz w:val="24"/>
          <w:szCs w:val="24"/>
        </w:rPr>
        <w:t>.</w:t>
      </w:r>
      <w:r w:rsidR="004E104F">
        <w:rPr>
          <w:rStyle w:val="FootnoteReference"/>
          <w:rFonts w:ascii="Century" w:hAnsi="Century"/>
          <w:sz w:val="24"/>
          <w:szCs w:val="24"/>
        </w:rPr>
        <w:footnoteReference w:id="307"/>
      </w:r>
      <w:r w:rsidR="00C43093">
        <w:rPr>
          <w:rStyle w:val="sb8d990e2"/>
          <w:rFonts w:ascii="Century" w:hAnsi="Century"/>
          <w:sz w:val="24"/>
          <w:szCs w:val="24"/>
        </w:rPr>
        <w:t xml:space="preserve"> </w:t>
      </w:r>
      <w:r>
        <w:rPr>
          <w:rStyle w:val="sb8d990e2"/>
          <w:rFonts w:ascii="Century" w:hAnsi="Century"/>
          <w:sz w:val="24"/>
          <w:szCs w:val="24"/>
        </w:rPr>
        <w:t>The method</w:t>
      </w:r>
      <w:r w:rsidR="00A45EB1">
        <w:rPr>
          <w:rStyle w:val="sb8d990e2"/>
          <w:rFonts w:ascii="Century" w:hAnsi="Century"/>
          <w:sz w:val="24"/>
          <w:szCs w:val="24"/>
        </w:rPr>
        <w:t>ology</w:t>
      </w:r>
      <w:r>
        <w:rPr>
          <w:rStyle w:val="sb8d990e2"/>
          <w:rFonts w:ascii="Century" w:hAnsi="Century"/>
          <w:sz w:val="24"/>
          <w:szCs w:val="24"/>
        </w:rPr>
        <w:t xml:space="preserve"> used was Thornton’s five stages of drafting. </w:t>
      </w:r>
      <w:r w:rsidR="00A45EB1">
        <w:rPr>
          <w:rStyle w:val="sb8d990e2"/>
          <w:rFonts w:ascii="Century" w:hAnsi="Century"/>
          <w:sz w:val="24"/>
          <w:szCs w:val="24"/>
        </w:rPr>
        <w:t>The research has proven</w:t>
      </w:r>
      <w:r w:rsidR="008A7F89">
        <w:rPr>
          <w:rStyle w:val="sb8d990e2"/>
          <w:rFonts w:ascii="Century" w:hAnsi="Century"/>
          <w:sz w:val="24"/>
          <w:szCs w:val="24"/>
        </w:rPr>
        <w:t xml:space="preserve"> that </w:t>
      </w:r>
      <w:r w:rsidR="00A45EB1">
        <w:rPr>
          <w:rStyle w:val="sb8d990e2"/>
          <w:rFonts w:ascii="Century" w:hAnsi="Century"/>
          <w:sz w:val="24"/>
          <w:szCs w:val="24"/>
        </w:rPr>
        <w:t>drafter</w:t>
      </w:r>
      <w:r w:rsidR="00C36A2C">
        <w:rPr>
          <w:rStyle w:val="sb8d990e2"/>
          <w:rFonts w:ascii="Century" w:hAnsi="Century"/>
          <w:sz w:val="24"/>
          <w:szCs w:val="24"/>
        </w:rPr>
        <w:t>s contribute to accessibility of legislation</w:t>
      </w:r>
      <w:r w:rsidR="00A45EB1">
        <w:rPr>
          <w:rStyle w:val="sb8d990e2"/>
          <w:rFonts w:ascii="Century" w:hAnsi="Century"/>
          <w:sz w:val="24"/>
          <w:szCs w:val="24"/>
        </w:rPr>
        <w:t xml:space="preserve"> from the moment that they receive their instructions and it continues even after the bill has been drafted. </w:t>
      </w:r>
      <w:r w:rsidR="005730D3">
        <w:rPr>
          <w:rStyle w:val="sb8d990e2"/>
          <w:rFonts w:ascii="Century" w:hAnsi="Century"/>
          <w:sz w:val="24"/>
          <w:szCs w:val="24"/>
        </w:rPr>
        <w:t>Contributing to</w:t>
      </w:r>
      <w:r w:rsidR="00A45EB1">
        <w:rPr>
          <w:rStyle w:val="sb8d990e2"/>
          <w:rFonts w:ascii="Century" w:hAnsi="Century"/>
          <w:sz w:val="24"/>
          <w:szCs w:val="24"/>
        </w:rPr>
        <w:t xml:space="preserve"> the rule of law requires the drafter to build a solid foundation before the legislation is prepared. Drafters must have a comprehensive understanding of th</w:t>
      </w:r>
      <w:r w:rsidR="0057760A">
        <w:rPr>
          <w:rStyle w:val="sb8d990e2"/>
          <w:rFonts w:ascii="Century" w:hAnsi="Century"/>
          <w:sz w:val="24"/>
          <w:szCs w:val="24"/>
        </w:rPr>
        <w:t>e proposal, thoroughly analyse</w:t>
      </w:r>
      <w:r w:rsidR="00A45EB1">
        <w:rPr>
          <w:rStyle w:val="sb8d990e2"/>
          <w:rFonts w:ascii="Century" w:hAnsi="Century"/>
          <w:sz w:val="24"/>
          <w:szCs w:val="24"/>
        </w:rPr>
        <w:t xml:space="preserve"> the proposal and design</w:t>
      </w:r>
      <w:r w:rsidR="000A39A6">
        <w:rPr>
          <w:rStyle w:val="sb8d990e2"/>
          <w:rFonts w:ascii="Century" w:hAnsi="Century"/>
          <w:sz w:val="24"/>
          <w:szCs w:val="24"/>
        </w:rPr>
        <w:t xml:space="preserve"> </w:t>
      </w:r>
      <w:r w:rsidR="00A45EB1">
        <w:rPr>
          <w:rStyle w:val="sb8d990e2"/>
          <w:rFonts w:ascii="Century" w:hAnsi="Century"/>
          <w:sz w:val="24"/>
          <w:szCs w:val="24"/>
        </w:rPr>
        <w:t xml:space="preserve">an appropriate structure </w:t>
      </w:r>
      <w:r w:rsidR="00E5581C">
        <w:rPr>
          <w:rStyle w:val="sb8d990e2"/>
          <w:rFonts w:ascii="Century" w:hAnsi="Century"/>
          <w:sz w:val="24"/>
          <w:szCs w:val="24"/>
        </w:rPr>
        <w:t>that carries</w:t>
      </w:r>
      <w:r w:rsidR="00A45EB1">
        <w:rPr>
          <w:rStyle w:val="sb8d990e2"/>
          <w:rFonts w:ascii="Century" w:hAnsi="Century"/>
          <w:sz w:val="24"/>
          <w:szCs w:val="24"/>
        </w:rPr>
        <w:t xml:space="preserve"> the regulatory message. It is only until the proper foundation is in place then drafter</w:t>
      </w:r>
      <w:r w:rsidR="00E5581C">
        <w:rPr>
          <w:rStyle w:val="sb8d990e2"/>
          <w:rFonts w:ascii="Century" w:hAnsi="Century"/>
          <w:sz w:val="24"/>
          <w:szCs w:val="24"/>
        </w:rPr>
        <w:t>s are</w:t>
      </w:r>
      <w:r w:rsidR="00A45EB1">
        <w:rPr>
          <w:rStyle w:val="sb8d990e2"/>
          <w:rFonts w:ascii="Century" w:hAnsi="Century"/>
          <w:sz w:val="24"/>
          <w:szCs w:val="24"/>
        </w:rPr>
        <w:t xml:space="preserve"> equipped to compose and develop the law. Here drafter</w:t>
      </w:r>
      <w:r w:rsidR="00E5581C">
        <w:rPr>
          <w:rStyle w:val="sb8d990e2"/>
          <w:rFonts w:ascii="Century" w:hAnsi="Century"/>
          <w:sz w:val="24"/>
          <w:szCs w:val="24"/>
        </w:rPr>
        <w:t>s</w:t>
      </w:r>
      <w:r w:rsidR="00A45EB1">
        <w:rPr>
          <w:rStyle w:val="sb8d990e2"/>
          <w:rFonts w:ascii="Century" w:hAnsi="Century"/>
          <w:sz w:val="24"/>
          <w:szCs w:val="24"/>
        </w:rPr>
        <w:t xml:space="preserve"> must chose to pursue clarity, precision and unambiguity. Finally, after the draft is complete</w:t>
      </w:r>
      <w:r w:rsidR="002B6DF0">
        <w:rPr>
          <w:rStyle w:val="sb8d990e2"/>
          <w:rFonts w:ascii="Century" w:hAnsi="Century"/>
          <w:sz w:val="24"/>
          <w:szCs w:val="24"/>
        </w:rPr>
        <w:t>d</w:t>
      </w:r>
      <w:r w:rsidR="00A45EB1">
        <w:rPr>
          <w:rStyle w:val="sb8d990e2"/>
          <w:rFonts w:ascii="Century" w:hAnsi="Century"/>
          <w:sz w:val="24"/>
          <w:szCs w:val="24"/>
        </w:rPr>
        <w:t xml:space="preserve"> drafter</w:t>
      </w:r>
      <w:r w:rsidR="00E5581C">
        <w:rPr>
          <w:rStyle w:val="sb8d990e2"/>
          <w:rFonts w:ascii="Century" w:hAnsi="Century"/>
          <w:sz w:val="24"/>
          <w:szCs w:val="24"/>
        </w:rPr>
        <w:t>s</w:t>
      </w:r>
      <w:r w:rsidR="00A45EB1">
        <w:rPr>
          <w:rStyle w:val="sb8d990e2"/>
          <w:rFonts w:ascii="Century" w:hAnsi="Century"/>
          <w:sz w:val="24"/>
          <w:szCs w:val="24"/>
        </w:rPr>
        <w:t xml:space="preserve"> must now revise all the work done to ensure </w:t>
      </w:r>
      <w:r w:rsidR="00E5581C">
        <w:rPr>
          <w:rStyle w:val="sb8d990e2"/>
          <w:rFonts w:ascii="Century" w:hAnsi="Century"/>
          <w:sz w:val="24"/>
          <w:szCs w:val="24"/>
        </w:rPr>
        <w:t>that the legislation will be effective</w:t>
      </w:r>
      <w:r w:rsidR="00A45EB1">
        <w:rPr>
          <w:rStyle w:val="sb8d990e2"/>
          <w:rFonts w:ascii="Century" w:hAnsi="Century"/>
          <w:sz w:val="24"/>
          <w:szCs w:val="24"/>
        </w:rPr>
        <w:t>.</w:t>
      </w:r>
      <w:r w:rsidR="00C36A2C">
        <w:rPr>
          <w:rStyle w:val="sb8d990e2"/>
          <w:rFonts w:ascii="Century" w:hAnsi="Century"/>
          <w:sz w:val="24"/>
          <w:szCs w:val="24"/>
        </w:rPr>
        <w:t xml:space="preserve"> </w:t>
      </w:r>
    </w:p>
    <w:p w:rsidR="00A45EB1" w:rsidRDefault="00A45EB1" w:rsidP="00DB721F">
      <w:pPr>
        <w:spacing w:line="360" w:lineRule="auto"/>
        <w:jc w:val="both"/>
        <w:rPr>
          <w:rStyle w:val="sb8d990e2"/>
          <w:rFonts w:ascii="Century" w:hAnsi="Century"/>
          <w:sz w:val="24"/>
          <w:szCs w:val="24"/>
        </w:rPr>
      </w:pPr>
    </w:p>
    <w:p w:rsidR="00DF4BFF" w:rsidRDefault="003621DA" w:rsidP="00DB721F">
      <w:pPr>
        <w:spacing w:line="360" w:lineRule="auto"/>
        <w:jc w:val="both"/>
        <w:rPr>
          <w:rStyle w:val="sb8d990e2"/>
          <w:rFonts w:ascii="Century" w:hAnsi="Century"/>
          <w:sz w:val="24"/>
          <w:szCs w:val="24"/>
        </w:rPr>
      </w:pPr>
      <w:r>
        <w:rPr>
          <w:rStyle w:val="sb8d990e2"/>
          <w:rFonts w:ascii="Century" w:hAnsi="Century"/>
          <w:sz w:val="24"/>
          <w:szCs w:val="24"/>
        </w:rPr>
        <w:t>Critically examining the contribution of drafter</w:t>
      </w:r>
      <w:r w:rsidR="00E5581C">
        <w:rPr>
          <w:rStyle w:val="sb8d990e2"/>
          <w:rFonts w:ascii="Century" w:hAnsi="Century"/>
          <w:sz w:val="24"/>
          <w:szCs w:val="24"/>
        </w:rPr>
        <w:t>s</w:t>
      </w:r>
      <w:r>
        <w:rPr>
          <w:rStyle w:val="sb8d990e2"/>
          <w:rFonts w:ascii="Century" w:hAnsi="Century"/>
          <w:sz w:val="24"/>
          <w:szCs w:val="24"/>
        </w:rPr>
        <w:t xml:space="preserve"> </w:t>
      </w:r>
      <w:r w:rsidR="006F5241">
        <w:rPr>
          <w:rStyle w:val="sb8d990e2"/>
          <w:rFonts w:ascii="Century" w:hAnsi="Century"/>
          <w:sz w:val="24"/>
          <w:szCs w:val="24"/>
        </w:rPr>
        <w:t>in</w:t>
      </w:r>
      <w:r>
        <w:rPr>
          <w:rStyle w:val="sb8d990e2"/>
          <w:rFonts w:ascii="Century" w:hAnsi="Century"/>
          <w:sz w:val="24"/>
          <w:szCs w:val="24"/>
        </w:rPr>
        <w:t xml:space="preserve"> making laws </w:t>
      </w:r>
      <w:r w:rsidR="006F5241">
        <w:rPr>
          <w:rStyle w:val="sb8d990e2"/>
          <w:rFonts w:ascii="Century" w:hAnsi="Century"/>
          <w:sz w:val="24"/>
          <w:szCs w:val="24"/>
        </w:rPr>
        <w:t>accessible</w:t>
      </w:r>
      <w:r w:rsidR="005E3F6F">
        <w:rPr>
          <w:rStyle w:val="sb8d990e2"/>
          <w:rFonts w:ascii="Century" w:hAnsi="Century"/>
          <w:sz w:val="24"/>
          <w:szCs w:val="24"/>
        </w:rPr>
        <w:t xml:space="preserve"> </w:t>
      </w:r>
      <w:r w:rsidR="006F5241">
        <w:rPr>
          <w:rStyle w:val="sb8d990e2"/>
          <w:rFonts w:ascii="Century" w:hAnsi="Century"/>
          <w:sz w:val="24"/>
          <w:szCs w:val="24"/>
        </w:rPr>
        <w:t>has</w:t>
      </w:r>
      <w:r>
        <w:rPr>
          <w:rStyle w:val="sb8d990e2"/>
          <w:rFonts w:ascii="Century" w:hAnsi="Century"/>
          <w:sz w:val="24"/>
          <w:szCs w:val="24"/>
        </w:rPr>
        <w:t xml:space="preserve"> </w:t>
      </w:r>
      <w:r w:rsidR="005E3F6F">
        <w:rPr>
          <w:rStyle w:val="sb8d990e2"/>
          <w:rFonts w:ascii="Century" w:hAnsi="Century"/>
          <w:sz w:val="24"/>
          <w:szCs w:val="24"/>
        </w:rPr>
        <w:t>highligh</w:t>
      </w:r>
      <w:r w:rsidR="006F5241">
        <w:rPr>
          <w:rStyle w:val="sb8d990e2"/>
          <w:rFonts w:ascii="Century" w:hAnsi="Century"/>
          <w:sz w:val="24"/>
          <w:szCs w:val="24"/>
        </w:rPr>
        <w:t>ted</w:t>
      </w:r>
      <w:r w:rsidR="005D7B0C">
        <w:rPr>
          <w:rStyle w:val="sb8d990e2"/>
          <w:rFonts w:ascii="Century" w:hAnsi="Century"/>
          <w:sz w:val="24"/>
          <w:szCs w:val="24"/>
        </w:rPr>
        <w:t xml:space="preserve"> the </w:t>
      </w:r>
      <w:r w:rsidR="001E5FAF">
        <w:rPr>
          <w:rStyle w:val="sb8d990e2"/>
          <w:rFonts w:ascii="Century" w:hAnsi="Century"/>
          <w:sz w:val="24"/>
          <w:szCs w:val="24"/>
        </w:rPr>
        <w:t>importance</w:t>
      </w:r>
      <w:r w:rsidR="005D4C8A">
        <w:rPr>
          <w:rStyle w:val="sb8d990e2"/>
          <w:rFonts w:ascii="Century" w:hAnsi="Century"/>
          <w:sz w:val="24"/>
          <w:szCs w:val="24"/>
        </w:rPr>
        <w:t xml:space="preserve"> of</w:t>
      </w:r>
      <w:r w:rsidR="001E5FAF">
        <w:rPr>
          <w:rStyle w:val="sb8d990e2"/>
          <w:rFonts w:ascii="Century" w:hAnsi="Century"/>
          <w:sz w:val="24"/>
          <w:szCs w:val="24"/>
        </w:rPr>
        <w:t xml:space="preserve"> the </w:t>
      </w:r>
      <w:r w:rsidR="005D7B0C">
        <w:rPr>
          <w:rStyle w:val="sb8d990e2"/>
          <w:rFonts w:ascii="Century" w:hAnsi="Century"/>
          <w:sz w:val="24"/>
          <w:szCs w:val="24"/>
        </w:rPr>
        <w:t>audience</w:t>
      </w:r>
      <w:r w:rsidR="001E5FAF">
        <w:rPr>
          <w:rStyle w:val="sb8d990e2"/>
          <w:rFonts w:ascii="Century" w:hAnsi="Century"/>
          <w:sz w:val="24"/>
          <w:szCs w:val="24"/>
        </w:rPr>
        <w:t xml:space="preserve"> of the legislation</w:t>
      </w:r>
      <w:r w:rsidR="005D7B0C">
        <w:rPr>
          <w:rStyle w:val="sb8d990e2"/>
          <w:rFonts w:ascii="Century" w:hAnsi="Century"/>
          <w:sz w:val="24"/>
          <w:szCs w:val="24"/>
        </w:rPr>
        <w:t xml:space="preserve">. </w:t>
      </w:r>
      <w:r w:rsidR="00CD5D3E">
        <w:rPr>
          <w:rStyle w:val="sb8d990e2"/>
          <w:rFonts w:ascii="Century" w:hAnsi="Century"/>
          <w:sz w:val="24"/>
          <w:szCs w:val="24"/>
        </w:rPr>
        <w:t xml:space="preserve">The analysis of the audience has </w:t>
      </w:r>
      <w:r w:rsidR="007E3B86">
        <w:rPr>
          <w:rStyle w:val="sb8d990e2"/>
          <w:rFonts w:ascii="Century" w:hAnsi="Century"/>
          <w:sz w:val="24"/>
          <w:szCs w:val="24"/>
        </w:rPr>
        <w:t>proved</w:t>
      </w:r>
      <w:r w:rsidR="009F60CA">
        <w:rPr>
          <w:rStyle w:val="sb8d990e2"/>
          <w:rFonts w:ascii="Century" w:hAnsi="Century"/>
          <w:sz w:val="24"/>
          <w:szCs w:val="24"/>
        </w:rPr>
        <w:t xml:space="preserve"> to be the defining point in accessibility</w:t>
      </w:r>
      <w:r w:rsidR="00CD5D3E">
        <w:rPr>
          <w:rStyle w:val="sb8d990e2"/>
          <w:rFonts w:ascii="Century" w:hAnsi="Century"/>
          <w:sz w:val="24"/>
          <w:szCs w:val="24"/>
        </w:rPr>
        <w:t xml:space="preserve"> </w:t>
      </w:r>
      <w:r w:rsidR="00890166">
        <w:rPr>
          <w:rStyle w:val="sb8d990e2"/>
          <w:rFonts w:ascii="Century" w:hAnsi="Century"/>
          <w:sz w:val="24"/>
          <w:szCs w:val="24"/>
        </w:rPr>
        <w:t>because</w:t>
      </w:r>
      <w:r w:rsidR="005D4C8A">
        <w:rPr>
          <w:rStyle w:val="sb8d990e2"/>
          <w:rFonts w:ascii="Century" w:hAnsi="Century"/>
          <w:sz w:val="24"/>
          <w:szCs w:val="24"/>
        </w:rPr>
        <w:t>,</w:t>
      </w:r>
      <w:r w:rsidR="00890166">
        <w:rPr>
          <w:rStyle w:val="sb8d990e2"/>
          <w:rFonts w:ascii="Century" w:hAnsi="Century"/>
          <w:sz w:val="24"/>
          <w:szCs w:val="24"/>
        </w:rPr>
        <w:t xml:space="preserve"> when designing the law</w:t>
      </w:r>
      <w:r w:rsidR="005D4C8A">
        <w:rPr>
          <w:rStyle w:val="sb8d990e2"/>
          <w:rFonts w:ascii="Century" w:hAnsi="Century"/>
          <w:sz w:val="24"/>
          <w:szCs w:val="24"/>
        </w:rPr>
        <w:t>,</w:t>
      </w:r>
      <w:r w:rsidR="00CD5D3E">
        <w:rPr>
          <w:rStyle w:val="sb8d990e2"/>
          <w:rFonts w:ascii="Century" w:hAnsi="Century"/>
          <w:sz w:val="24"/>
          <w:szCs w:val="24"/>
        </w:rPr>
        <w:t xml:space="preserve"> the drafter must consider </w:t>
      </w:r>
      <w:r w:rsidR="00890166">
        <w:rPr>
          <w:rStyle w:val="sb8d990e2"/>
          <w:rFonts w:ascii="Century" w:hAnsi="Century"/>
          <w:sz w:val="24"/>
          <w:szCs w:val="24"/>
        </w:rPr>
        <w:t>how to arrange</w:t>
      </w:r>
      <w:r w:rsidR="00CD5D3E">
        <w:rPr>
          <w:rStyle w:val="sb8d990e2"/>
          <w:rFonts w:ascii="Century" w:hAnsi="Century"/>
          <w:sz w:val="24"/>
          <w:szCs w:val="24"/>
        </w:rPr>
        <w:t xml:space="preserve"> the structure of the legislation in a manner </w:t>
      </w:r>
      <w:r w:rsidR="00D869B4">
        <w:rPr>
          <w:rStyle w:val="sb8d990e2"/>
          <w:rFonts w:ascii="Century" w:hAnsi="Century"/>
          <w:sz w:val="24"/>
          <w:szCs w:val="24"/>
        </w:rPr>
        <w:t xml:space="preserve">that the </w:t>
      </w:r>
      <w:r>
        <w:rPr>
          <w:rStyle w:val="sb8d990e2"/>
          <w:rFonts w:ascii="Century" w:hAnsi="Century"/>
          <w:sz w:val="24"/>
          <w:szCs w:val="24"/>
        </w:rPr>
        <w:t>regulatory message is given prominence and facilitates navigation</w:t>
      </w:r>
      <w:r w:rsidR="00D869B4">
        <w:rPr>
          <w:rStyle w:val="sb8d990e2"/>
          <w:rFonts w:ascii="Century" w:hAnsi="Century"/>
          <w:sz w:val="24"/>
          <w:szCs w:val="24"/>
        </w:rPr>
        <w:t xml:space="preserve"> with ease</w:t>
      </w:r>
      <w:r w:rsidR="00890166">
        <w:rPr>
          <w:rStyle w:val="sb8d990e2"/>
          <w:rFonts w:ascii="Century" w:hAnsi="Century"/>
          <w:sz w:val="24"/>
          <w:szCs w:val="24"/>
        </w:rPr>
        <w:t>.</w:t>
      </w:r>
      <w:r w:rsidR="00BB414E">
        <w:rPr>
          <w:rStyle w:val="sb8d990e2"/>
          <w:rFonts w:ascii="Century" w:hAnsi="Century"/>
          <w:sz w:val="24"/>
          <w:szCs w:val="24"/>
        </w:rPr>
        <w:t xml:space="preserve"> </w:t>
      </w:r>
      <w:r w:rsidR="00DE01D6">
        <w:rPr>
          <w:rStyle w:val="sb8d990e2"/>
          <w:rFonts w:ascii="Century" w:hAnsi="Century"/>
          <w:sz w:val="24"/>
          <w:szCs w:val="24"/>
        </w:rPr>
        <w:t xml:space="preserve">When it comes to </w:t>
      </w:r>
      <w:r w:rsidR="00890166">
        <w:rPr>
          <w:rStyle w:val="sb8d990e2"/>
          <w:rFonts w:ascii="Century" w:hAnsi="Century"/>
          <w:sz w:val="24"/>
          <w:szCs w:val="24"/>
        </w:rPr>
        <w:lastRenderedPageBreak/>
        <w:t>composing and developing the bill</w:t>
      </w:r>
      <w:r w:rsidR="00DE01D6">
        <w:rPr>
          <w:rStyle w:val="sb8d990e2"/>
          <w:rFonts w:ascii="Century" w:hAnsi="Century"/>
          <w:sz w:val="24"/>
          <w:szCs w:val="24"/>
        </w:rPr>
        <w:t xml:space="preserve">, </w:t>
      </w:r>
      <w:r w:rsidR="009A52DD">
        <w:rPr>
          <w:rStyle w:val="sb8d990e2"/>
          <w:rFonts w:ascii="Century" w:hAnsi="Century"/>
          <w:sz w:val="24"/>
          <w:szCs w:val="24"/>
        </w:rPr>
        <w:t xml:space="preserve">the audience continues to be the focus. The techniques of clarity, precision and unambiguity </w:t>
      </w:r>
      <w:r w:rsidR="00890166">
        <w:rPr>
          <w:rStyle w:val="sb8d990e2"/>
          <w:rFonts w:ascii="Century" w:hAnsi="Century"/>
          <w:sz w:val="24"/>
          <w:szCs w:val="24"/>
        </w:rPr>
        <w:t xml:space="preserve">are </w:t>
      </w:r>
      <w:r w:rsidR="009A52DD">
        <w:rPr>
          <w:rStyle w:val="sb8d990e2"/>
          <w:rFonts w:ascii="Century" w:hAnsi="Century"/>
          <w:sz w:val="24"/>
          <w:szCs w:val="24"/>
        </w:rPr>
        <w:t>used to make the law comprehensible and p</w:t>
      </w:r>
      <w:r w:rsidR="00890166">
        <w:rPr>
          <w:rStyle w:val="sb8d990e2"/>
          <w:rFonts w:ascii="Century" w:hAnsi="Century"/>
          <w:sz w:val="24"/>
          <w:szCs w:val="24"/>
        </w:rPr>
        <w:t>redictable for the audience</w:t>
      </w:r>
      <w:r w:rsidR="009A52DD">
        <w:rPr>
          <w:rStyle w:val="sb8d990e2"/>
          <w:rFonts w:ascii="Century" w:hAnsi="Century"/>
          <w:sz w:val="24"/>
          <w:szCs w:val="24"/>
        </w:rPr>
        <w:t xml:space="preserve"> of the legislation. </w:t>
      </w:r>
      <w:r w:rsidR="00890166">
        <w:rPr>
          <w:rStyle w:val="sb8d990e2"/>
          <w:rFonts w:ascii="Century" w:hAnsi="Century"/>
          <w:sz w:val="24"/>
          <w:szCs w:val="24"/>
        </w:rPr>
        <w:t>Additionally, i</w:t>
      </w:r>
      <w:r w:rsidR="009A52DD">
        <w:rPr>
          <w:rStyle w:val="sb8d990e2"/>
          <w:rFonts w:ascii="Century" w:hAnsi="Century"/>
          <w:sz w:val="24"/>
          <w:szCs w:val="24"/>
        </w:rPr>
        <w:t>t is the audience that makes the use of plain language and gender</w:t>
      </w:r>
      <w:r w:rsidR="00087F18">
        <w:rPr>
          <w:rStyle w:val="sb8d990e2"/>
          <w:rFonts w:ascii="Century" w:hAnsi="Century"/>
          <w:sz w:val="24"/>
          <w:szCs w:val="24"/>
        </w:rPr>
        <w:t>-</w:t>
      </w:r>
      <w:r w:rsidR="009A52DD">
        <w:rPr>
          <w:rStyle w:val="sb8d990e2"/>
          <w:rFonts w:ascii="Century" w:hAnsi="Century"/>
          <w:sz w:val="24"/>
          <w:szCs w:val="24"/>
        </w:rPr>
        <w:t xml:space="preserve"> neutral language relevant. </w:t>
      </w:r>
      <w:r w:rsidR="00861C3D">
        <w:rPr>
          <w:rStyle w:val="sb8d990e2"/>
          <w:rFonts w:ascii="Century" w:hAnsi="Century"/>
          <w:sz w:val="24"/>
          <w:szCs w:val="24"/>
        </w:rPr>
        <w:t>The final stage, scrutiny and testing</w:t>
      </w:r>
      <w:r w:rsidR="008568F6">
        <w:rPr>
          <w:rStyle w:val="sb8d990e2"/>
          <w:rFonts w:ascii="Century" w:hAnsi="Century"/>
          <w:sz w:val="24"/>
          <w:szCs w:val="24"/>
        </w:rPr>
        <w:t xml:space="preserve">, shows that the drafter’s </w:t>
      </w:r>
      <w:r w:rsidR="007B0B90">
        <w:rPr>
          <w:rStyle w:val="sb8d990e2"/>
          <w:rFonts w:ascii="Century" w:hAnsi="Century"/>
          <w:sz w:val="24"/>
          <w:szCs w:val="24"/>
        </w:rPr>
        <w:t xml:space="preserve">consideration of the audience </w:t>
      </w:r>
      <w:r w:rsidR="006A2D2D">
        <w:rPr>
          <w:rStyle w:val="sb8d990e2"/>
          <w:rFonts w:ascii="Century" w:hAnsi="Century"/>
          <w:sz w:val="24"/>
          <w:szCs w:val="24"/>
        </w:rPr>
        <w:t>continues with</w:t>
      </w:r>
      <w:r w:rsidR="008568F6">
        <w:rPr>
          <w:rStyle w:val="sb8d990e2"/>
          <w:rFonts w:ascii="Century" w:hAnsi="Century"/>
          <w:sz w:val="24"/>
          <w:szCs w:val="24"/>
        </w:rPr>
        <w:t xml:space="preserve"> </w:t>
      </w:r>
      <w:r w:rsidR="00C02CC4">
        <w:rPr>
          <w:rStyle w:val="sb8d990e2"/>
          <w:rFonts w:ascii="Century" w:hAnsi="Century"/>
          <w:sz w:val="24"/>
          <w:szCs w:val="24"/>
        </w:rPr>
        <w:t xml:space="preserve">the drafter </w:t>
      </w:r>
      <w:r w:rsidR="006A2D2D">
        <w:rPr>
          <w:rStyle w:val="sb8d990e2"/>
          <w:rFonts w:ascii="Century" w:hAnsi="Century"/>
          <w:sz w:val="24"/>
          <w:szCs w:val="24"/>
        </w:rPr>
        <w:t>ensuring that</w:t>
      </w:r>
      <w:r w:rsidR="00C02CC4">
        <w:rPr>
          <w:rStyle w:val="sb8d990e2"/>
          <w:rFonts w:ascii="Century" w:hAnsi="Century"/>
          <w:sz w:val="24"/>
          <w:szCs w:val="24"/>
        </w:rPr>
        <w:t xml:space="preserve"> the choices made are appropriate to ensure comprehensibility for the audience</w:t>
      </w:r>
      <w:r w:rsidR="008568F6">
        <w:rPr>
          <w:rStyle w:val="sb8d990e2"/>
          <w:rFonts w:ascii="Century" w:hAnsi="Century"/>
          <w:sz w:val="24"/>
          <w:szCs w:val="24"/>
        </w:rPr>
        <w:t xml:space="preserve">. </w:t>
      </w:r>
    </w:p>
    <w:p w:rsidR="00F40292" w:rsidRDefault="00F40292" w:rsidP="007B52C1">
      <w:pPr>
        <w:spacing w:line="360" w:lineRule="auto"/>
        <w:jc w:val="both"/>
        <w:rPr>
          <w:rStyle w:val="sb8d990e2"/>
          <w:rFonts w:ascii="Century" w:hAnsi="Century"/>
          <w:sz w:val="24"/>
          <w:szCs w:val="24"/>
        </w:rPr>
      </w:pPr>
    </w:p>
    <w:p w:rsidR="007B52C1" w:rsidRDefault="006A2D2D" w:rsidP="007B52C1">
      <w:pPr>
        <w:spacing w:line="360" w:lineRule="auto"/>
        <w:jc w:val="both"/>
        <w:rPr>
          <w:rStyle w:val="sb8d990e2"/>
          <w:rFonts w:ascii="Century" w:hAnsi="Century"/>
          <w:sz w:val="24"/>
          <w:szCs w:val="24"/>
        </w:rPr>
      </w:pPr>
      <w:r>
        <w:rPr>
          <w:rStyle w:val="sb8d990e2"/>
          <w:rFonts w:ascii="Century" w:hAnsi="Century"/>
          <w:sz w:val="24"/>
          <w:szCs w:val="24"/>
        </w:rPr>
        <w:t xml:space="preserve">Drafting legislation with the audience in mind </w:t>
      </w:r>
      <w:r w:rsidR="00295F87">
        <w:rPr>
          <w:rStyle w:val="sb8d990e2"/>
          <w:rFonts w:ascii="Century" w:hAnsi="Century"/>
          <w:sz w:val="24"/>
          <w:szCs w:val="24"/>
        </w:rPr>
        <w:t xml:space="preserve">is not an easy task. </w:t>
      </w:r>
      <w:r w:rsidR="001F6AE6">
        <w:rPr>
          <w:rStyle w:val="sb8d990e2"/>
          <w:rFonts w:ascii="Century" w:hAnsi="Century"/>
          <w:sz w:val="24"/>
          <w:szCs w:val="24"/>
        </w:rPr>
        <w:t xml:space="preserve">As </w:t>
      </w:r>
      <w:r w:rsidR="00713F43">
        <w:rPr>
          <w:rStyle w:val="sb8d990e2"/>
          <w:rFonts w:ascii="Century" w:hAnsi="Century"/>
          <w:sz w:val="24"/>
          <w:szCs w:val="24"/>
        </w:rPr>
        <w:t>Sir Stephen Laws has noted</w:t>
      </w:r>
      <w:r w:rsidR="00E03882">
        <w:rPr>
          <w:rStyle w:val="sb8d990e2"/>
          <w:rFonts w:ascii="Century" w:hAnsi="Century"/>
          <w:sz w:val="24"/>
          <w:szCs w:val="24"/>
        </w:rPr>
        <w:t>,</w:t>
      </w:r>
      <w:r w:rsidR="00713F43">
        <w:rPr>
          <w:rStyle w:val="sb8d990e2"/>
          <w:rFonts w:ascii="Century" w:hAnsi="Century"/>
          <w:sz w:val="24"/>
          <w:szCs w:val="24"/>
        </w:rPr>
        <w:t xml:space="preserve"> </w:t>
      </w:r>
      <w:r w:rsidR="001F6AE6">
        <w:rPr>
          <w:rStyle w:val="sb8d990e2"/>
          <w:rFonts w:ascii="Century" w:hAnsi="Century"/>
          <w:sz w:val="24"/>
          <w:szCs w:val="24"/>
        </w:rPr>
        <w:t>drafter</w:t>
      </w:r>
      <w:r w:rsidR="001754EF">
        <w:rPr>
          <w:rStyle w:val="sb8d990e2"/>
          <w:rFonts w:ascii="Century" w:hAnsi="Century"/>
          <w:sz w:val="24"/>
          <w:szCs w:val="24"/>
        </w:rPr>
        <w:t>s have</w:t>
      </w:r>
      <w:r w:rsidR="001F6AE6">
        <w:rPr>
          <w:rStyle w:val="sb8d990e2"/>
          <w:rFonts w:ascii="Century" w:hAnsi="Century"/>
          <w:sz w:val="24"/>
          <w:szCs w:val="24"/>
        </w:rPr>
        <w:t xml:space="preserve"> the daunting task of making the legislation equally accessible to </w:t>
      </w:r>
      <w:r w:rsidR="00E03882">
        <w:rPr>
          <w:rStyle w:val="sb8d990e2"/>
          <w:rFonts w:ascii="Century" w:hAnsi="Century"/>
          <w:sz w:val="24"/>
          <w:szCs w:val="24"/>
        </w:rPr>
        <w:t>its</w:t>
      </w:r>
      <w:r w:rsidR="001F6AE6">
        <w:rPr>
          <w:rStyle w:val="sb8d990e2"/>
          <w:rFonts w:ascii="Century" w:hAnsi="Century"/>
          <w:sz w:val="24"/>
          <w:szCs w:val="24"/>
        </w:rPr>
        <w:t xml:space="preserve"> </w:t>
      </w:r>
      <w:r w:rsidR="00713F43">
        <w:rPr>
          <w:rStyle w:val="sb8d990e2"/>
          <w:rFonts w:ascii="Century" w:hAnsi="Century"/>
          <w:sz w:val="24"/>
          <w:szCs w:val="24"/>
        </w:rPr>
        <w:t>various audiences.</w:t>
      </w:r>
      <w:r w:rsidR="00713F43">
        <w:rPr>
          <w:rStyle w:val="FootnoteReference"/>
          <w:rFonts w:ascii="Century" w:hAnsi="Century"/>
          <w:sz w:val="24"/>
          <w:szCs w:val="24"/>
        </w:rPr>
        <w:footnoteReference w:id="308"/>
      </w:r>
      <w:r w:rsidR="00713F43">
        <w:rPr>
          <w:rStyle w:val="sb8d990e2"/>
          <w:rFonts w:ascii="Century" w:hAnsi="Century"/>
          <w:sz w:val="24"/>
          <w:szCs w:val="24"/>
        </w:rPr>
        <w:t xml:space="preserve"> </w:t>
      </w:r>
      <w:r w:rsidR="00EA4355">
        <w:rPr>
          <w:rStyle w:val="sb8d990e2"/>
          <w:rFonts w:ascii="Century" w:hAnsi="Century"/>
          <w:sz w:val="24"/>
          <w:szCs w:val="24"/>
        </w:rPr>
        <w:t>However</w:t>
      </w:r>
      <w:r w:rsidR="002D6B30">
        <w:rPr>
          <w:rStyle w:val="sb8d990e2"/>
          <w:rFonts w:ascii="Century" w:hAnsi="Century"/>
          <w:sz w:val="24"/>
          <w:szCs w:val="24"/>
        </w:rPr>
        <w:t xml:space="preserve">, </w:t>
      </w:r>
      <w:r w:rsidR="00295F87">
        <w:rPr>
          <w:rStyle w:val="sb8d990e2"/>
          <w:rFonts w:ascii="Century" w:hAnsi="Century"/>
          <w:sz w:val="24"/>
          <w:szCs w:val="24"/>
        </w:rPr>
        <w:t xml:space="preserve">despite the difficulty </w:t>
      </w:r>
      <w:r w:rsidR="005730D3">
        <w:rPr>
          <w:rStyle w:val="sb8d990e2"/>
          <w:rFonts w:ascii="Century" w:hAnsi="Century"/>
          <w:sz w:val="24"/>
          <w:szCs w:val="24"/>
        </w:rPr>
        <w:t>this is what contributing to</w:t>
      </w:r>
      <w:r w:rsidR="002D6B30">
        <w:rPr>
          <w:rStyle w:val="sb8d990e2"/>
          <w:rFonts w:ascii="Century" w:hAnsi="Century"/>
          <w:sz w:val="24"/>
          <w:szCs w:val="24"/>
        </w:rPr>
        <w:t xml:space="preserve"> the rule o</w:t>
      </w:r>
      <w:r w:rsidR="00E5581C">
        <w:rPr>
          <w:rStyle w:val="sb8d990e2"/>
          <w:rFonts w:ascii="Century" w:hAnsi="Century"/>
          <w:sz w:val="24"/>
          <w:szCs w:val="24"/>
        </w:rPr>
        <w:t xml:space="preserve">f law requires from </w:t>
      </w:r>
      <w:r w:rsidR="00295F87">
        <w:rPr>
          <w:rStyle w:val="sb8d990e2"/>
          <w:rFonts w:ascii="Century" w:hAnsi="Century"/>
          <w:sz w:val="24"/>
          <w:szCs w:val="24"/>
        </w:rPr>
        <w:t>drafter</w:t>
      </w:r>
      <w:r w:rsidR="00E5581C">
        <w:rPr>
          <w:rStyle w:val="sb8d990e2"/>
          <w:rFonts w:ascii="Century" w:hAnsi="Century"/>
          <w:sz w:val="24"/>
          <w:szCs w:val="24"/>
        </w:rPr>
        <w:t>s</w:t>
      </w:r>
      <w:r w:rsidR="00295F87">
        <w:rPr>
          <w:rStyle w:val="sb8d990e2"/>
          <w:rFonts w:ascii="Century" w:hAnsi="Century"/>
          <w:sz w:val="24"/>
          <w:szCs w:val="24"/>
        </w:rPr>
        <w:t xml:space="preserve"> as it is the only way to successfully communicate the regulatory message of the law.</w:t>
      </w:r>
      <w:r w:rsidR="002D6B30">
        <w:rPr>
          <w:rStyle w:val="sb8d990e2"/>
          <w:rFonts w:ascii="Century" w:hAnsi="Century"/>
          <w:sz w:val="24"/>
          <w:szCs w:val="24"/>
        </w:rPr>
        <w:t xml:space="preserve"> </w:t>
      </w:r>
      <w:r w:rsidR="00295F87">
        <w:rPr>
          <w:rStyle w:val="sb8d990e2"/>
          <w:rFonts w:ascii="Century" w:hAnsi="Century"/>
          <w:sz w:val="24"/>
          <w:szCs w:val="24"/>
        </w:rPr>
        <w:t>Communicating</w:t>
      </w:r>
      <w:r w:rsidR="00DF4BFF">
        <w:rPr>
          <w:rStyle w:val="sb8d990e2"/>
          <w:rFonts w:ascii="Century" w:hAnsi="Century"/>
          <w:sz w:val="24"/>
          <w:szCs w:val="24"/>
        </w:rPr>
        <w:t xml:space="preserve"> the law </w:t>
      </w:r>
      <w:r w:rsidR="0068668E">
        <w:rPr>
          <w:rStyle w:val="sb8d990e2"/>
          <w:rFonts w:ascii="Century" w:hAnsi="Century"/>
          <w:sz w:val="24"/>
          <w:szCs w:val="24"/>
        </w:rPr>
        <w:t xml:space="preserve">to the various audiences </w:t>
      </w:r>
      <w:r w:rsidR="00DF4BFF">
        <w:rPr>
          <w:rStyle w:val="sb8d990e2"/>
          <w:rFonts w:ascii="Century" w:hAnsi="Century"/>
          <w:sz w:val="24"/>
          <w:szCs w:val="24"/>
        </w:rPr>
        <w:t xml:space="preserve">requires considerable conscientious effort. </w:t>
      </w:r>
      <w:r w:rsidR="007864CF">
        <w:rPr>
          <w:rStyle w:val="sb8d990e2"/>
          <w:rFonts w:ascii="Century" w:hAnsi="Century"/>
          <w:sz w:val="24"/>
          <w:szCs w:val="24"/>
        </w:rPr>
        <w:t>The ch</w:t>
      </w:r>
      <w:r w:rsidR="00295F87">
        <w:rPr>
          <w:rStyle w:val="sb8d990e2"/>
          <w:rFonts w:ascii="Century" w:hAnsi="Century"/>
          <w:sz w:val="24"/>
          <w:szCs w:val="24"/>
        </w:rPr>
        <w:t xml:space="preserve">oices that drafters have to make to ensure accessibility </w:t>
      </w:r>
      <w:r w:rsidR="007864CF">
        <w:rPr>
          <w:rStyle w:val="sb8d990e2"/>
          <w:rFonts w:ascii="Century" w:hAnsi="Century"/>
          <w:sz w:val="24"/>
          <w:szCs w:val="24"/>
        </w:rPr>
        <w:t xml:space="preserve">should not </w:t>
      </w:r>
      <w:r w:rsidR="00295F87">
        <w:rPr>
          <w:rStyle w:val="sb8d990e2"/>
          <w:rFonts w:ascii="Century" w:hAnsi="Century"/>
          <w:sz w:val="24"/>
          <w:szCs w:val="24"/>
        </w:rPr>
        <w:t>depend</w:t>
      </w:r>
      <w:r w:rsidR="007864CF">
        <w:rPr>
          <w:rStyle w:val="sb8d990e2"/>
          <w:rFonts w:ascii="Century" w:hAnsi="Century"/>
          <w:sz w:val="24"/>
          <w:szCs w:val="24"/>
        </w:rPr>
        <w:t xml:space="preserve"> on luck</w:t>
      </w:r>
      <w:r w:rsidR="00295F87">
        <w:rPr>
          <w:rStyle w:val="sb8d990e2"/>
          <w:rFonts w:ascii="Century" w:hAnsi="Century"/>
          <w:sz w:val="24"/>
          <w:szCs w:val="24"/>
        </w:rPr>
        <w:t>. It should</w:t>
      </w:r>
      <w:r w:rsidR="007864CF">
        <w:rPr>
          <w:rStyle w:val="sb8d990e2"/>
          <w:rFonts w:ascii="Century" w:hAnsi="Century"/>
          <w:sz w:val="24"/>
          <w:szCs w:val="24"/>
        </w:rPr>
        <w:t xml:space="preserve"> come from a place of understanding the usefulness of t</w:t>
      </w:r>
      <w:r w:rsidR="00295F87">
        <w:rPr>
          <w:rStyle w:val="sb8d990e2"/>
          <w:rFonts w:ascii="Century" w:hAnsi="Century"/>
          <w:sz w:val="24"/>
          <w:szCs w:val="24"/>
        </w:rPr>
        <w:t xml:space="preserve">he techniques and tools that are available. </w:t>
      </w:r>
      <w:r w:rsidR="00B52BC5">
        <w:rPr>
          <w:rStyle w:val="sb8d990e2"/>
          <w:rFonts w:ascii="Century" w:hAnsi="Century"/>
          <w:sz w:val="24"/>
          <w:szCs w:val="24"/>
        </w:rPr>
        <w:t>D</w:t>
      </w:r>
      <w:r w:rsidR="00295F87">
        <w:rPr>
          <w:rStyle w:val="sb8d990e2"/>
          <w:rFonts w:ascii="Century" w:hAnsi="Century"/>
          <w:sz w:val="24"/>
          <w:szCs w:val="24"/>
        </w:rPr>
        <w:t>rafter</w:t>
      </w:r>
      <w:r w:rsidR="00B52BC5">
        <w:rPr>
          <w:rStyle w:val="sb8d990e2"/>
          <w:rFonts w:ascii="Century" w:hAnsi="Century"/>
          <w:sz w:val="24"/>
          <w:szCs w:val="24"/>
        </w:rPr>
        <w:t>s have</w:t>
      </w:r>
      <w:r w:rsidR="00295F87">
        <w:rPr>
          <w:rStyle w:val="sb8d990e2"/>
          <w:rFonts w:ascii="Century" w:hAnsi="Century"/>
          <w:sz w:val="24"/>
          <w:szCs w:val="24"/>
        </w:rPr>
        <w:t xml:space="preserve"> to understand </w:t>
      </w:r>
      <w:r w:rsidR="00130F3A">
        <w:rPr>
          <w:rStyle w:val="sb8d990e2"/>
          <w:rFonts w:ascii="Century" w:hAnsi="Century"/>
          <w:sz w:val="24"/>
          <w:szCs w:val="24"/>
        </w:rPr>
        <w:t xml:space="preserve">the importance of structure, </w:t>
      </w:r>
      <w:r w:rsidR="00350A71">
        <w:rPr>
          <w:rStyle w:val="sb8d990e2"/>
          <w:rFonts w:ascii="Century" w:hAnsi="Century"/>
          <w:sz w:val="24"/>
          <w:szCs w:val="24"/>
        </w:rPr>
        <w:t>‘</w:t>
      </w:r>
      <w:r w:rsidR="00130F3A">
        <w:rPr>
          <w:rStyle w:val="sb8d990e2"/>
          <w:rFonts w:ascii="Century" w:hAnsi="Century"/>
          <w:sz w:val="24"/>
          <w:szCs w:val="24"/>
        </w:rPr>
        <w:t>language and syntax</w:t>
      </w:r>
      <w:r w:rsidR="00350A71">
        <w:rPr>
          <w:rStyle w:val="sb8d990e2"/>
          <w:rFonts w:ascii="Century" w:hAnsi="Century"/>
          <w:sz w:val="24"/>
          <w:szCs w:val="24"/>
        </w:rPr>
        <w:t>’</w:t>
      </w:r>
      <w:r w:rsidR="00130F3A">
        <w:rPr>
          <w:rStyle w:val="sb8d990e2"/>
          <w:rFonts w:ascii="Century" w:hAnsi="Century"/>
          <w:sz w:val="24"/>
          <w:szCs w:val="24"/>
        </w:rPr>
        <w:t xml:space="preserve"> </w:t>
      </w:r>
      <w:r w:rsidR="00295F87">
        <w:rPr>
          <w:rStyle w:val="sb8d990e2"/>
          <w:rFonts w:ascii="Century" w:hAnsi="Century"/>
          <w:sz w:val="24"/>
          <w:szCs w:val="24"/>
        </w:rPr>
        <w:t xml:space="preserve">to </w:t>
      </w:r>
      <w:r w:rsidR="00B52BC5">
        <w:rPr>
          <w:rStyle w:val="sb8d990e2"/>
          <w:rFonts w:ascii="Century" w:hAnsi="Century"/>
          <w:sz w:val="24"/>
          <w:szCs w:val="24"/>
        </w:rPr>
        <w:t>effectively communicate the</w:t>
      </w:r>
      <w:r w:rsidR="00C728CA">
        <w:rPr>
          <w:rStyle w:val="sb8d990e2"/>
          <w:rFonts w:ascii="Century" w:hAnsi="Century"/>
          <w:sz w:val="24"/>
          <w:szCs w:val="24"/>
        </w:rPr>
        <w:t xml:space="preserve"> law </w:t>
      </w:r>
      <w:r w:rsidR="00834A44">
        <w:rPr>
          <w:rStyle w:val="sb8d990e2"/>
          <w:rFonts w:ascii="Century" w:hAnsi="Century"/>
          <w:sz w:val="24"/>
          <w:szCs w:val="24"/>
        </w:rPr>
        <w:t>so that it is comprehensible to those whose lives will be regulated by the law as well as those who must interpret it</w:t>
      </w:r>
      <w:r w:rsidR="007B52C1">
        <w:rPr>
          <w:rStyle w:val="sb8d990e2"/>
          <w:rFonts w:ascii="Century" w:hAnsi="Century"/>
          <w:sz w:val="24"/>
          <w:szCs w:val="24"/>
        </w:rPr>
        <w:t>.</w:t>
      </w:r>
      <w:r w:rsidR="007B52C1">
        <w:rPr>
          <w:rStyle w:val="FootnoteReference"/>
          <w:rFonts w:ascii="Century" w:hAnsi="Century"/>
          <w:sz w:val="24"/>
          <w:szCs w:val="24"/>
        </w:rPr>
        <w:footnoteReference w:id="309"/>
      </w:r>
      <w:r w:rsidR="007B52C1">
        <w:rPr>
          <w:rStyle w:val="sb8d990e2"/>
          <w:rFonts w:ascii="Century" w:hAnsi="Century"/>
          <w:sz w:val="24"/>
          <w:szCs w:val="24"/>
        </w:rPr>
        <w:t xml:space="preserve"> </w:t>
      </w:r>
    </w:p>
    <w:p w:rsidR="007B52C1" w:rsidRDefault="007B52C1" w:rsidP="00D66015">
      <w:pPr>
        <w:spacing w:line="360" w:lineRule="auto"/>
        <w:jc w:val="both"/>
        <w:rPr>
          <w:rStyle w:val="sb8d990e2"/>
          <w:rFonts w:ascii="Century" w:hAnsi="Century"/>
          <w:sz w:val="24"/>
          <w:szCs w:val="24"/>
        </w:rPr>
      </w:pPr>
    </w:p>
    <w:p w:rsidR="007A3859" w:rsidRDefault="00D12C98" w:rsidP="007A3859">
      <w:pPr>
        <w:spacing w:line="360" w:lineRule="auto"/>
        <w:jc w:val="both"/>
        <w:rPr>
          <w:rStyle w:val="sb8d990e2"/>
          <w:rFonts w:ascii="Century" w:hAnsi="Century"/>
          <w:sz w:val="24"/>
          <w:szCs w:val="24"/>
        </w:rPr>
      </w:pPr>
      <w:r>
        <w:rPr>
          <w:rStyle w:val="sb8d990e2"/>
          <w:rFonts w:ascii="Century" w:hAnsi="Century"/>
          <w:sz w:val="24"/>
          <w:szCs w:val="24"/>
        </w:rPr>
        <w:t>Drafting legislation</w:t>
      </w:r>
      <w:r w:rsidR="006A2D2D">
        <w:rPr>
          <w:rStyle w:val="sb8d990e2"/>
          <w:rFonts w:ascii="Century" w:hAnsi="Century"/>
          <w:sz w:val="24"/>
          <w:szCs w:val="24"/>
        </w:rPr>
        <w:t xml:space="preserve"> transcends </w:t>
      </w:r>
      <w:r w:rsidR="00613414">
        <w:rPr>
          <w:rStyle w:val="sb8d990e2"/>
          <w:rFonts w:ascii="Century" w:hAnsi="Century"/>
          <w:sz w:val="24"/>
          <w:szCs w:val="24"/>
        </w:rPr>
        <w:t>the actual</w:t>
      </w:r>
      <w:r>
        <w:rPr>
          <w:rStyle w:val="sb8d990e2"/>
          <w:rFonts w:ascii="Century" w:hAnsi="Century"/>
          <w:sz w:val="24"/>
          <w:szCs w:val="24"/>
        </w:rPr>
        <w:t xml:space="preserve"> </w:t>
      </w:r>
      <w:r w:rsidR="006A2D2D">
        <w:rPr>
          <w:rStyle w:val="sb8d990e2"/>
          <w:rFonts w:ascii="Century" w:hAnsi="Century"/>
          <w:sz w:val="24"/>
          <w:szCs w:val="24"/>
        </w:rPr>
        <w:t xml:space="preserve">drafting and </w:t>
      </w:r>
      <w:r w:rsidR="007A3859">
        <w:rPr>
          <w:rStyle w:val="sb8d990e2"/>
          <w:rFonts w:ascii="Century" w:hAnsi="Century"/>
          <w:sz w:val="24"/>
          <w:szCs w:val="24"/>
        </w:rPr>
        <w:t>has been described by Crabbe as ‘co</w:t>
      </w:r>
      <w:r w:rsidR="00C9689A">
        <w:rPr>
          <w:rStyle w:val="sb8d990e2"/>
          <w:rFonts w:ascii="Century" w:hAnsi="Century"/>
          <w:sz w:val="24"/>
          <w:szCs w:val="24"/>
        </w:rPr>
        <w:t>ncentrated intellectual labour’</w:t>
      </w:r>
      <w:r w:rsidR="00880F36">
        <w:rPr>
          <w:rStyle w:val="sb8d990e2"/>
          <w:rFonts w:ascii="Century" w:hAnsi="Century"/>
          <w:sz w:val="24"/>
          <w:szCs w:val="24"/>
        </w:rPr>
        <w:t>,</w:t>
      </w:r>
      <w:r w:rsidR="007A3859">
        <w:rPr>
          <w:rStyle w:val="FootnoteReference"/>
          <w:rFonts w:ascii="Century" w:hAnsi="Century"/>
          <w:sz w:val="24"/>
          <w:szCs w:val="24"/>
        </w:rPr>
        <w:footnoteReference w:id="310"/>
      </w:r>
      <w:r w:rsidR="00880F36">
        <w:rPr>
          <w:rStyle w:val="sb8d990e2"/>
          <w:rFonts w:ascii="Century" w:hAnsi="Century"/>
          <w:sz w:val="24"/>
          <w:szCs w:val="24"/>
        </w:rPr>
        <w:t xml:space="preserve"> </w:t>
      </w:r>
      <w:r w:rsidR="009D758B">
        <w:rPr>
          <w:rStyle w:val="sb8d990e2"/>
          <w:rFonts w:ascii="Century" w:hAnsi="Century"/>
          <w:sz w:val="24"/>
          <w:szCs w:val="24"/>
        </w:rPr>
        <w:t>t</w:t>
      </w:r>
      <w:r>
        <w:rPr>
          <w:rStyle w:val="sb8d990e2"/>
          <w:rFonts w:ascii="Century" w:hAnsi="Century"/>
          <w:sz w:val="24"/>
          <w:szCs w:val="24"/>
        </w:rPr>
        <w:t xml:space="preserve">he </w:t>
      </w:r>
      <w:r w:rsidR="00C9689A">
        <w:rPr>
          <w:rStyle w:val="sb8d990e2"/>
          <w:rFonts w:ascii="Century" w:hAnsi="Century"/>
          <w:sz w:val="24"/>
          <w:szCs w:val="24"/>
        </w:rPr>
        <w:t xml:space="preserve">Renton </w:t>
      </w:r>
      <w:r w:rsidR="00B33D1C">
        <w:rPr>
          <w:rStyle w:val="sb8d990e2"/>
          <w:rFonts w:ascii="Century" w:hAnsi="Century"/>
          <w:sz w:val="24"/>
          <w:szCs w:val="24"/>
        </w:rPr>
        <w:t>Committee</w:t>
      </w:r>
      <w:r>
        <w:rPr>
          <w:rStyle w:val="sb8d990e2"/>
          <w:rFonts w:ascii="Century" w:hAnsi="Century"/>
          <w:sz w:val="24"/>
          <w:szCs w:val="24"/>
        </w:rPr>
        <w:t xml:space="preserve"> </w:t>
      </w:r>
      <w:r w:rsidR="00C9689A">
        <w:rPr>
          <w:rStyle w:val="sb8d990e2"/>
          <w:rFonts w:ascii="Century" w:hAnsi="Century"/>
          <w:sz w:val="24"/>
          <w:szCs w:val="24"/>
        </w:rPr>
        <w:t>called it ‘a high degree of intellectual penetration’.</w:t>
      </w:r>
      <w:r w:rsidR="00C9689A">
        <w:rPr>
          <w:rStyle w:val="FootnoteReference"/>
          <w:rFonts w:ascii="Century" w:hAnsi="Century"/>
          <w:sz w:val="24"/>
          <w:szCs w:val="24"/>
        </w:rPr>
        <w:footnoteReference w:id="311"/>
      </w:r>
      <w:r w:rsidR="00295F87">
        <w:rPr>
          <w:rStyle w:val="sb8d990e2"/>
          <w:rFonts w:ascii="Century" w:hAnsi="Century"/>
          <w:sz w:val="24"/>
          <w:szCs w:val="24"/>
        </w:rPr>
        <w:t xml:space="preserve"> </w:t>
      </w:r>
      <w:r w:rsidR="006A2D2D">
        <w:rPr>
          <w:rStyle w:val="sb8d990e2"/>
          <w:rFonts w:ascii="Century" w:hAnsi="Century"/>
          <w:sz w:val="24"/>
          <w:szCs w:val="24"/>
        </w:rPr>
        <w:t>As</w:t>
      </w:r>
      <w:r w:rsidR="00295F87">
        <w:rPr>
          <w:rStyle w:val="sb8d990e2"/>
          <w:rFonts w:ascii="Century" w:hAnsi="Century"/>
          <w:sz w:val="24"/>
          <w:szCs w:val="24"/>
        </w:rPr>
        <w:t xml:space="preserve"> Xanthaki</w:t>
      </w:r>
      <w:r w:rsidR="00B54488">
        <w:rPr>
          <w:rStyle w:val="sb8d990e2"/>
          <w:rFonts w:ascii="Century" w:hAnsi="Century"/>
          <w:sz w:val="24"/>
          <w:szCs w:val="24"/>
        </w:rPr>
        <w:t xml:space="preserve"> </w:t>
      </w:r>
      <w:r w:rsidR="007A3859">
        <w:rPr>
          <w:rStyle w:val="sb8d990e2"/>
          <w:rFonts w:ascii="Century" w:hAnsi="Century"/>
          <w:sz w:val="24"/>
          <w:szCs w:val="24"/>
        </w:rPr>
        <w:t xml:space="preserve">rightly </w:t>
      </w:r>
      <w:r w:rsidR="007A3859">
        <w:rPr>
          <w:rStyle w:val="sb8d990e2"/>
          <w:rFonts w:ascii="Century" w:hAnsi="Century"/>
          <w:sz w:val="24"/>
          <w:szCs w:val="24"/>
        </w:rPr>
        <w:lastRenderedPageBreak/>
        <w:t xml:space="preserve">observes </w:t>
      </w:r>
      <w:r w:rsidR="00D65320">
        <w:rPr>
          <w:rStyle w:val="sb8d990e2"/>
          <w:rFonts w:ascii="Century" w:hAnsi="Century"/>
          <w:sz w:val="24"/>
          <w:szCs w:val="24"/>
        </w:rPr>
        <w:t xml:space="preserve">the drafter’s task is mainly </w:t>
      </w:r>
      <w:r w:rsidR="007A3859">
        <w:rPr>
          <w:rStyle w:val="sb8d990e2"/>
          <w:rFonts w:ascii="Century" w:hAnsi="Century"/>
          <w:sz w:val="24"/>
          <w:szCs w:val="24"/>
        </w:rPr>
        <w:t>‘</w:t>
      </w:r>
      <w:r w:rsidR="00D65320">
        <w:rPr>
          <w:rStyle w:val="sb8d990e2"/>
          <w:rFonts w:ascii="Century" w:hAnsi="Century"/>
          <w:sz w:val="24"/>
          <w:szCs w:val="24"/>
        </w:rPr>
        <w:t>principled and conceptual analysis</w:t>
      </w:r>
      <w:r w:rsidR="007A3859">
        <w:rPr>
          <w:rStyle w:val="sb8d990e2"/>
          <w:rFonts w:ascii="Century" w:hAnsi="Century"/>
          <w:sz w:val="24"/>
          <w:szCs w:val="24"/>
        </w:rPr>
        <w:t>’</w:t>
      </w:r>
      <w:r w:rsidR="00D65320">
        <w:rPr>
          <w:rStyle w:val="sb8d990e2"/>
          <w:rFonts w:ascii="Century" w:hAnsi="Century"/>
          <w:sz w:val="24"/>
          <w:szCs w:val="24"/>
        </w:rPr>
        <w:t xml:space="preserve"> of </w:t>
      </w:r>
      <w:r w:rsidR="007A3859">
        <w:rPr>
          <w:rStyle w:val="sb8d990e2"/>
          <w:rFonts w:ascii="Century" w:hAnsi="Century"/>
          <w:sz w:val="24"/>
          <w:szCs w:val="24"/>
        </w:rPr>
        <w:t>the legislative proposal that involves the drafter determining the viability of the proposal and then setting out how best to give legal effect to the wishes of the policymaker.</w:t>
      </w:r>
      <w:r w:rsidR="00291384">
        <w:rPr>
          <w:rStyle w:val="FootnoteReference"/>
          <w:rFonts w:ascii="Century" w:hAnsi="Century"/>
          <w:sz w:val="24"/>
          <w:szCs w:val="24"/>
        </w:rPr>
        <w:footnoteReference w:id="312"/>
      </w:r>
      <w:r w:rsidR="007A3859">
        <w:rPr>
          <w:rStyle w:val="sb8d990e2"/>
          <w:rFonts w:ascii="Century" w:hAnsi="Century"/>
          <w:sz w:val="24"/>
          <w:szCs w:val="24"/>
        </w:rPr>
        <w:t xml:space="preserve"> This means that drafter</w:t>
      </w:r>
      <w:r w:rsidR="00680246">
        <w:rPr>
          <w:rStyle w:val="sb8d990e2"/>
          <w:rFonts w:ascii="Century" w:hAnsi="Century"/>
          <w:sz w:val="24"/>
          <w:szCs w:val="24"/>
        </w:rPr>
        <w:t>s have</w:t>
      </w:r>
      <w:r w:rsidR="007A3859">
        <w:rPr>
          <w:rStyle w:val="sb8d990e2"/>
          <w:rFonts w:ascii="Century" w:hAnsi="Century"/>
          <w:sz w:val="24"/>
          <w:szCs w:val="24"/>
        </w:rPr>
        <w:t xml:space="preserve"> to decide on ‘</w:t>
      </w:r>
      <w:r w:rsidR="00D65320">
        <w:rPr>
          <w:rStyle w:val="sb8d990e2"/>
          <w:rFonts w:ascii="Century" w:hAnsi="Century"/>
          <w:sz w:val="24"/>
          <w:szCs w:val="24"/>
        </w:rPr>
        <w:t>the appropriate rule or convention that delivers the desired results</w:t>
      </w:r>
      <w:r w:rsidR="007A3859">
        <w:rPr>
          <w:rStyle w:val="sb8d990e2"/>
          <w:rFonts w:ascii="Century" w:hAnsi="Century"/>
          <w:sz w:val="24"/>
          <w:szCs w:val="24"/>
        </w:rPr>
        <w:t>’</w:t>
      </w:r>
      <w:r w:rsidR="00D65320">
        <w:rPr>
          <w:rStyle w:val="sb8d990e2"/>
          <w:rFonts w:ascii="Century" w:hAnsi="Century"/>
          <w:sz w:val="24"/>
          <w:szCs w:val="24"/>
        </w:rPr>
        <w:t>.</w:t>
      </w:r>
      <w:r w:rsidR="00D65320">
        <w:rPr>
          <w:rStyle w:val="FootnoteReference"/>
          <w:rFonts w:ascii="Century" w:hAnsi="Century"/>
          <w:sz w:val="24"/>
          <w:szCs w:val="24"/>
        </w:rPr>
        <w:footnoteReference w:id="313"/>
      </w:r>
      <w:r w:rsidR="007A3859">
        <w:rPr>
          <w:rStyle w:val="sb8d990e2"/>
          <w:rFonts w:ascii="Century" w:hAnsi="Century"/>
          <w:sz w:val="24"/>
          <w:szCs w:val="24"/>
        </w:rPr>
        <w:t xml:space="preserve"> This requires drafter</w:t>
      </w:r>
      <w:r w:rsidR="00680246">
        <w:rPr>
          <w:rStyle w:val="sb8d990e2"/>
          <w:rFonts w:ascii="Century" w:hAnsi="Century"/>
          <w:sz w:val="24"/>
          <w:szCs w:val="24"/>
        </w:rPr>
        <w:t>s</w:t>
      </w:r>
      <w:r w:rsidR="007A3859">
        <w:rPr>
          <w:rStyle w:val="sb8d990e2"/>
          <w:rFonts w:ascii="Century" w:hAnsi="Century"/>
          <w:sz w:val="24"/>
          <w:szCs w:val="24"/>
        </w:rPr>
        <w:t xml:space="preserve"> not only to know of the </w:t>
      </w:r>
      <w:r w:rsidR="00880F36">
        <w:rPr>
          <w:rStyle w:val="sb8d990e2"/>
          <w:rFonts w:ascii="Century" w:hAnsi="Century"/>
          <w:sz w:val="24"/>
          <w:szCs w:val="24"/>
        </w:rPr>
        <w:t xml:space="preserve">right </w:t>
      </w:r>
      <w:r w:rsidR="007A3859">
        <w:rPr>
          <w:rStyle w:val="sb8d990e2"/>
          <w:rFonts w:ascii="Century" w:hAnsi="Century"/>
          <w:sz w:val="24"/>
          <w:szCs w:val="24"/>
        </w:rPr>
        <w:t xml:space="preserve">solutions but to </w:t>
      </w:r>
      <w:r w:rsidR="00D65320">
        <w:rPr>
          <w:rStyle w:val="sb8d990e2"/>
          <w:rFonts w:ascii="Century" w:hAnsi="Century"/>
          <w:sz w:val="24"/>
          <w:szCs w:val="24"/>
        </w:rPr>
        <w:t>apply them intelligently.</w:t>
      </w:r>
      <w:r w:rsidR="00BE0875">
        <w:rPr>
          <w:rStyle w:val="sb8d990e2"/>
          <w:rFonts w:ascii="Century" w:hAnsi="Century"/>
          <w:sz w:val="24"/>
          <w:szCs w:val="24"/>
        </w:rPr>
        <w:t xml:space="preserve"> </w:t>
      </w:r>
      <w:r w:rsidR="00BE68D0">
        <w:rPr>
          <w:rStyle w:val="sb8d990e2"/>
          <w:rFonts w:ascii="Century" w:hAnsi="Century"/>
          <w:sz w:val="24"/>
          <w:szCs w:val="24"/>
        </w:rPr>
        <w:t>As t</w:t>
      </w:r>
      <w:r w:rsidR="00880F36">
        <w:rPr>
          <w:rStyle w:val="sb8d990e2"/>
          <w:rFonts w:ascii="Century" w:hAnsi="Century"/>
          <w:sz w:val="24"/>
          <w:szCs w:val="24"/>
        </w:rPr>
        <w:t xml:space="preserve">he Renton Committee recognised ‘the quality of our legislation </w:t>
      </w:r>
      <w:r w:rsidR="008C7389">
        <w:rPr>
          <w:rStyle w:val="sb8d990e2"/>
          <w:rFonts w:ascii="Century" w:hAnsi="Century"/>
          <w:sz w:val="24"/>
          <w:szCs w:val="24"/>
        </w:rPr>
        <w:t>depends largely</w:t>
      </w:r>
      <w:r w:rsidR="00880F36">
        <w:rPr>
          <w:rStyle w:val="sb8d990e2"/>
          <w:rFonts w:ascii="Century" w:hAnsi="Century"/>
          <w:sz w:val="24"/>
          <w:szCs w:val="24"/>
        </w:rPr>
        <w:t xml:space="preserve"> on the quality of our draftsmen’.</w:t>
      </w:r>
      <w:r w:rsidR="00880F36">
        <w:rPr>
          <w:rStyle w:val="FootnoteReference"/>
          <w:rFonts w:ascii="Century" w:hAnsi="Century"/>
          <w:sz w:val="24"/>
          <w:szCs w:val="24"/>
        </w:rPr>
        <w:footnoteReference w:id="314"/>
      </w:r>
      <w:r w:rsidR="00880F36">
        <w:rPr>
          <w:rStyle w:val="sb8d990e2"/>
          <w:rFonts w:ascii="Century" w:hAnsi="Century"/>
          <w:sz w:val="24"/>
          <w:szCs w:val="24"/>
        </w:rPr>
        <w:t xml:space="preserve"> This quality comprises a combination of</w:t>
      </w:r>
      <w:r w:rsidR="00BE0875">
        <w:rPr>
          <w:rStyle w:val="sb8d990e2"/>
          <w:rFonts w:ascii="Century" w:hAnsi="Century"/>
          <w:sz w:val="24"/>
          <w:szCs w:val="24"/>
        </w:rPr>
        <w:t xml:space="preserve"> </w:t>
      </w:r>
      <w:r w:rsidR="007A3859">
        <w:rPr>
          <w:rStyle w:val="sb8d990e2"/>
          <w:rFonts w:ascii="Century" w:hAnsi="Century"/>
          <w:sz w:val="24"/>
          <w:szCs w:val="24"/>
        </w:rPr>
        <w:t>technical skills as well as academic understanding. As Cra</w:t>
      </w:r>
      <w:r w:rsidR="005734B2">
        <w:rPr>
          <w:rStyle w:val="sb8d990e2"/>
          <w:rFonts w:ascii="Century" w:hAnsi="Century"/>
          <w:sz w:val="24"/>
          <w:szCs w:val="24"/>
        </w:rPr>
        <w:t>bbe puts it drafters should possess</w:t>
      </w:r>
      <w:r w:rsidR="007A3859">
        <w:rPr>
          <w:rStyle w:val="sb8d990e2"/>
          <w:rFonts w:ascii="Century" w:hAnsi="Century"/>
          <w:sz w:val="24"/>
          <w:szCs w:val="24"/>
        </w:rPr>
        <w:t>-</w:t>
      </w:r>
    </w:p>
    <w:p w:rsidR="007A3859" w:rsidRDefault="004A7C08" w:rsidP="007A3859">
      <w:pPr>
        <w:spacing w:line="360" w:lineRule="auto"/>
        <w:ind w:left="720"/>
        <w:jc w:val="both"/>
        <w:rPr>
          <w:rStyle w:val="sb8d990e2"/>
          <w:rFonts w:ascii="Century" w:hAnsi="Century"/>
          <w:sz w:val="24"/>
          <w:szCs w:val="24"/>
        </w:rPr>
      </w:pPr>
      <w:r>
        <w:rPr>
          <w:rStyle w:val="sb8d990e2"/>
          <w:rFonts w:ascii="Century" w:hAnsi="Century"/>
          <w:sz w:val="24"/>
          <w:szCs w:val="24"/>
        </w:rPr>
        <w:t>[</w:t>
      </w:r>
      <w:r w:rsidR="007A3859">
        <w:rPr>
          <w:rStyle w:val="sb8d990e2"/>
          <w:rFonts w:ascii="Century" w:hAnsi="Century"/>
          <w:sz w:val="24"/>
          <w:szCs w:val="24"/>
        </w:rPr>
        <w:t>A</w:t>
      </w:r>
      <w:r>
        <w:rPr>
          <w:rStyle w:val="sb8d990e2"/>
          <w:rFonts w:ascii="Century" w:hAnsi="Century"/>
          <w:sz w:val="24"/>
          <w:szCs w:val="24"/>
        </w:rPr>
        <w:t>]</w:t>
      </w:r>
      <w:r w:rsidR="007A3859">
        <w:rPr>
          <w:rStyle w:val="sb8d990e2"/>
          <w:rFonts w:ascii="Century" w:hAnsi="Century"/>
          <w:sz w:val="24"/>
          <w:szCs w:val="24"/>
        </w:rPr>
        <w:t xml:space="preserve"> facility in the use of the language of legislative instruments. Experience in legal practice is desirable. So is an interest in drafting, a mastery of the use of the relevant language, a systematic mind and orderliness in the formation of thoughts, the ability to pay meticulous attention to detail and to wo</w:t>
      </w:r>
      <w:r w:rsidR="00DB2A79">
        <w:rPr>
          <w:rStyle w:val="sb8d990e2"/>
          <w:rFonts w:ascii="Century" w:hAnsi="Century"/>
          <w:sz w:val="24"/>
          <w:szCs w:val="24"/>
        </w:rPr>
        <w:t>rk with accuracy under pressure</w:t>
      </w:r>
      <w:r w:rsidR="007A3859">
        <w:rPr>
          <w:rStyle w:val="sb8d990e2"/>
          <w:rFonts w:ascii="Century" w:hAnsi="Century"/>
          <w:sz w:val="24"/>
          <w:szCs w:val="24"/>
        </w:rPr>
        <w:t>.</w:t>
      </w:r>
      <w:r w:rsidR="007A3859">
        <w:rPr>
          <w:rStyle w:val="FootnoteReference"/>
          <w:rFonts w:ascii="Century" w:hAnsi="Century"/>
          <w:sz w:val="24"/>
          <w:szCs w:val="24"/>
        </w:rPr>
        <w:footnoteReference w:id="315"/>
      </w:r>
      <w:r w:rsidR="007A3859">
        <w:rPr>
          <w:rStyle w:val="sb8d990e2"/>
          <w:rFonts w:ascii="Century" w:hAnsi="Century"/>
          <w:sz w:val="24"/>
          <w:szCs w:val="24"/>
        </w:rPr>
        <w:t xml:space="preserve"> </w:t>
      </w:r>
    </w:p>
    <w:p w:rsidR="00743B9B" w:rsidRDefault="00743B9B" w:rsidP="00DE1DF9">
      <w:pPr>
        <w:spacing w:line="360" w:lineRule="auto"/>
        <w:jc w:val="both"/>
        <w:rPr>
          <w:rStyle w:val="sb8d990e2"/>
          <w:rFonts w:ascii="Century" w:hAnsi="Century"/>
          <w:sz w:val="24"/>
          <w:szCs w:val="24"/>
        </w:rPr>
      </w:pPr>
    </w:p>
    <w:p w:rsidR="007A3859" w:rsidRDefault="00623673" w:rsidP="00DE1DF9">
      <w:pPr>
        <w:spacing w:line="360" w:lineRule="auto"/>
        <w:jc w:val="both"/>
        <w:rPr>
          <w:rStyle w:val="sb8d990e2"/>
          <w:rFonts w:ascii="Century" w:hAnsi="Century"/>
          <w:sz w:val="24"/>
          <w:szCs w:val="24"/>
        </w:rPr>
      </w:pPr>
      <w:r>
        <w:rPr>
          <w:rStyle w:val="sb8d990e2"/>
          <w:rFonts w:ascii="Century" w:hAnsi="Century"/>
          <w:sz w:val="24"/>
          <w:szCs w:val="24"/>
        </w:rPr>
        <w:t xml:space="preserve">The importance of both drafters and the work that they do highlights the need for training to hone the skills needed to draft for the rule of law. </w:t>
      </w:r>
      <w:r w:rsidR="004579C0">
        <w:rPr>
          <w:rStyle w:val="sb8d990e2"/>
          <w:rFonts w:ascii="Century" w:hAnsi="Century"/>
          <w:sz w:val="24"/>
          <w:szCs w:val="24"/>
        </w:rPr>
        <w:t xml:space="preserve"> If drafters are going to be efficient in their unique position within the legislative process then they must be equipped.</w:t>
      </w:r>
      <w:r w:rsidR="004579C0">
        <w:rPr>
          <w:rStyle w:val="FootnoteReference"/>
          <w:rFonts w:ascii="Century" w:hAnsi="Century"/>
          <w:sz w:val="24"/>
          <w:szCs w:val="24"/>
        </w:rPr>
        <w:footnoteReference w:id="316"/>
      </w:r>
      <w:r w:rsidR="004579C0">
        <w:rPr>
          <w:rStyle w:val="sb8d990e2"/>
          <w:rFonts w:ascii="Century" w:hAnsi="Century"/>
          <w:sz w:val="24"/>
          <w:szCs w:val="24"/>
        </w:rPr>
        <w:t xml:space="preserve"> </w:t>
      </w:r>
      <w:r>
        <w:rPr>
          <w:rStyle w:val="sb8d990e2"/>
          <w:rFonts w:ascii="Century" w:hAnsi="Century"/>
          <w:sz w:val="24"/>
          <w:szCs w:val="24"/>
        </w:rPr>
        <w:t>As Markman recognises there is a need for ‘capable legislative counsel’.</w:t>
      </w:r>
      <w:r w:rsidR="00D073B4">
        <w:rPr>
          <w:rStyle w:val="FootnoteReference"/>
          <w:rFonts w:ascii="Century" w:hAnsi="Century"/>
          <w:sz w:val="24"/>
          <w:szCs w:val="24"/>
        </w:rPr>
        <w:footnoteReference w:id="317"/>
      </w:r>
      <w:r>
        <w:rPr>
          <w:rStyle w:val="sb8d990e2"/>
          <w:rFonts w:ascii="Century" w:hAnsi="Century"/>
          <w:sz w:val="24"/>
          <w:szCs w:val="24"/>
        </w:rPr>
        <w:t xml:space="preserve"> To this end both </w:t>
      </w:r>
      <w:r w:rsidR="0068668E">
        <w:rPr>
          <w:rStyle w:val="sb8d990e2"/>
          <w:rFonts w:ascii="Century" w:hAnsi="Century"/>
          <w:sz w:val="24"/>
          <w:szCs w:val="24"/>
        </w:rPr>
        <w:t>academic</w:t>
      </w:r>
      <w:r>
        <w:rPr>
          <w:rStyle w:val="sb8d990e2"/>
          <w:rFonts w:ascii="Century" w:hAnsi="Century"/>
          <w:sz w:val="24"/>
          <w:szCs w:val="24"/>
        </w:rPr>
        <w:t xml:space="preserve"> training</w:t>
      </w:r>
      <w:r w:rsidR="0068668E">
        <w:rPr>
          <w:rStyle w:val="sb8d990e2"/>
          <w:rFonts w:ascii="Century" w:hAnsi="Century"/>
          <w:sz w:val="24"/>
          <w:szCs w:val="24"/>
        </w:rPr>
        <w:t xml:space="preserve"> as well </w:t>
      </w:r>
      <w:r w:rsidR="005D4C8A">
        <w:rPr>
          <w:rStyle w:val="sb8d990e2"/>
          <w:rFonts w:ascii="Century" w:hAnsi="Century"/>
          <w:sz w:val="24"/>
          <w:szCs w:val="24"/>
        </w:rPr>
        <w:t xml:space="preserve">as </w:t>
      </w:r>
      <w:r w:rsidR="0068668E">
        <w:rPr>
          <w:rStyle w:val="sb8d990e2"/>
          <w:rFonts w:ascii="Century" w:hAnsi="Century"/>
          <w:sz w:val="24"/>
          <w:szCs w:val="24"/>
        </w:rPr>
        <w:t>experience</w:t>
      </w:r>
      <w:r w:rsidR="00B06A44">
        <w:rPr>
          <w:rStyle w:val="sb8d990e2"/>
          <w:rFonts w:ascii="Century" w:hAnsi="Century"/>
          <w:sz w:val="24"/>
          <w:szCs w:val="24"/>
        </w:rPr>
        <w:t xml:space="preserve"> that</w:t>
      </w:r>
      <w:r w:rsidR="00B06A44" w:rsidRPr="00B06A44">
        <w:rPr>
          <w:rStyle w:val="sb8d990e2"/>
          <w:rFonts w:ascii="Century" w:hAnsi="Century"/>
          <w:sz w:val="24"/>
          <w:szCs w:val="24"/>
        </w:rPr>
        <w:t xml:space="preserve"> </w:t>
      </w:r>
      <w:r w:rsidR="00B06A44">
        <w:rPr>
          <w:rStyle w:val="sb8d990e2"/>
          <w:rFonts w:ascii="Century" w:hAnsi="Century"/>
          <w:sz w:val="24"/>
          <w:szCs w:val="24"/>
        </w:rPr>
        <w:t xml:space="preserve">comes </w:t>
      </w:r>
      <w:r w:rsidR="00E60CCB">
        <w:rPr>
          <w:rStyle w:val="sb8d990e2"/>
          <w:rFonts w:ascii="Century" w:hAnsi="Century"/>
          <w:sz w:val="24"/>
          <w:szCs w:val="24"/>
        </w:rPr>
        <w:t>from</w:t>
      </w:r>
      <w:r w:rsidR="00B06A44">
        <w:rPr>
          <w:rStyle w:val="sb8d990e2"/>
          <w:rFonts w:ascii="Century" w:hAnsi="Century"/>
          <w:sz w:val="24"/>
          <w:szCs w:val="24"/>
        </w:rPr>
        <w:t xml:space="preserve"> on the job training</w:t>
      </w:r>
      <w:r>
        <w:rPr>
          <w:rStyle w:val="sb8d990e2"/>
          <w:rFonts w:ascii="Century" w:hAnsi="Century"/>
          <w:sz w:val="24"/>
          <w:szCs w:val="24"/>
        </w:rPr>
        <w:t xml:space="preserve"> is needed</w:t>
      </w:r>
      <w:r w:rsidR="0068668E">
        <w:rPr>
          <w:rStyle w:val="sb8d990e2"/>
          <w:rFonts w:ascii="Century" w:hAnsi="Century"/>
          <w:sz w:val="24"/>
          <w:szCs w:val="24"/>
        </w:rPr>
        <w:t xml:space="preserve">. </w:t>
      </w:r>
      <w:r w:rsidR="00D073B4">
        <w:rPr>
          <w:rStyle w:val="sb8d990e2"/>
          <w:rFonts w:ascii="Century" w:hAnsi="Century"/>
          <w:sz w:val="24"/>
          <w:szCs w:val="24"/>
        </w:rPr>
        <w:t>A</w:t>
      </w:r>
      <w:r w:rsidR="0068668E">
        <w:rPr>
          <w:rStyle w:val="sb8d990e2"/>
          <w:rFonts w:ascii="Century" w:hAnsi="Century"/>
          <w:sz w:val="24"/>
          <w:szCs w:val="24"/>
        </w:rPr>
        <w:t>cademic training allows drafter</w:t>
      </w:r>
      <w:r w:rsidR="00D073B4">
        <w:rPr>
          <w:rStyle w:val="sb8d990e2"/>
          <w:rFonts w:ascii="Century" w:hAnsi="Century"/>
          <w:sz w:val="24"/>
          <w:szCs w:val="24"/>
        </w:rPr>
        <w:t>s</w:t>
      </w:r>
      <w:r w:rsidR="0068668E">
        <w:rPr>
          <w:rStyle w:val="sb8d990e2"/>
          <w:rFonts w:ascii="Century" w:hAnsi="Century"/>
          <w:sz w:val="24"/>
          <w:szCs w:val="24"/>
        </w:rPr>
        <w:t xml:space="preserve"> to understand the importance of the rule of law an</w:t>
      </w:r>
      <w:r w:rsidR="00F945F9">
        <w:rPr>
          <w:rStyle w:val="sb8d990e2"/>
          <w:rFonts w:ascii="Century" w:hAnsi="Century"/>
          <w:sz w:val="24"/>
          <w:szCs w:val="24"/>
        </w:rPr>
        <w:t xml:space="preserve">d accessibility and exposes them </w:t>
      </w:r>
      <w:r w:rsidR="0068668E">
        <w:rPr>
          <w:rStyle w:val="sb8d990e2"/>
          <w:rFonts w:ascii="Century" w:hAnsi="Century"/>
          <w:sz w:val="24"/>
          <w:szCs w:val="24"/>
        </w:rPr>
        <w:t xml:space="preserve">to the techniques and tools that </w:t>
      </w:r>
      <w:r w:rsidR="0068668E">
        <w:rPr>
          <w:rStyle w:val="sb8d990e2"/>
          <w:rFonts w:ascii="Century" w:hAnsi="Century"/>
          <w:sz w:val="24"/>
          <w:szCs w:val="24"/>
        </w:rPr>
        <w:lastRenderedPageBreak/>
        <w:t>they can use to enhance accessibility. It arouses the interest and desire of drafter</w:t>
      </w:r>
      <w:r w:rsidR="00D629FE">
        <w:rPr>
          <w:rStyle w:val="sb8d990e2"/>
          <w:rFonts w:ascii="Century" w:hAnsi="Century"/>
          <w:sz w:val="24"/>
          <w:szCs w:val="24"/>
        </w:rPr>
        <w:t>s</w:t>
      </w:r>
      <w:r w:rsidR="0068668E">
        <w:rPr>
          <w:rStyle w:val="sb8d990e2"/>
          <w:rFonts w:ascii="Century" w:hAnsi="Century"/>
          <w:sz w:val="24"/>
          <w:szCs w:val="24"/>
        </w:rPr>
        <w:t xml:space="preserve"> to contribute to the rule of law. While this is good, it is only the experience</w:t>
      </w:r>
      <w:r w:rsidR="00D629FE">
        <w:rPr>
          <w:rStyle w:val="sb8d990e2"/>
          <w:rFonts w:ascii="Century" w:hAnsi="Century"/>
          <w:sz w:val="24"/>
          <w:szCs w:val="24"/>
        </w:rPr>
        <w:t xml:space="preserve"> gained on the job that allows</w:t>
      </w:r>
      <w:r w:rsidR="0068668E">
        <w:rPr>
          <w:rStyle w:val="sb8d990e2"/>
          <w:rFonts w:ascii="Century" w:hAnsi="Century"/>
          <w:sz w:val="24"/>
          <w:szCs w:val="24"/>
        </w:rPr>
        <w:t xml:space="preserve"> drafter</w:t>
      </w:r>
      <w:r w:rsidR="00D629FE">
        <w:rPr>
          <w:rStyle w:val="sb8d990e2"/>
          <w:rFonts w:ascii="Century" w:hAnsi="Century"/>
          <w:sz w:val="24"/>
          <w:szCs w:val="24"/>
        </w:rPr>
        <w:t>s</w:t>
      </w:r>
      <w:r w:rsidR="0068668E">
        <w:rPr>
          <w:rStyle w:val="sb8d990e2"/>
          <w:rFonts w:ascii="Century" w:hAnsi="Century"/>
          <w:sz w:val="24"/>
          <w:szCs w:val="24"/>
        </w:rPr>
        <w:t xml:space="preserve"> to encounter real life scenarios and put into practice what has been learned</w:t>
      </w:r>
      <w:r w:rsidR="006A2D2D">
        <w:rPr>
          <w:rStyle w:val="sb8d990e2"/>
          <w:rFonts w:ascii="Century" w:hAnsi="Century"/>
          <w:sz w:val="24"/>
          <w:szCs w:val="24"/>
        </w:rPr>
        <w:t xml:space="preserve"> and refine</w:t>
      </w:r>
      <w:r w:rsidR="00A82741">
        <w:rPr>
          <w:rStyle w:val="sb8d990e2"/>
          <w:rFonts w:ascii="Century" w:hAnsi="Century"/>
          <w:sz w:val="24"/>
          <w:szCs w:val="24"/>
        </w:rPr>
        <w:t xml:space="preserve"> their skills</w:t>
      </w:r>
      <w:r w:rsidR="007A3859">
        <w:rPr>
          <w:rStyle w:val="sb8d990e2"/>
          <w:rFonts w:ascii="Century" w:hAnsi="Century"/>
          <w:sz w:val="24"/>
          <w:szCs w:val="24"/>
        </w:rPr>
        <w:t>.</w:t>
      </w:r>
      <w:r w:rsidR="007A3859">
        <w:rPr>
          <w:rStyle w:val="FootnoteReference"/>
          <w:rFonts w:ascii="Century" w:hAnsi="Century"/>
          <w:sz w:val="24"/>
          <w:szCs w:val="24"/>
        </w:rPr>
        <w:footnoteReference w:id="318"/>
      </w:r>
      <w:r w:rsidR="00A82741">
        <w:rPr>
          <w:rStyle w:val="sb8d990e2"/>
          <w:rFonts w:ascii="Century" w:hAnsi="Century"/>
          <w:sz w:val="24"/>
          <w:szCs w:val="24"/>
        </w:rPr>
        <w:t xml:space="preserve"> This combination sets drafters on their way to</w:t>
      </w:r>
      <w:r w:rsidR="00A929EE">
        <w:rPr>
          <w:rStyle w:val="sb8d990e2"/>
          <w:rFonts w:ascii="Century" w:hAnsi="Century"/>
          <w:sz w:val="24"/>
          <w:szCs w:val="24"/>
        </w:rPr>
        <w:t xml:space="preserve"> significant</w:t>
      </w:r>
      <w:r w:rsidR="00D629FE">
        <w:rPr>
          <w:rStyle w:val="sb8d990e2"/>
          <w:rFonts w:ascii="Century" w:hAnsi="Century"/>
          <w:sz w:val="24"/>
          <w:szCs w:val="24"/>
        </w:rPr>
        <w:t>ly contribute</w:t>
      </w:r>
      <w:r w:rsidR="00A929EE">
        <w:rPr>
          <w:rStyle w:val="sb8d990e2"/>
          <w:rFonts w:ascii="Century" w:hAnsi="Century"/>
          <w:sz w:val="24"/>
          <w:szCs w:val="24"/>
        </w:rPr>
        <w:t xml:space="preserve"> to</w:t>
      </w:r>
      <w:r w:rsidR="00A82741">
        <w:rPr>
          <w:rStyle w:val="sb8d990e2"/>
          <w:rFonts w:ascii="Century" w:hAnsi="Century"/>
          <w:sz w:val="24"/>
          <w:szCs w:val="24"/>
        </w:rPr>
        <w:t xml:space="preserve"> the rule of law.</w:t>
      </w:r>
    </w:p>
    <w:p w:rsidR="00A82741" w:rsidRDefault="00A82741" w:rsidP="00DE1DF9">
      <w:pPr>
        <w:spacing w:line="360" w:lineRule="auto"/>
        <w:jc w:val="both"/>
        <w:rPr>
          <w:rStyle w:val="sb8d990e2"/>
          <w:rFonts w:ascii="Century" w:hAnsi="Century"/>
          <w:sz w:val="24"/>
          <w:szCs w:val="24"/>
        </w:rPr>
      </w:pPr>
    </w:p>
    <w:p w:rsidR="00B249E6" w:rsidRDefault="00C30D2C" w:rsidP="002D2679">
      <w:pPr>
        <w:spacing w:line="360" w:lineRule="auto"/>
        <w:jc w:val="both"/>
        <w:rPr>
          <w:rStyle w:val="sb8d990e2"/>
          <w:rFonts w:ascii="Century" w:hAnsi="Century"/>
          <w:sz w:val="24"/>
          <w:szCs w:val="24"/>
        </w:rPr>
      </w:pPr>
      <w:r>
        <w:rPr>
          <w:rStyle w:val="sb8d990e2"/>
          <w:rFonts w:ascii="Century" w:hAnsi="Century"/>
          <w:sz w:val="24"/>
          <w:szCs w:val="24"/>
        </w:rPr>
        <w:t>Finally, w</w:t>
      </w:r>
      <w:r w:rsidR="001633C3">
        <w:rPr>
          <w:rStyle w:val="sb8d990e2"/>
          <w:rFonts w:ascii="Century" w:hAnsi="Century"/>
          <w:sz w:val="24"/>
          <w:szCs w:val="24"/>
        </w:rPr>
        <w:t>hen</w:t>
      </w:r>
      <w:r w:rsidR="00EA4355">
        <w:rPr>
          <w:rStyle w:val="sb8d990e2"/>
          <w:rFonts w:ascii="Century" w:hAnsi="Century"/>
          <w:sz w:val="24"/>
          <w:szCs w:val="24"/>
        </w:rPr>
        <w:t xml:space="preserve"> drafters</w:t>
      </w:r>
      <w:r w:rsidR="00A929EE">
        <w:rPr>
          <w:rStyle w:val="sb8d990e2"/>
          <w:rFonts w:ascii="Century" w:hAnsi="Century"/>
          <w:sz w:val="24"/>
          <w:szCs w:val="24"/>
        </w:rPr>
        <w:t xml:space="preserve"> are equipped to</w:t>
      </w:r>
      <w:r w:rsidR="00EA4355">
        <w:rPr>
          <w:rStyle w:val="sb8d990e2"/>
          <w:rFonts w:ascii="Century" w:hAnsi="Century"/>
          <w:sz w:val="24"/>
          <w:szCs w:val="24"/>
        </w:rPr>
        <w:t xml:space="preserve"> </w:t>
      </w:r>
      <w:r w:rsidR="00A8622A">
        <w:rPr>
          <w:rStyle w:val="sb8d990e2"/>
          <w:rFonts w:ascii="Century" w:hAnsi="Century"/>
          <w:sz w:val="24"/>
          <w:szCs w:val="24"/>
        </w:rPr>
        <w:t>make laws accessible</w:t>
      </w:r>
      <w:r w:rsidR="00EA4355">
        <w:rPr>
          <w:rStyle w:val="sb8d990e2"/>
          <w:rFonts w:ascii="Century" w:hAnsi="Century"/>
          <w:sz w:val="24"/>
          <w:szCs w:val="24"/>
        </w:rPr>
        <w:t xml:space="preserve"> they </w:t>
      </w:r>
      <w:r w:rsidR="00AA3F6C">
        <w:rPr>
          <w:rStyle w:val="sb8d990e2"/>
          <w:rFonts w:ascii="Century" w:hAnsi="Century"/>
          <w:sz w:val="24"/>
          <w:szCs w:val="24"/>
        </w:rPr>
        <w:t>not only contribute</w:t>
      </w:r>
      <w:r w:rsidR="00EA4355">
        <w:rPr>
          <w:rStyle w:val="sb8d990e2"/>
          <w:rFonts w:ascii="Century" w:hAnsi="Century"/>
          <w:sz w:val="24"/>
          <w:szCs w:val="24"/>
        </w:rPr>
        <w:t xml:space="preserve"> to </w:t>
      </w:r>
      <w:r w:rsidR="00A8622A">
        <w:rPr>
          <w:rStyle w:val="sb8d990e2"/>
          <w:rFonts w:ascii="Century" w:hAnsi="Century"/>
          <w:sz w:val="24"/>
          <w:szCs w:val="24"/>
        </w:rPr>
        <w:t>the rule of law</w:t>
      </w:r>
      <w:r w:rsidR="00EA4355">
        <w:rPr>
          <w:rStyle w:val="sb8d990e2"/>
          <w:rFonts w:ascii="Century" w:hAnsi="Century"/>
          <w:sz w:val="24"/>
          <w:szCs w:val="24"/>
        </w:rPr>
        <w:t xml:space="preserve"> but they also contribute to the effectiveness of the law, which is synonymous with quality of the law.</w:t>
      </w:r>
      <w:r w:rsidR="005E336F">
        <w:rPr>
          <w:rStyle w:val="FootnoteReference"/>
          <w:rFonts w:ascii="Century" w:hAnsi="Century"/>
          <w:sz w:val="24"/>
          <w:szCs w:val="24"/>
        </w:rPr>
        <w:footnoteReference w:id="319"/>
      </w:r>
      <w:r w:rsidR="000F4553">
        <w:rPr>
          <w:rStyle w:val="sb8d990e2"/>
          <w:rFonts w:ascii="Century" w:hAnsi="Century"/>
          <w:sz w:val="24"/>
          <w:szCs w:val="24"/>
        </w:rPr>
        <w:t xml:space="preserve"> When laws are </w:t>
      </w:r>
      <w:r w:rsidR="00EA4355">
        <w:rPr>
          <w:rStyle w:val="sb8d990e2"/>
          <w:rFonts w:ascii="Century" w:hAnsi="Century"/>
          <w:sz w:val="24"/>
          <w:szCs w:val="24"/>
        </w:rPr>
        <w:t>intelligible</w:t>
      </w:r>
      <w:r w:rsidR="000F4553">
        <w:rPr>
          <w:rStyle w:val="sb8d990e2"/>
          <w:rFonts w:ascii="Century" w:hAnsi="Century"/>
          <w:sz w:val="24"/>
          <w:szCs w:val="24"/>
        </w:rPr>
        <w:t>, clear</w:t>
      </w:r>
      <w:r w:rsidR="00EA4355">
        <w:rPr>
          <w:rStyle w:val="sb8d990e2"/>
          <w:rFonts w:ascii="Century" w:hAnsi="Century"/>
          <w:sz w:val="24"/>
          <w:szCs w:val="24"/>
        </w:rPr>
        <w:t xml:space="preserve"> and predictable </w:t>
      </w:r>
      <w:r w:rsidR="001633C3">
        <w:rPr>
          <w:rStyle w:val="sb8d990e2"/>
          <w:rFonts w:ascii="Century" w:hAnsi="Century"/>
          <w:sz w:val="24"/>
          <w:szCs w:val="24"/>
        </w:rPr>
        <w:t>then the</w:t>
      </w:r>
      <w:r w:rsidR="004631E8">
        <w:rPr>
          <w:rStyle w:val="sb8d990e2"/>
          <w:rFonts w:ascii="Century" w:hAnsi="Century"/>
          <w:sz w:val="24"/>
          <w:szCs w:val="24"/>
        </w:rPr>
        <w:t xml:space="preserve"> behaviour of the</w:t>
      </w:r>
      <w:r w:rsidR="001633C3">
        <w:rPr>
          <w:rStyle w:val="sb8d990e2"/>
          <w:rFonts w:ascii="Century" w:hAnsi="Century"/>
          <w:sz w:val="24"/>
          <w:szCs w:val="24"/>
        </w:rPr>
        <w:t xml:space="preserve"> recipients of the law are more likely to</w:t>
      </w:r>
      <w:r w:rsidR="004631E8">
        <w:rPr>
          <w:rStyle w:val="sb8d990e2"/>
          <w:rFonts w:ascii="Century" w:hAnsi="Century"/>
          <w:sz w:val="24"/>
          <w:szCs w:val="24"/>
        </w:rPr>
        <w:t xml:space="preserve"> reflect the regulatory intention of the policymaker</w:t>
      </w:r>
      <w:r w:rsidR="005E336F">
        <w:rPr>
          <w:rStyle w:val="sb8d990e2"/>
          <w:rFonts w:ascii="Century" w:hAnsi="Century"/>
          <w:sz w:val="24"/>
          <w:szCs w:val="24"/>
        </w:rPr>
        <w:t>.</w:t>
      </w:r>
      <w:r w:rsidR="005E336F">
        <w:rPr>
          <w:rStyle w:val="FootnoteReference"/>
          <w:rFonts w:ascii="Century" w:hAnsi="Century"/>
          <w:sz w:val="24"/>
          <w:szCs w:val="24"/>
        </w:rPr>
        <w:footnoteReference w:id="320"/>
      </w:r>
      <w:r w:rsidR="005314A3">
        <w:rPr>
          <w:rStyle w:val="sb8d990e2"/>
          <w:rFonts w:ascii="Century" w:hAnsi="Century"/>
          <w:sz w:val="24"/>
          <w:szCs w:val="24"/>
        </w:rPr>
        <w:t xml:space="preserve"> </w:t>
      </w:r>
      <w:r w:rsidR="00EA4355">
        <w:rPr>
          <w:rStyle w:val="sb8d990e2"/>
          <w:rFonts w:ascii="Century" w:hAnsi="Century"/>
          <w:sz w:val="24"/>
          <w:szCs w:val="24"/>
        </w:rPr>
        <w:t>Therefore, the same judgments that drafter</w:t>
      </w:r>
      <w:r w:rsidR="00AA3F6C">
        <w:rPr>
          <w:rStyle w:val="sb8d990e2"/>
          <w:rFonts w:ascii="Century" w:hAnsi="Century"/>
          <w:sz w:val="24"/>
          <w:szCs w:val="24"/>
        </w:rPr>
        <w:t>s make</w:t>
      </w:r>
      <w:r w:rsidR="00EA4355">
        <w:rPr>
          <w:rStyle w:val="sb8d990e2"/>
          <w:rFonts w:ascii="Century" w:hAnsi="Century"/>
          <w:sz w:val="24"/>
          <w:szCs w:val="24"/>
        </w:rPr>
        <w:t xml:space="preserve"> to ensure tha</w:t>
      </w:r>
      <w:r w:rsidR="009C2573">
        <w:rPr>
          <w:rStyle w:val="sb8d990e2"/>
          <w:rFonts w:ascii="Century" w:hAnsi="Century"/>
          <w:sz w:val="24"/>
          <w:szCs w:val="24"/>
        </w:rPr>
        <w:t>t the legislative proposal confo</w:t>
      </w:r>
      <w:r w:rsidR="00EA4355">
        <w:rPr>
          <w:rStyle w:val="sb8d990e2"/>
          <w:rFonts w:ascii="Century" w:hAnsi="Century"/>
          <w:sz w:val="24"/>
          <w:szCs w:val="24"/>
        </w:rPr>
        <w:t xml:space="preserve">rms to Lord Bingham’s </w:t>
      </w:r>
      <w:r w:rsidR="001C7A91">
        <w:rPr>
          <w:rStyle w:val="sb8d990e2"/>
          <w:rFonts w:ascii="Century" w:hAnsi="Century"/>
          <w:sz w:val="24"/>
          <w:szCs w:val="24"/>
        </w:rPr>
        <w:t xml:space="preserve">first principle </w:t>
      </w:r>
      <w:r w:rsidR="00EA4355">
        <w:rPr>
          <w:rStyle w:val="sb8d990e2"/>
          <w:rFonts w:ascii="Century" w:hAnsi="Century"/>
          <w:sz w:val="24"/>
          <w:szCs w:val="24"/>
        </w:rPr>
        <w:t xml:space="preserve">also leads to effectiveness. </w:t>
      </w:r>
      <w:r w:rsidR="00A8622A">
        <w:rPr>
          <w:rStyle w:val="sb8d990e2"/>
          <w:rFonts w:ascii="Century" w:hAnsi="Century"/>
          <w:sz w:val="24"/>
          <w:szCs w:val="24"/>
        </w:rPr>
        <w:t xml:space="preserve">Additionally, </w:t>
      </w:r>
      <w:r w:rsidR="001633DE">
        <w:rPr>
          <w:rStyle w:val="sb8d990e2"/>
          <w:rFonts w:ascii="Century" w:hAnsi="Century"/>
          <w:sz w:val="24"/>
          <w:szCs w:val="24"/>
        </w:rPr>
        <w:t>accessible</w:t>
      </w:r>
      <w:r w:rsidR="00A8622A">
        <w:rPr>
          <w:rStyle w:val="sb8d990e2"/>
          <w:rFonts w:ascii="Century" w:hAnsi="Century"/>
          <w:sz w:val="24"/>
          <w:szCs w:val="24"/>
        </w:rPr>
        <w:t xml:space="preserve"> laws are needed for good governance as it contributes to transparency and accountability.</w:t>
      </w:r>
      <w:r w:rsidR="005A7A1B">
        <w:rPr>
          <w:rStyle w:val="FootnoteReference"/>
          <w:rFonts w:ascii="Century" w:hAnsi="Century"/>
          <w:sz w:val="24"/>
          <w:szCs w:val="24"/>
        </w:rPr>
        <w:footnoteReference w:id="321"/>
      </w:r>
      <w:r w:rsidR="005314A3">
        <w:rPr>
          <w:rStyle w:val="sb8d990e2"/>
          <w:rFonts w:ascii="Century" w:hAnsi="Century"/>
          <w:sz w:val="24"/>
          <w:szCs w:val="24"/>
        </w:rPr>
        <w:t xml:space="preserve"> </w:t>
      </w:r>
      <w:r w:rsidR="001633DE">
        <w:rPr>
          <w:rStyle w:val="sb8d990e2"/>
          <w:rFonts w:ascii="Century" w:hAnsi="Century"/>
          <w:sz w:val="24"/>
          <w:szCs w:val="24"/>
        </w:rPr>
        <w:t xml:space="preserve">When citizens can access the </w:t>
      </w:r>
      <w:r w:rsidR="00B249E6">
        <w:rPr>
          <w:rStyle w:val="sb8d990e2"/>
          <w:rFonts w:ascii="Century" w:hAnsi="Century"/>
          <w:sz w:val="24"/>
          <w:szCs w:val="24"/>
        </w:rPr>
        <w:t>legislation</w:t>
      </w:r>
      <w:r w:rsidR="001633DE">
        <w:rPr>
          <w:rStyle w:val="sb8d990e2"/>
          <w:rFonts w:ascii="Century" w:hAnsi="Century"/>
          <w:sz w:val="24"/>
          <w:szCs w:val="24"/>
        </w:rPr>
        <w:t xml:space="preserve"> then government can be said to be transparent in their dealings allowing citizens to hold them accountable</w:t>
      </w:r>
      <w:r w:rsidR="00B249E6">
        <w:rPr>
          <w:rStyle w:val="sb8d990e2"/>
          <w:rFonts w:ascii="Century" w:hAnsi="Century"/>
          <w:sz w:val="24"/>
          <w:szCs w:val="24"/>
        </w:rPr>
        <w:t xml:space="preserve">-safeguarding against </w:t>
      </w:r>
      <w:r w:rsidR="00291462">
        <w:rPr>
          <w:rStyle w:val="sb8d990e2"/>
          <w:rFonts w:ascii="Century" w:hAnsi="Century"/>
          <w:sz w:val="24"/>
          <w:szCs w:val="24"/>
        </w:rPr>
        <w:t xml:space="preserve">the </w:t>
      </w:r>
      <w:r w:rsidR="001278D9">
        <w:rPr>
          <w:rStyle w:val="sb8d990e2"/>
          <w:rFonts w:ascii="Century" w:hAnsi="Century"/>
          <w:sz w:val="24"/>
          <w:szCs w:val="24"/>
        </w:rPr>
        <w:t>‘</w:t>
      </w:r>
      <w:r w:rsidR="00291462">
        <w:rPr>
          <w:rStyle w:val="sb8d990e2"/>
          <w:rFonts w:ascii="Century" w:hAnsi="Century"/>
          <w:sz w:val="24"/>
          <w:szCs w:val="24"/>
        </w:rPr>
        <w:t>kleptocracy</w:t>
      </w:r>
      <w:r w:rsidR="001278D9">
        <w:rPr>
          <w:rStyle w:val="sb8d990e2"/>
          <w:rFonts w:ascii="Century" w:hAnsi="Century"/>
          <w:sz w:val="24"/>
          <w:szCs w:val="24"/>
        </w:rPr>
        <w:t>’</w:t>
      </w:r>
      <w:r w:rsidR="00291462">
        <w:rPr>
          <w:rStyle w:val="sb8d990e2"/>
          <w:rFonts w:ascii="Century" w:hAnsi="Century"/>
          <w:sz w:val="24"/>
          <w:szCs w:val="24"/>
        </w:rPr>
        <w:t xml:space="preserve"> that Seidman et al alluded to</w:t>
      </w:r>
      <w:r w:rsidR="00B249E6">
        <w:rPr>
          <w:rStyle w:val="sb8d990e2"/>
          <w:rFonts w:ascii="Century" w:hAnsi="Century"/>
          <w:sz w:val="24"/>
          <w:szCs w:val="24"/>
        </w:rPr>
        <w:t>.</w:t>
      </w:r>
      <w:r w:rsidR="00F00576">
        <w:rPr>
          <w:rStyle w:val="FootnoteReference"/>
          <w:rFonts w:ascii="Century" w:hAnsi="Century"/>
          <w:sz w:val="24"/>
          <w:szCs w:val="24"/>
        </w:rPr>
        <w:footnoteReference w:id="322"/>
      </w:r>
      <w:r w:rsidR="001633DE">
        <w:rPr>
          <w:rStyle w:val="sb8d990e2"/>
          <w:rFonts w:ascii="Century" w:hAnsi="Century"/>
          <w:sz w:val="24"/>
          <w:szCs w:val="24"/>
        </w:rPr>
        <w:t xml:space="preserve"> </w:t>
      </w:r>
      <w:r w:rsidR="00B249E6">
        <w:rPr>
          <w:rStyle w:val="sb8d990e2"/>
          <w:rFonts w:ascii="Century" w:hAnsi="Century"/>
          <w:sz w:val="24"/>
          <w:szCs w:val="24"/>
        </w:rPr>
        <w:t>As Greenberg opines ‘the rule of law matters</w:t>
      </w:r>
      <w:r w:rsidR="00080519">
        <w:rPr>
          <w:rStyle w:val="sb8d990e2"/>
          <w:rFonts w:ascii="Century" w:hAnsi="Century"/>
          <w:sz w:val="24"/>
          <w:szCs w:val="24"/>
        </w:rPr>
        <w:t xml:space="preserve"> enormously</w:t>
      </w:r>
      <w:r w:rsidR="00B249E6">
        <w:rPr>
          <w:rStyle w:val="sb8d990e2"/>
          <w:rFonts w:ascii="Century" w:hAnsi="Century"/>
          <w:sz w:val="24"/>
          <w:szCs w:val="24"/>
        </w:rPr>
        <w:t xml:space="preserve"> to society</w:t>
      </w:r>
      <w:r w:rsidR="00080519">
        <w:rPr>
          <w:rStyle w:val="sb8d990e2"/>
          <w:rFonts w:ascii="Century" w:hAnsi="Century"/>
          <w:sz w:val="24"/>
          <w:szCs w:val="24"/>
        </w:rPr>
        <w:t>…</w:t>
      </w:r>
      <w:r w:rsidR="00B249E6">
        <w:rPr>
          <w:rStyle w:val="sb8d990e2"/>
          <w:rFonts w:ascii="Century" w:hAnsi="Century"/>
          <w:sz w:val="24"/>
          <w:szCs w:val="24"/>
        </w:rPr>
        <w:t xml:space="preserve"> and legislation is its backbone’.</w:t>
      </w:r>
      <w:r w:rsidR="00B249E6">
        <w:rPr>
          <w:rStyle w:val="FootnoteReference"/>
          <w:rFonts w:ascii="Century" w:hAnsi="Century"/>
          <w:sz w:val="24"/>
          <w:szCs w:val="24"/>
        </w:rPr>
        <w:footnoteReference w:id="323"/>
      </w:r>
      <w:r w:rsidR="00B249E6">
        <w:rPr>
          <w:rStyle w:val="sb8d990e2"/>
          <w:rFonts w:ascii="Century" w:hAnsi="Century"/>
          <w:sz w:val="24"/>
          <w:szCs w:val="24"/>
        </w:rPr>
        <w:t xml:space="preserve"> Therefore, </w:t>
      </w:r>
      <w:r w:rsidR="007F290D">
        <w:rPr>
          <w:rStyle w:val="sb8d990e2"/>
          <w:rFonts w:ascii="Century" w:hAnsi="Century"/>
          <w:sz w:val="24"/>
          <w:szCs w:val="24"/>
        </w:rPr>
        <w:t xml:space="preserve">those who draft laws must contribute effectively to ensuring </w:t>
      </w:r>
      <w:r w:rsidR="00690FC8">
        <w:rPr>
          <w:rStyle w:val="sb8d990e2"/>
          <w:rFonts w:ascii="Century" w:hAnsi="Century"/>
          <w:sz w:val="24"/>
          <w:szCs w:val="24"/>
        </w:rPr>
        <w:t xml:space="preserve">that citizens have access to </w:t>
      </w:r>
      <w:r w:rsidR="007F290D">
        <w:rPr>
          <w:rStyle w:val="sb8d990e2"/>
          <w:rFonts w:ascii="Century" w:hAnsi="Century"/>
          <w:sz w:val="24"/>
          <w:szCs w:val="24"/>
        </w:rPr>
        <w:t>legislation</w:t>
      </w:r>
      <w:r w:rsidR="00B249E6">
        <w:rPr>
          <w:rStyle w:val="sb8d990e2"/>
          <w:rFonts w:ascii="Century" w:hAnsi="Century"/>
          <w:sz w:val="24"/>
          <w:szCs w:val="24"/>
        </w:rPr>
        <w:t>.</w:t>
      </w:r>
    </w:p>
    <w:p w:rsidR="00B249E6" w:rsidRDefault="00B249E6" w:rsidP="002D2679">
      <w:pPr>
        <w:spacing w:line="360" w:lineRule="auto"/>
        <w:jc w:val="both"/>
        <w:rPr>
          <w:rStyle w:val="sb8d990e2"/>
          <w:rFonts w:ascii="Century" w:hAnsi="Century"/>
          <w:sz w:val="24"/>
          <w:szCs w:val="24"/>
        </w:rPr>
      </w:pPr>
    </w:p>
    <w:p w:rsidR="002D2679" w:rsidRPr="00132D59" w:rsidRDefault="002D2679" w:rsidP="002D2679">
      <w:pPr>
        <w:spacing w:line="360" w:lineRule="auto"/>
        <w:jc w:val="both"/>
        <w:rPr>
          <w:rFonts w:ascii="Century" w:hAnsi="Century" w:cs="Arabic Typesetting"/>
          <w:sz w:val="24"/>
          <w:szCs w:val="24"/>
        </w:rPr>
      </w:pPr>
    </w:p>
    <w:p w:rsidR="00960080" w:rsidRDefault="00960080" w:rsidP="00A8243C">
      <w:pPr>
        <w:spacing w:line="360" w:lineRule="auto"/>
        <w:jc w:val="both"/>
        <w:rPr>
          <w:rStyle w:val="sb8d990e2"/>
          <w:rFonts w:ascii="Century" w:hAnsi="Century"/>
          <w:sz w:val="24"/>
          <w:szCs w:val="24"/>
        </w:rPr>
      </w:pPr>
    </w:p>
    <w:p w:rsidR="004303AB" w:rsidRPr="00326731" w:rsidRDefault="004303AB" w:rsidP="00326731">
      <w:pPr>
        <w:pStyle w:val="Heading1"/>
        <w:jc w:val="center"/>
        <w:rPr>
          <w:color w:val="auto"/>
        </w:rPr>
      </w:pPr>
      <w:bookmarkStart w:id="87" w:name="_Toc427597765"/>
      <w:r w:rsidRPr="00326731">
        <w:rPr>
          <w:color w:val="auto"/>
        </w:rPr>
        <w:lastRenderedPageBreak/>
        <w:t>BIBLIOGRAPHY</w:t>
      </w:r>
      <w:bookmarkEnd w:id="87"/>
    </w:p>
    <w:p w:rsidR="004303AB" w:rsidRPr="001968B6" w:rsidRDefault="004303AB" w:rsidP="004303AB">
      <w:pPr>
        <w:pStyle w:val="FootnoteText"/>
        <w:rPr>
          <w:rFonts w:ascii="Century" w:hAnsi="Century"/>
          <w:b/>
          <w:sz w:val="24"/>
          <w:szCs w:val="24"/>
        </w:rPr>
      </w:pPr>
    </w:p>
    <w:p w:rsidR="004303AB" w:rsidRPr="002D7886" w:rsidRDefault="004303AB" w:rsidP="004303AB">
      <w:pPr>
        <w:pStyle w:val="FootnoteText"/>
        <w:rPr>
          <w:rFonts w:ascii="Century" w:hAnsi="Century"/>
          <w:sz w:val="24"/>
          <w:szCs w:val="24"/>
        </w:rPr>
      </w:pPr>
    </w:p>
    <w:p w:rsidR="004303AB" w:rsidRDefault="004303AB" w:rsidP="004303AB">
      <w:pPr>
        <w:pStyle w:val="FootnoteText"/>
        <w:rPr>
          <w:rFonts w:ascii="Century" w:hAnsi="Century"/>
          <w:sz w:val="24"/>
          <w:szCs w:val="24"/>
        </w:rPr>
      </w:pPr>
    </w:p>
    <w:p w:rsidR="004303AB" w:rsidRPr="000C392D" w:rsidRDefault="004303AB" w:rsidP="001A78DA">
      <w:pPr>
        <w:jc w:val="both"/>
        <w:rPr>
          <w:rFonts w:ascii="Century" w:hAnsi="Century"/>
          <w:sz w:val="24"/>
          <w:szCs w:val="24"/>
        </w:rPr>
      </w:pPr>
      <w:r w:rsidRPr="000C392D">
        <w:rPr>
          <w:rFonts w:ascii="Century" w:hAnsi="Century"/>
          <w:sz w:val="24"/>
          <w:szCs w:val="24"/>
        </w:rPr>
        <w:t>Ai</w:t>
      </w:r>
      <w:r w:rsidR="00BF5479">
        <w:rPr>
          <w:rFonts w:ascii="Century" w:hAnsi="Century"/>
          <w:sz w:val="24"/>
          <w:szCs w:val="24"/>
        </w:rPr>
        <w:t>t</w:t>
      </w:r>
      <w:r w:rsidRPr="000C392D">
        <w:rPr>
          <w:rFonts w:ascii="Century" w:hAnsi="Century"/>
          <w:sz w:val="24"/>
          <w:szCs w:val="24"/>
        </w:rPr>
        <w:t>ken</w:t>
      </w:r>
      <w:r>
        <w:rPr>
          <w:rFonts w:ascii="Century" w:hAnsi="Century"/>
          <w:sz w:val="24"/>
          <w:szCs w:val="24"/>
        </w:rPr>
        <w:t xml:space="preserve"> JK</w:t>
      </w:r>
      <w:r w:rsidRPr="000C392D">
        <w:rPr>
          <w:rFonts w:ascii="Century" w:hAnsi="Century"/>
          <w:sz w:val="24"/>
          <w:szCs w:val="24"/>
        </w:rPr>
        <w:t xml:space="preserve">, </w:t>
      </w:r>
      <w:r w:rsidR="00BF5479" w:rsidRPr="00BF5479">
        <w:rPr>
          <w:rFonts w:ascii="Century" w:hAnsi="Century"/>
          <w:i/>
          <w:sz w:val="24"/>
          <w:szCs w:val="24"/>
        </w:rPr>
        <w:t>Piesse:</w:t>
      </w:r>
      <w:r w:rsidR="00BF5479">
        <w:rPr>
          <w:rFonts w:ascii="Century" w:hAnsi="Century"/>
          <w:i/>
          <w:sz w:val="24"/>
          <w:szCs w:val="24"/>
        </w:rPr>
        <w:t xml:space="preserve"> </w:t>
      </w:r>
      <w:r w:rsidRPr="00892DFE">
        <w:rPr>
          <w:rFonts w:ascii="Century" w:hAnsi="Century"/>
          <w:i/>
          <w:sz w:val="24"/>
          <w:szCs w:val="24"/>
        </w:rPr>
        <w:t>The Elements of Drafting</w:t>
      </w:r>
      <w:r w:rsidRPr="000C392D">
        <w:rPr>
          <w:rFonts w:ascii="Century" w:hAnsi="Century"/>
          <w:sz w:val="24"/>
          <w:szCs w:val="24"/>
        </w:rPr>
        <w:t xml:space="preserve"> (9</w:t>
      </w:r>
      <w:r w:rsidR="00895110">
        <w:rPr>
          <w:rFonts w:ascii="Century" w:hAnsi="Century"/>
          <w:sz w:val="24"/>
          <w:szCs w:val="24"/>
          <w:vertAlign w:val="superscript"/>
        </w:rPr>
        <w:t>th</w:t>
      </w:r>
      <w:r w:rsidRPr="000C392D">
        <w:rPr>
          <w:rFonts w:ascii="Century" w:hAnsi="Century"/>
          <w:sz w:val="24"/>
          <w:szCs w:val="24"/>
        </w:rPr>
        <w:t xml:space="preserve"> edn, The La</w:t>
      </w:r>
      <w:r w:rsidR="00A240D5">
        <w:rPr>
          <w:rFonts w:ascii="Century" w:hAnsi="Century"/>
          <w:sz w:val="24"/>
          <w:szCs w:val="24"/>
        </w:rPr>
        <w:t>w Book Company Limited 1995)</w:t>
      </w:r>
      <w:r w:rsidRPr="000C392D">
        <w:rPr>
          <w:rFonts w:ascii="Century" w:hAnsi="Century"/>
          <w:sz w:val="24"/>
          <w:szCs w:val="24"/>
        </w:rPr>
        <w:t>.</w:t>
      </w:r>
    </w:p>
    <w:p w:rsidR="00AC7AF4" w:rsidRDefault="00AC7AF4" w:rsidP="001A78DA">
      <w:pPr>
        <w:pStyle w:val="FootnoteText"/>
        <w:jc w:val="both"/>
        <w:rPr>
          <w:rFonts w:ascii="Century" w:hAnsi="Century"/>
          <w:sz w:val="24"/>
          <w:szCs w:val="24"/>
        </w:rPr>
      </w:pPr>
    </w:p>
    <w:p w:rsidR="00AC7AF4" w:rsidRPr="000C392D" w:rsidRDefault="00AC7AF4" w:rsidP="00AC7AF4">
      <w:pPr>
        <w:pStyle w:val="FootnoteText"/>
        <w:jc w:val="both"/>
        <w:rPr>
          <w:rFonts w:ascii="Century" w:hAnsi="Century"/>
          <w:sz w:val="24"/>
          <w:szCs w:val="24"/>
          <w:lang w:val="en-US"/>
        </w:rPr>
      </w:pPr>
      <w:r w:rsidRPr="000C392D">
        <w:rPr>
          <w:rFonts w:ascii="Century" w:hAnsi="Century"/>
          <w:sz w:val="24"/>
          <w:szCs w:val="24"/>
          <w:lang w:val="en-US"/>
        </w:rPr>
        <w:t>Appiah</w:t>
      </w:r>
      <w:r>
        <w:rPr>
          <w:rFonts w:ascii="Century" w:hAnsi="Century"/>
          <w:sz w:val="24"/>
          <w:szCs w:val="24"/>
          <w:lang w:val="en-US"/>
        </w:rPr>
        <w:t xml:space="preserve"> E</w:t>
      </w:r>
      <w:r w:rsidRPr="000C392D">
        <w:rPr>
          <w:rFonts w:ascii="Century" w:hAnsi="Century"/>
          <w:sz w:val="24"/>
          <w:szCs w:val="24"/>
          <w:lang w:val="en-US"/>
        </w:rPr>
        <w:t>, ‘Training and Development of Legislative Counsel in Commonwe</w:t>
      </w:r>
      <w:r>
        <w:rPr>
          <w:rFonts w:ascii="Century" w:hAnsi="Century"/>
          <w:sz w:val="24"/>
          <w:szCs w:val="24"/>
          <w:lang w:val="en-US"/>
        </w:rPr>
        <w:t>alth Africa-The Way Forward’ (2011) The Loophole 80</w:t>
      </w:r>
      <w:r w:rsidRPr="000C392D">
        <w:rPr>
          <w:rFonts w:ascii="Century" w:hAnsi="Century"/>
          <w:sz w:val="24"/>
          <w:szCs w:val="24"/>
          <w:lang w:val="en-US"/>
        </w:rPr>
        <w:t>.</w:t>
      </w:r>
      <w:r w:rsidRPr="000C392D">
        <w:rPr>
          <w:rFonts w:ascii="Century" w:hAnsi="Century"/>
          <w:sz w:val="24"/>
          <w:szCs w:val="24"/>
        </w:rPr>
        <w:t xml:space="preserve"> </w:t>
      </w:r>
      <w:r w:rsidRPr="00AB6B0A">
        <w:rPr>
          <w:rFonts w:ascii="Century" w:hAnsi="Century"/>
          <w:sz w:val="24"/>
          <w:szCs w:val="24"/>
        </w:rPr>
        <w:t>&lt;</w:t>
      </w:r>
      <w:hyperlink r:id="rId9" w:history="1">
        <w:r w:rsidRPr="00AB6B0A">
          <w:rPr>
            <w:rStyle w:val="Hyperlink"/>
            <w:rFonts w:ascii="Century" w:hAnsi="Century"/>
            <w:color w:val="auto"/>
            <w:sz w:val="24"/>
            <w:szCs w:val="24"/>
            <w:u w:val="none"/>
            <w:lang w:val="en-US"/>
          </w:rPr>
          <w:t>https://www.opc.gov.au/calc/docs/Loophole_papers/Appiah_Nov2011.pdf</w:t>
        </w:r>
      </w:hyperlink>
      <w:r w:rsidRPr="00AB6B0A">
        <w:rPr>
          <w:rStyle w:val="Hyperlink"/>
          <w:rFonts w:ascii="Century" w:hAnsi="Century"/>
          <w:color w:val="auto"/>
          <w:sz w:val="24"/>
          <w:szCs w:val="24"/>
          <w:u w:val="none"/>
          <w:lang w:val="en-US"/>
        </w:rPr>
        <w:t>&gt; accessed 20 August 2015</w:t>
      </w:r>
    </w:p>
    <w:p w:rsidR="00AC7AF4" w:rsidRDefault="00AC7AF4" w:rsidP="001A78DA">
      <w:pPr>
        <w:pStyle w:val="FootnoteText"/>
        <w:jc w:val="both"/>
        <w:rPr>
          <w:rFonts w:ascii="Century" w:hAnsi="Century"/>
          <w:sz w:val="24"/>
          <w:szCs w:val="24"/>
        </w:rPr>
      </w:pPr>
    </w:p>
    <w:p w:rsidR="00AC7AF4" w:rsidRPr="000C392D" w:rsidRDefault="00AC7AF4" w:rsidP="00AC7AF4">
      <w:pPr>
        <w:pStyle w:val="FootnoteText"/>
        <w:jc w:val="both"/>
        <w:rPr>
          <w:rFonts w:ascii="Century" w:hAnsi="Century"/>
          <w:sz w:val="24"/>
          <w:szCs w:val="24"/>
          <w:lang w:val="en-US"/>
        </w:rPr>
      </w:pPr>
      <w:r w:rsidRPr="000C392D">
        <w:rPr>
          <w:rFonts w:ascii="Century" w:hAnsi="Century"/>
          <w:sz w:val="24"/>
          <w:szCs w:val="24"/>
          <w:lang w:val="en-US"/>
        </w:rPr>
        <w:t>Arden</w:t>
      </w:r>
      <w:r>
        <w:rPr>
          <w:rFonts w:ascii="Century" w:hAnsi="Century"/>
          <w:sz w:val="24"/>
          <w:szCs w:val="24"/>
          <w:lang w:val="en-US"/>
        </w:rPr>
        <w:t xml:space="preserve"> M</w:t>
      </w:r>
      <w:r w:rsidRPr="000C392D">
        <w:rPr>
          <w:rFonts w:ascii="Century" w:hAnsi="Century"/>
          <w:sz w:val="24"/>
          <w:szCs w:val="24"/>
          <w:lang w:val="en-US"/>
        </w:rPr>
        <w:t>, ‘The Impact of Judicial Interpretation on Legislative Drafting’</w:t>
      </w:r>
      <w:r>
        <w:rPr>
          <w:rFonts w:ascii="Century" w:hAnsi="Century"/>
          <w:sz w:val="24"/>
          <w:szCs w:val="24"/>
          <w:lang w:val="en-US"/>
        </w:rPr>
        <w:t xml:space="preserve"> (2008) The Loophole 4</w:t>
      </w:r>
      <w:r w:rsidRPr="000C392D">
        <w:rPr>
          <w:rFonts w:ascii="Century" w:hAnsi="Century"/>
          <w:sz w:val="24"/>
          <w:szCs w:val="24"/>
          <w:lang w:val="en-US"/>
        </w:rPr>
        <w:t>.</w:t>
      </w:r>
    </w:p>
    <w:p w:rsidR="00AC7AF4" w:rsidRPr="000C392D" w:rsidRDefault="00AC7AF4" w:rsidP="00AC7AF4">
      <w:pPr>
        <w:pStyle w:val="FootnoteText"/>
        <w:jc w:val="both"/>
        <w:rPr>
          <w:rFonts w:ascii="Century" w:hAnsi="Century"/>
          <w:i/>
          <w:sz w:val="24"/>
          <w:szCs w:val="24"/>
          <w:lang w:val="en-US"/>
        </w:rPr>
      </w:pPr>
      <w:r w:rsidRPr="000C392D">
        <w:rPr>
          <w:rFonts w:ascii="Century" w:hAnsi="Century"/>
          <w:sz w:val="24"/>
          <w:szCs w:val="24"/>
          <w:lang w:val="en-US"/>
        </w:rPr>
        <w:t xml:space="preserve"> &lt;</w:t>
      </w:r>
      <w:r w:rsidRPr="00CD6E92">
        <w:rPr>
          <w:rStyle w:val="HTMLCite"/>
          <w:rFonts w:ascii="Century" w:hAnsi="Century"/>
          <w:sz w:val="24"/>
          <w:szCs w:val="24"/>
        </w:rPr>
        <w:t>https://www.opc.gov.au/calc/d</w:t>
      </w:r>
      <w:r>
        <w:rPr>
          <w:rStyle w:val="HTMLCite"/>
          <w:rFonts w:ascii="Century" w:hAnsi="Century"/>
          <w:sz w:val="24"/>
          <w:szCs w:val="24"/>
        </w:rPr>
        <w:t>ocs/Loophole/Loophole_Aug08.pdf</w:t>
      </w:r>
      <w:r w:rsidRPr="000C392D">
        <w:rPr>
          <w:rStyle w:val="HTMLCite"/>
          <w:rFonts w:ascii="Century" w:hAnsi="Century"/>
          <w:sz w:val="24"/>
          <w:szCs w:val="24"/>
        </w:rPr>
        <w:t>&gt; accessed 4 August 2015.</w:t>
      </w:r>
    </w:p>
    <w:p w:rsidR="00AC7AF4" w:rsidRDefault="00AC7AF4" w:rsidP="001A78DA">
      <w:pPr>
        <w:pStyle w:val="FootnoteText"/>
        <w:jc w:val="both"/>
        <w:rPr>
          <w:rFonts w:ascii="Century" w:hAnsi="Century"/>
          <w:sz w:val="24"/>
          <w:szCs w:val="24"/>
        </w:rPr>
      </w:pPr>
    </w:p>
    <w:p w:rsidR="004303AB" w:rsidRPr="000C392D" w:rsidRDefault="004303AB" w:rsidP="001A78DA">
      <w:pPr>
        <w:pStyle w:val="FootnoteText"/>
        <w:jc w:val="both"/>
        <w:rPr>
          <w:rFonts w:ascii="Century" w:hAnsi="Century"/>
          <w:sz w:val="24"/>
          <w:szCs w:val="24"/>
        </w:rPr>
      </w:pPr>
      <w:r w:rsidRPr="000C392D">
        <w:rPr>
          <w:rFonts w:ascii="Century" w:hAnsi="Century"/>
          <w:sz w:val="24"/>
          <w:szCs w:val="24"/>
        </w:rPr>
        <w:t>Asprey</w:t>
      </w:r>
      <w:r>
        <w:rPr>
          <w:rFonts w:ascii="Century" w:hAnsi="Century"/>
          <w:sz w:val="24"/>
          <w:szCs w:val="24"/>
        </w:rPr>
        <w:t xml:space="preserve"> M</w:t>
      </w:r>
      <w:r w:rsidRPr="000C392D">
        <w:rPr>
          <w:rFonts w:ascii="Century" w:hAnsi="Century"/>
          <w:sz w:val="24"/>
          <w:szCs w:val="24"/>
        </w:rPr>
        <w:t xml:space="preserve">, </w:t>
      </w:r>
      <w:r w:rsidRPr="00892DFE">
        <w:rPr>
          <w:rFonts w:ascii="Century" w:hAnsi="Century"/>
          <w:i/>
          <w:sz w:val="24"/>
          <w:szCs w:val="24"/>
        </w:rPr>
        <w:t>Plain Language for Lawyers</w:t>
      </w:r>
      <w:r w:rsidRPr="000C392D">
        <w:rPr>
          <w:rFonts w:ascii="Century" w:hAnsi="Century"/>
          <w:sz w:val="24"/>
          <w:szCs w:val="24"/>
        </w:rPr>
        <w:t xml:space="preserve"> (3</w:t>
      </w:r>
      <w:r w:rsidRPr="000C392D">
        <w:rPr>
          <w:rFonts w:ascii="Century" w:hAnsi="Century"/>
          <w:sz w:val="24"/>
          <w:szCs w:val="24"/>
          <w:vertAlign w:val="superscript"/>
        </w:rPr>
        <w:t>rd</w:t>
      </w:r>
      <w:r w:rsidRPr="000C392D">
        <w:rPr>
          <w:rFonts w:ascii="Century" w:hAnsi="Century"/>
          <w:sz w:val="24"/>
          <w:szCs w:val="24"/>
        </w:rPr>
        <w:t xml:space="preserve"> edn, The Feder</w:t>
      </w:r>
      <w:r w:rsidR="00A240D5">
        <w:rPr>
          <w:rFonts w:ascii="Century" w:hAnsi="Century"/>
          <w:sz w:val="24"/>
          <w:szCs w:val="24"/>
        </w:rPr>
        <w:t>ation Press 2003)</w:t>
      </w:r>
      <w:r w:rsidRPr="000C392D">
        <w:rPr>
          <w:rFonts w:ascii="Century" w:hAnsi="Century"/>
          <w:sz w:val="24"/>
          <w:szCs w:val="24"/>
        </w:rPr>
        <w:t>.</w:t>
      </w:r>
    </w:p>
    <w:p w:rsidR="004303AB" w:rsidRDefault="004303AB" w:rsidP="004303AB">
      <w:pPr>
        <w:pStyle w:val="FootnoteText"/>
        <w:rPr>
          <w:rFonts w:ascii="Century" w:hAnsi="Century"/>
          <w:sz w:val="24"/>
          <w:szCs w:val="24"/>
        </w:rPr>
      </w:pPr>
    </w:p>
    <w:p w:rsidR="004303AB" w:rsidRPr="000C392D" w:rsidRDefault="004303AB" w:rsidP="001A78DA">
      <w:pPr>
        <w:pStyle w:val="FootnoteText"/>
        <w:jc w:val="both"/>
        <w:rPr>
          <w:rFonts w:ascii="Century" w:hAnsi="Century"/>
          <w:sz w:val="24"/>
          <w:szCs w:val="24"/>
        </w:rPr>
      </w:pPr>
      <w:r w:rsidRPr="000C392D">
        <w:rPr>
          <w:rFonts w:ascii="Century" w:hAnsi="Century"/>
          <w:sz w:val="24"/>
          <w:szCs w:val="24"/>
        </w:rPr>
        <w:t>Barnett</w:t>
      </w:r>
      <w:r>
        <w:rPr>
          <w:rFonts w:ascii="Century" w:hAnsi="Century"/>
          <w:sz w:val="24"/>
          <w:szCs w:val="24"/>
        </w:rPr>
        <w:t xml:space="preserve"> H</w:t>
      </w:r>
      <w:r w:rsidRPr="000C392D">
        <w:rPr>
          <w:rFonts w:ascii="Century" w:hAnsi="Century"/>
          <w:sz w:val="24"/>
          <w:szCs w:val="24"/>
        </w:rPr>
        <w:t xml:space="preserve">, </w:t>
      </w:r>
      <w:r w:rsidRPr="000C392D">
        <w:rPr>
          <w:rFonts w:ascii="Century" w:hAnsi="Century"/>
          <w:i/>
          <w:sz w:val="24"/>
          <w:szCs w:val="24"/>
        </w:rPr>
        <w:t>Constitutional and Administrative Law</w:t>
      </w:r>
      <w:r w:rsidRPr="000C392D">
        <w:rPr>
          <w:rFonts w:ascii="Century" w:hAnsi="Century"/>
          <w:sz w:val="24"/>
          <w:szCs w:val="24"/>
        </w:rPr>
        <w:t xml:space="preserve"> (10</w:t>
      </w:r>
      <w:r w:rsidRPr="000C392D">
        <w:rPr>
          <w:rFonts w:ascii="Century" w:hAnsi="Century"/>
          <w:sz w:val="24"/>
          <w:szCs w:val="24"/>
          <w:vertAlign w:val="superscript"/>
        </w:rPr>
        <w:t>th</w:t>
      </w:r>
      <w:r w:rsidRPr="000C392D">
        <w:rPr>
          <w:rFonts w:ascii="Century" w:hAnsi="Century"/>
          <w:sz w:val="24"/>
          <w:szCs w:val="24"/>
        </w:rPr>
        <w:t xml:space="preserve"> edn, Routledge </w:t>
      </w:r>
      <w:r>
        <w:rPr>
          <w:rFonts w:ascii="Century" w:hAnsi="Century"/>
          <w:sz w:val="24"/>
          <w:szCs w:val="24"/>
        </w:rPr>
        <w:t>2013)</w:t>
      </w:r>
      <w:r w:rsidRPr="000C392D">
        <w:rPr>
          <w:rFonts w:ascii="Century" w:hAnsi="Century"/>
          <w:sz w:val="24"/>
          <w:szCs w:val="24"/>
        </w:rPr>
        <w:t>.</w:t>
      </w:r>
    </w:p>
    <w:p w:rsidR="004303AB" w:rsidRPr="000C392D" w:rsidRDefault="004303AB" w:rsidP="001A78DA">
      <w:pPr>
        <w:pStyle w:val="FootnoteText"/>
        <w:jc w:val="both"/>
        <w:rPr>
          <w:rFonts w:ascii="Century" w:hAnsi="Century"/>
          <w:sz w:val="24"/>
          <w:szCs w:val="24"/>
          <w:lang w:val="en-US"/>
        </w:rPr>
      </w:pPr>
    </w:p>
    <w:p w:rsidR="00AC7AF4" w:rsidRPr="000C392D" w:rsidRDefault="00AC7AF4" w:rsidP="00AC7AF4">
      <w:pPr>
        <w:pStyle w:val="FootnoteText"/>
        <w:jc w:val="both"/>
        <w:rPr>
          <w:rFonts w:ascii="Century" w:hAnsi="Century"/>
          <w:sz w:val="24"/>
          <w:szCs w:val="24"/>
          <w:lang w:val="en-US"/>
        </w:rPr>
      </w:pPr>
      <w:r w:rsidRPr="000C392D">
        <w:rPr>
          <w:rFonts w:ascii="Century" w:hAnsi="Century"/>
          <w:sz w:val="24"/>
          <w:szCs w:val="24"/>
          <w:lang w:val="en-US"/>
        </w:rPr>
        <w:t xml:space="preserve">Bekink </w:t>
      </w:r>
      <w:r>
        <w:rPr>
          <w:rFonts w:ascii="Century" w:hAnsi="Century"/>
          <w:sz w:val="24"/>
          <w:szCs w:val="24"/>
          <w:lang w:val="en-US"/>
        </w:rPr>
        <w:t xml:space="preserve">B </w:t>
      </w:r>
      <w:r w:rsidRPr="000C392D">
        <w:rPr>
          <w:rFonts w:ascii="Century" w:hAnsi="Century"/>
          <w:sz w:val="24"/>
          <w:szCs w:val="24"/>
          <w:lang w:val="en-US"/>
        </w:rPr>
        <w:t>and Botha</w:t>
      </w:r>
      <w:r>
        <w:rPr>
          <w:rFonts w:ascii="Century" w:hAnsi="Century"/>
          <w:sz w:val="24"/>
          <w:szCs w:val="24"/>
          <w:lang w:val="en-US"/>
        </w:rPr>
        <w:t xml:space="preserve"> C</w:t>
      </w:r>
      <w:r w:rsidRPr="000C392D">
        <w:rPr>
          <w:rFonts w:ascii="Century" w:hAnsi="Century"/>
          <w:sz w:val="24"/>
          <w:szCs w:val="24"/>
          <w:lang w:val="en-US"/>
        </w:rPr>
        <w:t>, ‘Aspects of Legislative Drafting: Some South African Realities (or Plain Language is Not Always Plai</w:t>
      </w:r>
      <w:r>
        <w:rPr>
          <w:rFonts w:ascii="Century" w:hAnsi="Century"/>
          <w:sz w:val="24"/>
          <w:szCs w:val="24"/>
          <w:lang w:val="en-US"/>
        </w:rPr>
        <w:t>n Sailing)’ [2007] 28 SLR 34</w:t>
      </w:r>
      <w:r w:rsidRPr="000C392D">
        <w:rPr>
          <w:rFonts w:ascii="Century" w:hAnsi="Century"/>
          <w:sz w:val="24"/>
          <w:szCs w:val="24"/>
          <w:lang w:val="en-US"/>
        </w:rPr>
        <w:t>.</w:t>
      </w:r>
    </w:p>
    <w:p w:rsidR="00AC7AF4" w:rsidRPr="000C392D" w:rsidRDefault="00AC7AF4" w:rsidP="00AC7AF4">
      <w:pPr>
        <w:pStyle w:val="FootnoteText"/>
        <w:jc w:val="both"/>
        <w:rPr>
          <w:rFonts w:ascii="Century" w:hAnsi="Century"/>
          <w:sz w:val="24"/>
          <w:szCs w:val="24"/>
        </w:rPr>
      </w:pPr>
    </w:p>
    <w:p w:rsidR="00AC7AF4" w:rsidRDefault="00AC7AF4" w:rsidP="00AC7AF4">
      <w:pPr>
        <w:pStyle w:val="FootnoteText"/>
        <w:jc w:val="both"/>
        <w:rPr>
          <w:rFonts w:ascii="Century" w:hAnsi="Century"/>
          <w:sz w:val="24"/>
          <w:szCs w:val="24"/>
          <w:lang w:val="en-US"/>
        </w:rPr>
      </w:pPr>
      <w:r w:rsidRPr="009361B0">
        <w:rPr>
          <w:rFonts w:ascii="Century" w:hAnsi="Century"/>
          <w:sz w:val="24"/>
          <w:szCs w:val="24"/>
          <w:lang w:val="en-US"/>
        </w:rPr>
        <w:t>Berry</w:t>
      </w:r>
      <w:r>
        <w:rPr>
          <w:rFonts w:ascii="Century" w:hAnsi="Century"/>
          <w:sz w:val="24"/>
          <w:szCs w:val="24"/>
          <w:lang w:val="en-US"/>
        </w:rPr>
        <w:t xml:space="preserve"> D</w:t>
      </w:r>
      <w:r w:rsidRPr="009361B0">
        <w:rPr>
          <w:rFonts w:ascii="Century" w:hAnsi="Century"/>
          <w:sz w:val="24"/>
          <w:szCs w:val="24"/>
          <w:lang w:val="en-US"/>
        </w:rPr>
        <w:t>, ‘Audience Analysis in the Legi</w:t>
      </w:r>
      <w:r>
        <w:rPr>
          <w:rFonts w:ascii="Century" w:hAnsi="Century"/>
          <w:sz w:val="24"/>
          <w:szCs w:val="24"/>
          <w:lang w:val="en-US"/>
        </w:rPr>
        <w:t>slative Drafting Process’ (</w:t>
      </w:r>
      <w:r w:rsidRPr="009361B0">
        <w:rPr>
          <w:rFonts w:ascii="Century" w:hAnsi="Century"/>
          <w:sz w:val="24"/>
          <w:szCs w:val="24"/>
          <w:lang w:val="en-US"/>
        </w:rPr>
        <w:t>2000) The Loophole 61</w:t>
      </w:r>
      <w:r>
        <w:rPr>
          <w:rFonts w:ascii="Century" w:hAnsi="Century"/>
          <w:sz w:val="24"/>
          <w:szCs w:val="24"/>
          <w:lang w:val="en-US"/>
        </w:rPr>
        <w:t>.</w:t>
      </w:r>
    </w:p>
    <w:p w:rsidR="00AC7AF4" w:rsidRPr="009361B0" w:rsidRDefault="00AC7AF4" w:rsidP="00AC7AF4">
      <w:pPr>
        <w:pStyle w:val="FootnoteText"/>
        <w:jc w:val="both"/>
        <w:rPr>
          <w:rFonts w:ascii="Century" w:hAnsi="Century"/>
          <w:sz w:val="24"/>
          <w:szCs w:val="24"/>
          <w:lang w:val="en-US"/>
        </w:rPr>
      </w:pPr>
      <w:r w:rsidRPr="009361B0">
        <w:rPr>
          <w:rFonts w:ascii="Century" w:hAnsi="Century"/>
          <w:sz w:val="24"/>
          <w:szCs w:val="24"/>
          <w:lang w:val="en-US"/>
        </w:rPr>
        <w:t>&lt;https://www.opc.gov.au/calc/do</w:t>
      </w:r>
      <w:r>
        <w:rPr>
          <w:rFonts w:ascii="Century" w:hAnsi="Century"/>
          <w:sz w:val="24"/>
          <w:szCs w:val="24"/>
          <w:lang w:val="en-US"/>
        </w:rPr>
        <w:t>cs/Loophole/Loophole_Jun00.pdf&gt;</w:t>
      </w:r>
      <w:r w:rsidR="00AE22AB">
        <w:rPr>
          <w:rFonts w:ascii="Century" w:hAnsi="Century"/>
          <w:sz w:val="24"/>
          <w:szCs w:val="24"/>
          <w:lang w:val="en-US"/>
        </w:rPr>
        <w:t xml:space="preserve"> accessed</w:t>
      </w:r>
      <w:r w:rsidRPr="009361B0">
        <w:rPr>
          <w:rFonts w:ascii="Century" w:hAnsi="Century"/>
          <w:sz w:val="24"/>
          <w:szCs w:val="24"/>
          <w:lang w:val="en-US"/>
        </w:rPr>
        <w:t>14 August 2015</w:t>
      </w:r>
    </w:p>
    <w:p w:rsidR="00AC7AF4" w:rsidRPr="009361B0" w:rsidRDefault="00AC7AF4" w:rsidP="00AC7AF4">
      <w:pPr>
        <w:pStyle w:val="FootnoteText"/>
        <w:jc w:val="both"/>
        <w:rPr>
          <w:rFonts w:ascii="Century" w:hAnsi="Century"/>
          <w:sz w:val="24"/>
          <w:szCs w:val="24"/>
          <w:lang w:val="en-US"/>
        </w:rPr>
      </w:pPr>
    </w:p>
    <w:p w:rsidR="00AC7AF4" w:rsidRDefault="00AC7AF4" w:rsidP="00AC7AF4">
      <w:pPr>
        <w:pStyle w:val="FootnoteText"/>
        <w:jc w:val="both"/>
        <w:rPr>
          <w:rFonts w:ascii="Century" w:hAnsi="Century"/>
          <w:sz w:val="24"/>
          <w:szCs w:val="24"/>
          <w:lang w:val="en-US"/>
        </w:rPr>
      </w:pPr>
      <w:r w:rsidRPr="000C392D">
        <w:rPr>
          <w:rFonts w:ascii="Century" w:hAnsi="Century"/>
          <w:sz w:val="24"/>
          <w:szCs w:val="24"/>
          <w:lang w:val="en-US"/>
        </w:rPr>
        <w:t>Berry</w:t>
      </w:r>
      <w:r>
        <w:rPr>
          <w:rFonts w:ascii="Century" w:hAnsi="Century"/>
          <w:sz w:val="24"/>
          <w:szCs w:val="24"/>
          <w:lang w:val="en-US"/>
        </w:rPr>
        <w:t xml:space="preserve"> D</w:t>
      </w:r>
      <w:r w:rsidRPr="000C392D">
        <w:rPr>
          <w:rFonts w:ascii="Century" w:hAnsi="Century"/>
          <w:sz w:val="24"/>
          <w:szCs w:val="24"/>
          <w:lang w:val="en-US"/>
        </w:rPr>
        <w:t xml:space="preserve">, ‘Keeping the Statute Book Up-To-Date-A Personal View’ </w:t>
      </w:r>
      <w:r>
        <w:rPr>
          <w:rFonts w:ascii="Century" w:hAnsi="Century"/>
          <w:sz w:val="24"/>
          <w:szCs w:val="24"/>
          <w:lang w:val="en-US"/>
        </w:rPr>
        <w:t>(2007) The Loophole 33.</w:t>
      </w:r>
    </w:p>
    <w:p w:rsidR="00AC7AF4" w:rsidRPr="000C392D" w:rsidRDefault="00AC7AF4" w:rsidP="00AC7AF4">
      <w:pPr>
        <w:pStyle w:val="FootnoteText"/>
        <w:jc w:val="both"/>
        <w:rPr>
          <w:rFonts w:ascii="Century" w:hAnsi="Century"/>
          <w:sz w:val="24"/>
          <w:szCs w:val="24"/>
          <w:lang w:val="en-US"/>
        </w:rPr>
      </w:pPr>
      <w:r w:rsidRPr="000C392D">
        <w:rPr>
          <w:rFonts w:ascii="Century" w:hAnsi="Century"/>
          <w:sz w:val="24"/>
          <w:szCs w:val="24"/>
        </w:rPr>
        <w:t>&lt;</w:t>
      </w:r>
      <w:r w:rsidRPr="000C392D">
        <w:rPr>
          <w:rFonts w:ascii="Century" w:hAnsi="Century"/>
          <w:sz w:val="24"/>
          <w:szCs w:val="24"/>
          <w:lang w:val="en-US"/>
        </w:rPr>
        <w:t xml:space="preserve">https://www.opc.gov.au/calc/docs/Loophole_papers/Berry_Oct2007.pdf&gt; accessed </w:t>
      </w:r>
      <w:r w:rsidR="009A43A9">
        <w:rPr>
          <w:rFonts w:ascii="Century" w:hAnsi="Century"/>
          <w:sz w:val="24"/>
          <w:szCs w:val="24"/>
          <w:lang w:val="en-US"/>
        </w:rPr>
        <w:t>19 August 2015</w:t>
      </w:r>
    </w:p>
    <w:p w:rsidR="00AC7AF4" w:rsidRPr="000C392D" w:rsidRDefault="00AC7AF4" w:rsidP="00AC7AF4">
      <w:pPr>
        <w:pStyle w:val="FootnoteText"/>
        <w:jc w:val="both"/>
        <w:rPr>
          <w:rFonts w:ascii="Century" w:hAnsi="Century"/>
          <w:sz w:val="24"/>
          <w:szCs w:val="24"/>
          <w:lang w:val="en-US"/>
        </w:rPr>
      </w:pPr>
    </w:p>
    <w:p w:rsidR="00AC7AF4" w:rsidRPr="000C392D" w:rsidRDefault="00AC7AF4" w:rsidP="00AC7AF4">
      <w:pPr>
        <w:pStyle w:val="FootnoteText"/>
        <w:jc w:val="both"/>
        <w:rPr>
          <w:rFonts w:ascii="Century" w:hAnsi="Century"/>
          <w:sz w:val="24"/>
          <w:szCs w:val="24"/>
        </w:rPr>
      </w:pPr>
      <w:r w:rsidRPr="000C392D">
        <w:rPr>
          <w:rFonts w:ascii="Century" w:hAnsi="Century"/>
          <w:sz w:val="24"/>
          <w:szCs w:val="24"/>
          <w:lang w:val="en-US"/>
        </w:rPr>
        <w:t>Berry</w:t>
      </w:r>
      <w:r>
        <w:rPr>
          <w:rFonts w:ascii="Century" w:hAnsi="Century"/>
          <w:sz w:val="24"/>
          <w:szCs w:val="24"/>
          <w:lang w:val="en-US"/>
        </w:rPr>
        <w:t xml:space="preserve"> D</w:t>
      </w:r>
      <w:r w:rsidRPr="000C392D">
        <w:rPr>
          <w:rFonts w:ascii="Century" w:hAnsi="Century"/>
          <w:sz w:val="24"/>
          <w:szCs w:val="24"/>
          <w:lang w:val="en-US"/>
        </w:rPr>
        <w:t>, ‘Reducing the Complexity</w:t>
      </w:r>
      <w:r>
        <w:rPr>
          <w:rFonts w:ascii="Century" w:hAnsi="Century"/>
          <w:sz w:val="24"/>
          <w:szCs w:val="24"/>
          <w:lang w:val="en-US"/>
        </w:rPr>
        <w:t xml:space="preserve"> of Legislative Sentences’ (2009) The Loophole 37</w:t>
      </w:r>
      <w:r w:rsidRPr="000C392D">
        <w:rPr>
          <w:rFonts w:ascii="Century" w:hAnsi="Century"/>
          <w:sz w:val="24"/>
          <w:szCs w:val="24"/>
          <w:lang w:val="en-US"/>
        </w:rPr>
        <w:t>.</w:t>
      </w:r>
      <w:r w:rsidRPr="000C392D">
        <w:rPr>
          <w:rFonts w:ascii="Century" w:hAnsi="Century"/>
          <w:sz w:val="24"/>
          <w:szCs w:val="24"/>
        </w:rPr>
        <w:t xml:space="preserve"> </w:t>
      </w:r>
      <w:r>
        <w:rPr>
          <w:rFonts w:ascii="Century" w:hAnsi="Century"/>
          <w:sz w:val="24"/>
          <w:szCs w:val="24"/>
        </w:rPr>
        <w:t xml:space="preserve">  </w:t>
      </w:r>
    </w:p>
    <w:p w:rsidR="00AC7AF4" w:rsidRPr="000C392D" w:rsidRDefault="00AC7AF4" w:rsidP="00AC7AF4">
      <w:pPr>
        <w:pStyle w:val="FootnoteText"/>
        <w:jc w:val="both"/>
        <w:rPr>
          <w:rFonts w:ascii="Century" w:hAnsi="Century"/>
          <w:sz w:val="24"/>
          <w:szCs w:val="24"/>
          <w:lang w:val="en-US"/>
        </w:rPr>
      </w:pPr>
      <w:r w:rsidRPr="000C392D">
        <w:rPr>
          <w:rFonts w:ascii="Century" w:hAnsi="Century"/>
          <w:sz w:val="24"/>
          <w:szCs w:val="24"/>
        </w:rPr>
        <w:t>&lt;</w:t>
      </w:r>
      <w:r w:rsidRPr="000C392D">
        <w:rPr>
          <w:rFonts w:ascii="Century" w:hAnsi="Century"/>
          <w:sz w:val="24"/>
          <w:szCs w:val="24"/>
          <w:lang w:val="en-US"/>
        </w:rPr>
        <w:t>https://www.opc.gov.au/calc/docs/Loophole/Loophole_Jan09.pdf&gt; accessed 7 August 2015</w:t>
      </w:r>
    </w:p>
    <w:p w:rsidR="00AC7AF4" w:rsidRDefault="00AC7AF4" w:rsidP="00AC7AF4">
      <w:pPr>
        <w:pStyle w:val="FootnoteText"/>
        <w:jc w:val="both"/>
        <w:rPr>
          <w:rFonts w:ascii="Century" w:hAnsi="Century"/>
          <w:sz w:val="24"/>
          <w:szCs w:val="24"/>
          <w:lang w:val="en-US"/>
        </w:rPr>
      </w:pPr>
    </w:p>
    <w:p w:rsidR="00AC7AF4" w:rsidRDefault="00AC7AF4" w:rsidP="00AC7AF4">
      <w:pPr>
        <w:pStyle w:val="FootnoteText"/>
        <w:jc w:val="both"/>
      </w:pPr>
      <w:r w:rsidRPr="000C392D">
        <w:rPr>
          <w:rFonts w:ascii="Century" w:hAnsi="Century"/>
          <w:sz w:val="24"/>
          <w:szCs w:val="24"/>
          <w:lang w:val="en-US"/>
        </w:rPr>
        <w:t>Bertlin</w:t>
      </w:r>
      <w:r>
        <w:rPr>
          <w:rFonts w:ascii="Century" w:hAnsi="Century"/>
          <w:sz w:val="24"/>
          <w:szCs w:val="24"/>
          <w:lang w:val="en-US"/>
        </w:rPr>
        <w:t xml:space="preserve"> A</w:t>
      </w:r>
      <w:r w:rsidRPr="000C392D">
        <w:rPr>
          <w:rFonts w:ascii="Century" w:hAnsi="Century"/>
          <w:sz w:val="24"/>
          <w:szCs w:val="24"/>
          <w:lang w:val="en-US"/>
        </w:rPr>
        <w:t>, ‘</w:t>
      </w:r>
      <w:r w:rsidRPr="000C392D">
        <w:rPr>
          <w:rFonts w:ascii="Century" w:hAnsi="Century"/>
          <w:sz w:val="24"/>
          <w:szCs w:val="24"/>
        </w:rPr>
        <w:t>What Works Best for the Readers? A Study on Drafting and Presenting Legislation’ (May 2014) The Loophole</w:t>
      </w:r>
      <w:r>
        <w:rPr>
          <w:rFonts w:ascii="Century" w:hAnsi="Century"/>
          <w:sz w:val="24"/>
          <w:szCs w:val="24"/>
          <w:lang w:val="en-US"/>
        </w:rPr>
        <w:t xml:space="preserve"> 25</w:t>
      </w:r>
      <w:r w:rsidRPr="000C392D">
        <w:rPr>
          <w:rFonts w:ascii="Century" w:hAnsi="Century"/>
          <w:sz w:val="24"/>
          <w:szCs w:val="24"/>
          <w:lang w:val="en-US"/>
        </w:rPr>
        <w:t>.</w:t>
      </w:r>
      <w:r w:rsidRPr="00224DAB">
        <w:t xml:space="preserve"> </w:t>
      </w:r>
    </w:p>
    <w:p w:rsidR="00AC7AF4" w:rsidRPr="000C392D" w:rsidRDefault="00AC7AF4" w:rsidP="00AC7AF4">
      <w:pPr>
        <w:pStyle w:val="FootnoteText"/>
        <w:jc w:val="both"/>
        <w:rPr>
          <w:rFonts w:ascii="Century" w:hAnsi="Century"/>
          <w:sz w:val="24"/>
          <w:szCs w:val="24"/>
          <w:lang w:val="en-US"/>
        </w:rPr>
      </w:pPr>
      <w:r>
        <w:t>&lt;</w:t>
      </w:r>
      <w:r w:rsidRPr="00224DAB">
        <w:rPr>
          <w:rFonts w:ascii="Century" w:hAnsi="Century"/>
          <w:sz w:val="24"/>
          <w:szCs w:val="24"/>
          <w:lang w:val="en-US"/>
        </w:rPr>
        <w:t>https://www.gov.uk/government/uploads/system/uploads/attachment_data/file/326937/Loophole_-_2014-2__2014-05-09_-What_works_best_for_the_reader.pdf</w:t>
      </w:r>
      <w:r>
        <w:rPr>
          <w:rFonts w:ascii="Century" w:hAnsi="Century"/>
          <w:sz w:val="24"/>
          <w:szCs w:val="24"/>
          <w:lang w:val="en-US"/>
        </w:rPr>
        <w:t>&gt; accessed 23 August 2015</w:t>
      </w:r>
    </w:p>
    <w:p w:rsidR="00AC7AF4" w:rsidRDefault="00AC7AF4" w:rsidP="00AC7AF4">
      <w:pPr>
        <w:pStyle w:val="FootnoteText"/>
        <w:jc w:val="both"/>
        <w:rPr>
          <w:rFonts w:ascii="Century" w:hAnsi="Century"/>
          <w:sz w:val="24"/>
          <w:szCs w:val="24"/>
          <w:lang w:val="en-US"/>
        </w:rPr>
      </w:pPr>
    </w:p>
    <w:p w:rsidR="00AC7AF4" w:rsidRDefault="00AC7AF4" w:rsidP="007C0020">
      <w:pPr>
        <w:pStyle w:val="FootnoteText"/>
        <w:jc w:val="both"/>
        <w:rPr>
          <w:rFonts w:ascii="Century" w:hAnsi="Century"/>
          <w:sz w:val="24"/>
          <w:szCs w:val="24"/>
        </w:rPr>
      </w:pPr>
    </w:p>
    <w:p w:rsidR="00AC7AF4" w:rsidRDefault="00AC7AF4" w:rsidP="007C0020">
      <w:pPr>
        <w:pStyle w:val="FootnoteText"/>
        <w:jc w:val="both"/>
        <w:rPr>
          <w:rFonts w:ascii="Century" w:hAnsi="Century"/>
          <w:sz w:val="24"/>
          <w:szCs w:val="24"/>
        </w:rPr>
      </w:pPr>
    </w:p>
    <w:p w:rsidR="00AC7AF4" w:rsidRDefault="00AC7AF4" w:rsidP="007C0020">
      <w:pPr>
        <w:pStyle w:val="FootnoteText"/>
        <w:jc w:val="both"/>
        <w:rPr>
          <w:rFonts w:ascii="Century" w:hAnsi="Century"/>
          <w:sz w:val="24"/>
          <w:szCs w:val="24"/>
        </w:rPr>
      </w:pPr>
    </w:p>
    <w:p w:rsidR="004303AB" w:rsidRDefault="004303AB" w:rsidP="007C0020">
      <w:pPr>
        <w:pStyle w:val="FootnoteText"/>
        <w:jc w:val="both"/>
        <w:rPr>
          <w:rFonts w:ascii="Century" w:hAnsi="Century"/>
          <w:sz w:val="24"/>
          <w:szCs w:val="24"/>
        </w:rPr>
      </w:pPr>
      <w:r w:rsidRPr="000C392D">
        <w:rPr>
          <w:rFonts w:ascii="Century" w:hAnsi="Century"/>
          <w:sz w:val="24"/>
          <w:szCs w:val="24"/>
        </w:rPr>
        <w:t>Bingham</w:t>
      </w:r>
      <w:r>
        <w:rPr>
          <w:rFonts w:ascii="Century" w:hAnsi="Century"/>
          <w:sz w:val="24"/>
          <w:szCs w:val="24"/>
        </w:rPr>
        <w:t xml:space="preserve"> T</w:t>
      </w:r>
      <w:r w:rsidRPr="000C392D">
        <w:rPr>
          <w:rFonts w:ascii="Century" w:hAnsi="Century"/>
          <w:sz w:val="24"/>
          <w:szCs w:val="24"/>
        </w:rPr>
        <w:t xml:space="preserve">, </w:t>
      </w:r>
      <w:r w:rsidRPr="000C392D">
        <w:rPr>
          <w:rFonts w:ascii="Century" w:hAnsi="Century"/>
          <w:i/>
          <w:sz w:val="24"/>
          <w:szCs w:val="24"/>
        </w:rPr>
        <w:t>The Rule of Law</w:t>
      </w:r>
      <w:r w:rsidR="00C86F86">
        <w:rPr>
          <w:rFonts w:ascii="Century" w:hAnsi="Century"/>
          <w:sz w:val="24"/>
          <w:szCs w:val="24"/>
        </w:rPr>
        <w:t xml:space="preserve"> (</w:t>
      </w:r>
      <w:r>
        <w:rPr>
          <w:rFonts w:ascii="Century" w:hAnsi="Century"/>
          <w:sz w:val="24"/>
          <w:szCs w:val="24"/>
        </w:rPr>
        <w:t>Allen Lane</w:t>
      </w:r>
      <w:r w:rsidR="00C86F86">
        <w:rPr>
          <w:rFonts w:ascii="Century" w:hAnsi="Century"/>
          <w:sz w:val="24"/>
          <w:szCs w:val="24"/>
        </w:rPr>
        <w:t xml:space="preserve"> 2010</w:t>
      </w:r>
      <w:r>
        <w:rPr>
          <w:rFonts w:ascii="Century" w:hAnsi="Century"/>
          <w:sz w:val="24"/>
          <w:szCs w:val="24"/>
        </w:rPr>
        <w:t>).</w:t>
      </w:r>
    </w:p>
    <w:p w:rsidR="004303AB" w:rsidRDefault="004303AB" w:rsidP="004303AB">
      <w:pPr>
        <w:pStyle w:val="FootnoteText"/>
        <w:rPr>
          <w:rFonts w:ascii="Century" w:hAnsi="Century"/>
          <w:sz w:val="24"/>
          <w:szCs w:val="24"/>
        </w:rPr>
      </w:pPr>
    </w:p>
    <w:p w:rsidR="00AC7AF4" w:rsidRPr="004579C0" w:rsidRDefault="00AC7AF4" w:rsidP="00AC7AF4">
      <w:pPr>
        <w:pStyle w:val="FootnoteText"/>
        <w:jc w:val="both"/>
        <w:rPr>
          <w:rFonts w:ascii="Century" w:hAnsi="Century"/>
          <w:sz w:val="24"/>
          <w:szCs w:val="24"/>
        </w:rPr>
      </w:pPr>
      <w:r w:rsidRPr="004579C0">
        <w:rPr>
          <w:rFonts w:ascii="Century" w:hAnsi="Century"/>
          <w:sz w:val="24"/>
          <w:szCs w:val="24"/>
          <w:lang w:val="en-US"/>
        </w:rPr>
        <w:t>Biribonwoha</w:t>
      </w:r>
      <w:r>
        <w:rPr>
          <w:rFonts w:ascii="Century" w:hAnsi="Century"/>
          <w:sz w:val="24"/>
          <w:szCs w:val="24"/>
          <w:lang w:val="en-US"/>
        </w:rPr>
        <w:t xml:space="preserve"> PP</w:t>
      </w:r>
      <w:r w:rsidRPr="004579C0">
        <w:rPr>
          <w:rFonts w:ascii="Century" w:hAnsi="Century"/>
          <w:sz w:val="24"/>
          <w:szCs w:val="24"/>
          <w:lang w:val="en-US"/>
        </w:rPr>
        <w:t xml:space="preserve">, ‘Efficiency of the </w:t>
      </w:r>
      <w:r>
        <w:rPr>
          <w:rFonts w:ascii="Century" w:hAnsi="Century"/>
          <w:sz w:val="24"/>
          <w:szCs w:val="24"/>
          <w:lang w:val="en-US"/>
        </w:rPr>
        <w:t>Legislative Process in Uganda’ [2005]</w:t>
      </w:r>
      <w:r w:rsidRPr="004579C0">
        <w:rPr>
          <w:rFonts w:ascii="Century" w:hAnsi="Century"/>
          <w:sz w:val="24"/>
          <w:szCs w:val="24"/>
          <w:lang w:val="en-US"/>
        </w:rPr>
        <w:t xml:space="preserve"> 7 Eur JL Reform 135</w:t>
      </w:r>
      <w:r>
        <w:rPr>
          <w:rFonts w:ascii="Century" w:hAnsi="Century"/>
          <w:sz w:val="24"/>
          <w:szCs w:val="24"/>
          <w:lang w:val="en-US"/>
        </w:rPr>
        <w:t>.</w:t>
      </w:r>
    </w:p>
    <w:p w:rsidR="00AC7AF4" w:rsidRDefault="00AC7AF4" w:rsidP="00AC7AF4">
      <w:pPr>
        <w:pStyle w:val="FootnoteText"/>
        <w:jc w:val="both"/>
        <w:rPr>
          <w:rFonts w:ascii="Century" w:hAnsi="Century"/>
          <w:sz w:val="24"/>
          <w:szCs w:val="24"/>
          <w:lang w:val="en-US"/>
        </w:rPr>
      </w:pPr>
    </w:p>
    <w:p w:rsidR="00AC7AF4" w:rsidRPr="000C392D" w:rsidRDefault="00AC7AF4" w:rsidP="00AC7AF4">
      <w:pPr>
        <w:pStyle w:val="FootnoteText"/>
        <w:jc w:val="both"/>
        <w:rPr>
          <w:rFonts w:ascii="Century" w:hAnsi="Century"/>
          <w:sz w:val="24"/>
          <w:szCs w:val="24"/>
          <w:lang w:val="en-US"/>
        </w:rPr>
      </w:pPr>
      <w:r w:rsidRPr="000C392D">
        <w:rPr>
          <w:rFonts w:ascii="Century" w:hAnsi="Century"/>
          <w:sz w:val="24"/>
          <w:szCs w:val="24"/>
          <w:lang w:val="en-US"/>
        </w:rPr>
        <w:t>Boyd</w:t>
      </w:r>
      <w:r>
        <w:rPr>
          <w:rFonts w:ascii="Century" w:hAnsi="Century"/>
          <w:sz w:val="24"/>
          <w:szCs w:val="24"/>
          <w:lang w:val="en-US"/>
        </w:rPr>
        <w:t xml:space="preserve"> JP</w:t>
      </w:r>
      <w:r w:rsidRPr="000C392D">
        <w:rPr>
          <w:rFonts w:ascii="Century" w:hAnsi="Century"/>
          <w:sz w:val="24"/>
          <w:szCs w:val="24"/>
          <w:lang w:val="en-US"/>
        </w:rPr>
        <w:t>, ‘Legislative Intelligibility and the Rule of Law’ (16 January 2015)</w:t>
      </w:r>
      <w:r>
        <w:rPr>
          <w:rFonts w:ascii="Century" w:hAnsi="Century"/>
          <w:sz w:val="24"/>
          <w:szCs w:val="24"/>
          <w:lang w:val="en-US"/>
        </w:rPr>
        <w:t>.</w:t>
      </w:r>
      <w:r w:rsidRPr="000C392D">
        <w:rPr>
          <w:rFonts w:ascii="Century" w:hAnsi="Century"/>
          <w:sz w:val="24"/>
          <w:szCs w:val="24"/>
        </w:rPr>
        <w:t xml:space="preserve"> &lt;</w:t>
      </w:r>
      <w:r w:rsidRPr="000C392D">
        <w:rPr>
          <w:rFonts w:ascii="Century" w:hAnsi="Century"/>
          <w:sz w:val="24"/>
          <w:szCs w:val="24"/>
          <w:lang w:val="en-US"/>
        </w:rPr>
        <w:t>http://www.slaw.ca/2015/01/16/legislative-intelligibility-and-the-rule-of-law/&gt; accessed 25 July 2015</w:t>
      </w:r>
    </w:p>
    <w:p w:rsidR="00AC7AF4" w:rsidRPr="000C392D" w:rsidRDefault="00AC7AF4" w:rsidP="00AC7AF4">
      <w:pPr>
        <w:pStyle w:val="FootnoteText"/>
        <w:jc w:val="both"/>
        <w:rPr>
          <w:rFonts w:ascii="Century" w:hAnsi="Century"/>
          <w:sz w:val="24"/>
          <w:szCs w:val="24"/>
        </w:rPr>
      </w:pPr>
    </w:p>
    <w:p w:rsidR="00AC7AF4" w:rsidRPr="000C392D" w:rsidRDefault="00AC7AF4" w:rsidP="00AC7AF4">
      <w:pPr>
        <w:pStyle w:val="FootnoteText"/>
        <w:jc w:val="both"/>
        <w:rPr>
          <w:rFonts w:ascii="Century" w:hAnsi="Century"/>
          <w:sz w:val="24"/>
          <w:szCs w:val="24"/>
          <w:lang w:val="en-US"/>
        </w:rPr>
      </w:pPr>
      <w:r w:rsidRPr="000C392D">
        <w:rPr>
          <w:rFonts w:ascii="Century" w:hAnsi="Century"/>
          <w:sz w:val="24"/>
          <w:szCs w:val="24"/>
          <w:lang w:val="en-US"/>
        </w:rPr>
        <w:t>Bowman</w:t>
      </w:r>
      <w:r>
        <w:rPr>
          <w:rFonts w:ascii="Century" w:hAnsi="Century"/>
          <w:sz w:val="24"/>
          <w:szCs w:val="24"/>
          <w:lang w:val="en-US"/>
        </w:rPr>
        <w:t xml:space="preserve"> G</w:t>
      </w:r>
      <w:r w:rsidRPr="000C392D">
        <w:rPr>
          <w:rFonts w:ascii="Century" w:hAnsi="Century"/>
          <w:sz w:val="24"/>
          <w:szCs w:val="24"/>
          <w:lang w:val="en-US"/>
        </w:rPr>
        <w:t>, ‘The Art of Legislative Draft</w:t>
      </w:r>
      <w:r>
        <w:rPr>
          <w:rFonts w:ascii="Century" w:hAnsi="Century"/>
          <w:sz w:val="24"/>
          <w:szCs w:val="24"/>
          <w:lang w:val="en-US"/>
        </w:rPr>
        <w:t>ing’ (2006) 64 Amicus Curiae 2</w:t>
      </w:r>
      <w:r w:rsidRPr="000C392D">
        <w:rPr>
          <w:rFonts w:ascii="Century" w:hAnsi="Century"/>
          <w:sz w:val="24"/>
          <w:szCs w:val="24"/>
          <w:lang w:val="en-US"/>
        </w:rPr>
        <w:t>.</w:t>
      </w:r>
    </w:p>
    <w:p w:rsidR="00AC7AF4" w:rsidRPr="000C392D" w:rsidRDefault="00AC7AF4" w:rsidP="00AC7AF4">
      <w:pPr>
        <w:pStyle w:val="FootnoteText"/>
        <w:jc w:val="both"/>
        <w:rPr>
          <w:rFonts w:ascii="Century" w:hAnsi="Century"/>
          <w:sz w:val="24"/>
          <w:szCs w:val="24"/>
          <w:lang w:val="en-US"/>
        </w:rPr>
      </w:pPr>
      <w:r w:rsidRPr="000C392D">
        <w:rPr>
          <w:rFonts w:ascii="Century" w:hAnsi="Century"/>
          <w:sz w:val="24"/>
          <w:szCs w:val="24"/>
        </w:rPr>
        <w:t xml:space="preserve"> &lt;</w:t>
      </w:r>
      <w:r w:rsidRPr="000C392D">
        <w:rPr>
          <w:rFonts w:ascii="Century" w:hAnsi="Century"/>
          <w:sz w:val="24"/>
          <w:szCs w:val="24"/>
          <w:lang w:val="en-US"/>
        </w:rPr>
        <w:t>http://sas-space.sas.ac.uk/136/1/BowmanGeoffreyIssue064.pdf&gt; accessed 9 August 2015</w:t>
      </w:r>
    </w:p>
    <w:p w:rsidR="00AC7AF4" w:rsidRDefault="00AC7AF4" w:rsidP="00AC7AF4">
      <w:pPr>
        <w:pStyle w:val="FootnoteText"/>
        <w:jc w:val="both"/>
        <w:rPr>
          <w:rFonts w:ascii="Century" w:hAnsi="Century"/>
          <w:sz w:val="24"/>
          <w:szCs w:val="24"/>
        </w:rPr>
      </w:pPr>
    </w:p>
    <w:p w:rsidR="00AC7AF4" w:rsidRPr="000C392D" w:rsidRDefault="00AC7AF4" w:rsidP="00AC7AF4">
      <w:pPr>
        <w:pStyle w:val="FootnoteText"/>
        <w:jc w:val="both"/>
        <w:rPr>
          <w:rFonts w:ascii="Century" w:hAnsi="Century"/>
          <w:sz w:val="24"/>
          <w:szCs w:val="24"/>
        </w:rPr>
      </w:pPr>
      <w:r w:rsidRPr="000C392D">
        <w:rPr>
          <w:rFonts w:ascii="Century" w:hAnsi="Century"/>
          <w:sz w:val="24"/>
          <w:szCs w:val="24"/>
        </w:rPr>
        <w:t>Burrows</w:t>
      </w:r>
      <w:r>
        <w:rPr>
          <w:rFonts w:ascii="Century" w:hAnsi="Century"/>
          <w:sz w:val="24"/>
          <w:szCs w:val="24"/>
        </w:rPr>
        <w:t xml:space="preserve"> JF</w:t>
      </w:r>
      <w:r w:rsidRPr="000C392D">
        <w:rPr>
          <w:rFonts w:ascii="Century" w:hAnsi="Century"/>
          <w:sz w:val="24"/>
          <w:szCs w:val="24"/>
        </w:rPr>
        <w:t xml:space="preserve"> and Carter</w:t>
      </w:r>
      <w:r>
        <w:rPr>
          <w:rFonts w:ascii="Century" w:hAnsi="Century"/>
          <w:sz w:val="24"/>
          <w:szCs w:val="24"/>
        </w:rPr>
        <w:t xml:space="preserve"> RI</w:t>
      </w:r>
      <w:r w:rsidRPr="000C392D">
        <w:rPr>
          <w:rFonts w:ascii="Century" w:hAnsi="Century"/>
          <w:sz w:val="24"/>
          <w:szCs w:val="24"/>
        </w:rPr>
        <w:t xml:space="preserve">, </w:t>
      </w:r>
      <w:r w:rsidRPr="000C392D">
        <w:rPr>
          <w:rFonts w:ascii="Century" w:hAnsi="Century"/>
          <w:i/>
          <w:sz w:val="24"/>
          <w:szCs w:val="24"/>
        </w:rPr>
        <w:t>Statute Law in New Zealand</w:t>
      </w:r>
      <w:r w:rsidRPr="000C392D">
        <w:rPr>
          <w:rFonts w:ascii="Century" w:hAnsi="Century"/>
          <w:sz w:val="24"/>
          <w:szCs w:val="24"/>
        </w:rPr>
        <w:t xml:space="preserve"> (4</w:t>
      </w:r>
      <w:r w:rsidRPr="000C392D">
        <w:rPr>
          <w:rFonts w:ascii="Century" w:hAnsi="Century"/>
          <w:sz w:val="24"/>
          <w:szCs w:val="24"/>
          <w:vertAlign w:val="superscript"/>
        </w:rPr>
        <w:t>th</w:t>
      </w:r>
      <w:r>
        <w:rPr>
          <w:rFonts w:ascii="Century" w:hAnsi="Century"/>
          <w:sz w:val="24"/>
          <w:szCs w:val="24"/>
        </w:rPr>
        <w:t xml:space="preserve"> edn,</w:t>
      </w:r>
      <w:r w:rsidRPr="000C392D">
        <w:rPr>
          <w:rFonts w:ascii="Century" w:hAnsi="Century"/>
          <w:sz w:val="24"/>
          <w:szCs w:val="24"/>
        </w:rPr>
        <w:t xml:space="preserve"> LexisNexis</w:t>
      </w:r>
      <w:r>
        <w:rPr>
          <w:rFonts w:ascii="Century" w:hAnsi="Century"/>
          <w:sz w:val="24"/>
          <w:szCs w:val="24"/>
        </w:rPr>
        <w:t xml:space="preserve"> 2009</w:t>
      </w:r>
      <w:r w:rsidRPr="000C392D">
        <w:rPr>
          <w:rFonts w:ascii="Century" w:hAnsi="Century"/>
          <w:sz w:val="24"/>
          <w:szCs w:val="24"/>
        </w:rPr>
        <w:t xml:space="preserve">). </w:t>
      </w:r>
    </w:p>
    <w:p w:rsidR="00AC7AF4" w:rsidRDefault="00AC7AF4" w:rsidP="00AC7AF4">
      <w:pPr>
        <w:pStyle w:val="FootnoteText"/>
        <w:rPr>
          <w:rFonts w:ascii="Century" w:hAnsi="Century"/>
          <w:sz w:val="24"/>
          <w:szCs w:val="24"/>
        </w:rPr>
      </w:pPr>
    </w:p>
    <w:p w:rsidR="007A6E46" w:rsidRDefault="007A6E46" w:rsidP="007A6E46">
      <w:pPr>
        <w:pStyle w:val="FootnoteText"/>
        <w:jc w:val="both"/>
        <w:rPr>
          <w:rFonts w:ascii="Century" w:hAnsi="Century"/>
          <w:sz w:val="24"/>
          <w:szCs w:val="24"/>
        </w:rPr>
      </w:pPr>
      <w:r w:rsidRPr="000C392D">
        <w:rPr>
          <w:rFonts w:ascii="Century" w:hAnsi="Century"/>
          <w:sz w:val="24"/>
          <w:szCs w:val="24"/>
          <w:lang w:val="en-US"/>
        </w:rPr>
        <w:t>Butt</w:t>
      </w:r>
      <w:r>
        <w:rPr>
          <w:rFonts w:ascii="Century" w:hAnsi="Century"/>
          <w:sz w:val="24"/>
          <w:szCs w:val="24"/>
          <w:lang w:val="en-US"/>
        </w:rPr>
        <w:t xml:space="preserve"> P</w:t>
      </w:r>
      <w:r w:rsidRPr="000C392D">
        <w:rPr>
          <w:rFonts w:ascii="Century" w:hAnsi="Century"/>
          <w:sz w:val="24"/>
          <w:szCs w:val="24"/>
          <w:lang w:val="en-US"/>
        </w:rPr>
        <w:t>, ‘What is Plain Language and why use it? Speaking Plainly: Plain Language for Non-Lawyers’ (12 September 2002).</w:t>
      </w:r>
      <w:r w:rsidRPr="000C392D">
        <w:rPr>
          <w:rFonts w:ascii="Century" w:hAnsi="Century"/>
          <w:sz w:val="24"/>
          <w:szCs w:val="24"/>
        </w:rPr>
        <w:t xml:space="preserve"> </w:t>
      </w:r>
    </w:p>
    <w:p w:rsidR="007A6E46" w:rsidRPr="000C392D" w:rsidRDefault="007A6E46" w:rsidP="007A6E46">
      <w:pPr>
        <w:pStyle w:val="FootnoteText"/>
        <w:jc w:val="both"/>
        <w:rPr>
          <w:rFonts w:ascii="Century" w:hAnsi="Century"/>
          <w:sz w:val="24"/>
          <w:szCs w:val="24"/>
          <w:lang w:val="en-US"/>
        </w:rPr>
      </w:pPr>
      <w:r w:rsidRPr="000C392D">
        <w:rPr>
          <w:rFonts w:ascii="Century" w:hAnsi="Century"/>
          <w:sz w:val="24"/>
          <w:szCs w:val="24"/>
        </w:rPr>
        <w:t>&lt;</w:t>
      </w:r>
      <w:r w:rsidRPr="000C392D">
        <w:rPr>
          <w:rFonts w:ascii="Century" w:hAnsi="Century"/>
          <w:sz w:val="24"/>
          <w:szCs w:val="24"/>
          <w:lang w:val="en-US"/>
        </w:rPr>
        <w:t>http://www.lawfoundation.net.au/ljf/app/&amp;id=/2FD34F71BE2A0155CA25714C001739DA&gt; accessed 10 August 2015</w:t>
      </w:r>
    </w:p>
    <w:p w:rsidR="007A6E46" w:rsidRDefault="007A6E46" w:rsidP="007A6E46">
      <w:pPr>
        <w:pStyle w:val="FootnoteText"/>
        <w:jc w:val="both"/>
        <w:rPr>
          <w:rFonts w:ascii="Century" w:hAnsi="Century"/>
          <w:sz w:val="24"/>
          <w:szCs w:val="24"/>
          <w:lang w:val="en-US"/>
        </w:rPr>
      </w:pPr>
    </w:p>
    <w:p w:rsidR="00AC7AF4" w:rsidRPr="000C392D" w:rsidRDefault="00AC7AF4" w:rsidP="00AC7AF4">
      <w:pPr>
        <w:pStyle w:val="FootnoteText"/>
        <w:jc w:val="both"/>
        <w:rPr>
          <w:rFonts w:ascii="Century" w:hAnsi="Century"/>
          <w:sz w:val="24"/>
          <w:szCs w:val="24"/>
        </w:rPr>
      </w:pPr>
      <w:r w:rsidRPr="000C392D">
        <w:rPr>
          <w:rFonts w:ascii="Century" w:hAnsi="Century"/>
          <w:sz w:val="24"/>
          <w:szCs w:val="24"/>
        </w:rPr>
        <w:t>Butt</w:t>
      </w:r>
      <w:r>
        <w:rPr>
          <w:rFonts w:ascii="Century" w:hAnsi="Century"/>
          <w:sz w:val="24"/>
          <w:szCs w:val="24"/>
        </w:rPr>
        <w:t xml:space="preserve"> P</w:t>
      </w:r>
      <w:r w:rsidRPr="000C392D">
        <w:rPr>
          <w:rFonts w:ascii="Century" w:hAnsi="Century"/>
          <w:sz w:val="24"/>
          <w:szCs w:val="24"/>
        </w:rPr>
        <w:t xml:space="preserve">, </w:t>
      </w:r>
      <w:r w:rsidRPr="000C392D">
        <w:rPr>
          <w:rFonts w:ascii="Century" w:hAnsi="Century"/>
          <w:i/>
          <w:sz w:val="24"/>
          <w:szCs w:val="24"/>
        </w:rPr>
        <w:t>Modern Legal Drafting: A Guide to Using Clearer Language</w:t>
      </w:r>
      <w:r w:rsidRPr="000C392D">
        <w:rPr>
          <w:rFonts w:ascii="Century" w:hAnsi="Century"/>
          <w:sz w:val="24"/>
          <w:szCs w:val="24"/>
        </w:rPr>
        <w:t xml:space="preserve"> (3</w:t>
      </w:r>
      <w:r w:rsidRPr="000C392D">
        <w:rPr>
          <w:rFonts w:ascii="Century" w:hAnsi="Century"/>
          <w:sz w:val="24"/>
          <w:szCs w:val="24"/>
          <w:vertAlign w:val="superscript"/>
        </w:rPr>
        <w:t>rd</w:t>
      </w:r>
      <w:r w:rsidRPr="000C392D">
        <w:rPr>
          <w:rFonts w:ascii="Century" w:hAnsi="Century"/>
          <w:sz w:val="24"/>
          <w:szCs w:val="24"/>
        </w:rPr>
        <w:t xml:space="preserve"> edn, CUP 2013).</w:t>
      </w:r>
    </w:p>
    <w:p w:rsidR="00AC7AF4" w:rsidRDefault="00AC7AF4" w:rsidP="00AC7AF4">
      <w:pPr>
        <w:pStyle w:val="FootnoteText"/>
        <w:jc w:val="both"/>
        <w:rPr>
          <w:rFonts w:ascii="Century" w:hAnsi="Century"/>
          <w:sz w:val="24"/>
          <w:szCs w:val="24"/>
          <w:lang w:val="en-US"/>
        </w:rPr>
      </w:pPr>
    </w:p>
    <w:p w:rsidR="00902E87" w:rsidRPr="000C392D" w:rsidRDefault="00902E87" w:rsidP="00902E87">
      <w:pPr>
        <w:pStyle w:val="FootnoteText"/>
        <w:jc w:val="both"/>
        <w:rPr>
          <w:rFonts w:ascii="Century" w:hAnsi="Century"/>
          <w:sz w:val="24"/>
          <w:szCs w:val="24"/>
          <w:lang w:val="en-US"/>
        </w:rPr>
      </w:pPr>
      <w:r w:rsidRPr="000C392D">
        <w:rPr>
          <w:rFonts w:ascii="Century" w:hAnsi="Century"/>
          <w:sz w:val="24"/>
          <w:szCs w:val="24"/>
          <w:lang w:val="en-US"/>
        </w:rPr>
        <w:t xml:space="preserve">Carter </w:t>
      </w:r>
      <w:r>
        <w:rPr>
          <w:rFonts w:ascii="Century" w:hAnsi="Century"/>
          <w:sz w:val="24"/>
          <w:szCs w:val="24"/>
          <w:lang w:val="en-US"/>
        </w:rPr>
        <w:t xml:space="preserve">R </w:t>
      </w:r>
      <w:r w:rsidRPr="000C392D">
        <w:rPr>
          <w:rFonts w:ascii="Century" w:hAnsi="Century"/>
          <w:sz w:val="24"/>
          <w:szCs w:val="24"/>
          <w:lang w:val="en-US"/>
        </w:rPr>
        <w:t>and Green</w:t>
      </w:r>
      <w:r>
        <w:rPr>
          <w:rFonts w:ascii="Century" w:hAnsi="Century"/>
          <w:sz w:val="24"/>
          <w:szCs w:val="24"/>
          <w:lang w:val="en-US"/>
        </w:rPr>
        <w:t xml:space="preserve"> M</w:t>
      </w:r>
      <w:r w:rsidRPr="000C392D">
        <w:rPr>
          <w:rFonts w:ascii="Century" w:hAnsi="Century"/>
          <w:sz w:val="24"/>
          <w:szCs w:val="24"/>
          <w:lang w:val="en-US"/>
        </w:rPr>
        <w:t>, ‘The Enactment is Self-Explanatory…or is it? –Explanatory Provisions in New Zealand</w:t>
      </w:r>
      <w:r>
        <w:rPr>
          <w:rFonts w:ascii="Century" w:hAnsi="Century"/>
          <w:sz w:val="24"/>
          <w:szCs w:val="24"/>
          <w:lang w:val="en-US"/>
        </w:rPr>
        <w:t xml:space="preserve"> Legislation’ [2007] 28 SLR 1</w:t>
      </w:r>
      <w:r w:rsidRPr="000C392D">
        <w:rPr>
          <w:rFonts w:ascii="Century" w:hAnsi="Century"/>
          <w:sz w:val="24"/>
          <w:szCs w:val="24"/>
          <w:lang w:val="en-US"/>
        </w:rPr>
        <w:t>.</w:t>
      </w:r>
    </w:p>
    <w:p w:rsidR="00902E87" w:rsidRDefault="00902E87" w:rsidP="00902E87">
      <w:pPr>
        <w:pStyle w:val="FootnoteText"/>
        <w:jc w:val="both"/>
        <w:rPr>
          <w:rFonts w:ascii="Century" w:hAnsi="Century"/>
          <w:sz w:val="24"/>
          <w:szCs w:val="24"/>
          <w:lang w:val="en-US"/>
        </w:rPr>
      </w:pPr>
    </w:p>
    <w:p w:rsidR="00902E87" w:rsidRDefault="00902E87" w:rsidP="00902E87">
      <w:pPr>
        <w:pStyle w:val="FootnoteText"/>
        <w:jc w:val="both"/>
      </w:pPr>
      <w:r w:rsidRPr="001117BC">
        <w:rPr>
          <w:rFonts w:ascii="Century" w:hAnsi="Century"/>
          <w:sz w:val="24"/>
          <w:szCs w:val="24"/>
          <w:lang w:val="en-US"/>
        </w:rPr>
        <w:t>Carter</w:t>
      </w:r>
      <w:r>
        <w:rPr>
          <w:rFonts w:ascii="Century" w:hAnsi="Century"/>
          <w:sz w:val="24"/>
          <w:szCs w:val="24"/>
          <w:lang w:val="en-US"/>
        </w:rPr>
        <w:t xml:space="preserve"> R</w:t>
      </w:r>
      <w:r w:rsidRPr="001117BC">
        <w:rPr>
          <w:rFonts w:ascii="Century" w:hAnsi="Century"/>
          <w:sz w:val="24"/>
          <w:szCs w:val="24"/>
          <w:lang w:val="en-US"/>
        </w:rPr>
        <w:t>, ‘High Quality Legislation (How) Can Drafters Facilitate It?’ (November 2011) The Loophole 41.</w:t>
      </w:r>
      <w:r w:rsidRPr="004D4342">
        <w:t xml:space="preserve"> </w:t>
      </w:r>
    </w:p>
    <w:p w:rsidR="00902E87" w:rsidRPr="001117BC" w:rsidRDefault="00902E87" w:rsidP="00902E87">
      <w:pPr>
        <w:pStyle w:val="FootnoteText"/>
        <w:jc w:val="both"/>
        <w:rPr>
          <w:rFonts w:ascii="Century" w:hAnsi="Century"/>
          <w:sz w:val="24"/>
          <w:szCs w:val="24"/>
          <w:lang w:val="en-US"/>
        </w:rPr>
      </w:pPr>
      <w:r>
        <w:t>&lt;</w:t>
      </w:r>
      <w:r w:rsidRPr="004D4342">
        <w:rPr>
          <w:rFonts w:ascii="Century" w:hAnsi="Century"/>
          <w:sz w:val="24"/>
          <w:szCs w:val="24"/>
          <w:lang w:val="en-US"/>
        </w:rPr>
        <w:t>https://www.opc.gov.au/calc/docs/Loophole_papers/Carter_Nov2011.pdf</w:t>
      </w:r>
      <w:r>
        <w:rPr>
          <w:rFonts w:ascii="Century" w:hAnsi="Century"/>
          <w:sz w:val="24"/>
          <w:szCs w:val="24"/>
          <w:lang w:val="en-US"/>
        </w:rPr>
        <w:t>&gt; accessed 23 August 2015</w:t>
      </w:r>
    </w:p>
    <w:p w:rsidR="00902E87" w:rsidRDefault="00902E87" w:rsidP="00902E87">
      <w:pPr>
        <w:pStyle w:val="FootnoteText"/>
        <w:jc w:val="both"/>
        <w:rPr>
          <w:rFonts w:ascii="Century" w:hAnsi="Century"/>
          <w:sz w:val="24"/>
          <w:szCs w:val="24"/>
          <w:lang w:val="en-US"/>
        </w:rPr>
      </w:pPr>
    </w:p>
    <w:p w:rsidR="00902E87" w:rsidRPr="00027A21" w:rsidRDefault="00902E87" w:rsidP="00902E87">
      <w:pPr>
        <w:pStyle w:val="FootnoteText"/>
        <w:jc w:val="both"/>
        <w:rPr>
          <w:rFonts w:ascii="Century" w:hAnsi="Century"/>
          <w:sz w:val="24"/>
          <w:szCs w:val="24"/>
          <w:lang w:val="en-US"/>
        </w:rPr>
      </w:pPr>
      <w:r w:rsidRPr="00027A21">
        <w:rPr>
          <w:rFonts w:ascii="Century" w:hAnsi="Century"/>
          <w:sz w:val="24"/>
          <w:szCs w:val="24"/>
          <w:lang w:val="en-US"/>
        </w:rPr>
        <w:t>Cherkewich</w:t>
      </w:r>
      <w:r>
        <w:rPr>
          <w:rFonts w:ascii="Century" w:hAnsi="Century"/>
          <w:sz w:val="24"/>
          <w:szCs w:val="24"/>
          <w:lang w:val="en-US"/>
        </w:rPr>
        <w:t xml:space="preserve"> T</w:t>
      </w:r>
      <w:r w:rsidRPr="00027A21">
        <w:rPr>
          <w:rFonts w:ascii="Century" w:hAnsi="Century"/>
          <w:sz w:val="24"/>
          <w:szCs w:val="24"/>
          <w:lang w:val="en-US"/>
        </w:rPr>
        <w:t>, ‘By Sword and Shield: Legislative Counsel’s Role in Advancing and Protecting Democracy One</w:t>
      </w:r>
      <w:r>
        <w:rPr>
          <w:rFonts w:ascii="Century" w:hAnsi="Century"/>
          <w:sz w:val="24"/>
          <w:szCs w:val="24"/>
          <w:lang w:val="en-US"/>
        </w:rPr>
        <w:t xml:space="preserve"> Word (and Client) at a Time’ [2015]</w:t>
      </w:r>
      <w:r w:rsidRPr="00027A21">
        <w:rPr>
          <w:rFonts w:ascii="Century" w:hAnsi="Century"/>
          <w:sz w:val="24"/>
          <w:szCs w:val="24"/>
          <w:lang w:val="en-US"/>
        </w:rPr>
        <w:t xml:space="preserve"> SLR </w:t>
      </w:r>
      <w:r>
        <w:rPr>
          <w:rFonts w:ascii="Century" w:hAnsi="Century"/>
          <w:sz w:val="24"/>
          <w:szCs w:val="24"/>
          <w:lang w:val="en-US"/>
        </w:rPr>
        <w:t>(advanced copy via OUP).</w:t>
      </w:r>
    </w:p>
    <w:p w:rsidR="00902E87" w:rsidRDefault="00902E87" w:rsidP="00902E87">
      <w:pPr>
        <w:pStyle w:val="FootnoteText"/>
        <w:jc w:val="both"/>
        <w:rPr>
          <w:rFonts w:ascii="Century" w:hAnsi="Century"/>
          <w:sz w:val="24"/>
          <w:szCs w:val="24"/>
          <w:lang w:val="en-US"/>
        </w:rPr>
      </w:pPr>
    </w:p>
    <w:p w:rsidR="00902E87" w:rsidRDefault="00902E87" w:rsidP="00902E87">
      <w:pPr>
        <w:pStyle w:val="FootnoteText"/>
        <w:jc w:val="both"/>
        <w:rPr>
          <w:rFonts w:ascii="Century" w:hAnsi="Century"/>
          <w:sz w:val="24"/>
          <w:szCs w:val="24"/>
          <w:lang w:val="en-US"/>
        </w:rPr>
      </w:pPr>
      <w:r w:rsidRPr="000C392D">
        <w:rPr>
          <w:rFonts w:ascii="Century" w:hAnsi="Century"/>
          <w:sz w:val="24"/>
          <w:szCs w:val="24"/>
          <w:lang w:val="en-US"/>
        </w:rPr>
        <w:t>Cormacain</w:t>
      </w:r>
      <w:r>
        <w:rPr>
          <w:rFonts w:ascii="Century" w:hAnsi="Century"/>
          <w:sz w:val="24"/>
          <w:szCs w:val="24"/>
          <w:lang w:val="en-US"/>
        </w:rPr>
        <w:t xml:space="preserve"> R</w:t>
      </w:r>
      <w:r w:rsidRPr="000C392D">
        <w:rPr>
          <w:rFonts w:ascii="Century" w:hAnsi="Century"/>
          <w:sz w:val="24"/>
          <w:szCs w:val="24"/>
          <w:lang w:val="en-US"/>
        </w:rPr>
        <w:t xml:space="preserve">, ‘A Plain Language Case Study: Business Tenancies (Northern Ireland) </w:t>
      </w:r>
      <w:r>
        <w:rPr>
          <w:rFonts w:ascii="Century" w:hAnsi="Century"/>
          <w:sz w:val="24"/>
          <w:szCs w:val="24"/>
          <w:lang w:val="en-US"/>
        </w:rPr>
        <w:t>Order 1996’ (</w:t>
      </w:r>
      <w:r w:rsidRPr="000C392D">
        <w:rPr>
          <w:rFonts w:ascii="Century" w:hAnsi="Century"/>
          <w:sz w:val="24"/>
          <w:szCs w:val="24"/>
          <w:lang w:val="en-US"/>
        </w:rPr>
        <w:t xml:space="preserve">2012) the Loophole 43. </w:t>
      </w:r>
    </w:p>
    <w:p w:rsidR="00902E87" w:rsidRDefault="00902E87" w:rsidP="00902E87">
      <w:pPr>
        <w:pStyle w:val="FootnoteText"/>
        <w:jc w:val="both"/>
        <w:rPr>
          <w:rFonts w:ascii="Century" w:hAnsi="Century"/>
          <w:sz w:val="24"/>
          <w:szCs w:val="24"/>
          <w:lang w:val="en-US"/>
        </w:rPr>
      </w:pPr>
      <w:r w:rsidRPr="000C392D">
        <w:rPr>
          <w:rFonts w:ascii="Century" w:hAnsi="Century"/>
          <w:sz w:val="24"/>
          <w:szCs w:val="24"/>
          <w:lang w:val="en-US"/>
        </w:rPr>
        <w:t>&lt;https://www.opc.gov.au/calc/docs/Loophole/Loophole_Apr12.pdf&gt; accessed 4 August 2015</w:t>
      </w:r>
    </w:p>
    <w:p w:rsidR="00902E87" w:rsidRDefault="00902E87" w:rsidP="00902E87">
      <w:pPr>
        <w:pStyle w:val="FootnoteText"/>
        <w:jc w:val="both"/>
        <w:rPr>
          <w:rFonts w:ascii="Century" w:hAnsi="Century"/>
          <w:sz w:val="24"/>
          <w:szCs w:val="24"/>
          <w:lang w:val="en-US"/>
        </w:rPr>
      </w:pPr>
    </w:p>
    <w:p w:rsidR="00902E87" w:rsidRPr="000C392D" w:rsidRDefault="00902E87" w:rsidP="00902E87">
      <w:pPr>
        <w:pStyle w:val="FootnoteText"/>
        <w:jc w:val="both"/>
        <w:rPr>
          <w:rFonts w:ascii="Century" w:hAnsi="Century"/>
          <w:sz w:val="24"/>
          <w:szCs w:val="24"/>
          <w:lang w:val="en-US"/>
        </w:rPr>
      </w:pPr>
      <w:r w:rsidRPr="000C392D">
        <w:rPr>
          <w:rFonts w:ascii="Century" w:hAnsi="Century"/>
          <w:sz w:val="24"/>
          <w:szCs w:val="24"/>
          <w:lang w:val="en-US"/>
        </w:rPr>
        <w:t>Cormacain</w:t>
      </w:r>
      <w:r>
        <w:rPr>
          <w:rFonts w:ascii="Century" w:hAnsi="Century"/>
          <w:sz w:val="24"/>
          <w:szCs w:val="24"/>
          <w:lang w:val="en-US"/>
        </w:rPr>
        <w:t xml:space="preserve"> R</w:t>
      </w:r>
      <w:r w:rsidRPr="000C392D">
        <w:rPr>
          <w:rFonts w:ascii="Century" w:hAnsi="Century"/>
          <w:sz w:val="24"/>
          <w:szCs w:val="24"/>
          <w:lang w:val="en-US"/>
        </w:rPr>
        <w:t>, ‘Keeling Schedules and Clarity in Amending Legi</w:t>
      </w:r>
      <w:r>
        <w:rPr>
          <w:rFonts w:ascii="Century" w:hAnsi="Century"/>
          <w:sz w:val="24"/>
          <w:szCs w:val="24"/>
          <w:lang w:val="en-US"/>
        </w:rPr>
        <w:t>slation’ [2013] 13 Eur LJ 96</w:t>
      </w:r>
      <w:r w:rsidRPr="000C392D">
        <w:rPr>
          <w:rFonts w:ascii="Century" w:hAnsi="Century"/>
          <w:sz w:val="24"/>
          <w:szCs w:val="24"/>
          <w:lang w:val="en-US"/>
        </w:rPr>
        <w:t>.</w:t>
      </w:r>
    </w:p>
    <w:p w:rsidR="00902E87" w:rsidRPr="000C392D" w:rsidRDefault="00902E87" w:rsidP="00902E87">
      <w:pPr>
        <w:pStyle w:val="FootnoteText"/>
        <w:jc w:val="both"/>
        <w:rPr>
          <w:rFonts w:ascii="Century" w:hAnsi="Century"/>
          <w:sz w:val="24"/>
          <w:szCs w:val="24"/>
          <w:lang w:val="en-US"/>
        </w:rPr>
      </w:pPr>
    </w:p>
    <w:p w:rsidR="00902E87" w:rsidRDefault="00902E87" w:rsidP="00902E87">
      <w:pPr>
        <w:pStyle w:val="FootnoteText"/>
        <w:jc w:val="both"/>
        <w:rPr>
          <w:rFonts w:ascii="Century" w:hAnsi="Century"/>
          <w:sz w:val="24"/>
          <w:szCs w:val="24"/>
          <w:lang w:val="en-US"/>
        </w:rPr>
      </w:pPr>
    </w:p>
    <w:p w:rsidR="00902E87" w:rsidRPr="000C392D" w:rsidRDefault="00902E87" w:rsidP="00902E87">
      <w:pPr>
        <w:pStyle w:val="FootnoteText"/>
        <w:jc w:val="both"/>
        <w:rPr>
          <w:rFonts w:ascii="Century" w:hAnsi="Century"/>
          <w:sz w:val="24"/>
          <w:szCs w:val="24"/>
          <w:lang w:val="en-US"/>
        </w:rPr>
      </w:pPr>
      <w:r w:rsidRPr="000C392D">
        <w:rPr>
          <w:rFonts w:ascii="Century" w:hAnsi="Century"/>
          <w:sz w:val="24"/>
          <w:szCs w:val="24"/>
          <w:lang w:val="en-US"/>
        </w:rPr>
        <w:t>Crabbe</w:t>
      </w:r>
      <w:r w:rsidRPr="000C392D">
        <w:rPr>
          <w:rFonts w:ascii="Century" w:hAnsi="Century"/>
          <w:sz w:val="24"/>
          <w:szCs w:val="24"/>
        </w:rPr>
        <w:t xml:space="preserve"> VCRAC</w:t>
      </w:r>
      <w:r w:rsidRPr="000C392D">
        <w:rPr>
          <w:rFonts w:ascii="Century" w:hAnsi="Century"/>
          <w:sz w:val="24"/>
          <w:szCs w:val="24"/>
          <w:lang w:val="en-US"/>
        </w:rPr>
        <w:t xml:space="preserve">, </w:t>
      </w:r>
      <w:r w:rsidRPr="000C392D">
        <w:rPr>
          <w:rFonts w:ascii="Century" w:hAnsi="Century"/>
          <w:i/>
          <w:sz w:val="24"/>
          <w:szCs w:val="24"/>
          <w:lang w:val="en-US"/>
        </w:rPr>
        <w:t>Legislative Drafting</w:t>
      </w:r>
      <w:r>
        <w:rPr>
          <w:rFonts w:ascii="Century" w:hAnsi="Century"/>
          <w:sz w:val="24"/>
          <w:szCs w:val="24"/>
          <w:lang w:val="en-US"/>
        </w:rPr>
        <w:t xml:space="preserve"> (Cavendish 1993)</w:t>
      </w:r>
      <w:r w:rsidRPr="000C392D">
        <w:rPr>
          <w:rFonts w:ascii="Century" w:hAnsi="Century"/>
          <w:sz w:val="24"/>
          <w:szCs w:val="24"/>
          <w:lang w:val="en-US"/>
        </w:rPr>
        <w:t>.</w:t>
      </w:r>
    </w:p>
    <w:p w:rsidR="00902E87" w:rsidRDefault="00902E87" w:rsidP="007C0020">
      <w:pPr>
        <w:pStyle w:val="FootnoteText"/>
        <w:jc w:val="both"/>
        <w:rPr>
          <w:rFonts w:ascii="Century" w:hAnsi="Century"/>
          <w:sz w:val="24"/>
          <w:szCs w:val="24"/>
        </w:rPr>
      </w:pPr>
    </w:p>
    <w:p w:rsidR="00902E87" w:rsidRPr="007A63BD" w:rsidRDefault="00902E87" w:rsidP="00902E87">
      <w:pPr>
        <w:pStyle w:val="FootnoteText"/>
        <w:jc w:val="both"/>
        <w:rPr>
          <w:rFonts w:ascii="Century" w:hAnsi="Century"/>
          <w:sz w:val="24"/>
          <w:szCs w:val="24"/>
        </w:rPr>
      </w:pPr>
      <w:r w:rsidRPr="000C392D">
        <w:rPr>
          <w:rFonts w:ascii="Century" w:hAnsi="Century"/>
          <w:sz w:val="24"/>
          <w:szCs w:val="24"/>
          <w:lang w:val="en-US"/>
        </w:rPr>
        <w:t>Crabbe</w:t>
      </w:r>
      <w:r w:rsidRPr="00366013">
        <w:rPr>
          <w:rFonts w:ascii="Century" w:hAnsi="Century"/>
          <w:sz w:val="24"/>
          <w:szCs w:val="24"/>
          <w:lang w:val="en-US"/>
        </w:rPr>
        <w:t xml:space="preserve"> </w:t>
      </w:r>
      <w:r w:rsidR="00BA322A">
        <w:rPr>
          <w:rFonts w:ascii="Century" w:hAnsi="Century"/>
          <w:sz w:val="24"/>
          <w:szCs w:val="24"/>
          <w:lang w:val="en-US"/>
        </w:rPr>
        <w:t>VCRA</w:t>
      </w:r>
      <w:r w:rsidRPr="000C392D">
        <w:rPr>
          <w:rFonts w:ascii="Century" w:hAnsi="Century"/>
          <w:sz w:val="24"/>
          <w:szCs w:val="24"/>
          <w:lang w:val="en-US"/>
        </w:rPr>
        <w:t>C, ‘</w:t>
      </w:r>
      <w:r w:rsidRPr="000C392D">
        <w:rPr>
          <w:rFonts w:ascii="Century" w:hAnsi="Century"/>
          <w:sz w:val="24"/>
          <w:szCs w:val="24"/>
        </w:rPr>
        <w:t>The Ethics of Legislative Drafti</w:t>
      </w:r>
      <w:r>
        <w:rPr>
          <w:rFonts w:ascii="Century" w:hAnsi="Century"/>
          <w:sz w:val="24"/>
          <w:szCs w:val="24"/>
        </w:rPr>
        <w:t>ng’ [2010] 36 Comm L Bull 11</w:t>
      </w:r>
      <w:r w:rsidRPr="000C392D">
        <w:rPr>
          <w:rFonts w:ascii="Century" w:hAnsi="Century"/>
          <w:sz w:val="24"/>
          <w:szCs w:val="24"/>
          <w:lang w:val="en-US"/>
        </w:rPr>
        <w:t>.</w:t>
      </w:r>
    </w:p>
    <w:p w:rsidR="00224CAD" w:rsidRDefault="00224CAD" w:rsidP="007C0020">
      <w:pPr>
        <w:pStyle w:val="FootnoteText"/>
        <w:jc w:val="both"/>
        <w:rPr>
          <w:rFonts w:ascii="Century" w:hAnsi="Century"/>
          <w:sz w:val="24"/>
          <w:szCs w:val="24"/>
          <w:lang w:val="en-US"/>
        </w:rPr>
      </w:pPr>
    </w:p>
    <w:p w:rsidR="004303AB" w:rsidRPr="000C0127" w:rsidRDefault="000C0127" w:rsidP="007C0020">
      <w:pPr>
        <w:pStyle w:val="FootnoteText"/>
        <w:jc w:val="both"/>
        <w:rPr>
          <w:rFonts w:ascii="Century" w:hAnsi="Century"/>
          <w:sz w:val="24"/>
          <w:szCs w:val="24"/>
          <w:lang w:val="en-US"/>
        </w:rPr>
      </w:pPr>
      <w:r w:rsidRPr="000C0127">
        <w:rPr>
          <w:rFonts w:ascii="Century" w:hAnsi="Century"/>
          <w:sz w:val="24"/>
          <w:szCs w:val="24"/>
        </w:rPr>
        <w:t>Dick</w:t>
      </w:r>
      <w:r w:rsidR="008E3D3F">
        <w:rPr>
          <w:rFonts w:ascii="Century" w:hAnsi="Century"/>
          <w:sz w:val="24"/>
          <w:szCs w:val="24"/>
        </w:rPr>
        <w:t xml:space="preserve"> RC</w:t>
      </w:r>
      <w:r w:rsidRPr="000C0127">
        <w:rPr>
          <w:rFonts w:ascii="Century" w:hAnsi="Century"/>
          <w:sz w:val="24"/>
          <w:szCs w:val="24"/>
        </w:rPr>
        <w:t xml:space="preserve">, </w:t>
      </w:r>
      <w:r w:rsidRPr="000C0127">
        <w:rPr>
          <w:rFonts w:ascii="Century" w:hAnsi="Century"/>
          <w:i/>
          <w:sz w:val="24"/>
          <w:szCs w:val="24"/>
        </w:rPr>
        <w:t>Legal Drafting in Plain Language</w:t>
      </w:r>
      <w:r w:rsidRPr="000C0127">
        <w:rPr>
          <w:rFonts w:ascii="Century" w:hAnsi="Century"/>
          <w:sz w:val="24"/>
          <w:szCs w:val="24"/>
          <w:lang w:val="en-US"/>
        </w:rPr>
        <w:t xml:space="preserve"> (3</w:t>
      </w:r>
      <w:r w:rsidRPr="000C0127">
        <w:rPr>
          <w:rFonts w:ascii="Century" w:hAnsi="Century"/>
          <w:sz w:val="24"/>
          <w:szCs w:val="24"/>
          <w:vertAlign w:val="superscript"/>
          <w:lang w:val="en-US"/>
        </w:rPr>
        <w:t>rd</w:t>
      </w:r>
      <w:r w:rsidRPr="000C0127">
        <w:rPr>
          <w:rFonts w:ascii="Century" w:hAnsi="Century"/>
          <w:sz w:val="24"/>
          <w:szCs w:val="24"/>
          <w:lang w:val="en-US"/>
        </w:rPr>
        <w:t xml:space="preserve"> edn, Carswell Thomson </w:t>
      </w:r>
      <w:r>
        <w:rPr>
          <w:rFonts w:ascii="Century" w:hAnsi="Century"/>
          <w:sz w:val="24"/>
          <w:szCs w:val="24"/>
          <w:lang w:val="en-US"/>
        </w:rPr>
        <w:t>Professional Publishing 1995).</w:t>
      </w:r>
    </w:p>
    <w:p w:rsidR="000C0127" w:rsidRDefault="000C0127" w:rsidP="004303AB">
      <w:pPr>
        <w:pStyle w:val="FootnoteText"/>
        <w:rPr>
          <w:rFonts w:ascii="Century" w:hAnsi="Century"/>
          <w:sz w:val="24"/>
          <w:szCs w:val="24"/>
        </w:rPr>
      </w:pPr>
    </w:p>
    <w:p w:rsidR="004303AB" w:rsidRPr="000C392D" w:rsidRDefault="004303AB" w:rsidP="007C0020">
      <w:pPr>
        <w:pStyle w:val="FootnoteText"/>
        <w:jc w:val="both"/>
        <w:rPr>
          <w:rFonts w:ascii="Century" w:hAnsi="Century"/>
          <w:sz w:val="24"/>
          <w:szCs w:val="24"/>
        </w:rPr>
      </w:pPr>
      <w:r w:rsidRPr="000C392D">
        <w:rPr>
          <w:rFonts w:ascii="Century" w:hAnsi="Century"/>
          <w:sz w:val="24"/>
          <w:szCs w:val="24"/>
        </w:rPr>
        <w:t>Dorsey</w:t>
      </w:r>
      <w:r>
        <w:rPr>
          <w:rFonts w:ascii="Century" w:hAnsi="Century"/>
          <w:sz w:val="24"/>
          <w:szCs w:val="24"/>
        </w:rPr>
        <w:t xml:space="preserve"> T</w:t>
      </w:r>
      <w:r w:rsidRPr="000C392D">
        <w:rPr>
          <w:rFonts w:ascii="Century" w:hAnsi="Century"/>
          <w:sz w:val="24"/>
          <w:szCs w:val="24"/>
        </w:rPr>
        <w:t>,</w:t>
      </w:r>
      <w:r w:rsidRPr="000C392D">
        <w:rPr>
          <w:rFonts w:ascii="Century" w:hAnsi="Century"/>
          <w:i/>
          <w:sz w:val="24"/>
          <w:szCs w:val="24"/>
        </w:rPr>
        <w:t xml:space="preserve"> Legislative Drafter’s Deskbook-A Practical Guide</w:t>
      </w:r>
      <w:r w:rsidRPr="000C392D">
        <w:rPr>
          <w:rFonts w:ascii="Century" w:hAnsi="Century"/>
          <w:sz w:val="24"/>
          <w:szCs w:val="24"/>
        </w:rPr>
        <w:t xml:space="preserve"> (The CapitolNet 2006).</w:t>
      </w:r>
    </w:p>
    <w:p w:rsidR="004303AB" w:rsidRDefault="004303AB" w:rsidP="004303AB">
      <w:pPr>
        <w:pStyle w:val="FootnoteText"/>
        <w:rPr>
          <w:rFonts w:ascii="Century" w:hAnsi="Century"/>
          <w:sz w:val="24"/>
          <w:szCs w:val="24"/>
        </w:rPr>
      </w:pPr>
    </w:p>
    <w:p w:rsidR="004303AB" w:rsidRPr="000C392D" w:rsidRDefault="004303AB" w:rsidP="007C0020">
      <w:pPr>
        <w:pStyle w:val="FootnoteText"/>
        <w:jc w:val="both"/>
        <w:rPr>
          <w:rFonts w:ascii="Century" w:hAnsi="Century"/>
          <w:sz w:val="24"/>
          <w:szCs w:val="24"/>
        </w:rPr>
      </w:pPr>
      <w:r w:rsidRPr="000C392D">
        <w:rPr>
          <w:rFonts w:ascii="Century" w:hAnsi="Century"/>
          <w:sz w:val="24"/>
          <w:szCs w:val="24"/>
        </w:rPr>
        <w:t>Driedger</w:t>
      </w:r>
      <w:r>
        <w:rPr>
          <w:rFonts w:ascii="Century" w:hAnsi="Century"/>
          <w:sz w:val="24"/>
          <w:szCs w:val="24"/>
        </w:rPr>
        <w:t xml:space="preserve"> EA</w:t>
      </w:r>
      <w:r w:rsidRPr="000C392D">
        <w:rPr>
          <w:rFonts w:ascii="Century" w:hAnsi="Century"/>
          <w:sz w:val="24"/>
          <w:szCs w:val="24"/>
        </w:rPr>
        <w:t xml:space="preserve">, </w:t>
      </w:r>
      <w:r w:rsidRPr="000C392D">
        <w:rPr>
          <w:rFonts w:ascii="Century" w:hAnsi="Century"/>
          <w:i/>
          <w:sz w:val="24"/>
          <w:szCs w:val="24"/>
        </w:rPr>
        <w:t>The Composition of Legislation: Legislative Forms and Precedents</w:t>
      </w:r>
      <w:r w:rsidRPr="000C392D">
        <w:rPr>
          <w:rFonts w:ascii="Century" w:hAnsi="Century"/>
          <w:sz w:val="24"/>
          <w:szCs w:val="24"/>
        </w:rPr>
        <w:t xml:space="preserve"> (2</w:t>
      </w:r>
      <w:r w:rsidRPr="000C392D">
        <w:rPr>
          <w:rFonts w:ascii="Century" w:hAnsi="Century"/>
          <w:sz w:val="24"/>
          <w:szCs w:val="24"/>
          <w:vertAlign w:val="superscript"/>
        </w:rPr>
        <w:t>nd</w:t>
      </w:r>
      <w:r w:rsidRPr="000C392D">
        <w:rPr>
          <w:rFonts w:ascii="Century" w:hAnsi="Century"/>
          <w:sz w:val="24"/>
          <w:szCs w:val="24"/>
        </w:rPr>
        <w:t xml:space="preserve"> edn, Ministry of S</w:t>
      </w:r>
      <w:r>
        <w:rPr>
          <w:rFonts w:ascii="Century" w:hAnsi="Century"/>
          <w:sz w:val="24"/>
          <w:szCs w:val="24"/>
        </w:rPr>
        <w:t>upply and Services Canada 1976).</w:t>
      </w:r>
    </w:p>
    <w:p w:rsidR="00EA2A47" w:rsidRDefault="00EA2A47" w:rsidP="00EA2A47">
      <w:pPr>
        <w:jc w:val="both"/>
        <w:rPr>
          <w:rFonts w:ascii="Century" w:hAnsi="Century"/>
          <w:sz w:val="24"/>
          <w:szCs w:val="24"/>
          <w:lang w:val="en-US"/>
        </w:rPr>
      </w:pPr>
    </w:p>
    <w:p w:rsidR="00EA2A47" w:rsidRPr="005C3493" w:rsidRDefault="00EA2A47" w:rsidP="00EA2A47">
      <w:pPr>
        <w:jc w:val="both"/>
        <w:rPr>
          <w:rFonts w:ascii="Century" w:hAnsi="Century"/>
          <w:sz w:val="24"/>
          <w:szCs w:val="24"/>
        </w:rPr>
      </w:pPr>
      <w:r w:rsidRPr="000C392D">
        <w:rPr>
          <w:rFonts w:ascii="Century" w:hAnsi="Century"/>
          <w:sz w:val="24"/>
          <w:szCs w:val="24"/>
          <w:lang w:val="en-US"/>
        </w:rPr>
        <w:t>Eagleson</w:t>
      </w:r>
      <w:r>
        <w:rPr>
          <w:rFonts w:ascii="Century" w:hAnsi="Century"/>
          <w:sz w:val="24"/>
          <w:szCs w:val="24"/>
          <w:lang w:val="en-US"/>
        </w:rPr>
        <w:t xml:space="preserve"> RD</w:t>
      </w:r>
      <w:r w:rsidRPr="000C392D">
        <w:rPr>
          <w:rFonts w:ascii="Century" w:hAnsi="Century"/>
          <w:sz w:val="24"/>
          <w:szCs w:val="24"/>
          <w:lang w:val="en-US"/>
        </w:rPr>
        <w:t xml:space="preserve">, ‘Efficiency in Legal Drafting’ (1989) </w:t>
      </w:r>
      <w:r>
        <w:rPr>
          <w:rFonts w:ascii="Century" w:hAnsi="Century"/>
          <w:sz w:val="24"/>
          <w:szCs w:val="24"/>
          <w:lang w:val="en-US"/>
        </w:rPr>
        <w:t>T</w:t>
      </w:r>
      <w:r w:rsidRPr="000C392D">
        <w:rPr>
          <w:rFonts w:ascii="Century" w:hAnsi="Century"/>
          <w:sz w:val="24"/>
          <w:szCs w:val="24"/>
          <w:lang w:val="en-US"/>
        </w:rPr>
        <w:t>he Loophole 1.</w:t>
      </w:r>
      <w:r w:rsidRPr="000C392D">
        <w:rPr>
          <w:rFonts w:ascii="Century" w:hAnsi="Century"/>
          <w:sz w:val="24"/>
          <w:szCs w:val="24"/>
        </w:rPr>
        <w:t xml:space="preserve"> &lt;</w:t>
      </w:r>
      <w:r w:rsidRPr="000C392D">
        <w:rPr>
          <w:rFonts w:ascii="Century" w:hAnsi="Century"/>
          <w:sz w:val="24"/>
          <w:szCs w:val="24"/>
          <w:lang w:val="en-US"/>
        </w:rPr>
        <w:t>https://www.opc.gov.au/calc/docs/Loophole_papers/Eagleson_1989.pdf&gt; accessed 4</w:t>
      </w: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Elliot</w:t>
      </w:r>
      <w:r>
        <w:rPr>
          <w:rFonts w:ascii="Century" w:hAnsi="Century"/>
          <w:sz w:val="24"/>
          <w:szCs w:val="24"/>
          <w:lang w:val="en-US"/>
        </w:rPr>
        <w:t xml:space="preserve"> D</w:t>
      </w:r>
      <w:r w:rsidRPr="000C392D">
        <w:rPr>
          <w:rFonts w:ascii="Century" w:hAnsi="Century"/>
          <w:sz w:val="24"/>
          <w:szCs w:val="24"/>
          <w:lang w:val="en-US"/>
        </w:rPr>
        <w:t>, ‘Using Plain English in Statutes: Clarity’s Submission to the Hansard Law Society for Parliamentary Government’ (June 1992) 15. &lt;http://www.davidelliott.ca/legislativedrafting.htm&gt; 4 August 2015</w:t>
      </w:r>
    </w:p>
    <w:p w:rsidR="00EA2A47" w:rsidRPr="000C392D" w:rsidRDefault="00EA2A47" w:rsidP="00EA2A47">
      <w:pPr>
        <w:pStyle w:val="FootnoteText"/>
        <w:jc w:val="both"/>
        <w:rPr>
          <w:rFonts w:ascii="Century" w:hAnsi="Century"/>
          <w:sz w:val="24"/>
          <w:szCs w:val="24"/>
          <w:lang w:val="en-US"/>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Engle</w:t>
      </w:r>
      <w:r>
        <w:rPr>
          <w:rFonts w:ascii="Century" w:hAnsi="Century"/>
          <w:sz w:val="24"/>
          <w:szCs w:val="24"/>
          <w:lang w:val="en-US"/>
        </w:rPr>
        <w:t xml:space="preserve"> G</w:t>
      </w:r>
      <w:r w:rsidRPr="000C392D">
        <w:rPr>
          <w:rFonts w:ascii="Century" w:hAnsi="Century"/>
          <w:sz w:val="24"/>
          <w:szCs w:val="24"/>
          <w:lang w:val="en-US"/>
        </w:rPr>
        <w:t xml:space="preserve">, ‘Bills are made to pass as razors are made to sell’: Practical Constraints in the Preparation of </w:t>
      </w:r>
      <w:r>
        <w:rPr>
          <w:rFonts w:ascii="Century" w:hAnsi="Century"/>
          <w:sz w:val="24"/>
          <w:szCs w:val="24"/>
          <w:lang w:val="en-US"/>
        </w:rPr>
        <w:t>Legislation’ [1983] 4 SLR 7</w:t>
      </w:r>
      <w:r w:rsidRPr="000C392D">
        <w:rPr>
          <w:rFonts w:ascii="Century" w:hAnsi="Century"/>
          <w:sz w:val="24"/>
          <w:szCs w:val="24"/>
          <w:lang w:val="en-US"/>
        </w:rPr>
        <w:t xml:space="preserve">. </w:t>
      </w:r>
    </w:p>
    <w:p w:rsidR="00EA2A47" w:rsidRPr="000C392D" w:rsidRDefault="00EA2A47" w:rsidP="00EA2A47">
      <w:pPr>
        <w:pStyle w:val="FootnoteText"/>
        <w:jc w:val="both"/>
        <w:rPr>
          <w:rFonts w:ascii="Century" w:hAnsi="Century"/>
          <w:sz w:val="24"/>
          <w:szCs w:val="24"/>
          <w:lang w:val="en-US"/>
        </w:rPr>
      </w:pPr>
    </w:p>
    <w:p w:rsidR="00EA2A47" w:rsidRDefault="00EA2A47" w:rsidP="00EA2A47">
      <w:pPr>
        <w:pStyle w:val="FootnoteText"/>
        <w:jc w:val="both"/>
        <w:rPr>
          <w:rFonts w:ascii="Century" w:hAnsi="Century"/>
          <w:sz w:val="24"/>
          <w:szCs w:val="24"/>
          <w:lang w:val="en-US"/>
        </w:rPr>
      </w:pPr>
      <w:r w:rsidRPr="000C392D">
        <w:rPr>
          <w:rFonts w:ascii="Century" w:hAnsi="Century"/>
          <w:sz w:val="24"/>
          <w:szCs w:val="24"/>
          <w:lang w:val="en-US"/>
        </w:rPr>
        <w:t>Erasmus</w:t>
      </w:r>
      <w:r>
        <w:rPr>
          <w:rFonts w:ascii="Century" w:hAnsi="Century"/>
          <w:sz w:val="24"/>
          <w:szCs w:val="24"/>
          <w:lang w:val="en-US"/>
        </w:rPr>
        <w:t xml:space="preserve"> J</w:t>
      </w:r>
      <w:r w:rsidRPr="000C392D">
        <w:rPr>
          <w:rFonts w:ascii="Century" w:hAnsi="Century"/>
          <w:sz w:val="24"/>
          <w:szCs w:val="24"/>
          <w:lang w:val="en-US"/>
        </w:rPr>
        <w:t>, ‘Keepers of the Statute Book: Lessons from the Space-time Continuum</w:t>
      </w:r>
      <w:r>
        <w:rPr>
          <w:rFonts w:ascii="Century" w:hAnsi="Century"/>
          <w:sz w:val="24"/>
          <w:szCs w:val="24"/>
          <w:lang w:val="en-US"/>
        </w:rPr>
        <w:t>’ (</w:t>
      </w:r>
      <w:r w:rsidRPr="000C392D">
        <w:rPr>
          <w:rFonts w:ascii="Century" w:hAnsi="Century"/>
          <w:sz w:val="24"/>
          <w:szCs w:val="24"/>
          <w:lang w:val="en-US"/>
        </w:rPr>
        <w:t xml:space="preserve">2009) The Loophole 7. </w:t>
      </w:r>
    </w:p>
    <w:p w:rsidR="00EA2A47" w:rsidRPr="007A63BD" w:rsidRDefault="00EA2A47" w:rsidP="00EA2A47">
      <w:pPr>
        <w:pStyle w:val="FootnoteText"/>
        <w:jc w:val="both"/>
        <w:rPr>
          <w:rFonts w:ascii="Century" w:hAnsi="Century"/>
          <w:sz w:val="24"/>
          <w:szCs w:val="24"/>
          <w:lang w:val="en-US"/>
        </w:rPr>
      </w:pPr>
      <w:r w:rsidRPr="007A63BD">
        <w:rPr>
          <w:rFonts w:ascii="Century" w:hAnsi="Century"/>
          <w:sz w:val="24"/>
          <w:szCs w:val="24"/>
          <w:lang w:val="en-US"/>
        </w:rPr>
        <w:t>&lt;https://www.opc.gov.au/calc/docs/Loophole_papers/Erasmus_Jan2010.pdf&gt; accessed 10 August 2015</w:t>
      </w:r>
    </w:p>
    <w:p w:rsidR="004303AB" w:rsidRDefault="004303AB" w:rsidP="004303AB">
      <w:pPr>
        <w:pStyle w:val="FootnoteText"/>
        <w:rPr>
          <w:rFonts w:ascii="Century" w:hAnsi="Century"/>
          <w:sz w:val="24"/>
          <w:szCs w:val="24"/>
        </w:rPr>
      </w:pPr>
    </w:p>
    <w:p w:rsidR="00EA2A47" w:rsidRDefault="00EA2A47" w:rsidP="00EA2A47">
      <w:pPr>
        <w:pStyle w:val="FootnoteText"/>
        <w:jc w:val="both"/>
        <w:rPr>
          <w:rFonts w:ascii="Century" w:hAnsi="Century"/>
          <w:sz w:val="24"/>
          <w:szCs w:val="24"/>
        </w:rPr>
      </w:pPr>
      <w:r w:rsidRPr="00034301">
        <w:rPr>
          <w:rFonts w:ascii="Century" w:hAnsi="Century"/>
          <w:sz w:val="24"/>
          <w:szCs w:val="24"/>
        </w:rPr>
        <w:t>French</w:t>
      </w:r>
      <w:r>
        <w:rPr>
          <w:rFonts w:ascii="Century" w:hAnsi="Century"/>
          <w:sz w:val="24"/>
          <w:szCs w:val="24"/>
        </w:rPr>
        <w:t xml:space="preserve"> R</w:t>
      </w:r>
      <w:r w:rsidRPr="00034301">
        <w:rPr>
          <w:rFonts w:ascii="Century" w:hAnsi="Century"/>
          <w:sz w:val="24"/>
          <w:szCs w:val="24"/>
        </w:rPr>
        <w:t xml:space="preserve">, ‘Law-Complexity and Moral Clarity’ (Speech at North West Law Association and Murray Mallee Community Legal Service, 19 May 2013) 13. </w:t>
      </w:r>
    </w:p>
    <w:p w:rsidR="00EA2A47" w:rsidRPr="00034301" w:rsidRDefault="00EA2A47" w:rsidP="00EA2A47">
      <w:pPr>
        <w:pStyle w:val="FootnoteText"/>
        <w:jc w:val="both"/>
        <w:rPr>
          <w:rFonts w:ascii="Century" w:hAnsi="Century"/>
          <w:sz w:val="24"/>
          <w:szCs w:val="24"/>
        </w:rPr>
      </w:pPr>
      <w:r w:rsidRPr="00034301">
        <w:rPr>
          <w:rFonts w:ascii="Century" w:hAnsi="Century"/>
          <w:sz w:val="24"/>
          <w:szCs w:val="24"/>
        </w:rPr>
        <w:t>&lt;http://www.hcourt.gov.au/assets/publications/speeches/current-justices/frenchcj/frenchcj19may13.pdf&gt; accessed 17 August 2015</w:t>
      </w:r>
    </w:p>
    <w:p w:rsidR="00EA2A47" w:rsidRDefault="00EA2A47" w:rsidP="007C0020">
      <w:pPr>
        <w:pStyle w:val="FootnoteText"/>
        <w:jc w:val="both"/>
        <w:rPr>
          <w:rFonts w:ascii="Century" w:hAnsi="Century"/>
          <w:sz w:val="24"/>
          <w:szCs w:val="24"/>
          <w:lang w:val="en-US"/>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Fuller</w:t>
      </w:r>
      <w:r>
        <w:rPr>
          <w:rFonts w:ascii="Century" w:hAnsi="Century"/>
          <w:sz w:val="24"/>
          <w:szCs w:val="24"/>
          <w:lang w:val="en-US"/>
        </w:rPr>
        <w:t xml:space="preserve"> LL</w:t>
      </w:r>
      <w:r w:rsidRPr="000C392D">
        <w:rPr>
          <w:rFonts w:ascii="Century" w:hAnsi="Century"/>
          <w:sz w:val="24"/>
          <w:szCs w:val="24"/>
          <w:lang w:val="en-US"/>
        </w:rPr>
        <w:t xml:space="preserve">, </w:t>
      </w:r>
      <w:r w:rsidRPr="000C392D">
        <w:rPr>
          <w:rFonts w:ascii="Century" w:hAnsi="Century"/>
          <w:i/>
          <w:sz w:val="24"/>
          <w:szCs w:val="24"/>
          <w:lang w:val="en-US"/>
        </w:rPr>
        <w:t>The Morality of Law</w:t>
      </w:r>
      <w:r w:rsidRPr="000C392D">
        <w:rPr>
          <w:rFonts w:ascii="Century" w:hAnsi="Century"/>
          <w:sz w:val="24"/>
          <w:szCs w:val="24"/>
          <w:lang w:val="en-US"/>
        </w:rPr>
        <w:t xml:space="preserve"> (revised edn,</w:t>
      </w:r>
      <w:r>
        <w:rPr>
          <w:rFonts w:ascii="Century" w:hAnsi="Century"/>
          <w:sz w:val="24"/>
          <w:szCs w:val="24"/>
          <w:lang w:val="en-US"/>
        </w:rPr>
        <w:t xml:space="preserve"> YUP</w:t>
      </w:r>
      <w:r w:rsidRPr="000C392D">
        <w:rPr>
          <w:rFonts w:ascii="Century" w:hAnsi="Century"/>
          <w:sz w:val="24"/>
          <w:szCs w:val="24"/>
          <w:lang w:val="en-US"/>
        </w:rPr>
        <w:t xml:space="preserve"> </w:t>
      </w:r>
      <w:r>
        <w:rPr>
          <w:rFonts w:ascii="Century" w:hAnsi="Century"/>
          <w:sz w:val="24"/>
          <w:szCs w:val="24"/>
          <w:lang w:val="en-US"/>
        </w:rPr>
        <w:t>1969)</w:t>
      </w:r>
      <w:r w:rsidRPr="000C392D">
        <w:rPr>
          <w:rFonts w:ascii="Century" w:hAnsi="Century"/>
          <w:sz w:val="24"/>
          <w:szCs w:val="24"/>
          <w:lang w:val="en-US"/>
        </w:rPr>
        <w:t>.</w:t>
      </w:r>
    </w:p>
    <w:p w:rsidR="004303AB" w:rsidRDefault="004303AB" w:rsidP="007C0020">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Gashabizi</w:t>
      </w:r>
      <w:r>
        <w:rPr>
          <w:rFonts w:ascii="Century" w:hAnsi="Century"/>
          <w:sz w:val="24"/>
          <w:szCs w:val="24"/>
          <w:lang w:val="en-US"/>
        </w:rPr>
        <w:t xml:space="preserve"> AS</w:t>
      </w:r>
      <w:r w:rsidRPr="000C392D">
        <w:rPr>
          <w:rFonts w:ascii="Century" w:hAnsi="Century"/>
          <w:sz w:val="24"/>
          <w:szCs w:val="24"/>
          <w:lang w:val="en-US"/>
        </w:rPr>
        <w:t>, ‘In Pursuit of Clarity: How Far Should the Drafter Go</w:t>
      </w:r>
      <w:r>
        <w:rPr>
          <w:rFonts w:ascii="Century" w:hAnsi="Century"/>
          <w:sz w:val="24"/>
          <w:szCs w:val="24"/>
          <w:lang w:val="en-US"/>
        </w:rPr>
        <w:t>?’ [2013] 39 Comm L Bull 415</w:t>
      </w:r>
      <w:r w:rsidRPr="000C392D">
        <w:rPr>
          <w:rFonts w:ascii="Century" w:hAnsi="Century"/>
          <w:sz w:val="24"/>
          <w:szCs w:val="24"/>
          <w:lang w:val="en-US"/>
        </w:rPr>
        <w:t xml:space="preserve">. </w:t>
      </w:r>
    </w:p>
    <w:p w:rsidR="00EA2A47" w:rsidRDefault="00EA2A47" w:rsidP="00EA2A47">
      <w:pPr>
        <w:pStyle w:val="FootnoteText"/>
        <w:jc w:val="both"/>
        <w:rPr>
          <w:rFonts w:ascii="Century" w:hAnsi="Century"/>
          <w:sz w:val="24"/>
          <w:szCs w:val="24"/>
        </w:rPr>
      </w:pPr>
    </w:p>
    <w:p w:rsidR="00EA2A47" w:rsidRDefault="00EA2A47" w:rsidP="00EA2A47">
      <w:pPr>
        <w:pStyle w:val="FootnoteText"/>
        <w:jc w:val="both"/>
        <w:rPr>
          <w:rFonts w:ascii="Century" w:hAnsi="Century"/>
          <w:sz w:val="24"/>
          <w:szCs w:val="24"/>
        </w:rPr>
      </w:pPr>
      <w:r w:rsidRPr="000C392D">
        <w:rPr>
          <w:rFonts w:ascii="Century" w:hAnsi="Century"/>
          <w:sz w:val="24"/>
          <w:szCs w:val="24"/>
        </w:rPr>
        <w:t>Gove</w:t>
      </w:r>
      <w:r>
        <w:rPr>
          <w:rFonts w:ascii="Century" w:hAnsi="Century"/>
          <w:sz w:val="24"/>
          <w:szCs w:val="24"/>
        </w:rPr>
        <w:t xml:space="preserve"> M</w:t>
      </w:r>
      <w:r w:rsidRPr="000C392D">
        <w:rPr>
          <w:rFonts w:ascii="Century" w:hAnsi="Century"/>
          <w:sz w:val="24"/>
          <w:szCs w:val="24"/>
        </w:rPr>
        <w:t>, ‘What Does a One Nation Justice Policy Looks Like?’ (</w:t>
      </w:r>
      <w:r>
        <w:rPr>
          <w:rFonts w:ascii="Century" w:hAnsi="Century"/>
          <w:sz w:val="24"/>
          <w:szCs w:val="24"/>
        </w:rPr>
        <w:t xml:space="preserve">Speech at Legatum Institute, </w:t>
      </w:r>
      <w:r w:rsidRPr="000C392D">
        <w:rPr>
          <w:rFonts w:ascii="Century" w:hAnsi="Century"/>
          <w:sz w:val="24"/>
          <w:szCs w:val="24"/>
        </w:rPr>
        <w:t xml:space="preserve">23 June 2015). </w:t>
      </w:r>
    </w:p>
    <w:p w:rsidR="00EA2A47" w:rsidRPr="00B75B58" w:rsidRDefault="00EA2A47" w:rsidP="00EA2A47">
      <w:pPr>
        <w:pStyle w:val="FootnoteText"/>
        <w:jc w:val="both"/>
        <w:rPr>
          <w:rFonts w:ascii="Century" w:hAnsi="Century"/>
          <w:sz w:val="24"/>
          <w:szCs w:val="24"/>
        </w:rPr>
      </w:pPr>
      <w:r>
        <w:rPr>
          <w:rFonts w:ascii="Century" w:hAnsi="Century"/>
          <w:sz w:val="24"/>
          <w:szCs w:val="24"/>
        </w:rPr>
        <w:t>&lt;</w:t>
      </w:r>
      <w:hyperlink r:id="rId10" w:history="1">
        <w:r w:rsidRPr="00B75B58">
          <w:rPr>
            <w:rStyle w:val="Hyperlink"/>
            <w:rFonts w:ascii="Century" w:hAnsi="Century"/>
            <w:color w:val="auto"/>
            <w:sz w:val="24"/>
            <w:szCs w:val="24"/>
            <w:u w:val="none"/>
          </w:rPr>
          <w:t>https://www.gov.uk/government/speeches/what-does-a-one-nation-justice-policy-look-like</w:t>
        </w:r>
      </w:hyperlink>
      <w:r w:rsidRPr="00B75B58">
        <w:rPr>
          <w:rStyle w:val="Hyperlink"/>
          <w:rFonts w:ascii="Century" w:hAnsi="Century"/>
          <w:color w:val="auto"/>
          <w:sz w:val="24"/>
          <w:szCs w:val="24"/>
          <w:u w:val="none"/>
        </w:rPr>
        <w:t>&gt;</w:t>
      </w:r>
      <w:r>
        <w:rPr>
          <w:rStyle w:val="Hyperlink"/>
          <w:rFonts w:ascii="Century" w:hAnsi="Century"/>
          <w:color w:val="auto"/>
          <w:sz w:val="24"/>
          <w:szCs w:val="24"/>
          <w:u w:val="none"/>
        </w:rPr>
        <w:t xml:space="preserve"> accessed 17 August 2015</w:t>
      </w:r>
    </w:p>
    <w:p w:rsidR="00EA2A47" w:rsidRDefault="00EA2A47" w:rsidP="00B505F4">
      <w:pPr>
        <w:jc w:val="both"/>
        <w:rPr>
          <w:rFonts w:ascii="Century" w:hAnsi="Century"/>
          <w:sz w:val="24"/>
          <w:szCs w:val="24"/>
        </w:rPr>
      </w:pPr>
    </w:p>
    <w:p w:rsidR="00013475" w:rsidRPr="000C392D" w:rsidRDefault="00013475" w:rsidP="00013475">
      <w:pPr>
        <w:pStyle w:val="FootnoteText"/>
        <w:jc w:val="both"/>
        <w:rPr>
          <w:rFonts w:ascii="Century" w:hAnsi="Century"/>
          <w:sz w:val="24"/>
          <w:szCs w:val="24"/>
          <w:lang w:val="en-US"/>
        </w:rPr>
      </w:pPr>
      <w:r w:rsidRPr="000C392D">
        <w:rPr>
          <w:rFonts w:ascii="Century" w:hAnsi="Century"/>
          <w:sz w:val="24"/>
          <w:szCs w:val="24"/>
        </w:rPr>
        <w:lastRenderedPageBreak/>
        <w:t>Greenberg</w:t>
      </w:r>
      <w:r>
        <w:rPr>
          <w:rFonts w:ascii="Century" w:hAnsi="Century"/>
          <w:sz w:val="24"/>
          <w:szCs w:val="24"/>
        </w:rPr>
        <w:t xml:space="preserve"> D</w:t>
      </w:r>
      <w:r w:rsidRPr="000C392D">
        <w:rPr>
          <w:rFonts w:ascii="Century" w:hAnsi="Century"/>
          <w:sz w:val="24"/>
          <w:szCs w:val="24"/>
        </w:rPr>
        <w:t xml:space="preserve">, ‘The Nature of Legislative Intention and Its Implications for Legislative Drafting’ </w:t>
      </w:r>
      <w:r>
        <w:rPr>
          <w:rFonts w:ascii="Century" w:hAnsi="Century"/>
          <w:sz w:val="24"/>
          <w:szCs w:val="24"/>
          <w:lang w:val="en-US"/>
        </w:rPr>
        <w:t>[2006] 27 SLR 15</w:t>
      </w:r>
      <w:r w:rsidRPr="000C392D">
        <w:rPr>
          <w:rFonts w:ascii="Century" w:hAnsi="Century"/>
          <w:sz w:val="24"/>
          <w:szCs w:val="24"/>
          <w:lang w:val="en-US"/>
        </w:rPr>
        <w:t>.</w:t>
      </w:r>
    </w:p>
    <w:p w:rsidR="00013475" w:rsidRPr="000C392D" w:rsidRDefault="00013475" w:rsidP="00013475">
      <w:pPr>
        <w:pStyle w:val="FootnoteText"/>
        <w:jc w:val="both"/>
        <w:rPr>
          <w:rFonts w:ascii="Century" w:hAnsi="Century"/>
          <w:sz w:val="24"/>
          <w:szCs w:val="24"/>
        </w:rPr>
      </w:pPr>
    </w:p>
    <w:p w:rsidR="00B505F4" w:rsidRPr="000C392D" w:rsidRDefault="00B505F4" w:rsidP="00B505F4">
      <w:pPr>
        <w:jc w:val="both"/>
        <w:rPr>
          <w:rFonts w:ascii="Century" w:hAnsi="Century"/>
          <w:sz w:val="24"/>
          <w:szCs w:val="24"/>
        </w:rPr>
      </w:pPr>
      <w:r w:rsidRPr="000C392D">
        <w:rPr>
          <w:rFonts w:ascii="Century" w:hAnsi="Century"/>
          <w:sz w:val="24"/>
          <w:szCs w:val="24"/>
        </w:rPr>
        <w:t>Greenberg</w:t>
      </w:r>
      <w:r>
        <w:rPr>
          <w:rFonts w:ascii="Century" w:hAnsi="Century"/>
          <w:sz w:val="24"/>
          <w:szCs w:val="24"/>
        </w:rPr>
        <w:t xml:space="preserve"> D</w:t>
      </w:r>
      <w:r w:rsidRPr="000C392D">
        <w:rPr>
          <w:rFonts w:ascii="Century" w:hAnsi="Century"/>
          <w:sz w:val="24"/>
          <w:szCs w:val="24"/>
        </w:rPr>
        <w:t xml:space="preserve">, ‘The Techniques of Gender Neutral Drafting’ in Constantin Stefanou and Helen Xanthaki (eds), </w:t>
      </w:r>
      <w:r w:rsidRPr="000C392D">
        <w:rPr>
          <w:rFonts w:ascii="Century" w:hAnsi="Century"/>
          <w:i/>
          <w:sz w:val="24"/>
          <w:szCs w:val="24"/>
        </w:rPr>
        <w:t xml:space="preserve">Drafting Legislation: A Modern Approach </w:t>
      </w:r>
      <w:r>
        <w:rPr>
          <w:rFonts w:ascii="Century" w:hAnsi="Century"/>
          <w:sz w:val="24"/>
          <w:szCs w:val="24"/>
        </w:rPr>
        <w:t>(</w:t>
      </w:r>
      <w:r w:rsidRPr="000C392D">
        <w:rPr>
          <w:rFonts w:ascii="Century" w:hAnsi="Century"/>
          <w:sz w:val="24"/>
          <w:szCs w:val="24"/>
        </w:rPr>
        <w:t>Ashgate</w:t>
      </w:r>
      <w:r>
        <w:rPr>
          <w:rFonts w:ascii="Century" w:hAnsi="Century"/>
          <w:sz w:val="24"/>
          <w:szCs w:val="24"/>
        </w:rPr>
        <w:t xml:space="preserve"> Publishing 2008</w:t>
      </w:r>
      <w:r w:rsidRPr="000C392D">
        <w:rPr>
          <w:rFonts w:ascii="Century" w:hAnsi="Century"/>
          <w:sz w:val="24"/>
          <w:szCs w:val="24"/>
        </w:rPr>
        <w:t>)</w:t>
      </w:r>
      <w:r>
        <w:rPr>
          <w:rFonts w:ascii="Century" w:hAnsi="Century"/>
          <w:sz w:val="24"/>
          <w:szCs w:val="24"/>
        </w:rPr>
        <w:t>.</w:t>
      </w:r>
    </w:p>
    <w:p w:rsidR="00013475" w:rsidRDefault="00013475" w:rsidP="00013475">
      <w:pPr>
        <w:pStyle w:val="FootnoteText"/>
        <w:jc w:val="both"/>
      </w:pPr>
      <w:r w:rsidRPr="000C392D">
        <w:rPr>
          <w:rFonts w:ascii="Century" w:hAnsi="Century"/>
          <w:sz w:val="24"/>
          <w:szCs w:val="24"/>
          <w:lang w:val="en-US"/>
        </w:rPr>
        <w:t>Greenberg</w:t>
      </w:r>
      <w:r>
        <w:rPr>
          <w:rFonts w:ascii="Century" w:hAnsi="Century"/>
          <w:sz w:val="24"/>
          <w:szCs w:val="24"/>
          <w:lang w:val="en-US"/>
        </w:rPr>
        <w:t xml:space="preserve"> D</w:t>
      </w:r>
      <w:r w:rsidRPr="000C392D">
        <w:rPr>
          <w:rFonts w:ascii="Century" w:hAnsi="Century"/>
          <w:sz w:val="24"/>
          <w:szCs w:val="24"/>
          <w:lang w:val="en-US"/>
        </w:rPr>
        <w:t>, ‘Access to Legislation-the Legis</w:t>
      </w:r>
      <w:r>
        <w:rPr>
          <w:rFonts w:ascii="Century" w:hAnsi="Century"/>
          <w:sz w:val="24"/>
          <w:szCs w:val="24"/>
          <w:lang w:val="en-US"/>
        </w:rPr>
        <w:t>lative Counsel’s Role’ (</w:t>
      </w:r>
      <w:r w:rsidRPr="000C392D">
        <w:rPr>
          <w:rFonts w:ascii="Century" w:hAnsi="Century"/>
          <w:sz w:val="24"/>
          <w:szCs w:val="24"/>
          <w:lang w:val="en-US"/>
        </w:rPr>
        <w:t xml:space="preserve">2009) </w:t>
      </w:r>
      <w:r>
        <w:rPr>
          <w:rFonts w:ascii="Century" w:hAnsi="Century"/>
          <w:sz w:val="24"/>
          <w:szCs w:val="24"/>
          <w:lang w:val="en-US"/>
        </w:rPr>
        <w:t>The Loophole 7</w:t>
      </w:r>
      <w:r w:rsidRPr="000C392D">
        <w:rPr>
          <w:rFonts w:ascii="Century" w:hAnsi="Century"/>
          <w:sz w:val="24"/>
          <w:szCs w:val="24"/>
          <w:lang w:val="en-US"/>
        </w:rPr>
        <w:t>.</w:t>
      </w:r>
      <w:r w:rsidRPr="00BE5995">
        <w:t xml:space="preserve"> </w:t>
      </w:r>
    </w:p>
    <w:p w:rsidR="00013475" w:rsidRPr="00BE5995" w:rsidRDefault="00013475" w:rsidP="00013475">
      <w:pPr>
        <w:pStyle w:val="FootnoteText"/>
        <w:jc w:val="both"/>
        <w:rPr>
          <w:rFonts w:ascii="Century" w:hAnsi="Century"/>
          <w:sz w:val="24"/>
          <w:szCs w:val="24"/>
          <w:lang w:val="en-US"/>
        </w:rPr>
      </w:pPr>
      <w:r w:rsidRPr="00BE5995">
        <w:rPr>
          <w:rFonts w:ascii="Century" w:hAnsi="Century"/>
          <w:sz w:val="24"/>
          <w:szCs w:val="24"/>
        </w:rPr>
        <w:t>&lt;</w:t>
      </w:r>
      <w:r w:rsidRPr="00BE5995">
        <w:rPr>
          <w:rFonts w:ascii="Century" w:hAnsi="Century"/>
          <w:sz w:val="24"/>
          <w:szCs w:val="24"/>
          <w:lang w:val="en-US"/>
        </w:rPr>
        <w:t>https://www.opc.gov.au/calc/docs/Loophole_papers/Greenberg_Oct2009.pdf&gt; accessed 19 August 2015</w:t>
      </w:r>
    </w:p>
    <w:p w:rsidR="00013475" w:rsidRDefault="00013475" w:rsidP="007C0020">
      <w:pPr>
        <w:pStyle w:val="FootnoteText"/>
        <w:jc w:val="both"/>
        <w:rPr>
          <w:rFonts w:ascii="Century" w:hAnsi="Century"/>
          <w:sz w:val="24"/>
          <w:szCs w:val="24"/>
        </w:rPr>
      </w:pPr>
    </w:p>
    <w:p w:rsidR="004303AB" w:rsidRPr="000C392D" w:rsidRDefault="004303AB" w:rsidP="007C0020">
      <w:pPr>
        <w:pStyle w:val="FootnoteText"/>
        <w:jc w:val="both"/>
        <w:rPr>
          <w:rFonts w:ascii="Century" w:hAnsi="Century"/>
          <w:sz w:val="24"/>
          <w:szCs w:val="24"/>
        </w:rPr>
      </w:pPr>
      <w:r w:rsidRPr="006326ED">
        <w:rPr>
          <w:rFonts w:ascii="Century" w:hAnsi="Century"/>
          <w:sz w:val="24"/>
          <w:szCs w:val="24"/>
        </w:rPr>
        <w:t>Greenberg</w:t>
      </w:r>
      <w:r>
        <w:rPr>
          <w:rFonts w:ascii="Century" w:hAnsi="Century"/>
          <w:sz w:val="24"/>
          <w:szCs w:val="24"/>
        </w:rPr>
        <w:t xml:space="preserve"> D</w:t>
      </w:r>
      <w:r w:rsidRPr="006326ED">
        <w:rPr>
          <w:rFonts w:ascii="Century" w:hAnsi="Century"/>
          <w:sz w:val="24"/>
          <w:szCs w:val="24"/>
        </w:rPr>
        <w:t xml:space="preserve">, </w:t>
      </w:r>
      <w:r w:rsidRPr="006326ED">
        <w:rPr>
          <w:rFonts w:ascii="Century" w:hAnsi="Century"/>
          <w:i/>
          <w:sz w:val="24"/>
          <w:szCs w:val="24"/>
        </w:rPr>
        <w:t>Laying Down the Law</w:t>
      </w:r>
      <w:r w:rsidRPr="006326ED">
        <w:rPr>
          <w:rFonts w:ascii="Century" w:hAnsi="Century"/>
          <w:sz w:val="24"/>
          <w:szCs w:val="24"/>
        </w:rPr>
        <w:t xml:space="preserve"> (1</w:t>
      </w:r>
      <w:r w:rsidRPr="006326ED">
        <w:rPr>
          <w:rFonts w:ascii="Century" w:hAnsi="Century"/>
          <w:sz w:val="24"/>
          <w:szCs w:val="24"/>
          <w:vertAlign w:val="superscript"/>
        </w:rPr>
        <w:t>st</w:t>
      </w:r>
      <w:r w:rsidRPr="006326ED">
        <w:rPr>
          <w:rFonts w:ascii="Century" w:hAnsi="Century"/>
          <w:sz w:val="24"/>
          <w:szCs w:val="24"/>
        </w:rPr>
        <w:t xml:space="preserve"> edn, Sweet &amp;</w:t>
      </w:r>
      <w:r>
        <w:rPr>
          <w:rFonts w:ascii="Century" w:hAnsi="Century"/>
          <w:sz w:val="24"/>
          <w:szCs w:val="24"/>
        </w:rPr>
        <w:t xml:space="preserve"> Maxwell 2011)</w:t>
      </w:r>
      <w:r w:rsidRPr="006326ED">
        <w:rPr>
          <w:rFonts w:ascii="Century" w:hAnsi="Century"/>
          <w:sz w:val="24"/>
          <w:szCs w:val="24"/>
        </w:rPr>
        <w:t>.</w:t>
      </w:r>
    </w:p>
    <w:p w:rsidR="00B505F4" w:rsidRDefault="00B505F4" w:rsidP="00B505F4">
      <w:pPr>
        <w:pStyle w:val="FootnoteText"/>
        <w:jc w:val="both"/>
        <w:rPr>
          <w:rFonts w:ascii="Century" w:hAnsi="Century"/>
          <w:sz w:val="24"/>
          <w:szCs w:val="24"/>
        </w:rPr>
      </w:pPr>
    </w:p>
    <w:p w:rsidR="00013475" w:rsidRPr="000C392D" w:rsidRDefault="00013475" w:rsidP="00013475">
      <w:pPr>
        <w:pStyle w:val="FootnoteText"/>
        <w:jc w:val="both"/>
        <w:rPr>
          <w:rFonts w:ascii="Century" w:hAnsi="Century"/>
          <w:sz w:val="24"/>
          <w:szCs w:val="24"/>
        </w:rPr>
      </w:pPr>
      <w:r w:rsidRPr="000C392D">
        <w:rPr>
          <w:rFonts w:ascii="Century" w:hAnsi="Century"/>
          <w:sz w:val="24"/>
          <w:szCs w:val="24"/>
          <w:lang w:val="en-US"/>
        </w:rPr>
        <w:t>Greenberg</w:t>
      </w:r>
      <w:r>
        <w:rPr>
          <w:rFonts w:ascii="Century" w:hAnsi="Century"/>
          <w:sz w:val="24"/>
          <w:szCs w:val="24"/>
          <w:lang w:val="en-US"/>
        </w:rPr>
        <w:t xml:space="preserve"> D</w:t>
      </w:r>
      <w:r w:rsidRPr="000C392D">
        <w:rPr>
          <w:rFonts w:ascii="Century" w:hAnsi="Century"/>
          <w:sz w:val="24"/>
          <w:szCs w:val="24"/>
          <w:lang w:val="en-US"/>
        </w:rPr>
        <w:t>, ‘Three Myths of Plain English</w:t>
      </w:r>
      <w:r>
        <w:rPr>
          <w:rFonts w:ascii="Century" w:hAnsi="Century"/>
          <w:sz w:val="24"/>
          <w:szCs w:val="24"/>
          <w:lang w:val="en-US"/>
        </w:rPr>
        <w:t xml:space="preserve"> Drafting’ (</w:t>
      </w:r>
      <w:r w:rsidRPr="000C392D">
        <w:rPr>
          <w:rFonts w:ascii="Century" w:hAnsi="Century"/>
          <w:sz w:val="24"/>
          <w:szCs w:val="24"/>
          <w:lang w:val="en-US"/>
        </w:rPr>
        <w:t xml:space="preserve">2011) </w:t>
      </w:r>
      <w:r>
        <w:rPr>
          <w:rFonts w:ascii="Century" w:hAnsi="Century"/>
          <w:sz w:val="24"/>
          <w:szCs w:val="24"/>
          <w:lang w:val="en-US"/>
        </w:rPr>
        <w:t>T</w:t>
      </w:r>
      <w:r w:rsidRPr="000C392D">
        <w:rPr>
          <w:rFonts w:ascii="Century" w:hAnsi="Century"/>
          <w:sz w:val="24"/>
          <w:szCs w:val="24"/>
          <w:lang w:val="en-US"/>
        </w:rPr>
        <w:t>he Loophole 103.</w:t>
      </w:r>
      <w:r w:rsidRPr="000C392D">
        <w:rPr>
          <w:rFonts w:ascii="Century" w:hAnsi="Century"/>
          <w:sz w:val="24"/>
          <w:szCs w:val="24"/>
        </w:rPr>
        <w:t xml:space="preserve"> </w:t>
      </w:r>
    </w:p>
    <w:p w:rsidR="00013475" w:rsidRPr="000C392D" w:rsidRDefault="00013475" w:rsidP="00013475">
      <w:pPr>
        <w:pStyle w:val="FootnoteText"/>
        <w:jc w:val="both"/>
        <w:rPr>
          <w:rFonts w:ascii="Century" w:hAnsi="Century"/>
          <w:sz w:val="24"/>
          <w:szCs w:val="24"/>
          <w:lang w:val="en-US"/>
        </w:rPr>
      </w:pPr>
      <w:r w:rsidRPr="000C392D">
        <w:rPr>
          <w:rFonts w:ascii="Century" w:hAnsi="Century"/>
          <w:sz w:val="24"/>
          <w:szCs w:val="24"/>
        </w:rPr>
        <w:t>&lt;</w:t>
      </w:r>
      <w:r w:rsidRPr="000C392D">
        <w:rPr>
          <w:rFonts w:ascii="Century" w:hAnsi="Century"/>
          <w:sz w:val="24"/>
          <w:szCs w:val="24"/>
          <w:lang w:val="en-US"/>
        </w:rPr>
        <w:t>http://www.opc.gov.au/calc/docs/Loophole_papers/Greenberg_Feb2011.pdf&gt; accessed 4 August 2015</w:t>
      </w:r>
    </w:p>
    <w:p w:rsidR="00013475" w:rsidRDefault="00013475" w:rsidP="00B505F4">
      <w:pPr>
        <w:pStyle w:val="FootnoteText"/>
        <w:jc w:val="both"/>
        <w:rPr>
          <w:rFonts w:ascii="Century" w:hAnsi="Century"/>
          <w:sz w:val="24"/>
          <w:szCs w:val="24"/>
        </w:rPr>
      </w:pPr>
    </w:p>
    <w:p w:rsidR="00B505F4" w:rsidRPr="000C392D" w:rsidRDefault="00B505F4" w:rsidP="00B505F4">
      <w:pPr>
        <w:pStyle w:val="FootnoteText"/>
        <w:jc w:val="both"/>
        <w:rPr>
          <w:rFonts w:ascii="Century" w:hAnsi="Century"/>
          <w:sz w:val="24"/>
          <w:szCs w:val="24"/>
        </w:rPr>
      </w:pPr>
      <w:r w:rsidRPr="000C392D">
        <w:rPr>
          <w:rFonts w:ascii="Century" w:hAnsi="Century"/>
          <w:sz w:val="24"/>
          <w:szCs w:val="24"/>
        </w:rPr>
        <w:t>Greenberg</w:t>
      </w:r>
      <w:r>
        <w:rPr>
          <w:rFonts w:ascii="Century" w:hAnsi="Century"/>
          <w:sz w:val="24"/>
          <w:szCs w:val="24"/>
        </w:rPr>
        <w:t xml:space="preserve"> D</w:t>
      </w:r>
      <w:r w:rsidRPr="000C392D">
        <w:rPr>
          <w:rFonts w:ascii="Century" w:hAnsi="Century"/>
          <w:sz w:val="24"/>
          <w:szCs w:val="24"/>
        </w:rPr>
        <w:t xml:space="preserve"> (ed), </w:t>
      </w:r>
      <w:r w:rsidRPr="000C392D">
        <w:rPr>
          <w:rFonts w:ascii="Century" w:hAnsi="Century"/>
          <w:i/>
          <w:sz w:val="24"/>
          <w:szCs w:val="24"/>
        </w:rPr>
        <w:t>Craies on Legislation: A Practioner’s Guide to the Nature, Process and Effect and Interpretation of Legislation</w:t>
      </w:r>
      <w:r w:rsidRPr="000C392D">
        <w:rPr>
          <w:rFonts w:ascii="Century" w:hAnsi="Century"/>
          <w:sz w:val="24"/>
          <w:szCs w:val="24"/>
        </w:rPr>
        <w:t xml:space="preserve"> (10</w:t>
      </w:r>
      <w:r w:rsidRPr="000C392D">
        <w:rPr>
          <w:rFonts w:ascii="Century" w:hAnsi="Century"/>
          <w:sz w:val="24"/>
          <w:szCs w:val="24"/>
          <w:vertAlign w:val="superscript"/>
        </w:rPr>
        <w:t>th</w:t>
      </w:r>
      <w:r w:rsidRPr="000C392D">
        <w:rPr>
          <w:rFonts w:ascii="Century" w:hAnsi="Century"/>
          <w:sz w:val="24"/>
          <w:szCs w:val="24"/>
        </w:rPr>
        <w:t xml:space="preserve"> edn, Sweet &amp;Maxwell 2012).</w:t>
      </w:r>
    </w:p>
    <w:p w:rsidR="00EA2A47" w:rsidRDefault="00EA2A47" w:rsidP="00EA2A47">
      <w:pPr>
        <w:pStyle w:val="FootnoteText"/>
        <w:jc w:val="both"/>
        <w:rPr>
          <w:rFonts w:ascii="Century" w:hAnsi="Century"/>
          <w:sz w:val="24"/>
          <w:szCs w:val="24"/>
          <w:lang w:val="en-US"/>
        </w:rPr>
      </w:pPr>
    </w:p>
    <w:p w:rsidR="00EA2A47" w:rsidRDefault="00EA2A47" w:rsidP="00EA2A47">
      <w:pPr>
        <w:pStyle w:val="FootnoteText"/>
        <w:jc w:val="both"/>
        <w:rPr>
          <w:rFonts w:ascii="Century" w:hAnsi="Century"/>
          <w:sz w:val="24"/>
          <w:szCs w:val="24"/>
        </w:rPr>
      </w:pPr>
      <w:r w:rsidRPr="000C392D">
        <w:rPr>
          <w:rFonts w:ascii="Century" w:hAnsi="Century"/>
          <w:sz w:val="24"/>
          <w:szCs w:val="24"/>
        </w:rPr>
        <w:t>Heald</w:t>
      </w:r>
      <w:r>
        <w:rPr>
          <w:rFonts w:ascii="Century" w:hAnsi="Century"/>
          <w:sz w:val="24"/>
          <w:szCs w:val="24"/>
        </w:rPr>
        <w:t xml:space="preserve"> O</w:t>
      </w:r>
      <w:r w:rsidRPr="000C392D">
        <w:rPr>
          <w:rFonts w:ascii="Century" w:hAnsi="Century"/>
          <w:sz w:val="24"/>
          <w:szCs w:val="24"/>
        </w:rPr>
        <w:t xml:space="preserve">, ‘The Role of the Law Officers’ </w:t>
      </w:r>
      <w:r>
        <w:rPr>
          <w:rFonts w:ascii="Century" w:hAnsi="Century"/>
          <w:sz w:val="24"/>
          <w:szCs w:val="24"/>
        </w:rPr>
        <w:t>(</w:t>
      </w:r>
      <w:r w:rsidRPr="000C392D">
        <w:rPr>
          <w:rFonts w:ascii="Century" w:hAnsi="Century"/>
          <w:sz w:val="24"/>
          <w:szCs w:val="24"/>
        </w:rPr>
        <w:t xml:space="preserve">Speech </w:t>
      </w:r>
      <w:r>
        <w:rPr>
          <w:rFonts w:ascii="Century" w:hAnsi="Century"/>
          <w:sz w:val="24"/>
          <w:szCs w:val="24"/>
        </w:rPr>
        <w:t xml:space="preserve">at Kent Law School) </w:t>
      </w:r>
      <w:r w:rsidRPr="000C392D">
        <w:rPr>
          <w:rFonts w:ascii="Century" w:hAnsi="Century"/>
          <w:sz w:val="24"/>
          <w:szCs w:val="24"/>
        </w:rPr>
        <w:t>(18 October 2012)</w:t>
      </w:r>
      <w:r>
        <w:rPr>
          <w:rFonts w:ascii="Century" w:hAnsi="Century"/>
          <w:sz w:val="24"/>
          <w:szCs w:val="24"/>
        </w:rPr>
        <w:t>.</w:t>
      </w:r>
      <w:r w:rsidRPr="000C392D">
        <w:rPr>
          <w:rFonts w:ascii="Century" w:hAnsi="Century"/>
          <w:sz w:val="24"/>
          <w:szCs w:val="24"/>
        </w:rPr>
        <w:t xml:space="preserve"> </w:t>
      </w: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&lt;https://www.gov.uk/government/speeches/the-role-of-the-law-officers&gt; 29</w:t>
      </w:r>
      <w:r w:rsidRPr="000C392D">
        <w:rPr>
          <w:rFonts w:ascii="Century" w:hAnsi="Century"/>
          <w:sz w:val="24"/>
          <w:szCs w:val="24"/>
          <w:vertAlign w:val="superscript"/>
        </w:rPr>
        <w:t>th</w:t>
      </w:r>
      <w:r w:rsidRPr="000C392D">
        <w:rPr>
          <w:rFonts w:ascii="Century" w:hAnsi="Century"/>
          <w:sz w:val="24"/>
          <w:szCs w:val="24"/>
        </w:rPr>
        <w:t xml:space="preserve"> July 2015</w:t>
      </w:r>
    </w:p>
    <w:p w:rsidR="0043526F" w:rsidRDefault="0043526F" w:rsidP="00EA2A47">
      <w:pPr>
        <w:pStyle w:val="FootnoteText"/>
        <w:jc w:val="both"/>
        <w:rPr>
          <w:rFonts w:ascii="Century" w:hAnsi="Century"/>
          <w:sz w:val="24"/>
          <w:szCs w:val="24"/>
        </w:rPr>
      </w:pPr>
    </w:p>
    <w:p w:rsidR="00EA2A47" w:rsidRDefault="00EA2A47" w:rsidP="00EA2A47">
      <w:pPr>
        <w:pStyle w:val="FootnoteText"/>
        <w:jc w:val="both"/>
        <w:rPr>
          <w:rFonts w:ascii="Century" w:hAnsi="Century"/>
          <w:sz w:val="24"/>
          <w:szCs w:val="24"/>
        </w:rPr>
      </w:pPr>
      <w:r w:rsidRPr="000C392D">
        <w:rPr>
          <w:rFonts w:ascii="Century" w:hAnsi="Century"/>
          <w:sz w:val="24"/>
          <w:szCs w:val="24"/>
        </w:rPr>
        <w:t>Horn</w:t>
      </w:r>
      <w:r>
        <w:rPr>
          <w:rFonts w:ascii="Century" w:hAnsi="Century"/>
          <w:sz w:val="24"/>
          <w:szCs w:val="24"/>
        </w:rPr>
        <w:t xml:space="preserve"> N</w:t>
      </w:r>
      <w:r w:rsidRPr="000C392D">
        <w:rPr>
          <w:rFonts w:ascii="Century" w:hAnsi="Century"/>
          <w:sz w:val="24"/>
          <w:szCs w:val="24"/>
        </w:rPr>
        <w:t xml:space="preserve">, ‘Shaping Policy Into Law: A Strategy for </w:t>
      </w:r>
      <w:r>
        <w:rPr>
          <w:rFonts w:ascii="Century" w:hAnsi="Century"/>
          <w:sz w:val="24"/>
          <w:szCs w:val="24"/>
        </w:rPr>
        <w:t>Developing Common Standards’ (2011) The Loophole 40</w:t>
      </w:r>
      <w:r w:rsidRPr="000C392D">
        <w:rPr>
          <w:rFonts w:ascii="Century" w:hAnsi="Century"/>
          <w:sz w:val="24"/>
          <w:szCs w:val="24"/>
        </w:rPr>
        <w:t xml:space="preserve">. </w:t>
      </w: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&lt;https://www.opc.gov.au/calc/docs/Loophole_papers/Horn_Feb2011.pdf&gt; accessed 7 August 2015</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Horn</w:t>
      </w:r>
      <w:r>
        <w:rPr>
          <w:rFonts w:ascii="Century" w:hAnsi="Century"/>
          <w:sz w:val="24"/>
          <w:szCs w:val="24"/>
        </w:rPr>
        <w:t xml:space="preserve"> N</w:t>
      </w:r>
      <w:r w:rsidRPr="000C392D">
        <w:rPr>
          <w:rFonts w:ascii="Century" w:hAnsi="Century"/>
          <w:sz w:val="24"/>
          <w:szCs w:val="24"/>
        </w:rPr>
        <w:t>, ‘Legislative Section Headings: Drafting Techniques, Plain Language, and R</w:t>
      </w:r>
      <w:r>
        <w:rPr>
          <w:rFonts w:ascii="Century" w:hAnsi="Century"/>
          <w:sz w:val="24"/>
          <w:szCs w:val="24"/>
        </w:rPr>
        <w:t>edundancy’ [2011] 32 SLR 186</w:t>
      </w:r>
      <w:r w:rsidRPr="000C392D">
        <w:rPr>
          <w:rFonts w:ascii="Century" w:hAnsi="Century"/>
          <w:sz w:val="24"/>
          <w:szCs w:val="24"/>
        </w:rPr>
        <w:t>.</w:t>
      </w:r>
    </w:p>
    <w:p w:rsidR="00EA2A47" w:rsidRPr="000C392D"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Hunt</w:t>
      </w:r>
      <w:r>
        <w:rPr>
          <w:rFonts w:ascii="Century" w:hAnsi="Century"/>
          <w:sz w:val="24"/>
          <w:szCs w:val="24"/>
          <w:lang w:val="en-US"/>
        </w:rPr>
        <w:t xml:space="preserve"> B,</w:t>
      </w:r>
      <w:r w:rsidRPr="000C392D">
        <w:rPr>
          <w:rFonts w:ascii="Century" w:hAnsi="Century"/>
          <w:sz w:val="24"/>
          <w:szCs w:val="24"/>
          <w:lang w:val="en-US"/>
        </w:rPr>
        <w:t xml:space="preserve"> ‘Plain Language in Legislative Drafting: An Achievable O</w:t>
      </w:r>
      <w:r>
        <w:rPr>
          <w:rFonts w:ascii="Century" w:hAnsi="Century"/>
          <w:sz w:val="24"/>
          <w:szCs w:val="24"/>
          <w:lang w:val="en-US"/>
        </w:rPr>
        <w:t>bjective or a Laudable Ideal?’ [2003]</w:t>
      </w:r>
      <w:r w:rsidRPr="000C392D">
        <w:rPr>
          <w:rFonts w:ascii="Century" w:hAnsi="Century"/>
          <w:sz w:val="24"/>
          <w:szCs w:val="24"/>
          <w:lang w:val="en-US"/>
        </w:rPr>
        <w:t xml:space="preserve"> 24 </w:t>
      </w:r>
      <w:r>
        <w:rPr>
          <w:rFonts w:ascii="Century" w:hAnsi="Century"/>
          <w:sz w:val="24"/>
          <w:szCs w:val="24"/>
          <w:lang w:val="en-US"/>
        </w:rPr>
        <w:t>SLR 112</w:t>
      </w:r>
      <w:r w:rsidRPr="000C392D">
        <w:rPr>
          <w:rFonts w:ascii="Century" w:hAnsi="Century"/>
          <w:sz w:val="24"/>
          <w:szCs w:val="24"/>
          <w:lang w:val="en-US"/>
        </w:rPr>
        <w:t>.</w:t>
      </w:r>
    </w:p>
    <w:p w:rsidR="00EA2A47" w:rsidRPr="000C392D" w:rsidRDefault="00EA2A47" w:rsidP="00EA2A47">
      <w:pPr>
        <w:pStyle w:val="FootnoteText"/>
        <w:jc w:val="both"/>
        <w:rPr>
          <w:rFonts w:ascii="Century" w:hAnsi="Century"/>
          <w:sz w:val="24"/>
          <w:szCs w:val="24"/>
          <w:lang w:val="en-US"/>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Ireland Law Reform Commission</w:t>
      </w:r>
      <w:r w:rsidR="006E3885">
        <w:rPr>
          <w:rFonts w:ascii="Century" w:hAnsi="Century"/>
          <w:sz w:val="24"/>
          <w:szCs w:val="24"/>
          <w:lang w:val="en-US"/>
        </w:rPr>
        <w:t xml:space="preserve"> (ILC)</w:t>
      </w:r>
      <w:r w:rsidRPr="000C392D">
        <w:rPr>
          <w:rFonts w:ascii="Century" w:hAnsi="Century"/>
          <w:sz w:val="24"/>
          <w:szCs w:val="24"/>
          <w:lang w:val="en-US"/>
        </w:rPr>
        <w:t>, ‘Consultation Paper on Statutory Drafting and Interpretation, Plain Language and the Law’ (J</w:t>
      </w:r>
      <w:r>
        <w:rPr>
          <w:rFonts w:ascii="Century" w:hAnsi="Century"/>
          <w:sz w:val="24"/>
          <w:szCs w:val="24"/>
          <w:lang w:val="en-US"/>
        </w:rPr>
        <w:t>uly 1999)</w:t>
      </w:r>
      <w:r w:rsidRPr="000C392D">
        <w:rPr>
          <w:rFonts w:ascii="Century" w:hAnsi="Century"/>
          <w:sz w:val="24"/>
          <w:szCs w:val="24"/>
          <w:lang w:val="en-US"/>
        </w:rPr>
        <w:t>.</w:t>
      </w:r>
      <w:r w:rsidRPr="000C392D">
        <w:rPr>
          <w:rFonts w:ascii="Century" w:hAnsi="Century"/>
          <w:sz w:val="24"/>
          <w:szCs w:val="24"/>
        </w:rPr>
        <w:t xml:space="preserve"> &lt;</w:t>
      </w:r>
      <w:r w:rsidRPr="000C392D">
        <w:rPr>
          <w:rFonts w:ascii="Century" w:hAnsi="Century"/>
          <w:sz w:val="24"/>
          <w:szCs w:val="24"/>
          <w:lang w:val="en-US"/>
        </w:rPr>
        <w:t>http://www.lawreform.ie/_fileupload/consultation%20papers/cpPlainLanguage.pdf&gt;</w:t>
      </w:r>
      <w:r>
        <w:rPr>
          <w:rFonts w:ascii="Century" w:hAnsi="Century"/>
          <w:sz w:val="24"/>
          <w:szCs w:val="24"/>
          <w:lang w:val="en-US"/>
        </w:rPr>
        <w:t xml:space="preserve"> 19 August 2015</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Ismail</w:t>
      </w:r>
      <w:r>
        <w:rPr>
          <w:rFonts w:ascii="Century" w:hAnsi="Century"/>
          <w:sz w:val="24"/>
          <w:szCs w:val="24"/>
        </w:rPr>
        <w:t xml:space="preserve"> NH</w:t>
      </w:r>
      <w:r w:rsidRPr="000C392D">
        <w:rPr>
          <w:rFonts w:ascii="Century" w:hAnsi="Century"/>
          <w:sz w:val="24"/>
          <w:szCs w:val="24"/>
        </w:rPr>
        <w:t>, ‘Legislat</w:t>
      </w:r>
      <w:r>
        <w:rPr>
          <w:rFonts w:ascii="Century" w:hAnsi="Century"/>
          <w:sz w:val="24"/>
          <w:szCs w:val="24"/>
        </w:rPr>
        <w:t>ive Drafters: Lawyers or Not?’ [2013]</w:t>
      </w:r>
      <w:r w:rsidRPr="000C392D">
        <w:rPr>
          <w:rFonts w:ascii="Century" w:hAnsi="Century"/>
          <w:sz w:val="24"/>
          <w:szCs w:val="24"/>
        </w:rPr>
        <w:t xml:space="preserve"> 39 Comm L Bull 455.</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lastRenderedPageBreak/>
        <w:t>Johnson</w:t>
      </w:r>
      <w:r>
        <w:rPr>
          <w:rFonts w:ascii="Century" w:hAnsi="Century"/>
          <w:sz w:val="24"/>
          <w:szCs w:val="24"/>
          <w:lang w:val="en-US"/>
        </w:rPr>
        <w:t xml:space="preserve"> PE</w:t>
      </w:r>
      <w:r w:rsidRPr="000C392D">
        <w:rPr>
          <w:rFonts w:ascii="Century" w:hAnsi="Century"/>
          <w:sz w:val="24"/>
          <w:szCs w:val="24"/>
          <w:lang w:val="en-US"/>
        </w:rPr>
        <w:t xml:space="preserve">, ‘Legislative Drafting Practices and Other Factors Affecting </w:t>
      </w:r>
      <w:r w:rsidR="00A41B86">
        <w:rPr>
          <w:rFonts w:ascii="Century" w:hAnsi="Century"/>
          <w:sz w:val="24"/>
          <w:szCs w:val="24"/>
          <w:lang w:val="en-US"/>
        </w:rPr>
        <w:t xml:space="preserve">the </w:t>
      </w:r>
      <w:r w:rsidRPr="000C392D">
        <w:rPr>
          <w:rFonts w:ascii="Century" w:hAnsi="Century"/>
          <w:sz w:val="24"/>
          <w:szCs w:val="24"/>
          <w:lang w:val="en-US"/>
        </w:rPr>
        <w:t xml:space="preserve">Clarity of Canada’s Laws’ </w:t>
      </w:r>
      <w:r>
        <w:rPr>
          <w:rFonts w:ascii="Century" w:hAnsi="Century"/>
          <w:sz w:val="24"/>
          <w:szCs w:val="24"/>
          <w:lang w:val="en-US"/>
        </w:rPr>
        <w:t>[1991] 12 SLR 2</w:t>
      </w:r>
      <w:r w:rsidRPr="000C392D">
        <w:rPr>
          <w:rFonts w:ascii="Century" w:hAnsi="Century"/>
          <w:sz w:val="24"/>
          <w:szCs w:val="24"/>
          <w:lang w:val="en-US"/>
        </w:rPr>
        <w:t>.</w:t>
      </w:r>
    </w:p>
    <w:p w:rsidR="00EA2A47" w:rsidRDefault="00EA2A47" w:rsidP="00EA2A47">
      <w:pPr>
        <w:pStyle w:val="FootnoteText"/>
        <w:jc w:val="both"/>
        <w:rPr>
          <w:rFonts w:ascii="Century" w:hAnsi="Century"/>
          <w:sz w:val="24"/>
          <w:szCs w:val="24"/>
          <w:lang w:val="en-US"/>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Kabba</w:t>
      </w:r>
      <w:r>
        <w:rPr>
          <w:rFonts w:ascii="Century" w:hAnsi="Century"/>
          <w:sz w:val="24"/>
          <w:szCs w:val="24"/>
          <w:lang w:val="en-US"/>
        </w:rPr>
        <w:t xml:space="preserve"> K</w:t>
      </w:r>
      <w:r w:rsidRPr="000C392D">
        <w:rPr>
          <w:rFonts w:ascii="Century" w:hAnsi="Century"/>
          <w:sz w:val="24"/>
          <w:szCs w:val="24"/>
          <w:lang w:val="en-US"/>
        </w:rPr>
        <w:t xml:space="preserve">, </w:t>
      </w:r>
      <w:r>
        <w:rPr>
          <w:rFonts w:ascii="Century" w:hAnsi="Century"/>
          <w:sz w:val="24"/>
          <w:szCs w:val="24"/>
          <w:lang w:val="en-US"/>
        </w:rPr>
        <w:t>‘</w:t>
      </w:r>
      <w:r w:rsidRPr="000C392D">
        <w:rPr>
          <w:rFonts w:ascii="Century" w:hAnsi="Century"/>
          <w:sz w:val="24"/>
          <w:szCs w:val="24"/>
          <w:lang w:val="en-US"/>
        </w:rPr>
        <w:t xml:space="preserve">Gender-neutral Language: An </w:t>
      </w:r>
      <w:r>
        <w:rPr>
          <w:rFonts w:ascii="Century" w:hAnsi="Century"/>
          <w:sz w:val="24"/>
          <w:szCs w:val="24"/>
          <w:lang w:val="en-US"/>
        </w:rPr>
        <w:t>E</w:t>
      </w:r>
      <w:r w:rsidRPr="000C392D">
        <w:rPr>
          <w:rFonts w:ascii="Century" w:hAnsi="Century"/>
          <w:sz w:val="24"/>
          <w:szCs w:val="24"/>
          <w:lang w:val="en-US"/>
        </w:rPr>
        <w:t xml:space="preserve">ssential </w:t>
      </w:r>
      <w:r>
        <w:rPr>
          <w:rFonts w:ascii="Century" w:hAnsi="Century"/>
          <w:sz w:val="24"/>
          <w:szCs w:val="24"/>
          <w:lang w:val="en-US"/>
        </w:rPr>
        <w:t>L</w:t>
      </w:r>
      <w:r w:rsidRPr="000C392D">
        <w:rPr>
          <w:rFonts w:ascii="Century" w:hAnsi="Century"/>
          <w:sz w:val="24"/>
          <w:szCs w:val="24"/>
          <w:lang w:val="en-US"/>
        </w:rPr>
        <w:t xml:space="preserve">anguage </w:t>
      </w:r>
      <w:r>
        <w:rPr>
          <w:rFonts w:ascii="Century" w:hAnsi="Century"/>
          <w:sz w:val="24"/>
          <w:szCs w:val="24"/>
          <w:lang w:val="en-US"/>
        </w:rPr>
        <w:t>T</w:t>
      </w:r>
      <w:r w:rsidRPr="000C392D">
        <w:rPr>
          <w:rFonts w:ascii="Century" w:hAnsi="Century"/>
          <w:sz w:val="24"/>
          <w:szCs w:val="24"/>
          <w:lang w:val="en-US"/>
        </w:rPr>
        <w:t xml:space="preserve">ool to </w:t>
      </w:r>
      <w:r>
        <w:rPr>
          <w:rFonts w:ascii="Century" w:hAnsi="Century"/>
          <w:sz w:val="24"/>
          <w:szCs w:val="24"/>
          <w:lang w:val="en-US"/>
        </w:rPr>
        <w:t>S</w:t>
      </w:r>
      <w:r w:rsidRPr="000C392D">
        <w:rPr>
          <w:rFonts w:ascii="Century" w:hAnsi="Century"/>
          <w:sz w:val="24"/>
          <w:szCs w:val="24"/>
          <w:lang w:val="en-US"/>
        </w:rPr>
        <w:t xml:space="preserve">erve </w:t>
      </w:r>
      <w:r>
        <w:rPr>
          <w:rFonts w:ascii="Century" w:hAnsi="Century"/>
          <w:sz w:val="24"/>
          <w:szCs w:val="24"/>
          <w:lang w:val="en-US"/>
        </w:rPr>
        <w:t>P</w:t>
      </w:r>
      <w:r w:rsidRPr="000C392D">
        <w:rPr>
          <w:rFonts w:ascii="Century" w:hAnsi="Century"/>
          <w:sz w:val="24"/>
          <w:szCs w:val="24"/>
          <w:lang w:val="en-US"/>
        </w:rPr>
        <w:t xml:space="preserve">recision, </w:t>
      </w:r>
      <w:r>
        <w:rPr>
          <w:rFonts w:ascii="Century" w:hAnsi="Century"/>
          <w:sz w:val="24"/>
          <w:szCs w:val="24"/>
          <w:lang w:val="en-US"/>
        </w:rPr>
        <w:t>C</w:t>
      </w:r>
      <w:r w:rsidRPr="000C392D">
        <w:rPr>
          <w:rFonts w:ascii="Century" w:hAnsi="Century"/>
          <w:sz w:val="24"/>
          <w:szCs w:val="24"/>
          <w:lang w:val="en-US"/>
        </w:rPr>
        <w:t>larity</w:t>
      </w:r>
      <w:r>
        <w:rPr>
          <w:rFonts w:ascii="Century" w:hAnsi="Century"/>
          <w:sz w:val="24"/>
          <w:szCs w:val="24"/>
          <w:lang w:val="en-US"/>
        </w:rPr>
        <w:t xml:space="preserve"> and Unambiguity’ [2011] 37 Comm L Bull 427</w:t>
      </w:r>
      <w:r w:rsidRPr="000C392D">
        <w:rPr>
          <w:rFonts w:ascii="Century" w:hAnsi="Century"/>
          <w:sz w:val="24"/>
          <w:szCs w:val="24"/>
          <w:lang w:val="en-US"/>
        </w:rPr>
        <w:t>.</w:t>
      </w:r>
    </w:p>
    <w:p w:rsidR="00EA2A47" w:rsidRPr="000C392D" w:rsidRDefault="00EA2A47" w:rsidP="00EA2A47">
      <w:pPr>
        <w:pStyle w:val="FootnoteText"/>
        <w:jc w:val="both"/>
        <w:rPr>
          <w:rFonts w:ascii="Century" w:hAnsi="Century"/>
          <w:sz w:val="24"/>
          <w:szCs w:val="24"/>
          <w:lang w:val="en-US"/>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Karpen</w:t>
      </w:r>
      <w:r>
        <w:rPr>
          <w:rFonts w:ascii="Century" w:hAnsi="Century"/>
          <w:sz w:val="24"/>
          <w:szCs w:val="24"/>
        </w:rPr>
        <w:t xml:space="preserve"> U</w:t>
      </w:r>
      <w:r w:rsidRPr="000C392D">
        <w:rPr>
          <w:rFonts w:ascii="Century" w:hAnsi="Century"/>
          <w:sz w:val="24"/>
          <w:szCs w:val="24"/>
        </w:rPr>
        <w:t xml:space="preserve">, </w:t>
      </w:r>
      <w:r>
        <w:rPr>
          <w:rFonts w:ascii="Century" w:hAnsi="Century"/>
          <w:sz w:val="24"/>
          <w:szCs w:val="24"/>
        </w:rPr>
        <w:t>‘</w:t>
      </w:r>
      <w:r w:rsidRPr="000C392D">
        <w:rPr>
          <w:rFonts w:ascii="Century" w:hAnsi="Century"/>
          <w:sz w:val="24"/>
          <w:szCs w:val="24"/>
        </w:rPr>
        <w:t>Good Governance through Transparent Application of the Rule of Law</w:t>
      </w:r>
      <w:r>
        <w:rPr>
          <w:rFonts w:ascii="Century" w:hAnsi="Century"/>
          <w:sz w:val="24"/>
          <w:szCs w:val="24"/>
        </w:rPr>
        <w:t>’</w:t>
      </w:r>
      <w:r w:rsidRPr="000C392D">
        <w:rPr>
          <w:rFonts w:ascii="Century" w:hAnsi="Century"/>
          <w:sz w:val="24"/>
          <w:szCs w:val="24"/>
        </w:rPr>
        <w:t xml:space="preserve"> </w:t>
      </w:r>
      <w:r>
        <w:rPr>
          <w:rFonts w:ascii="Century" w:hAnsi="Century"/>
          <w:sz w:val="24"/>
          <w:szCs w:val="24"/>
        </w:rPr>
        <w:t>[2009]11 Eur LJ Reform 213</w:t>
      </w:r>
      <w:r w:rsidRPr="000C392D">
        <w:rPr>
          <w:rFonts w:ascii="Century" w:hAnsi="Century"/>
          <w:sz w:val="24"/>
          <w:szCs w:val="24"/>
        </w:rPr>
        <w:t>.</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Kobba</w:t>
      </w:r>
      <w:r>
        <w:rPr>
          <w:rFonts w:ascii="Century" w:hAnsi="Century"/>
          <w:sz w:val="24"/>
          <w:szCs w:val="24"/>
          <w:lang w:val="en-US"/>
        </w:rPr>
        <w:t xml:space="preserve"> J</w:t>
      </w:r>
      <w:r w:rsidRPr="000C392D">
        <w:rPr>
          <w:rFonts w:ascii="Century" w:hAnsi="Century"/>
          <w:sz w:val="24"/>
          <w:szCs w:val="24"/>
          <w:lang w:val="en-US"/>
        </w:rPr>
        <w:t xml:space="preserve">, ‘Criticisms of the Legislative Drafting Process and Suggested Reforms in Sierra Leone’ </w:t>
      </w:r>
      <w:r>
        <w:rPr>
          <w:rFonts w:ascii="Century" w:hAnsi="Century"/>
          <w:sz w:val="24"/>
          <w:szCs w:val="24"/>
          <w:lang w:val="en-US"/>
        </w:rPr>
        <w:t>[2008] 10 Eur LJ Reform 219.</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rPr>
        <w:t>Krever</w:t>
      </w:r>
      <w:r>
        <w:rPr>
          <w:rFonts w:ascii="Century" w:hAnsi="Century"/>
          <w:sz w:val="24"/>
          <w:szCs w:val="24"/>
        </w:rPr>
        <w:t xml:space="preserve"> R</w:t>
      </w:r>
      <w:r w:rsidRPr="000C392D">
        <w:rPr>
          <w:rFonts w:ascii="Century" w:hAnsi="Century"/>
          <w:sz w:val="24"/>
          <w:szCs w:val="24"/>
        </w:rPr>
        <w:t xml:space="preserve">, ‘Taming Complexity in Australian </w:t>
      </w:r>
      <w:r>
        <w:rPr>
          <w:rFonts w:ascii="Century" w:hAnsi="Century"/>
          <w:sz w:val="24"/>
          <w:szCs w:val="24"/>
        </w:rPr>
        <w:t>Income Tax’ [2003] 25 Sydney L Rev 467</w:t>
      </w:r>
      <w:r w:rsidRPr="000C392D">
        <w:rPr>
          <w:rFonts w:ascii="Century" w:hAnsi="Century"/>
          <w:sz w:val="24"/>
          <w:szCs w:val="24"/>
        </w:rPr>
        <w:t>.</w:t>
      </w:r>
    </w:p>
    <w:p w:rsidR="00EA2A47" w:rsidRPr="000C392D" w:rsidRDefault="00EA2A47" w:rsidP="00EA2A47">
      <w:pPr>
        <w:pStyle w:val="FootnoteText"/>
        <w:jc w:val="both"/>
        <w:rPr>
          <w:rFonts w:ascii="Century" w:hAnsi="Century"/>
          <w:sz w:val="24"/>
          <w:szCs w:val="24"/>
          <w:lang w:val="en-US"/>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Krongold</w:t>
      </w:r>
      <w:r>
        <w:rPr>
          <w:rFonts w:ascii="Century" w:hAnsi="Century"/>
          <w:sz w:val="24"/>
          <w:szCs w:val="24"/>
        </w:rPr>
        <w:t xml:space="preserve"> S</w:t>
      </w:r>
      <w:r w:rsidRPr="000C392D">
        <w:rPr>
          <w:rFonts w:ascii="Century" w:hAnsi="Century"/>
          <w:sz w:val="24"/>
          <w:szCs w:val="24"/>
        </w:rPr>
        <w:t>, ‘Writing Laws: Making them Easier to Understand’</w:t>
      </w:r>
      <w:r>
        <w:rPr>
          <w:rFonts w:ascii="Century" w:hAnsi="Century"/>
          <w:sz w:val="24"/>
          <w:szCs w:val="24"/>
        </w:rPr>
        <w:t xml:space="preserve"> [1992] 24 Ottawa L Rev 495</w:t>
      </w:r>
      <w:r w:rsidRPr="000C392D">
        <w:rPr>
          <w:rFonts w:ascii="Century" w:hAnsi="Century"/>
          <w:sz w:val="24"/>
          <w:szCs w:val="24"/>
        </w:rPr>
        <w:t>.</w:t>
      </w:r>
    </w:p>
    <w:p w:rsidR="00EA2A47" w:rsidRDefault="00EA2A47" w:rsidP="007C0020">
      <w:pPr>
        <w:pStyle w:val="FootnoteText"/>
        <w:jc w:val="both"/>
        <w:rPr>
          <w:rFonts w:ascii="Century" w:hAnsi="Century"/>
          <w:sz w:val="24"/>
          <w:szCs w:val="24"/>
        </w:rPr>
      </w:pPr>
    </w:p>
    <w:p w:rsidR="0043526F" w:rsidRPr="009A5FE1" w:rsidRDefault="0043526F" w:rsidP="0043526F">
      <w:pPr>
        <w:pStyle w:val="FootnoteText"/>
        <w:jc w:val="both"/>
        <w:rPr>
          <w:rFonts w:ascii="Century" w:hAnsi="Century"/>
          <w:sz w:val="24"/>
          <w:szCs w:val="24"/>
          <w:lang w:val="en-US"/>
        </w:rPr>
      </w:pPr>
      <w:r w:rsidRPr="009A5FE1">
        <w:rPr>
          <w:rFonts w:ascii="Century" w:hAnsi="Century"/>
          <w:sz w:val="24"/>
          <w:szCs w:val="24"/>
        </w:rPr>
        <w:t xml:space="preserve">Law Reform Commission of </w:t>
      </w:r>
      <w:r>
        <w:rPr>
          <w:rFonts w:ascii="Century" w:hAnsi="Century"/>
          <w:sz w:val="24"/>
          <w:szCs w:val="24"/>
        </w:rPr>
        <w:t xml:space="preserve">Victoria (LRCV), </w:t>
      </w:r>
      <w:r w:rsidRPr="001C7AAE">
        <w:rPr>
          <w:rFonts w:ascii="Century" w:hAnsi="Century"/>
          <w:i/>
          <w:sz w:val="24"/>
          <w:szCs w:val="24"/>
        </w:rPr>
        <w:t>Report No. 9: Plain English and the Law</w:t>
      </w:r>
      <w:r w:rsidRPr="009A5FE1">
        <w:rPr>
          <w:rFonts w:ascii="Century" w:hAnsi="Century"/>
          <w:sz w:val="24"/>
          <w:szCs w:val="24"/>
        </w:rPr>
        <w:t xml:space="preserve"> (30 June 1987)</w:t>
      </w:r>
      <w:r>
        <w:rPr>
          <w:rFonts w:ascii="Century" w:hAnsi="Century"/>
          <w:sz w:val="24"/>
          <w:szCs w:val="24"/>
        </w:rPr>
        <w:t>.</w:t>
      </w:r>
    </w:p>
    <w:p w:rsidR="0043526F" w:rsidRDefault="0043526F" w:rsidP="0043526F">
      <w:pPr>
        <w:pStyle w:val="FootnoteText"/>
        <w:rPr>
          <w:rFonts w:ascii="Century" w:hAnsi="Century"/>
          <w:sz w:val="24"/>
          <w:szCs w:val="24"/>
          <w:lang w:val="en-US"/>
        </w:rPr>
      </w:pPr>
    </w:p>
    <w:p w:rsidR="00674632" w:rsidRPr="00674632" w:rsidRDefault="00674632" w:rsidP="007C0020">
      <w:pPr>
        <w:pStyle w:val="FootnoteText"/>
        <w:jc w:val="both"/>
        <w:rPr>
          <w:rFonts w:ascii="Century" w:hAnsi="Century"/>
          <w:sz w:val="24"/>
          <w:szCs w:val="24"/>
        </w:rPr>
      </w:pPr>
      <w:r w:rsidRPr="00674632">
        <w:rPr>
          <w:rFonts w:ascii="Century" w:hAnsi="Century"/>
          <w:sz w:val="24"/>
          <w:szCs w:val="24"/>
        </w:rPr>
        <w:t xml:space="preserve">Law Reform Commission of Victoria (LRCV), </w:t>
      </w:r>
      <w:r w:rsidRPr="00674632">
        <w:rPr>
          <w:rFonts w:ascii="Century" w:hAnsi="Century"/>
          <w:i/>
          <w:sz w:val="24"/>
          <w:szCs w:val="24"/>
        </w:rPr>
        <w:t>Appendix 1, Plain English and the Law: Drafting Manual</w:t>
      </w:r>
      <w:r>
        <w:rPr>
          <w:rFonts w:ascii="Century" w:hAnsi="Century"/>
          <w:i/>
          <w:sz w:val="24"/>
          <w:szCs w:val="24"/>
        </w:rPr>
        <w:t>.</w:t>
      </w:r>
    </w:p>
    <w:p w:rsidR="0012549F" w:rsidRDefault="0012549F" w:rsidP="007C0020">
      <w:pPr>
        <w:pStyle w:val="FootnoteText"/>
        <w:jc w:val="both"/>
        <w:rPr>
          <w:rFonts w:ascii="Century" w:hAnsi="Century"/>
          <w:sz w:val="24"/>
          <w:szCs w:val="24"/>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Laws</w:t>
      </w:r>
      <w:r>
        <w:rPr>
          <w:rFonts w:ascii="Century" w:hAnsi="Century"/>
          <w:sz w:val="24"/>
          <w:szCs w:val="24"/>
          <w:lang w:val="en-US"/>
        </w:rPr>
        <w:t xml:space="preserve"> S</w:t>
      </w:r>
      <w:r w:rsidRPr="000C392D">
        <w:rPr>
          <w:rFonts w:ascii="Century" w:hAnsi="Century"/>
          <w:sz w:val="24"/>
          <w:szCs w:val="24"/>
          <w:lang w:val="en-US"/>
        </w:rPr>
        <w:t xml:space="preserve">, ‘Drawing the Line’ in Constantin Stefanou and Helen Xanthaki (eds), </w:t>
      </w:r>
      <w:r w:rsidRPr="000C392D">
        <w:rPr>
          <w:rFonts w:ascii="Century" w:hAnsi="Century"/>
          <w:i/>
          <w:sz w:val="24"/>
          <w:szCs w:val="24"/>
          <w:lang w:val="en-US"/>
        </w:rPr>
        <w:t>Drafting Legislation: A Modern Approach</w:t>
      </w:r>
      <w:r w:rsidR="00327D6A">
        <w:rPr>
          <w:rFonts w:ascii="Century" w:hAnsi="Century"/>
          <w:sz w:val="24"/>
          <w:szCs w:val="24"/>
          <w:lang w:val="en-US"/>
        </w:rPr>
        <w:t xml:space="preserve"> (Ashgate Publishing </w:t>
      </w:r>
      <w:r w:rsidR="00A92798">
        <w:rPr>
          <w:rFonts w:ascii="Century" w:hAnsi="Century"/>
          <w:sz w:val="24"/>
          <w:szCs w:val="24"/>
          <w:lang w:val="en-US"/>
        </w:rPr>
        <w:t>2008)</w:t>
      </w:r>
      <w:r w:rsidRPr="000C392D">
        <w:rPr>
          <w:rFonts w:ascii="Century" w:hAnsi="Century"/>
          <w:sz w:val="24"/>
          <w:szCs w:val="24"/>
          <w:lang w:val="en-US"/>
        </w:rPr>
        <w:t>.</w:t>
      </w:r>
    </w:p>
    <w:p w:rsidR="004303AB" w:rsidRDefault="004303AB" w:rsidP="004303AB">
      <w:pPr>
        <w:pStyle w:val="FootnoteText"/>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Levert</w:t>
      </w:r>
      <w:r>
        <w:rPr>
          <w:rFonts w:ascii="Century" w:hAnsi="Century"/>
          <w:sz w:val="24"/>
          <w:szCs w:val="24"/>
          <w:lang w:val="en-US"/>
        </w:rPr>
        <w:t xml:space="preserve"> LA</w:t>
      </w:r>
      <w:r w:rsidRPr="000C392D">
        <w:rPr>
          <w:rFonts w:ascii="Century" w:hAnsi="Century"/>
          <w:sz w:val="24"/>
          <w:szCs w:val="24"/>
          <w:lang w:val="en-US"/>
        </w:rPr>
        <w:t>, ‘Work Methods and Processes in a Drafting</w:t>
      </w:r>
      <w:r>
        <w:rPr>
          <w:rFonts w:ascii="Century" w:hAnsi="Century"/>
          <w:sz w:val="24"/>
          <w:szCs w:val="24"/>
          <w:lang w:val="en-US"/>
        </w:rPr>
        <w:t xml:space="preserve"> Environment’ (</w:t>
      </w:r>
      <w:r w:rsidRPr="000C392D">
        <w:rPr>
          <w:rFonts w:ascii="Century" w:hAnsi="Century"/>
          <w:sz w:val="24"/>
          <w:szCs w:val="24"/>
          <w:lang w:val="en-US"/>
        </w:rPr>
        <w:t>2011) The Loophole 29.</w:t>
      </w: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rPr>
        <w:t xml:space="preserve"> &lt;</w:t>
      </w:r>
      <w:r w:rsidRPr="000C392D">
        <w:rPr>
          <w:rFonts w:ascii="Century" w:hAnsi="Century"/>
          <w:sz w:val="24"/>
          <w:szCs w:val="24"/>
          <w:lang w:val="en-US"/>
        </w:rPr>
        <w:t>http://www.opc.gov.au/calc/docs/Loophole_papers/Levert_Feb2011.pdf&gt; accessed 28 July 2015</w:t>
      </w:r>
    </w:p>
    <w:p w:rsidR="00EA2A47" w:rsidRDefault="00EA2A47" w:rsidP="00EA2A47">
      <w:pPr>
        <w:pStyle w:val="FootnoteText"/>
        <w:jc w:val="both"/>
        <w:rPr>
          <w:rFonts w:ascii="Century" w:hAnsi="Century"/>
          <w:sz w:val="24"/>
          <w:szCs w:val="24"/>
        </w:rPr>
      </w:pPr>
    </w:p>
    <w:p w:rsidR="00EA2A47" w:rsidRDefault="00EA2A47" w:rsidP="00EA2A47">
      <w:pPr>
        <w:pStyle w:val="FootnoteText"/>
        <w:jc w:val="both"/>
      </w:pPr>
      <w:r w:rsidRPr="00B472DC">
        <w:rPr>
          <w:rFonts w:ascii="Century" w:hAnsi="Century"/>
          <w:sz w:val="24"/>
          <w:szCs w:val="24"/>
        </w:rPr>
        <w:t>Lord Neuberger, ‘Justice in the Age of Austerity’ (Speech at Tom Sargant Memorial Lecture, 15 October 2013)</w:t>
      </w:r>
      <w:r>
        <w:rPr>
          <w:rFonts w:ascii="Century" w:hAnsi="Century"/>
          <w:sz w:val="24"/>
          <w:szCs w:val="24"/>
        </w:rPr>
        <w:t>.</w:t>
      </w:r>
      <w:r w:rsidRPr="00B472DC">
        <w:t xml:space="preserve"> </w:t>
      </w:r>
    </w:p>
    <w:p w:rsidR="00EA2A47" w:rsidRDefault="00EA2A47" w:rsidP="00EA2A47">
      <w:pPr>
        <w:pStyle w:val="FootnoteText"/>
        <w:jc w:val="both"/>
        <w:rPr>
          <w:rFonts w:ascii="Century" w:hAnsi="Century"/>
          <w:sz w:val="24"/>
          <w:szCs w:val="24"/>
        </w:rPr>
      </w:pPr>
      <w:r>
        <w:t>&lt;</w:t>
      </w:r>
      <w:r w:rsidRPr="00B472DC">
        <w:rPr>
          <w:rFonts w:ascii="Century" w:hAnsi="Century"/>
          <w:sz w:val="24"/>
          <w:szCs w:val="24"/>
        </w:rPr>
        <w:t>https://www.supremec</w:t>
      </w:r>
      <w:r>
        <w:rPr>
          <w:rFonts w:ascii="Century" w:hAnsi="Century"/>
          <w:sz w:val="24"/>
          <w:szCs w:val="24"/>
        </w:rPr>
        <w:t>ourt.uk/docs/speech-131015.pdf&gt;</w:t>
      </w:r>
    </w:p>
    <w:p w:rsidR="00EA2A47" w:rsidRPr="00B472DC" w:rsidRDefault="00EA2A47" w:rsidP="00EA2A47">
      <w:pPr>
        <w:pStyle w:val="FootnoteText"/>
        <w:jc w:val="both"/>
        <w:rPr>
          <w:rFonts w:ascii="Century" w:hAnsi="Century"/>
          <w:sz w:val="24"/>
          <w:szCs w:val="24"/>
        </w:rPr>
      </w:pPr>
      <w:r>
        <w:rPr>
          <w:rFonts w:ascii="Century" w:hAnsi="Century"/>
          <w:sz w:val="24"/>
          <w:szCs w:val="24"/>
        </w:rPr>
        <w:t xml:space="preserve">accessed </w:t>
      </w:r>
      <w:r w:rsidRPr="00B472DC">
        <w:rPr>
          <w:rFonts w:ascii="Century" w:hAnsi="Century"/>
          <w:sz w:val="24"/>
          <w:szCs w:val="24"/>
        </w:rPr>
        <w:t>24 August 2015</w:t>
      </w:r>
    </w:p>
    <w:p w:rsidR="00EA2A47" w:rsidRPr="00B472DC"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rPr>
        <w:t>Lord Simon, ‘</w:t>
      </w:r>
      <w:r w:rsidRPr="000C392D">
        <w:rPr>
          <w:rFonts w:ascii="Century" w:hAnsi="Century"/>
          <w:sz w:val="24"/>
          <w:szCs w:val="24"/>
          <w:lang w:val="en-US"/>
        </w:rPr>
        <w:t>T</w:t>
      </w:r>
      <w:r>
        <w:rPr>
          <w:rFonts w:ascii="Century" w:hAnsi="Century"/>
          <w:sz w:val="24"/>
          <w:szCs w:val="24"/>
          <w:lang w:val="en-US"/>
        </w:rPr>
        <w:t>he Renton Report-Ten Years On’ [1985]</w:t>
      </w:r>
      <w:r w:rsidRPr="000C392D">
        <w:rPr>
          <w:rFonts w:ascii="Century" w:hAnsi="Century"/>
          <w:sz w:val="24"/>
          <w:szCs w:val="24"/>
          <w:lang w:val="en-US"/>
        </w:rPr>
        <w:t xml:space="preserve"> </w:t>
      </w:r>
      <w:r>
        <w:rPr>
          <w:rFonts w:ascii="Century" w:hAnsi="Century"/>
          <w:sz w:val="24"/>
          <w:szCs w:val="24"/>
          <w:lang w:val="en-US"/>
        </w:rPr>
        <w:t xml:space="preserve">6 </w:t>
      </w:r>
      <w:r w:rsidRPr="000C392D">
        <w:rPr>
          <w:rFonts w:ascii="Century" w:hAnsi="Century"/>
          <w:sz w:val="24"/>
          <w:szCs w:val="24"/>
          <w:lang w:val="en-US"/>
        </w:rPr>
        <w:t>SLR 133.</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MacCormick</w:t>
      </w:r>
      <w:r>
        <w:rPr>
          <w:rFonts w:ascii="Century" w:hAnsi="Century"/>
          <w:sz w:val="24"/>
          <w:szCs w:val="24"/>
          <w:lang w:val="en-US"/>
        </w:rPr>
        <w:t xml:space="preserve"> K</w:t>
      </w:r>
      <w:r w:rsidRPr="000C392D">
        <w:rPr>
          <w:rFonts w:ascii="Century" w:hAnsi="Century"/>
          <w:sz w:val="24"/>
          <w:szCs w:val="24"/>
          <w:lang w:val="en-US"/>
        </w:rPr>
        <w:t xml:space="preserve"> and Keyes</w:t>
      </w:r>
      <w:r>
        <w:rPr>
          <w:rFonts w:ascii="Century" w:hAnsi="Century"/>
          <w:sz w:val="24"/>
          <w:szCs w:val="24"/>
          <w:lang w:val="en-US"/>
        </w:rPr>
        <w:t xml:space="preserve"> JM</w:t>
      </w:r>
      <w:r w:rsidRPr="000C392D">
        <w:rPr>
          <w:rFonts w:ascii="Century" w:hAnsi="Century"/>
          <w:sz w:val="24"/>
          <w:szCs w:val="24"/>
          <w:lang w:val="en-US"/>
        </w:rPr>
        <w:t>, ‘Roles of Legislative</w:t>
      </w:r>
      <w:r>
        <w:rPr>
          <w:rFonts w:ascii="Century" w:hAnsi="Century"/>
          <w:sz w:val="24"/>
          <w:szCs w:val="24"/>
          <w:lang w:val="en-US"/>
        </w:rPr>
        <w:t xml:space="preserve"> Drafting Offices and Drafters’</w:t>
      </w:r>
      <w:r w:rsidRPr="000C392D">
        <w:rPr>
          <w:rFonts w:ascii="Century" w:hAnsi="Century"/>
          <w:sz w:val="24"/>
          <w:szCs w:val="24"/>
          <w:lang w:val="en-US"/>
        </w:rPr>
        <w:t>11.  &lt;http://studyonline.sas.ac.uk/pluginfile.php/7845/mod_resource/content/0/The_PCO/Role_of_Legislative_Drafting_Office.pdf&gt; accessed 9 August 2015</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Majambere</w:t>
      </w:r>
      <w:r>
        <w:rPr>
          <w:rFonts w:ascii="Century" w:hAnsi="Century"/>
          <w:sz w:val="24"/>
          <w:szCs w:val="24"/>
        </w:rPr>
        <w:t xml:space="preserve"> E</w:t>
      </w:r>
      <w:r w:rsidRPr="000C392D">
        <w:rPr>
          <w:rFonts w:ascii="Century" w:hAnsi="Century"/>
          <w:sz w:val="24"/>
          <w:szCs w:val="24"/>
        </w:rPr>
        <w:t>, ‘Clarity, Precision and Unambiguity: Aspects for Effective Legislative Drafting</w:t>
      </w:r>
      <w:r>
        <w:rPr>
          <w:rFonts w:ascii="Century" w:hAnsi="Century"/>
          <w:sz w:val="24"/>
          <w:szCs w:val="24"/>
        </w:rPr>
        <w:t>’ [2011] 37 Comm L Bull 417</w:t>
      </w:r>
      <w:r w:rsidRPr="000C392D">
        <w:rPr>
          <w:rFonts w:ascii="Century" w:hAnsi="Century"/>
          <w:sz w:val="24"/>
          <w:szCs w:val="24"/>
        </w:rPr>
        <w:t>.</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rPr>
        <w:lastRenderedPageBreak/>
        <w:t>Marcello</w:t>
      </w:r>
      <w:r>
        <w:rPr>
          <w:rFonts w:ascii="Century" w:hAnsi="Century"/>
          <w:sz w:val="24"/>
          <w:szCs w:val="24"/>
        </w:rPr>
        <w:t xml:space="preserve"> D</w:t>
      </w:r>
      <w:r w:rsidRPr="000C392D">
        <w:rPr>
          <w:rFonts w:ascii="Century" w:hAnsi="Century"/>
          <w:sz w:val="24"/>
          <w:szCs w:val="24"/>
        </w:rPr>
        <w:t>, ‘The Ethics and Pol</w:t>
      </w:r>
      <w:r>
        <w:rPr>
          <w:rFonts w:ascii="Century" w:hAnsi="Century"/>
          <w:sz w:val="24"/>
          <w:szCs w:val="24"/>
        </w:rPr>
        <w:t>itics of Legislative Drafting’ [1996] 70 Tulane L Rev 2437</w:t>
      </w:r>
      <w:r w:rsidRPr="000C392D">
        <w:rPr>
          <w:rFonts w:ascii="Century" w:hAnsi="Century"/>
          <w:sz w:val="24"/>
          <w:szCs w:val="24"/>
        </w:rPr>
        <w:t>.</w:t>
      </w:r>
    </w:p>
    <w:p w:rsidR="00EA2A47" w:rsidRDefault="00EA2A47" w:rsidP="00EA2A47">
      <w:pPr>
        <w:pStyle w:val="FootnoteText"/>
        <w:jc w:val="both"/>
        <w:rPr>
          <w:rFonts w:ascii="Century" w:hAnsi="Century"/>
          <w:sz w:val="24"/>
          <w:szCs w:val="24"/>
          <w:lang w:val="en-US"/>
        </w:rPr>
      </w:pPr>
    </w:p>
    <w:p w:rsidR="00EA2A47" w:rsidRDefault="00EA2A47" w:rsidP="00EA2A47">
      <w:pPr>
        <w:pStyle w:val="FootnoteText"/>
        <w:jc w:val="both"/>
        <w:rPr>
          <w:rFonts w:ascii="Century" w:hAnsi="Century"/>
          <w:sz w:val="24"/>
          <w:szCs w:val="24"/>
        </w:rPr>
      </w:pPr>
      <w:r w:rsidRPr="000C392D">
        <w:rPr>
          <w:rFonts w:ascii="Century" w:hAnsi="Century"/>
          <w:sz w:val="24"/>
          <w:szCs w:val="24"/>
          <w:lang w:val="en-US"/>
        </w:rPr>
        <w:t>Marchant</w:t>
      </w:r>
      <w:r>
        <w:rPr>
          <w:rFonts w:ascii="Century" w:hAnsi="Century"/>
          <w:sz w:val="24"/>
          <w:szCs w:val="24"/>
          <w:lang w:val="en-US"/>
        </w:rPr>
        <w:t xml:space="preserve"> RJ</w:t>
      </w:r>
      <w:r w:rsidRPr="000C392D">
        <w:rPr>
          <w:rFonts w:ascii="Century" w:hAnsi="Century"/>
          <w:sz w:val="24"/>
          <w:szCs w:val="24"/>
          <w:lang w:val="en-US"/>
        </w:rPr>
        <w:t>, ‘Representing Representatives: Ethical Considerations for the Legislature’s Attorneys’ (2003) 6 NYU J Legis &amp; Pub</w:t>
      </w:r>
      <w:r>
        <w:rPr>
          <w:rFonts w:ascii="Century" w:hAnsi="Century"/>
          <w:sz w:val="24"/>
          <w:szCs w:val="24"/>
          <w:lang w:val="en-US"/>
        </w:rPr>
        <w:t xml:space="preserve"> Pol’y 439</w:t>
      </w:r>
      <w:r w:rsidRPr="000C392D">
        <w:rPr>
          <w:rFonts w:ascii="Century" w:hAnsi="Century"/>
          <w:sz w:val="24"/>
          <w:szCs w:val="24"/>
          <w:lang w:val="en-US"/>
        </w:rPr>
        <w:t>.</w:t>
      </w:r>
      <w:r w:rsidRPr="000C392D">
        <w:rPr>
          <w:rFonts w:ascii="Century" w:hAnsi="Century"/>
          <w:sz w:val="24"/>
          <w:szCs w:val="24"/>
        </w:rPr>
        <w:t xml:space="preserve"> </w:t>
      </w: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rPr>
        <w:t>&lt;</w:t>
      </w:r>
      <w:r w:rsidRPr="000C392D">
        <w:rPr>
          <w:rFonts w:ascii="Century" w:hAnsi="Century"/>
          <w:sz w:val="24"/>
          <w:szCs w:val="24"/>
          <w:lang w:val="en-US"/>
        </w:rPr>
        <w:t>http://www.nyujlpp.org/wp-content/uploads/2012/11/Robert-J.-Marchant-Representing-Representatives-Ethical-Considerations-for-the-Legislatures-Attorneys.pdf&gt; accessed 10 August 2015</w:t>
      </w:r>
    </w:p>
    <w:p w:rsidR="00EA2A47" w:rsidRPr="000C392D"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lang w:val="en-US"/>
        </w:rPr>
        <w:t>Markman</w:t>
      </w:r>
      <w:r>
        <w:rPr>
          <w:rFonts w:ascii="Century" w:hAnsi="Century"/>
          <w:sz w:val="24"/>
          <w:szCs w:val="24"/>
          <w:lang w:val="en-US"/>
        </w:rPr>
        <w:t xml:space="preserve"> SC</w:t>
      </w:r>
      <w:r w:rsidRPr="000C392D">
        <w:rPr>
          <w:rFonts w:ascii="Century" w:hAnsi="Century"/>
          <w:sz w:val="24"/>
          <w:szCs w:val="24"/>
          <w:lang w:val="en-US"/>
        </w:rPr>
        <w:t>, ‘Legislative Drafting: Art, Science or Discipline?</w:t>
      </w:r>
      <w:r>
        <w:rPr>
          <w:rFonts w:ascii="Century" w:hAnsi="Century"/>
          <w:sz w:val="24"/>
          <w:szCs w:val="24"/>
          <w:lang w:val="en-US"/>
        </w:rPr>
        <w:t>’ (</w:t>
      </w:r>
      <w:r w:rsidRPr="000C392D">
        <w:rPr>
          <w:rFonts w:ascii="Century" w:hAnsi="Century"/>
          <w:sz w:val="24"/>
          <w:szCs w:val="24"/>
          <w:lang w:val="en-US"/>
        </w:rPr>
        <w:t>2011) The Loophole 11.</w:t>
      </w:r>
      <w:r w:rsidRPr="000C392D">
        <w:rPr>
          <w:rFonts w:ascii="Century" w:hAnsi="Century"/>
          <w:sz w:val="24"/>
          <w:szCs w:val="24"/>
        </w:rPr>
        <w:t xml:space="preserve"> </w:t>
      </w: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rPr>
        <w:t>&lt;</w:t>
      </w:r>
      <w:r w:rsidRPr="000C392D">
        <w:rPr>
          <w:rFonts w:ascii="Century" w:hAnsi="Century"/>
          <w:sz w:val="24"/>
          <w:szCs w:val="24"/>
          <w:lang w:val="en-US"/>
        </w:rPr>
        <w:t>http://www.opc.gov.au/calc/docs/Loophole_papers/Markman_Nov2011.pdf&gt; accessed 9 August 2015</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McLeod</w:t>
      </w:r>
      <w:r>
        <w:rPr>
          <w:rFonts w:ascii="Century" w:hAnsi="Century"/>
          <w:sz w:val="24"/>
          <w:szCs w:val="24"/>
        </w:rPr>
        <w:t xml:space="preserve"> I</w:t>
      </w:r>
      <w:r w:rsidRPr="000C392D">
        <w:rPr>
          <w:rFonts w:ascii="Century" w:hAnsi="Century"/>
          <w:sz w:val="24"/>
          <w:szCs w:val="24"/>
        </w:rPr>
        <w:t xml:space="preserve">, </w:t>
      </w:r>
      <w:r w:rsidRPr="000C392D">
        <w:rPr>
          <w:rFonts w:ascii="Century" w:hAnsi="Century"/>
          <w:i/>
          <w:sz w:val="24"/>
          <w:szCs w:val="24"/>
        </w:rPr>
        <w:t>Principles of Legislative and Regulatory Drafting</w:t>
      </w:r>
      <w:r>
        <w:rPr>
          <w:rFonts w:ascii="Century" w:hAnsi="Century"/>
          <w:i/>
          <w:sz w:val="24"/>
          <w:szCs w:val="24"/>
        </w:rPr>
        <w:t xml:space="preserve"> </w:t>
      </w:r>
      <w:r w:rsidRPr="005D5963">
        <w:rPr>
          <w:rFonts w:ascii="Century" w:hAnsi="Century"/>
          <w:sz w:val="24"/>
          <w:szCs w:val="24"/>
        </w:rPr>
        <w:t>(</w:t>
      </w:r>
      <w:r>
        <w:rPr>
          <w:rFonts w:ascii="Century" w:hAnsi="Century"/>
          <w:sz w:val="24"/>
          <w:szCs w:val="24"/>
        </w:rPr>
        <w:t>Hart Publishing 2009).</w:t>
      </w:r>
    </w:p>
    <w:p w:rsidR="00EA2A47" w:rsidRDefault="00EA2A47" w:rsidP="00EA2A47">
      <w:pPr>
        <w:pStyle w:val="FootnoteText"/>
        <w:tabs>
          <w:tab w:val="left" w:pos="3420"/>
        </w:tabs>
        <w:jc w:val="both"/>
        <w:rPr>
          <w:rFonts w:ascii="Century" w:hAnsi="Century"/>
          <w:sz w:val="24"/>
          <w:szCs w:val="24"/>
          <w:highlight w:val="yellow"/>
          <w:lang w:val="en-US"/>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Mico</w:t>
      </w:r>
      <w:r>
        <w:rPr>
          <w:rFonts w:ascii="Century" w:hAnsi="Century"/>
          <w:sz w:val="24"/>
          <w:szCs w:val="24"/>
          <w:lang w:val="en-US"/>
        </w:rPr>
        <w:t xml:space="preserve"> A</w:t>
      </w:r>
      <w:r w:rsidRPr="000C392D">
        <w:rPr>
          <w:rFonts w:ascii="Century" w:hAnsi="Century"/>
          <w:sz w:val="24"/>
          <w:szCs w:val="24"/>
          <w:lang w:val="en-US"/>
        </w:rPr>
        <w:t>, ‘Drafting and Plain Language</w:t>
      </w:r>
      <w:r>
        <w:rPr>
          <w:rFonts w:ascii="Century" w:hAnsi="Century"/>
          <w:sz w:val="24"/>
          <w:szCs w:val="24"/>
          <w:lang w:val="en-US"/>
        </w:rPr>
        <w:t>’ [2013] 39 Comm L Bull 435</w:t>
      </w:r>
      <w:r w:rsidRPr="000C392D">
        <w:rPr>
          <w:rFonts w:ascii="Century" w:hAnsi="Century"/>
          <w:sz w:val="24"/>
          <w:szCs w:val="24"/>
          <w:lang w:val="en-US"/>
        </w:rPr>
        <w:t>.</w:t>
      </w:r>
    </w:p>
    <w:p w:rsidR="00EA2A47" w:rsidRDefault="00EA2A47" w:rsidP="00EA2A47">
      <w:pPr>
        <w:pStyle w:val="FootnoteText"/>
        <w:jc w:val="both"/>
        <w:rPr>
          <w:rFonts w:ascii="Century" w:hAnsi="Century"/>
          <w:sz w:val="24"/>
          <w:szCs w:val="24"/>
          <w:lang w:val="en-US"/>
        </w:rPr>
      </w:pPr>
    </w:p>
    <w:p w:rsidR="00EA2A47" w:rsidRPr="000C392D" w:rsidRDefault="00EA2A47" w:rsidP="00EA2A47">
      <w:pPr>
        <w:pStyle w:val="FootnoteText"/>
        <w:jc w:val="both"/>
        <w:rPr>
          <w:rFonts w:ascii="Century" w:hAnsi="Century"/>
          <w:sz w:val="24"/>
          <w:szCs w:val="24"/>
          <w:lang w:val="en-US"/>
        </w:rPr>
      </w:pPr>
      <w:r w:rsidRPr="008867AD">
        <w:rPr>
          <w:rFonts w:ascii="Century" w:hAnsi="Century"/>
          <w:sz w:val="24"/>
          <w:szCs w:val="24"/>
          <w:lang w:val="en-US"/>
        </w:rPr>
        <w:t>Mico A, ‘The Drafter’s</w:t>
      </w:r>
      <w:r>
        <w:rPr>
          <w:rFonts w:ascii="Century" w:hAnsi="Century"/>
          <w:sz w:val="24"/>
          <w:szCs w:val="24"/>
          <w:lang w:val="en-US"/>
        </w:rPr>
        <w:t xml:space="preserve"> Role in the Drafting Process’ [2013]</w:t>
      </w:r>
      <w:r w:rsidRPr="008867AD">
        <w:rPr>
          <w:rFonts w:ascii="Century" w:hAnsi="Century"/>
          <w:sz w:val="24"/>
          <w:szCs w:val="24"/>
          <w:lang w:val="en-US"/>
        </w:rPr>
        <w:t>15 Eur LJ 177.</w:t>
      </w:r>
    </w:p>
    <w:p w:rsidR="00EA2A47" w:rsidRDefault="00EA2A47" w:rsidP="00EA2A47">
      <w:pPr>
        <w:pStyle w:val="FootnoteText"/>
        <w:jc w:val="both"/>
        <w:rPr>
          <w:rFonts w:ascii="Century" w:hAnsi="Century"/>
          <w:sz w:val="24"/>
          <w:szCs w:val="24"/>
          <w:lang w:val="en-US"/>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 xml:space="preserve">Miers </w:t>
      </w:r>
      <w:r>
        <w:rPr>
          <w:rFonts w:ascii="Century" w:hAnsi="Century"/>
          <w:sz w:val="24"/>
          <w:szCs w:val="24"/>
          <w:lang w:val="en-US"/>
        </w:rPr>
        <w:t xml:space="preserve">DR </w:t>
      </w:r>
      <w:r w:rsidRPr="000C392D">
        <w:rPr>
          <w:rFonts w:ascii="Century" w:hAnsi="Century"/>
          <w:sz w:val="24"/>
          <w:szCs w:val="24"/>
          <w:lang w:val="en-US"/>
        </w:rPr>
        <w:t>and Page</w:t>
      </w:r>
      <w:r>
        <w:rPr>
          <w:rFonts w:ascii="Century" w:hAnsi="Century"/>
          <w:sz w:val="24"/>
          <w:szCs w:val="24"/>
          <w:lang w:val="en-US"/>
        </w:rPr>
        <w:t xml:space="preserve"> AC</w:t>
      </w:r>
      <w:r w:rsidRPr="000C392D">
        <w:rPr>
          <w:rFonts w:ascii="Century" w:hAnsi="Century"/>
          <w:sz w:val="24"/>
          <w:szCs w:val="24"/>
          <w:lang w:val="en-US"/>
        </w:rPr>
        <w:t xml:space="preserve">, </w:t>
      </w:r>
      <w:r w:rsidRPr="000C392D">
        <w:rPr>
          <w:rFonts w:ascii="Century" w:hAnsi="Century"/>
          <w:i/>
          <w:sz w:val="24"/>
          <w:szCs w:val="24"/>
          <w:lang w:val="en-US"/>
        </w:rPr>
        <w:t>Legislation</w:t>
      </w:r>
      <w:r>
        <w:rPr>
          <w:rFonts w:ascii="Century" w:hAnsi="Century"/>
          <w:sz w:val="24"/>
          <w:szCs w:val="24"/>
          <w:lang w:val="en-US"/>
        </w:rPr>
        <w:t xml:space="preserve"> (Sweet &amp; Maxwell 1982)</w:t>
      </w:r>
      <w:r w:rsidRPr="000C392D">
        <w:rPr>
          <w:rFonts w:ascii="Century" w:hAnsi="Century"/>
          <w:sz w:val="24"/>
          <w:szCs w:val="24"/>
          <w:lang w:val="en-US"/>
        </w:rPr>
        <w:t>.</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lang w:val="en-US"/>
        </w:rPr>
      </w:pPr>
      <w:r w:rsidRPr="000C392D">
        <w:rPr>
          <w:rFonts w:ascii="Century" w:hAnsi="Century"/>
          <w:sz w:val="24"/>
          <w:szCs w:val="24"/>
          <w:lang w:val="en-US"/>
        </w:rPr>
        <w:t>Murphy</w:t>
      </w:r>
      <w:r>
        <w:rPr>
          <w:rFonts w:ascii="Century" w:hAnsi="Century"/>
          <w:sz w:val="24"/>
          <w:szCs w:val="24"/>
          <w:lang w:val="en-US"/>
        </w:rPr>
        <w:t xml:space="preserve"> C</w:t>
      </w:r>
      <w:r w:rsidRPr="000C392D">
        <w:rPr>
          <w:rFonts w:ascii="Century" w:hAnsi="Century"/>
          <w:sz w:val="24"/>
          <w:szCs w:val="24"/>
          <w:lang w:val="en-US"/>
        </w:rPr>
        <w:t>, ‘Lon Fuller and the M</w:t>
      </w:r>
      <w:r>
        <w:rPr>
          <w:rFonts w:ascii="Century" w:hAnsi="Century"/>
          <w:sz w:val="24"/>
          <w:szCs w:val="24"/>
          <w:lang w:val="en-US"/>
        </w:rPr>
        <w:t>oral Value of the Rule of Law’ [2005]</w:t>
      </w:r>
      <w:r w:rsidRPr="000C392D">
        <w:rPr>
          <w:rFonts w:ascii="Century" w:hAnsi="Century"/>
          <w:sz w:val="24"/>
          <w:szCs w:val="24"/>
          <w:lang w:val="en-US"/>
        </w:rPr>
        <w:t xml:space="preserve"> 24</w:t>
      </w:r>
      <w:r>
        <w:rPr>
          <w:rFonts w:ascii="Century" w:hAnsi="Century"/>
          <w:sz w:val="24"/>
          <w:szCs w:val="24"/>
          <w:lang w:val="en-US"/>
        </w:rPr>
        <w:t xml:space="preserve"> Law and Philosophy 239</w:t>
      </w:r>
      <w:r w:rsidRPr="000C392D">
        <w:rPr>
          <w:rFonts w:ascii="Century" w:hAnsi="Century"/>
          <w:sz w:val="24"/>
          <w:szCs w:val="24"/>
          <w:lang w:val="en-US"/>
        </w:rPr>
        <w:t>.</w:t>
      </w:r>
      <w:r w:rsidRPr="00CC416B">
        <w:t xml:space="preserve"> </w:t>
      </w:r>
    </w:p>
    <w:p w:rsidR="00EA2A47" w:rsidRDefault="00EA2A47" w:rsidP="00EA2A47">
      <w:pPr>
        <w:pStyle w:val="FootnoteText"/>
        <w:jc w:val="both"/>
        <w:rPr>
          <w:rFonts w:ascii="Century" w:hAnsi="Century"/>
          <w:sz w:val="24"/>
          <w:szCs w:val="24"/>
        </w:rPr>
      </w:pPr>
    </w:p>
    <w:p w:rsidR="0043526F" w:rsidRPr="000C392D" w:rsidRDefault="0043526F" w:rsidP="0043526F">
      <w:pPr>
        <w:pStyle w:val="FootnoteText"/>
        <w:jc w:val="both"/>
        <w:rPr>
          <w:rFonts w:ascii="Century" w:hAnsi="Century"/>
          <w:sz w:val="24"/>
          <w:szCs w:val="24"/>
          <w:lang w:val="en-US"/>
        </w:rPr>
      </w:pPr>
      <w:r w:rsidRPr="000C392D">
        <w:rPr>
          <w:rFonts w:ascii="Century" w:hAnsi="Century"/>
          <w:sz w:val="24"/>
          <w:szCs w:val="24"/>
        </w:rPr>
        <w:t>New Zealand Law Commission (NZLC), ‘Legislation Manual: Structure and Style’ (May 1996)</w:t>
      </w:r>
      <w:r w:rsidRPr="000C392D">
        <w:rPr>
          <w:rFonts w:ascii="Century" w:hAnsi="Century"/>
          <w:sz w:val="24"/>
          <w:szCs w:val="24"/>
          <w:lang w:val="en-US"/>
        </w:rPr>
        <w:t>.</w:t>
      </w:r>
    </w:p>
    <w:p w:rsidR="0043526F" w:rsidRDefault="0043526F" w:rsidP="0043526F">
      <w:pPr>
        <w:pStyle w:val="FootnoteText"/>
        <w:jc w:val="both"/>
        <w:rPr>
          <w:rFonts w:ascii="Century" w:hAnsi="Century"/>
          <w:sz w:val="24"/>
          <w:szCs w:val="24"/>
        </w:rPr>
      </w:pPr>
      <w:r>
        <w:rPr>
          <w:rFonts w:ascii="Century" w:hAnsi="Century"/>
          <w:sz w:val="24"/>
          <w:szCs w:val="24"/>
        </w:rPr>
        <w:t>&lt;</w:t>
      </w:r>
      <w:r w:rsidRPr="00363FBC">
        <w:rPr>
          <w:rFonts w:ascii="Century" w:hAnsi="Century"/>
          <w:sz w:val="24"/>
          <w:szCs w:val="24"/>
        </w:rPr>
        <w:t>http://www.lawcom.govt.nz/sites/default/files/projectAvailableFormats/NZLC%20R35.pdf</w:t>
      </w:r>
      <w:r>
        <w:rPr>
          <w:rFonts w:ascii="Century" w:hAnsi="Century"/>
          <w:sz w:val="24"/>
          <w:szCs w:val="24"/>
        </w:rPr>
        <w:t xml:space="preserve">&gt; accessed 13 August 2015 </w:t>
      </w:r>
    </w:p>
    <w:p w:rsidR="0043526F" w:rsidRDefault="0043526F" w:rsidP="0043526F">
      <w:pPr>
        <w:pStyle w:val="FootnoteText"/>
        <w:rPr>
          <w:rFonts w:ascii="Century" w:hAnsi="Century"/>
          <w:sz w:val="24"/>
          <w:szCs w:val="24"/>
        </w:rPr>
      </w:pPr>
    </w:p>
    <w:p w:rsidR="009E3FC6" w:rsidRDefault="0043526F" w:rsidP="009E3FC6">
      <w:pPr>
        <w:pStyle w:val="FootnoteText"/>
        <w:jc w:val="both"/>
        <w:rPr>
          <w:rFonts w:ascii="Century" w:hAnsi="Century"/>
          <w:sz w:val="24"/>
          <w:szCs w:val="24"/>
        </w:rPr>
      </w:pPr>
      <w:r w:rsidRPr="000C392D">
        <w:rPr>
          <w:rFonts w:ascii="Century" w:hAnsi="Century"/>
          <w:sz w:val="24"/>
          <w:szCs w:val="24"/>
        </w:rPr>
        <w:t>Ng</w:t>
      </w:r>
      <w:r>
        <w:rPr>
          <w:rFonts w:ascii="Century" w:hAnsi="Century"/>
          <w:sz w:val="24"/>
          <w:szCs w:val="24"/>
        </w:rPr>
        <w:t xml:space="preserve"> M</w:t>
      </w:r>
      <w:r w:rsidRPr="000C392D">
        <w:rPr>
          <w:rFonts w:ascii="Century" w:hAnsi="Century"/>
          <w:sz w:val="24"/>
          <w:szCs w:val="24"/>
        </w:rPr>
        <w:t>, ‘Legislative Drafting: A Lawmaker’s Perspective’ (</w:t>
      </w:r>
      <w:r>
        <w:rPr>
          <w:rFonts w:ascii="Century" w:hAnsi="Century"/>
          <w:sz w:val="24"/>
          <w:szCs w:val="24"/>
        </w:rPr>
        <w:t>2010) The Loophole 78</w:t>
      </w:r>
      <w:r w:rsidRPr="000C392D">
        <w:rPr>
          <w:rFonts w:ascii="Century" w:hAnsi="Century"/>
          <w:sz w:val="24"/>
          <w:szCs w:val="24"/>
          <w:lang w:val="en-US"/>
        </w:rPr>
        <w:t>.</w:t>
      </w:r>
      <w:r w:rsidRPr="000C392D">
        <w:rPr>
          <w:rFonts w:ascii="Century" w:hAnsi="Century"/>
          <w:sz w:val="24"/>
          <w:szCs w:val="24"/>
        </w:rPr>
        <w:t xml:space="preserve"> </w:t>
      </w:r>
    </w:p>
    <w:p w:rsidR="009E3FC6" w:rsidRPr="000C392D" w:rsidRDefault="009E3FC6" w:rsidP="009E3FC6">
      <w:pPr>
        <w:pStyle w:val="FootnoteText"/>
        <w:jc w:val="both"/>
        <w:rPr>
          <w:rFonts w:ascii="Century" w:hAnsi="Century"/>
          <w:sz w:val="24"/>
          <w:szCs w:val="24"/>
          <w:lang w:val="en-US"/>
        </w:rPr>
      </w:pPr>
      <w:r w:rsidRPr="000C392D">
        <w:rPr>
          <w:rFonts w:ascii="Century" w:hAnsi="Century"/>
          <w:sz w:val="24"/>
          <w:szCs w:val="24"/>
        </w:rPr>
        <w:t>&lt;</w:t>
      </w:r>
      <w:r w:rsidRPr="000C392D">
        <w:rPr>
          <w:rFonts w:ascii="Century" w:hAnsi="Century"/>
          <w:sz w:val="24"/>
          <w:szCs w:val="24"/>
          <w:lang w:val="en-US"/>
        </w:rPr>
        <w:t>http://www.opc.gov.au/calc/docs/Loophole_papers/Ng_Dec%202010.pdf&gt; accessed 7 August 2015</w:t>
      </w:r>
    </w:p>
    <w:p w:rsidR="009E3FC6" w:rsidRDefault="009E3FC6" w:rsidP="009E3FC6">
      <w:pPr>
        <w:pStyle w:val="FootnoteText"/>
        <w:jc w:val="both"/>
        <w:rPr>
          <w:rFonts w:ascii="Century" w:hAnsi="Century"/>
          <w:sz w:val="24"/>
          <w:szCs w:val="24"/>
        </w:rPr>
      </w:pPr>
    </w:p>
    <w:p w:rsidR="0043526F" w:rsidRPr="000C392D" w:rsidRDefault="0043526F" w:rsidP="0043526F">
      <w:pPr>
        <w:pStyle w:val="FootnoteText"/>
        <w:jc w:val="both"/>
        <w:rPr>
          <w:rFonts w:ascii="Century" w:hAnsi="Century"/>
          <w:sz w:val="24"/>
          <w:szCs w:val="24"/>
          <w:lang w:val="en-US"/>
        </w:rPr>
      </w:pPr>
      <w:r w:rsidRPr="000C392D">
        <w:rPr>
          <w:rFonts w:ascii="Century" w:hAnsi="Century"/>
          <w:sz w:val="24"/>
          <w:szCs w:val="24"/>
          <w:lang w:val="en-US"/>
        </w:rPr>
        <w:t>Ngirinshuti</w:t>
      </w:r>
      <w:r>
        <w:rPr>
          <w:rFonts w:ascii="Century" w:hAnsi="Century"/>
          <w:sz w:val="24"/>
          <w:szCs w:val="24"/>
          <w:lang w:val="en-US"/>
        </w:rPr>
        <w:t xml:space="preserve"> S</w:t>
      </w:r>
      <w:r w:rsidRPr="000C392D">
        <w:rPr>
          <w:rFonts w:ascii="Century" w:hAnsi="Century"/>
          <w:sz w:val="24"/>
          <w:szCs w:val="24"/>
          <w:lang w:val="en-US"/>
        </w:rPr>
        <w:t>, ‘Use of Legislative Section Headings to Achieve Effectiveness: Comparative Study of Rwandan and Australian Jurisdict</w:t>
      </w:r>
      <w:r>
        <w:rPr>
          <w:rFonts w:ascii="Century" w:hAnsi="Century"/>
          <w:sz w:val="24"/>
          <w:szCs w:val="24"/>
          <w:lang w:val="en-US"/>
        </w:rPr>
        <w:t>ions’ [2013] 15 Eur LJ 299</w:t>
      </w:r>
      <w:r w:rsidRPr="000C392D">
        <w:rPr>
          <w:rFonts w:ascii="Century" w:hAnsi="Century"/>
          <w:sz w:val="24"/>
          <w:szCs w:val="24"/>
          <w:lang w:val="en-US"/>
        </w:rPr>
        <w:t>.</w:t>
      </w:r>
    </w:p>
    <w:p w:rsidR="00364C97" w:rsidRDefault="00364C97" w:rsidP="007C0020">
      <w:pPr>
        <w:jc w:val="both"/>
        <w:rPr>
          <w:rFonts w:ascii="Century" w:hAnsi="Century"/>
          <w:sz w:val="24"/>
          <w:szCs w:val="24"/>
        </w:rPr>
      </w:pPr>
    </w:p>
    <w:p w:rsidR="00CF67CC" w:rsidRDefault="00CF67CC" w:rsidP="007C0020">
      <w:pPr>
        <w:jc w:val="both"/>
        <w:rPr>
          <w:rFonts w:ascii="Century" w:hAnsi="Century"/>
          <w:sz w:val="24"/>
          <w:szCs w:val="24"/>
        </w:rPr>
      </w:pPr>
      <w:r w:rsidRPr="000C392D">
        <w:rPr>
          <w:rFonts w:ascii="Century" w:hAnsi="Century"/>
          <w:sz w:val="24"/>
          <w:szCs w:val="24"/>
        </w:rPr>
        <w:t>Ntaba</w:t>
      </w:r>
      <w:r>
        <w:rPr>
          <w:rFonts w:ascii="Century" w:hAnsi="Century"/>
          <w:sz w:val="24"/>
          <w:szCs w:val="24"/>
        </w:rPr>
        <w:t xml:space="preserve"> Z</w:t>
      </w:r>
      <w:r w:rsidRPr="000C392D">
        <w:rPr>
          <w:rFonts w:ascii="Century" w:hAnsi="Century"/>
          <w:sz w:val="24"/>
          <w:szCs w:val="24"/>
        </w:rPr>
        <w:t xml:space="preserve">, ‘Pre-Legislative Scrutiny’ in Constantin Stefanou and Helen Xanthaki (eds) </w:t>
      </w:r>
      <w:r w:rsidRPr="000C392D">
        <w:rPr>
          <w:rFonts w:ascii="Century" w:hAnsi="Century"/>
          <w:i/>
          <w:sz w:val="24"/>
          <w:szCs w:val="24"/>
        </w:rPr>
        <w:t>Drafting Legislation: A Modern Approach</w:t>
      </w:r>
      <w:r w:rsidR="00327D6A">
        <w:rPr>
          <w:rFonts w:ascii="Century" w:hAnsi="Century"/>
          <w:sz w:val="24"/>
          <w:szCs w:val="24"/>
        </w:rPr>
        <w:t xml:space="preserve"> (</w:t>
      </w:r>
      <w:r w:rsidRPr="000C392D">
        <w:rPr>
          <w:rFonts w:ascii="Century" w:hAnsi="Century"/>
          <w:sz w:val="24"/>
          <w:szCs w:val="24"/>
        </w:rPr>
        <w:t>Ashgate</w:t>
      </w:r>
      <w:r w:rsidR="00327D6A">
        <w:rPr>
          <w:rFonts w:ascii="Century" w:hAnsi="Century"/>
          <w:sz w:val="24"/>
          <w:szCs w:val="24"/>
        </w:rPr>
        <w:t xml:space="preserve"> Publishing 2008</w:t>
      </w:r>
      <w:r w:rsidRPr="000C392D">
        <w:rPr>
          <w:rFonts w:ascii="Century" w:hAnsi="Century"/>
          <w:sz w:val="24"/>
          <w:szCs w:val="24"/>
        </w:rPr>
        <w:t>)</w:t>
      </w:r>
      <w:r>
        <w:rPr>
          <w:rFonts w:ascii="Century" w:hAnsi="Century"/>
          <w:sz w:val="24"/>
          <w:szCs w:val="24"/>
        </w:rPr>
        <w:t>.</w:t>
      </w:r>
    </w:p>
    <w:p w:rsidR="009A5FE1" w:rsidRPr="009A5FE1" w:rsidRDefault="009A5FE1" w:rsidP="007C0020">
      <w:pPr>
        <w:jc w:val="both"/>
        <w:rPr>
          <w:rFonts w:ascii="Century" w:hAnsi="Century"/>
          <w:sz w:val="24"/>
          <w:szCs w:val="24"/>
        </w:rPr>
      </w:pPr>
      <w:r w:rsidRPr="009A5FE1">
        <w:rPr>
          <w:rFonts w:ascii="Century" w:hAnsi="Century"/>
          <w:sz w:val="24"/>
          <w:szCs w:val="24"/>
        </w:rPr>
        <w:t xml:space="preserve">Nzerem RC, ‘The Role of the Legislative Drafter in Promoting Social Transformation’ in Constantin Stefanou and Helen Xanthaki (eds) </w:t>
      </w:r>
      <w:r w:rsidRPr="009A5FE1">
        <w:rPr>
          <w:rFonts w:ascii="Century" w:hAnsi="Century"/>
          <w:i/>
          <w:sz w:val="24"/>
          <w:szCs w:val="24"/>
        </w:rPr>
        <w:t>Drafting Legislation: A Modern Approach (</w:t>
      </w:r>
      <w:r w:rsidRPr="009A5FE1">
        <w:rPr>
          <w:rFonts w:ascii="Century" w:hAnsi="Century"/>
          <w:sz w:val="24"/>
          <w:szCs w:val="24"/>
        </w:rPr>
        <w:t xml:space="preserve">Ashgate </w:t>
      </w:r>
      <w:r w:rsidR="00327D6A">
        <w:rPr>
          <w:rFonts w:ascii="Century" w:hAnsi="Century"/>
          <w:sz w:val="24"/>
          <w:szCs w:val="24"/>
        </w:rPr>
        <w:t xml:space="preserve">Publishing </w:t>
      </w:r>
      <w:r w:rsidR="00A92798">
        <w:rPr>
          <w:rFonts w:ascii="Century" w:hAnsi="Century"/>
          <w:sz w:val="24"/>
          <w:szCs w:val="24"/>
        </w:rPr>
        <w:t>2008)</w:t>
      </w:r>
      <w:r>
        <w:rPr>
          <w:rFonts w:ascii="Century" w:hAnsi="Century"/>
          <w:sz w:val="24"/>
          <w:szCs w:val="24"/>
        </w:rPr>
        <w:t>.</w:t>
      </w:r>
    </w:p>
    <w:p w:rsidR="00816A32" w:rsidRDefault="00816A32" w:rsidP="007C0020">
      <w:pPr>
        <w:pStyle w:val="FootnoteText"/>
        <w:jc w:val="both"/>
        <w:rPr>
          <w:rFonts w:ascii="Century" w:hAnsi="Century"/>
          <w:sz w:val="24"/>
          <w:szCs w:val="24"/>
        </w:rPr>
      </w:pPr>
    </w:p>
    <w:p w:rsidR="004303AB" w:rsidRPr="00404B4A" w:rsidRDefault="008E2EBC" w:rsidP="007C0020">
      <w:pPr>
        <w:pStyle w:val="FootnoteText"/>
        <w:jc w:val="both"/>
        <w:rPr>
          <w:rFonts w:ascii="Century" w:hAnsi="Century"/>
          <w:sz w:val="24"/>
          <w:szCs w:val="24"/>
        </w:rPr>
      </w:pPr>
      <w:r>
        <w:rPr>
          <w:rFonts w:ascii="Century" w:hAnsi="Century"/>
          <w:sz w:val="24"/>
          <w:szCs w:val="24"/>
        </w:rPr>
        <w:t>Office of Parliamentary Counsel, ‘</w:t>
      </w:r>
      <w:r w:rsidR="00404B4A" w:rsidRPr="00404B4A">
        <w:rPr>
          <w:rFonts w:ascii="Century" w:hAnsi="Century"/>
          <w:sz w:val="24"/>
          <w:szCs w:val="24"/>
        </w:rPr>
        <w:t>Drafting Guidance</w:t>
      </w:r>
      <w:r>
        <w:rPr>
          <w:rFonts w:ascii="Century" w:hAnsi="Century"/>
          <w:sz w:val="24"/>
          <w:szCs w:val="24"/>
        </w:rPr>
        <w:t>’</w:t>
      </w:r>
      <w:r w:rsidR="00404B4A" w:rsidRPr="00404B4A">
        <w:rPr>
          <w:rFonts w:ascii="Century" w:hAnsi="Century"/>
          <w:sz w:val="24"/>
          <w:szCs w:val="24"/>
        </w:rPr>
        <w:t xml:space="preserve"> (20 March 2014)</w:t>
      </w:r>
      <w:r w:rsidR="003448C2" w:rsidRPr="003448C2">
        <w:t xml:space="preserve"> </w:t>
      </w:r>
      <w:r w:rsidR="003448C2">
        <w:t>&lt;</w:t>
      </w:r>
      <w:r w:rsidR="003448C2" w:rsidRPr="003448C2">
        <w:rPr>
          <w:rFonts w:ascii="Century" w:hAnsi="Century"/>
          <w:sz w:val="24"/>
          <w:szCs w:val="24"/>
        </w:rPr>
        <w:t>https://www.gov.uk/government/uploads/system/uploads/attachment_data/file/293866/guidancebook-20_March.pdf</w:t>
      </w:r>
      <w:r w:rsidR="003448C2">
        <w:rPr>
          <w:rFonts w:ascii="Century" w:hAnsi="Century"/>
          <w:sz w:val="24"/>
          <w:szCs w:val="24"/>
        </w:rPr>
        <w:t>&gt; accessed 17 August 2015</w:t>
      </w:r>
    </w:p>
    <w:p w:rsidR="00404B4A" w:rsidRDefault="00404B4A" w:rsidP="007C0020">
      <w:pPr>
        <w:pStyle w:val="FootnoteText"/>
        <w:jc w:val="both"/>
        <w:rPr>
          <w:rFonts w:ascii="Century" w:hAnsi="Century"/>
          <w:sz w:val="24"/>
          <w:szCs w:val="24"/>
        </w:rPr>
      </w:pPr>
    </w:p>
    <w:p w:rsidR="004303AB" w:rsidRPr="006B456E" w:rsidRDefault="004303AB" w:rsidP="007C0020">
      <w:pPr>
        <w:pStyle w:val="FootnoteText"/>
        <w:jc w:val="both"/>
        <w:rPr>
          <w:rFonts w:ascii="Century" w:hAnsi="Century"/>
          <w:sz w:val="24"/>
          <w:szCs w:val="24"/>
        </w:rPr>
      </w:pPr>
      <w:r w:rsidRPr="000C392D">
        <w:rPr>
          <w:rFonts w:ascii="Century" w:hAnsi="Century"/>
          <w:sz w:val="24"/>
          <w:szCs w:val="24"/>
        </w:rPr>
        <w:t>Office of Parliamentary Counsel UK (OPC UK), ‘When Laws Become Too Complex: A Review into the Causes of Com</w:t>
      </w:r>
      <w:r>
        <w:rPr>
          <w:rFonts w:ascii="Century" w:hAnsi="Century"/>
          <w:sz w:val="24"/>
          <w:szCs w:val="24"/>
        </w:rPr>
        <w:t>plex Legislation’ (March 2013)</w:t>
      </w:r>
      <w:r w:rsidRPr="000C392D">
        <w:rPr>
          <w:rFonts w:ascii="Century" w:hAnsi="Century"/>
          <w:sz w:val="24"/>
          <w:szCs w:val="24"/>
        </w:rPr>
        <w:t xml:space="preserve">. </w:t>
      </w:r>
      <w:r w:rsidR="006B456E">
        <w:rPr>
          <w:rFonts w:ascii="Century" w:hAnsi="Century"/>
          <w:sz w:val="24"/>
          <w:szCs w:val="24"/>
        </w:rPr>
        <w:t>&lt;</w:t>
      </w:r>
      <w:hyperlink r:id="rId11" w:history="1">
        <w:r w:rsidRPr="006B456E">
          <w:rPr>
            <w:rStyle w:val="Hyperlink"/>
            <w:rFonts w:ascii="Century" w:hAnsi="Century"/>
            <w:color w:val="auto"/>
            <w:sz w:val="24"/>
            <w:szCs w:val="24"/>
            <w:u w:val="none"/>
          </w:rPr>
          <w:t>https://www.gov.uk/government/uploads/system/uploads/attachment_data/file/187015/GoodLaw_report_8April_AP.pdf</w:t>
        </w:r>
      </w:hyperlink>
      <w:r w:rsidR="006B456E" w:rsidRPr="006B456E">
        <w:rPr>
          <w:rStyle w:val="Hyperlink"/>
          <w:rFonts w:ascii="Century" w:hAnsi="Century"/>
          <w:color w:val="auto"/>
          <w:sz w:val="24"/>
          <w:szCs w:val="24"/>
          <w:u w:val="none"/>
        </w:rPr>
        <w:t>&gt; accessed 19 August 2015</w:t>
      </w:r>
    </w:p>
    <w:p w:rsidR="004303AB" w:rsidRPr="006B456E" w:rsidRDefault="004303AB" w:rsidP="007C0020">
      <w:pPr>
        <w:pStyle w:val="FootnoteText"/>
        <w:jc w:val="both"/>
        <w:rPr>
          <w:rFonts w:ascii="Century" w:hAnsi="Century"/>
          <w:sz w:val="24"/>
          <w:szCs w:val="24"/>
        </w:rPr>
      </w:pPr>
    </w:p>
    <w:p w:rsidR="004303AB" w:rsidRDefault="004303AB" w:rsidP="007C0020">
      <w:pPr>
        <w:pStyle w:val="FootnoteText"/>
        <w:jc w:val="both"/>
        <w:rPr>
          <w:rFonts w:ascii="Century" w:hAnsi="Century"/>
          <w:sz w:val="24"/>
          <w:szCs w:val="24"/>
        </w:rPr>
      </w:pPr>
      <w:r w:rsidRPr="006B456E">
        <w:rPr>
          <w:rFonts w:ascii="Century" w:hAnsi="Century"/>
          <w:sz w:val="24"/>
          <w:szCs w:val="24"/>
        </w:rPr>
        <w:t>Office of Parliamentary Counsel Australia, ‘</w:t>
      </w:r>
      <w:r w:rsidRPr="006B456E">
        <w:rPr>
          <w:rFonts w:ascii="Century" w:hAnsi="Century"/>
          <w:sz w:val="24"/>
          <w:szCs w:val="24"/>
          <w:lang w:val="en-US"/>
        </w:rPr>
        <w:t xml:space="preserve">Reducing Complexity in </w:t>
      </w:r>
      <w:r>
        <w:rPr>
          <w:rFonts w:ascii="Century" w:hAnsi="Century"/>
          <w:sz w:val="24"/>
          <w:szCs w:val="24"/>
          <w:lang w:val="en-US"/>
        </w:rPr>
        <w:t>Legislation’ (May 2011)</w:t>
      </w:r>
      <w:r w:rsidRPr="000C392D">
        <w:rPr>
          <w:rFonts w:ascii="Century" w:hAnsi="Century"/>
          <w:sz w:val="24"/>
          <w:szCs w:val="24"/>
          <w:lang w:val="en-US"/>
        </w:rPr>
        <w:t>.</w:t>
      </w:r>
      <w:r w:rsidRPr="000C392D">
        <w:rPr>
          <w:rFonts w:ascii="Century" w:hAnsi="Century"/>
          <w:sz w:val="24"/>
          <w:szCs w:val="24"/>
        </w:rPr>
        <w:t xml:space="preserve"> </w:t>
      </w:r>
    </w:p>
    <w:p w:rsidR="004303AB" w:rsidRDefault="004303AB" w:rsidP="007C0020">
      <w:pPr>
        <w:pStyle w:val="FootnoteText"/>
        <w:jc w:val="both"/>
        <w:rPr>
          <w:rFonts w:ascii="Century" w:hAnsi="Century"/>
          <w:sz w:val="24"/>
          <w:szCs w:val="24"/>
          <w:lang w:val="en-US"/>
        </w:rPr>
      </w:pPr>
      <w:r w:rsidRPr="000C392D">
        <w:rPr>
          <w:rFonts w:ascii="Century" w:hAnsi="Century"/>
          <w:sz w:val="24"/>
          <w:szCs w:val="24"/>
        </w:rPr>
        <w:t>&lt;</w:t>
      </w:r>
      <w:r w:rsidRPr="000C392D">
        <w:rPr>
          <w:rFonts w:ascii="Century" w:hAnsi="Century"/>
          <w:sz w:val="24"/>
          <w:szCs w:val="24"/>
          <w:lang w:val="en-US"/>
        </w:rPr>
        <w:t>http://www.opc.gov.au/about/docs/ReducingComplexity.pdf&gt; accessed 7 August 2015</w:t>
      </w:r>
    </w:p>
    <w:p w:rsidR="00514DDF" w:rsidRDefault="00514DDF" w:rsidP="007C0020">
      <w:pPr>
        <w:pStyle w:val="FootnoteText"/>
        <w:jc w:val="both"/>
        <w:rPr>
          <w:rFonts w:ascii="Century" w:hAnsi="Century"/>
          <w:sz w:val="24"/>
          <w:szCs w:val="24"/>
          <w:lang w:val="en-US"/>
        </w:rPr>
      </w:pPr>
    </w:p>
    <w:p w:rsidR="007C6BFB" w:rsidRPr="007C6BFB" w:rsidRDefault="007C6BFB" w:rsidP="007C0020">
      <w:pPr>
        <w:pStyle w:val="FootnoteText"/>
        <w:jc w:val="both"/>
        <w:rPr>
          <w:rFonts w:ascii="Century" w:hAnsi="Century"/>
          <w:sz w:val="24"/>
          <w:szCs w:val="24"/>
          <w:lang w:val="en-US"/>
        </w:rPr>
      </w:pPr>
      <w:r w:rsidRPr="007C6BFB">
        <w:rPr>
          <w:rFonts w:ascii="Century" w:hAnsi="Century"/>
          <w:sz w:val="24"/>
          <w:szCs w:val="24"/>
          <w:lang w:val="en-US"/>
        </w:rPr>
        <w:t xml:space="preserve">Omal I, ‘Scrutiny of Legislation in Uganda: A Case for Reform’ </w:t>
      </w:r>
      <w:r w:rsidR="00E00FC6">
        <w:rPr>
          <w:rFonts w:ascii="Century" w:hAnsi="Century"/>
          <w:sz w:val="24"/>
          <w:szCs w:val="24"/>
          <w:lang w:val="en-US"/>
        </w:rPr>
        <w:t>[2012]</w:t>
      </w:r>
      <w:r>
        <w:rPr>
          <w:rFonts w:ascii="Century" w:hAnsi="Century"/>
          <w:sz w:val="24"/>
          <w:szCs w:val="24"/>
          <w:lang w:val="en-US"/>
        </w:rPr>
        <w:t xml:space="preserve"> 14 Eur JL Reform 371</w:t>
      </w:r>
      <w:r w:rsidRPr="007C6BFB">
        <w:rPr>
          <w:rFonts w:ascii="Century" w:hAnsi="Century"/>
          <w:sz w:val="24"/>
          <w:szCs w:val="24"/>
          <w:lang w:val="en-US"/>
        </w:rPr>
        <w:t>.</w:t>
      </w:r>
    </w:p>
    <w:p w:rsidR="007C6BFB" w:rsidRPr="000C392D" w:rsidRDefault="007C6BFB" w:rsidP="007C0020">
      <w:pPr>
        <w:pStyle w:val="FootnoteText"/>
        <w:jc w:val="both"/>
        <w:rPr>
          <w:rFonts w:ascii="Century" w:hAnsi="Century"/>
          <w:sz w:val="24"/>
          <w:szCs w:val="24"/>
          <w:lang w:val="en-US"/>
        </w:rPr>
      </w:pPr>
    </w:p>
    <w:p w:rsidR="00764350" w:rsidRDefault="00764350" w:rsidP="007C0020">
      <w:pPr>
        <w:pStyle w:val="FootnoteText"/>
        <w:jc w:val="both"/>
        <w:rPr>
          <w:rFonts w:ascii="Century" w:hAnsi="Century"/>
          <w:sz w:val="24"/>
          <w:szCs w:val="24"/>
          <w:lang w:val="en-US"/>
        </w:rPr>
      </w:pPr>
      <w:r>
        <w:rPr>
          <w:rFonts w:ascii="Century" w:hAnsi="Century"/>
          <w:sz w:val="24"/>
          <w:szCs w:val="24"/>
          <w:lang w:val="en-US"/>
        </w:rPr>
        <w:t>Parliamentary Counsel Office, ‘</w:t>
      </w:r>
      <w:r w:rsidRPr="000C392D">
        <w:rPr>
          <w:rFonts w:ascii="Century" w:hAnsi="Century"/>
          <w:sz w:val="24"/>
          <w:szCs w:val="24"/>
          <w:lang w:val="en-US"/>
        </w:rPr>
        <w:t xml:space="preserve">Principles </w:t>
      </w:r>
      <w:r>
        <w:rPr>
          <w:rFonts w:ascii="Century" w:hAnsi="Century"/>
          <w:sz w:val="24"/>
          <w:szCs w:val="24"/>
          <w:lang w:val="en-US"/>
        </w:rPr>
        <w:t>of Clear Drafting’.</w:t>
      </w:r>
    </w:p>
    <w:p w:rsidR="00764350" w:rsidRPr="009220A5" w:rsidRDefault="00764350" w:rsidP="007C0020">
      <w:pPr>
        <w:pStyle w:val="FootnoteText"/>
        <w:jc w:val="both"/>
        <w:rPr>
          <w:rFonts w:ascii="Century" w:hAnsi="Century"/>
          <w:sz w:val="24"/>
          <w:szCs w:val="24"/>
          <w:lang w:val="en-US"/>
        </w:rPr>
      </w:pPr>
      <w:r w:rsidRPr="009220A5">
        <w:rPr>
          <w:rFonts w:ascii="Century" w:hAnsi="Century"/>
          <w:sz w:val="24"/>
          <w:szCs w:val="24"/>
        </w:rPr>
        <w:t>&lt;</w:t>
      </w:r>
      <w:r w:rsidRPr="009220A5">
        <w:rPr>
          <w:rFonts w:ascii="Century" w:hAnsi="Century"/>
          <w:sz w:val="24"/>
          <w:szCs w:val="24"/>
          <w:lang w:val="en-US"/>
        </w:rPr>
        <w:t>http://www.pco.parliament.govt.nz/clear-drafting/&gt; accessed 13 August 2015</w:t>
      </w:r>
    </w:p>
    <w:p w:rsidR="00EA2A47" w:rsidRDefault="00EA2A47" w:rsidP="00EA2A47">
      <w:pPr>
        <w:pStyle w:val="FootnoteText"/>
        <w:jc w:val="both"/>
        <w:rPr>
          <w:rFonts w:ascii="Century" w:hAnsi="Century"/>
          <w:i/>
          <w:sz w:val="24"/>
          <w:szCs w:val="24"/>
          <w:lang w:val="en-US"/>
        </w:rPr>
      </w:pPr>
    </w:p>
    <w:p w:rsidR="00DD34BE" w:rsidRDefault="00EA2A47" w:rsidP="00EA2A47">
      <w:pPr>
        <w:pStyle w:val="FootnoteText"/>
        <w:jc w:val="both"/>
        <w:rPr>
          <w:rFonts w:ascii="Century" w:hAnsi="Century"/>
          <w:sz w:val="24"/>
          <w:szCs w:val="24"/>
        </w:rPr>
      </w:pPr>
      <w:r w:rsidRPr="00E814D8">
        <w:rPr>
          <w:rFonts w:ascii="Century" w:hAnsi="Century"/>
          <w:i/>
          <w:sz w:val="24"/>
          <w:szCs w:val="24"/>
          <w:lang w:val="en-US"/>
        </w:rPr>
        <w:t>Queensland Legislation Handbook</w:t>
      </w:r>
      <w:r>
        <w:rPr>
          <w:rFonts w:ascii="Century" w:hAnsi="Century"/>
          <w:sz w:val="24"/>
          <w:szCs w:val="24"/>
          <w:lang w:val="en-US"/>
        </w:rPr>
        <w:t xml:space="preserve"> (2</w:t>
      </w:r>
      <w:r w:rsidRPr="00EE6DB6">
        <w:rPr>
          <w:rFonts w:ascii="Century" w:hAnsi="Century"/>
          <w:sz w:val="24"/>
          <w:szCs w:val="24"/>
          <w:vertAlign w:val="superscript"/>
          <w:lang w:val="en-US"/>
        </w:rPr>
        <w:t>nd</w:t>
      </w:r>
      <w:r>
        <w:rPr>
          <w:rFonts w:ascii="Century" w:hAnsi="Century"/>
          <w:sz w:val="24"/>
          <w:szCs w:val="24"/>
          <w:lang w:val="en-US"/>
        </w:rPr>
        <w:t xml:space="preserve"> edn, </w:t>
      </w:r>
      <w:r w:rsidRPr="00EE6DB6">
        <w:rPr>
          <w:rFonts w:ascii="Century" w:hAnsi="Century"/>
          <w:sz w:val="24"/>
          <w:szCs w:val="24"/>
        </w:rPr>
        <w:t>The State of Queensland, Department of the Premier and Cabinet</w:t>
      </w:r>
      <w:r>
        <w:rPr>
          <w:rFonts w:ascii="Century" w:hAnsi="Century"/>
          <w:sz w:val="24"/>
          <w:szCs w:val="24"/>
          <w:lang w:val="en-US"/>
        </w:rPr>
        <w:t xml:space="preserve"> 2004).</w:t>
      </w:r>
    </w:p>
    <w:p w:rsidR="00EA2A47" w:rsidRPr="009220A5" w:rsidRDefault="00EA2A47" w:rsidP="00EA2A47">
      <w:pPr>
        <w:pStyle w:val="FootnoteText"/>
        <w:jc w:val="both"/>
        <w:rPr>
          <w:rFonts w:ascii="Century" w:hAnsi="Century"/>
          <w:sz w:val="24"/>
          <w:szCs w:val="24"/>
          <w:lang w:val="en-US"/>
        </w:rPr>
      </w:pPr>
      <w:r w:rsidRPr="009220A5">
        <w:rPr>
          <w:rFonts w:ascii="Century" w:hAnsi="Century"/>
          <w:sz w:val="24"/>
          <w:szCs w:val="24"/>
        </w:rPr>
        <w:t>&lt;</w:t>
      </w:r>
      <w:r w:rsidRPr="009220A5">
        <w:rPr>
          <w:rFonts w:ascii="Century" w:hAnsi="Century"/>
          <w:sz w:val="24"/>
          <w:szCs w:val="24"/>
          <w:lang w:val="en-US"/>
        </w:rPr>
        <w:t>https://www.legislation.qld.gov.au/leg_info/publications/legislation_handbook.pdf&gt; accessed 13 August 2015</w:t>
      </w:r>
    </w:p>
    <w:p w:rsidR="00EA2A47" w:rsidRDefault="00EA2A47" w:rsidP="00EA2A47">
      <w:pPr>
        <w:pStyle w:val="FootnoteText"/>
        <w:jc w:val="both"/>
        <w:rPr>
          <w:rFonts w:ascii="Century" w:hAnsi="Century"/>
          <w:sz w:val="24"/>
          <w:szCs w:val="24"/>
        </w:rPr>
      </w:pPr>
    </w:p>
    <w:p w:rsidR="004303AB" w:rsidRPr="000C392D" w:rsidRDefault="004303AB" w:rsidP="007C0020">
      <w:pPr>
        <w:pStyle w:val="FootnoteText"/>
        <w:jc w:val="both"/>
        <w:rPr>
          <w:rFonts w:ascii="Century" w:hAnsi="Century"/>
          <w:sz w:val="24"/>
          <w:szCs w:val="24"/>
        </w:rPr>
      </w:pPr>
      <w:r w:rsidRPr="000C392D">
        <w:rPr>
          <w:rFonts w:ascii="Century" w:hAnsi="Century"/>
          <w:sz w:val="24"/>
          <w:szCs w:val="24"/>
        </w:rPr>
        <w:t>Raz</w:t>
      </w:r>
      <w:r>
        <w:rPr>
          <w:rFonts w:ascii="Century" w:hAnsi="Century"/>
          <w:sz w:val="24"/>
          <w:szCs w:val="24"/>
        </w:rPr>
        <w:t xml:space="preserve"> J</w:t>
      </w:r>
      <w:r w:rsidRPr="000C392D">
        <w:rPr>
          <w:rFonts w:ascii="Century" w:hAnsi="Century"/>
          <w:sz w:val="24"/>
          <w:szCs w:val="24"/>
        </w:rPr>
        <w:t>, ‘The Rule of Law and It</w:t>
      </w:r>
      <w:r w:rsidR="00E66F1F">
        <w:rPr>
          <w:rFonts w:ascii="Century" w:hAnsi="Century"/>
          <w:sz w:val="24"/>
          <w:szCs w:val="24"/>
        </w:rPr>
        <w:t>s Virtue’ [1977]</w:t>
      </w:r>
      <w:r>
        <w:rPr>
          <w:rFonts w:ascii="Century" w:hAnsi="Century"/>
          <w:sz w:val="24"/>
          <w:szCs w:val="24"/>
        </w:rPr>
        <w:t xml:space="preserve"> 93 LQR 195</w:t>
      </w:r>
      <w:r w:rsidRPr="000C392D">
        <w:rPr>
          <w:rFonts w:ascii="Century" w:hAnsi="Century"/>
          <w:sz w:val="24"/>
          <w:szCs w:val="24"/>
        </w:rPr>
        <w:t>.</w:t>
      </w:r>
    </w:p>
    <w:p w:rsidR="004303AB" w:rsidRPr="000C392D" w:rsidRDefault="004303AB" w:rsidP="007C0020">
      <w:pPr>
        <w:pStyle w:val="FootnoteText"/>
        <w:jc w:val="both"/>
        <w:rPr>
          <w:rFonts w:ascii="Century" w:hAnsi="Century"/>
          <w:sz w:val="24"/>
          <w:szCs w:val="24"/>
        </w:rPr>
      </w:pPr>
    </w:p>
    <w:p w:rsidR="005C3493" w:rsidRDefault="00A626C7" w:rsidP="007C0020">
      <w:pPr>
        <w:pStyle w:val="FootnoteText"/>
        <w:jc w:val="both"/>
        <w:rPr>
          <w:rFonts w:ascii="Century" w:hAnsi="Century"/>
          <w:sz w:val="24"/>
          <w:szCs w:val="24"/>
        </w:rPr>
      </w:pPr>
      <w:r>
        <w:rPr>
          <w:rFonts w:ascii="Century" w:hAnsi="Century"/>
          <w:sz w:val="24"/>
          <w:szCs w:val="24"/>
        </w:rPr>
        <w:t>‘</w:t>
      </w:r>
      <w:r w:rsidR="004303AB">
        <w:rPr>
          <w:rFonts w:ascii="Century" w:hAnsi="Century"/>
          <w:sz w:val="24"/>
          <w:szCs w:val="24"/>
        </w:rPr>
        <w:t>Retrospective Laws</w:t>
      </w:r>
      <w:r>
        <w:rPr>
          <w:rFonts w:ascii="Century" w:hAnsi="Century"/>
          <w:sz w:val="24"/>
          <w:szCs w:val="24"/>
        </w:rPr>
        <w:t>’</w:t>
      </w:r>
      <w:r w:rsidR="004303AB">
        <w:rPr>
          <w:rFonts w:ascii="Century" w:hAnsi="Century"/>
          <w:sz w:val="24"/>
          <w:szCs w:val="24"/>
        </w:rPr>
        <w:t>.</w:t>
      </w:r>
      <w:r w:rsidR="004303AB" w:rsidRPr="000C392D">
        <w:rPr>
          <w:rFonts w:ascii="Century" w:hAnsi="Century"/>
          <w:sz w:val="24"/>
          <w:szCs w:val="24"/>
        </w:rPr>
        <w:t xml:space="preserve"> </w:t>
      </w:r>
    </w:p>
    <w:p w:rsidR="004303AB" w:rsidRPr="000C392D" w:rsidRDefault="004303AB" w:rsidP="007C0020">
      <w:pPr>
        <w:pStyle w:val="FootnoteText"/>
        <w:jc w:val="both"/>
        <w:rPr>
          <w:rFonts w:ascii="Century" w:hAnsi="Century"/>
          <w:sz w:val="24"/>
          <w:szCs w:val="24"/>
        </w:rPr>
      </w:pPr>
      <w:r w:rsidRPr="000C392D">
        <w:rPr>
          <w:rFonts w:ascii="Century" w:hAnsi="Century"/>
          <w:sz w:val="24"/>
          <w:szCs w:val="24"/>
        </w:rPr>
        <w:t>&lt;https://www.alrc.gov.au/sites/default/files/pdfs/publications/ip46_ch_7._retrospective_laws.pdf&gt; accessed 5 August 2015</w:t>
      </w:r>
    </w:p>
    <w:p w:rsidR="004303AB" w:rsidRPr="000C392D" w:rsidRDefault="004303AB" w:rsidP="007C0020">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Robinson</w:t>
      </w:r>
      <w:r>
        <w:rPr>
          <w:rFonts w:ascii="Century" w:hAnsi="Century"/>
          <w:sz w:val="24"/>
          <w:szCs w:val="24"/>
        </w:rPr>
        <w:t xml:space="preserve"> T</w:t>
      </w:r>
      <w:r w:rsidRPr="000C392D">
        <w:rPr>
          <w:rFonts w:ascii="Century" w:hAnsi="Century"/>
          <w:sz w:val="24"/>
          <w:szCs w:val="24"/>
        </w:rPr>
        <w:t>, Bulkan</w:t>
      </w:r>
      <w:r>
        <w:rPr>
          <w:rFonts w:ascii="Century" w:hAnsi="Century"/>
          <w:sz w:val="24"/>
          <w:szCs w:val="24"/>
        </w:rPr>
        <w:t xml:space="preserve"> A</w:t>
      </w:r>
      <w:r w:rsidRPr="000C392D">
        <w:rPr>
          <w:rFonts w:ascii="Century" w:hAnsi="Century"/>
          <w:sz w:val="24"/>
          <w:szCs w:val="24"/>
        </w:rPr>
        <w:t xml:space="preserve"> and Saunders</w:t>
      </w:r>
      <w:r>
        <w:rPr>
          <w:rFonts w:ascii="Century" w:hAnsi="Century"/>
          <w:sz w:val="24"/>
          <w:szCs w:val="24"/>
        </w:rPr>
        <w:t xml:space="preserve"> A</w:t>
      </w:r>
      <w:r w:rsidRPr="000C392D">
        <w:rPr>
          <w:rFonts w:ascii="Century" w:hAnsi="Century"/>
          <w:sz w:val="24"/>
          <w:szCs w:val="24"/>
        </w:rPr>
        <w:t xml:space="preserve">, </w:t>
      </w:r>
      <w:r w:rsidRPr="000C392D">
        <w:rPr>
          <w:rFonts w:ascii="Century" w:hAnsi="Century"/>
          <w:i/>
          <w:sz w:val="24"/>
          <w:szCs w:val="24"/>
        </w:rPr>
        <w:t>Fundamentals of Caribbean Constitutional Law</w:t>
      </w:r>
      <w:r w:rsidRPr="000C392D">
        <w:rPr>
          <w:rFonts w:ascii="Century" w:hAnsi="Century"/>
          <w:sz w:val="24"/>
          <w:szCs w:val="24"/>
        </w:rPr>
        <w:t xml:space="preserve"> (Sweet &amp; Maxwell 2015).</w:t>
      </w:r>
    </w:p>
    <w:p w:rsidR="00EA2A47" w:rsidRPr="000C392D" w:rsidRDefault="00EA2A47" w:rsidP="00EA2A47">
      <w:pPr>
        <w:pStyle w:val="FootnoteText"/>
        <w:rPr>
          <w:rFonts w:ascii="Century" w:hAnsi="Century"/>
          <w:sz w:val="24"/>
          <w:szCs w:val="24"/>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rPr>
        <w:t>Robinson</w:t>
      </w:r>
      <w:r>
        <w:rPr>
          <w:rFonts w:ascii="Century" w:hAnsi="Century"/>
          <w:sz w:val="24"/>
          <w:szCs w:val="24"/>
        </w:rPr>
        <w:t xml:space="preserve"> V</w:t>
      </w:r>
      <w:r w:rsidRPr="000C392D">
        <w:rPr>
          <w:rFonts w:ascii="Century" w:hAnsi="Century"/>
          <w:sz w:val="24"/>
          <w:szCs w:val="24"/>
        </w:rPr>
        <w:t>, ‘</w:t>
      </w:r>
      <w:r w:rsidRPr="000C392D">
        <w:rPr>
          <w:rFonts w:ascii="Century" w:hAnsi="Century"/>
          <w:sz w:val="24"/>
          <w:szCs w:val="24"/>
          <w:lang w:val="en-US"/>
        </w:rPr>
        <w:t>Rewriting Legislation: Australia</w:t>
      </w:r>
      <w:r w:rsidR="0093461F">
        <w:rPr>
          <w:rFonts w:ascii="Century" w:hAnsi="Century"/>
          <w:sz w:val="24"/>
          <w:szCs w:val="24"/>
          <w:lang w:val="en-US"/>
        </w:rPr>
        <w:t>n Federal Experience’ (</w:t>
      </w:r>
      <w:r w:rsidRPr="000C392D">
        <w:rPr>
          <w:rFonts w:ascii="Century" w:hAnsi="Century"/>
          <w:sz w:val="24"/>
          <w:szCs w:val="24"/>
          <w:lang w:val="en-US"/>
        </w:rPr>
        <w:t>2002)11.</w:t>
      </w: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rPr>
        <w:t xml:space="preserve"> &lt;</w:t>
      </w:r>
      <w:r w:rsidRPr="000C392D">
        <w:rPr>
          <w:rFonts w:ascii="Century" w:hAnsi="Century"/>
          <w:sz w:val="24"/>
          <w:szCs w:val="24"/>
          <w:lang w:val="en-US"/>
        </w:rPr>
        <w:t>https://www.opc.gov.au/plain/docs/rewriting.pdf&gt; accessed 4 August 2015</w:t>
      </w:r>
    </w:p>
    <w:p w:rsidR="0043526F" w:rsidRDefault="0043526F" w:rsidP="0043526F">
      <w:pPr>
        <w:pStyle w:val="FootnoteText"/>
        <w:jc w:val="both"/>
        <w:rPr>
          <w:rFonts w:ascii="Century" w:hAnsi="Century"/>
          <w:sz w:val="24"/>
          <w:szCs w:val="24"/>
        </w:rPr>
      </w:pPr>
    </w:p>
    <w:p w:rsidR="0043526F" w:rsidRPr="000C392D" w:rsidRDefault="0043526F" w:rsidP="0043526F">
      <w:pPr>
        <w:pStyle w:val="FootnoteText"/>
        <w:jc w:val="both"/>
        <w:rPr>
          <w:rFonts w:ascii="Century" w:hAnsi="Century"/>
          <w:sz w:val="24"/>
          <w:szCs w:val="24"/>
        </w:rPr>
      </w:pPr>
      <w:r w:rsidRPr="000C392D">
        <w:rPr>
          <w:rFonts w:ascii="Century" w:hAnsi="Century"/>
          <w:sz w:val="24"/>
          <w:szCs w:val="24"/>
        </w:rPr>
        <w:t>Seidman</w:t>
      </w:r>
      <w:r>
        <w:rPr>
          <w:rFonts w:ascii="Century" w:hAnsi="Century"/>
          <w:sz w:val="24"/>
          <w:szCs w:val="24"/>
        </w:rPr>
        <w:t xml:space="preserve"> A</w:t>
      </w:r>
      <w:r w:rsidRPr="000C392D">
        <w:rPr>
          <w:rFonts w:ascii="Century" w:hAnsi="Century"/>
          <w:sz w:val="24"/>
          <w:szCs w:val="24"/>
        </w:rPr>
        <w:t>, Seidman</w:t>
      </w:r>
      <w:r>
        <w:rPr>
          <w:rFonts w:ascii="Century" w:hAnsi="Century"/>
          <w:sz w:val="24"/>
          <w:szCs w:val="24"/>
        </w:rPr>
        <w:t xml:space="preserve"> RB</w:t>
      </w:r>
      <w:r w:rsidRPr="000C392D">
        <w:rPr>
          <w:rFonts w:ascii="Century" w:hAnsi="Century"/>
          <w:sz w:val="24"/>
          <w:szCs w:val="24"/>
        </w:rPr>
        <w:t xml:space="preserve"> and Abeyeskere</w:t>
      </w:r>
      <w:r>
        <w:rPr>
          <w:rFonts w:ascii="Century" w:hAnsi="Century"/>
          <w:sz w:val="24"/>
          <w:szCs w:val="24"/>
        </w:rPr>
        <w:t xml:space="preserve"> N</w:t>
      </w:r>
      <w:r w:rsidRPr="000C392D">
        <w:rPr>
          <w:rFonts w:ascii="Century" w:hAnsi="Century"/>
          <w:sz w:val="24"/>
          <w:szCs w:val="24"/>
        </w:rPr>
        <w:t xml:space="preserve">, </w:t>
      </w:r>
      <w:r w:rsidRPr="000C392D">
        <w:rPr>
          <w:rFonts w:ascii="Century" w:hAnsi="Century"/>
          <w:i/>
          <w:sz w:val="24"/>
          <w:szCs w:val="24"/>
        </w:rPr>
        <w:t>Legislative Drafting for Democratic Social Change: A Manual for Drafters</w:t>
      </w:r>
      <w:r>
        <w:rPr>
          <w:rFonts w:ascii="Century" w:hAnsi="Century"/>
          <w:sz w:val="24"/>
          <w:szCs w:val="24"/>
        </w:rPr>
        <w:t xml:space="preserve"> (</w:t>
      </w:r>
      <w:r w:rsidRPr="000C392D">
        <w:rPr>
          <w:rFonts w:ascii="Century" w:hAnsi="Century"/>
          <w:sz w:val="24"/>
          <w:szCs w:val="24"/>
        </w:rPr>
        <w:t>Kluwer Law International</w:t>
      </w:r>
      <w:r>
        <w:rPr>
          <w:rFonts w:ascii="Century" w:hAnsi="Century"/>
          <w:sz w:val="24"/>
          <w:szCs w:val="24"/>
        </w:rPr>
        <w:t xml:space="preserve"> 2001)</w:t>
      </w:r>
      <w:r w:rsidRPr="000C392D">
        <w:rPr>
          <w:rFonts w:ascii="Century" w:hAnsi="Century"/>
          <w:sz w:val="24"/>
          <w:szCs w:val="24"/>
        </w:rPr>
        <w:t>.</w:t>
      </w:r>
    </w:p>
    <w:p w:rsidR="00BD3C6B" w:rsidRDefault="00BD3C6B" w:rsidP="007C0020">
      <w:pPr>
        <w:pStyle w:val="FootnoteText"/>
        <w:jc w:val="both"/>
        <w:rPr>
          <w:rFonts w:ascii="Century" w:hAnsi="Century"/>
          <w:sz w:val="24"/>
          <w:szCs w:val="24"/>
          <w:lang w:val="en-US"/>
        </w:rPr>
      </w:pPr>
    </w:p>
    <w:p w:rsidR="00514DDF" w:rsidRPr="00BD3C6B" w:rsidRDefault="00BD3C6B" w:rsidP="007C0020">
      <w:pPr>
        <w:pStyle w:val="FootnoteText"/>
        <w:jc w:val="both"/>
        <w:rPr>
          <w:rFonts w:ascii="Century" w:hAnsi="Century"/>
          <w:sz w:val="24"/>
          <w:szCs w:val="24"/>
        </w:rPr>
      </w:pPr>
      <w:r w:rsidRPr="00BD3C6B">
        <w:rPr>
          <w:rFonts w:ascii="Century" w:hAnsi="Century"/>
          <w:sz w:val="24"/>
          <w:szCs w:val="24"/>
          <w:lang w:val="en-US"/>
        </w:rPr>
        <w:t>Stark</w:t>
      </w:r>
      <w:r w:rsidR="00CF22F9">
        <w:rPr>
          <w:rFonts w:ascii="Century" w:hAnsi="Century"/>
          <w:sz w:val="24"/>
          <w:szCs w:val="24"/>
          <w:lang w:val="en-US"/>
        </w:rPr>
        <w:t xml:space="preserve"> J</w:t>
      </w:r>
      <w:r w:rsidRPr="00BD3C6B">
        <w:rPr>
          <w:rFonts w:ascii="Century" w:hAnsi="Century"/>
          <w:sz w:val="24"/>
          <w:szCs w:val="24"/>
          <w:lang w:val="en-US"/>
        </w:rPr>
        <w:t>, ‘Should the Main Goal of Statutory Dra</w:t>
      </w:r>
      <w:r w:rsidR="00E66F1F">
        <w:rPr>
          <w:rFonts w:ascii="Century" w:hAnsi="Century"/>
          <w:sz w:val="24"/>
          <w:szCs w:val="24"/>
          <w:lang w:val="en-US"/>
        </w:rPr>
        <w:t>fting Be Accuracy or Clarity?’ [1994]</w:t>
      </w:r>
      <w:r w:rsidRPr="00BD3C6B">
        <w:rPr>
          <w:rFonts w:ascii="Century" w:hAnsi="Century"/>
          <w:sz w:val="24"/>
          <w:szCs w:val="24"/>
          <w:lang w:val="en-US"/>
        </w:rPr>
        <w:t xml:space="preserve"> 15 SLR 207</w:t>
      </w:r>
      <w:r w:rsidR="00F42C59">
        <w:rPr>
          <w:rFonts w:ascii="Century" w:hAnsi="Century"/>
          <w:sz w:val="24"/>
          <w:szCs w:val="24"/>
          <w:lang w:val="en-US"/>
        </w:rPr>
        <w:t>.</w:t>
      </w:r>
    </w:p>
    <w:p w:rsidR="00BD3C6B" w:rsidRDefault="00BD3C6B" w:rsidP="007C0020">
      <w:pPr>
        <w:pStyle w:val="FootnoteText"/>
        <w:jc w:val="both"/>
        <w:rPr>
          <w:rFonts w:ascii="Century" w:hAnsi="Century"/>
          <w:sz w:val="24"/>
          <w:szCs w:val="24"/>
        </w:rPr>
      </w:pPr>
    </w:p>
    <w:p w:rsidR="005C3493" w:rsidRDefault="00BD3C6B" w:rsidP="007C0020">
      <w:pPr>
        <w:pStyle w:val="FootnoteText"/>
        <w:jc w:val="both"/>
        <w:rPr>
          <w:rFonts w:ascii="Century" w:hAnsi="Century"/>
          <w:sz w:val="24"/>
          <w:szCs w:val="24"/>
        </w:rPr>
      </w:pPr>
      <w:r>
        <w:rPr>
          <w:rFonts w:ascii="Century" w:hAnsi="Century"/>
          <w:sz w:val="24"/>
          <w:szCs w:val="24"/>
        </w:rPr>
        <w:t>‘</w:t>
      </w:r>
      <w:r w:rsidR="00514DDF" w:rsidRPr="000C392D">
        <w:rPr>
          <w:rFonts w:ascii="Century" w:hAnsi="Century"/>
          <w:sz w:val="24"/>
          <w:szCs w:val="24"/>
        </w:rPr>
        <w:t>Statute Law Society Newsletter</w:t>
      </w:r>
      <w:r>
        <w:rPr>
          <w:rFonts w:ascii="Century" w:hAnsi="Century"/>
          <w:sz w:val="24"/>
          <w:szCs w:val="24"/>
        </w:rPr>
        <w:t>’</w:t>
      </w:r>
      <w:r w:rsidR="00514DDF" w:rsidRPr="000C392D">
        <w:rPr>
          <w:rFonts w:ascii="Century" w:hAnsi="Century"/>
          <w:sz w:val="24"/>
          <w:szCs w:val="24"/>
        </w:rPr>
        <w:t xml:space="preserve"> (Summer 1978)</w:t>
      </w:r>
      <w:r w:rsidR="00514DDF">
        <w:rPr>
          <w:rFonts w:ascii="Century" w:hAnsi="Century"/>
          <w:sz w:val="24"/>
          <w:szCs w:val="24"/>
        </w:rPr>
        <w:t>.</w:t>
      </w:r>
      <w:r w:rsidR="00514DDF" w:rsidRPr="000C392D">
        <w:rPr>
          <w:rFonts w:ascii="Century" w:hAnsi="Century"/>
          <w:sz w:val="24"/>
          <w:szCs w:val="24"/>
        </w:rPr>
        <w:t xml:space="preserve"> </w:t>
      </w:r>
    </w:p>
    <w:p w:rsidR="00514DDF" w:rsidRPr="000C392D" w:rsidRDefault="00514DDF" w:rsidP="007C0020">
      <w:pPr>
        <w:pStyle w:val="FootnoteText"/>
        <w:jc w:val="both"/>
        <w:rPr>
          <w:rFonts w:ascii="Century" w:hAnsi="Century"/>
          <w:sz w:val="24"/>
          <w:szCs w:val="24"/>
        </w:rPr>
      </w:pPr>
      <w:r w:rsidRPr="000C392D">
        <w:rPr>
          <w:rFonts w:ascii="Century" w:hAnsi="Century"/>
          <w:sz w:val="24"/>
          <w:szCs w:val="24"/>
        </w:rPr>
        <w:lastRenderedPageBreak/>
        <w:t>&lt;http://www.francisbennion.com/pdfs/fb/1978/1978-004-sls-summer-newsletter.pdf&gt; accessed 4</w:t>
      </w:r>
      <w:r w:rsidRPr="000C392D">
        <w:rPr>
          <w:rFonts w:ascii="Century" w:hAnsi="Century"/>
          <w:sz w:val="24"/>
          <w:szCs w:val="24"/>
          <w:vertAlign w:val="superscript"/>
        </w:rPr>
        <w:t xml:space="preserve">th </w:t>
      </w:r>
      <w:r w:rsidRPr="000C392D">
        <w:rPr>
          <w:rFonts w:ascii="Century" w:hAnsi="Century"/>
          <w:sz w:val="24"/>
          <w:szCs w:val="24"/>
        </w:rPr>
        <w:t>August 2015</w:t>
      </w:r>
    </w:p>
    <w:p w:rsidR="00514DDF" w:rsidRDefault="00514DDF" w:rsidP="007C0020">
      <w:pPr>
        <w:pStyle w:val="FootnoteText"/>
        <w:jc w:val="both"/>
        <w:rPr>
          <w:rFonts w:ascii="Century" w:hAnsi="Century"/>
          <w:sz w:val="24"/>
          <w:szCs w:val="24"/>
        </w:rPr>
      </w:pPr>
    </w:p>
    <w:p w:rsidR="004303AB" w:rsidRPr="000C392D" w:rsidRDefault="004303AB" w:rsidP="007C0020">
      <w:pPr>
        <w:pStyle w:val="FootnoteText"/>
        <w:jc w:val="both"/>
        <w:rPr>
          <w:rFonts w:ascii="Century" w:hAnsi="Century"/>
          <w:sz w:val="24"/>
          <w:szCs w:val="24"/>
        </w:rPr>
      </w:pPr>
      <w:r w:rsidRPr="000C392D">
        <w:rPr>
          <w:rFonts w:ascii="Century" w:hAnsi="Century"/>
          <w:sz w:val="24"/>
          <w:szCs w:val="24"/>
        </w:rPr>
        <w:t>Stein</w:t>
      </w:r>
      <w:r>
        <w:rPr>
          <w:rFonts w:ascii="Century" w:hAnsi="Century"/>
          <w:sz w:val="24"/>
          <w:szCs w:val="24"/>
        </w:rPr>
        <w:t xml:space="preserve"> R</w:t>
      </w:r>
      <w:r w:rsidRPr="000C392D">
        <w:rPr>
          <w:rFonts w:ascii="Century" w:hAnsi="Century"/>
          <w:sz w:val="24"/>
          <w:szCs w:val="24"/>
        </w:rPr>
        <w:t xml:space="preserve">, ‘Rule of Law: What </w:t>
      </w:r>
      <w:r w:rsidR="00F147B5">
        <w:rPr>
          <w:rFonts w:ascii="Century" w:hAnsi="Century"/>
          <w:sz w:val="24"/>
          <w:szCs w:val="24"/>
        </w:rPr>
        <w:t>D</w:t>
      </w:r>
      <w:r w:rsidRPr="000C392D">
        <w:rPr>
          <w:rFonts w:ascii="Century" w:hAnsi="Century"/>
          <w:sz w:val="24"/>
          <w:szCs w:val="24"/>
        </w:rPr>
        <w:t xml:space="preserve">oes </w:t>
      </w:r>
      <w:r w:rsidR="00F147B5">
        <w:rPr>
          <w:rFonts w:ascii="Century" w:hAnsi="Century"/>
          <w:sz w:val="24"/>
          <w:szCs w:val="24"/>
        </w:rPr>
        <w:t>I</w:t>
      </w:r>
      <w:r w:rsidRPr="000C392D">
        <w:rPr>
          <w:rFonts w:ascii="Century" w:hAnsi="Century"/>
          <w:sz w:val="24"/>
          <w:szCs w:val="24"/>
        </w:rPr>
        <w:t xml:space="preserve">t </w:t>
      </w:r>
      <w:r w:rsidR="00F147B5">
        <w:rPr>
          <w:rFonts w:ascii="Century" w:hAnsi="Century"/>
          <w:sz w:val="24"/>
          <w:szCs w:val="24"/>
        </w:rPr>
        <w:t>M</w:t>
      </w:r>
      <w:r w:rsidRPr="000C392D">
        <w:rPr>
          <w:rFonts w:ascii="Century" w:hAnsi="Century"/>
          <w:sz w:val="24"/>
          <w:szCs w:val="24"/>
        </w:rPr>
        <w:t xml:space="preserve">ean?’ </w:t>
      </w:r>
      <w:r w:rsidR="00F147B5">
        <w:rPr>
          <w:rFonts w:ascii="Century" w:hAnsi="Century"/>
          <w:sz w:val="24"/>
          <w:szCs w:val="24"/>
        </w:rPr>
        <w:t>(2009)</w:t>
      </w:r>
      <w:r>
        <w:rPr>
          <w:rFonts w:ascii="Century" w:hAnsi="Century"/>
          <w:sz w:val="24"/>
          <w:szCs w:val="24"/>
        </w:rPr>
        <w:t>18 Minn J of Int’l L 293</w:t>
      </w:r>
      <w:r w:rsidRPr="000C392D">
        <w:rPr>
          <w:rFonts w:ascii="Century" w:hAnsi="Century"/>
          <w:sz w:val="24"/>
          <w:szCs w:val="24"/>
        </w:rPr>
        <w:t xml:space="preserve">. </w:t>
      </w:r>
    </w:p>
    <w:p w:rsidR="004303AB" w:rsidRPr="000C392D" w:rsidRDefault="004303AB" w:rsidP="007C0020">
      <w:pPr>
        <w:pStyle w:val="FootnoteText"/>
        <w:jc w:val="both"/>
        <w:rPr>
          <w:rFonts w:ascii="Century" w:hAnsi="Century"/>
          <w:sz w:val="24"/>
          <w:szCs w:val="24"/>
        </w:rPr>
      </w:pPr>
      <w:r w:rsidRPr="000C392D">
        <w:rPr>
          <w:rFonts w:ascii="Century" w:hAnsi="Century"/>
          <w:sz w:val="24"/>
          <w:szCs w:val="24"/>
        </w:rPr>
        <w:t>&lt;http://www.law.umn.edu/uploads/kt/j1/ktj1SiAeuvdPv-_oeK2UdA/Stein-Introduction-Final-Online-PDF-03.30.09.pdf&gt; accessed 1</w:t>
      </w:r>
      <w:r w:rsidRPr="000C392D">
        <w:rPr>
          <w:rFonts w:ascii="Century" w:hAnsi="Century"/>
          <w:sz w:val="24"/>
          <w:szCs w:val="24"/>
          <w:vertAlign w:val="superscript"/>
        </w:rPr>
        <w:t>st</w:t>
      </w:r>
      <w:r w:rsidRPr="000C392D">
        <w:rPr>
          <w:rFonts w:ascii="Century" w:hAnsi="Century"/>
          <w:sz w:val="24"/>
          <w:szCs w:val="24"/>
        </w:rPr>
        <w:t xml:space="preserve"> July 2015</w:t>
      </w:r>
    </w:p>
    <w:p w:rsidR="004303AB" w:rsidRPr="000C392D" w:rsidRDefault="004303AB" w:rsidP="007C0020">
      <w:pPr>
        <w:pStyle w:val="FootnoteText"/>
        <w:jc w:val="both"/>
        <w:rPr>
          <w:rFonts w:ascii="Century" w:hAnsi="Century"/>
          <w:sz w:val="24"/>
          <w:szCs w:val="24"/>
          <w:lang w:val="en-US"/>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Stefanou</w:t>
      </w:r>
      <w:r>
        <w:rPr>
          <w:rFonts w:ascii="Century" w:hAnsi="Century"/>
          <w:sz w:val="24"/>
          <w:szCs w:val="24"/>
          <w:lang w:val="en-US"/>
        </w:rPr>
        <w:t xml:space="preserve"> C</w:t>
      </w:r>
      <w:r w:rsidRPr="000C392D">
        <w:rPr>
          <w:rFonts w:ascii="Century" w:hAnsi="Century"/>
          <w:sz w:val="24"/>
          <w:szCs w:val="24"/>
          <w:lang w:val="en-US"/>
        </w:rPr>
        <w:t xml:space="preserve">, </w:t>
      </w:r>
      <w:r>
        <w:rPr>
          <w:rFonts w:ascii="Century" w:hAnsi="Century"/>
          <w:sz w:val="24"/>
          <w:szCs w:val="24"/>
          <w:lang w:val="en-US"/>
        </w:rPr>
        <w:t>‘</w:t>
      </w:r>
      <w:r w:rsidRPr="000C392D">
        <w:rPr>
          <w:rFonts w:ascii="Century" w:hAnsi="Century"/>
          <w:sz w:val="24"/>
          <w:szCs w:val="24"/>
          <w:lang w:val="en-US"/>
        </w:rPr>
        <w:t>Is Legislative Drafting a Form of Communication</w:t>
      </w:r>
      <w:r w:rsidR="00E66F1F">
        <w:rPr>
          <w:rFonts w:ascii="Century" w:hAnsi="Century"/>
          <w:sz w:val="24"/>
          <w:szCs w:val="24"/>
          <w:lang w:val="en-US"/>
        </w:rPr>
        <w:t>?’ [2011]</w:t>
      </w:r>
      <w:r>
        <w:rPr>
          <w:rFonts w:ascii="Century" w:hAnsi="Century"/>
          <w:sz w:val="24"/>
          <w:szCs w:val="24"/>
          <w:lang w:val="en-US"/>
        </w:rPr>
        <w:t xml:space="preserve"> 37 Comm L Bull 407</w:t>
      </w:r>
      <w:r w:rsidRPr="000C392D">
        <w:rPr>
          <w:rFonts w:ascii="Century" w:hAnsi="Century"/>
          <w:sz w:val="24"/>
          <w:szCs w:val="24"/>
          <w:lang w:val="en-US"/>
        </w:rPr>
        <w:t>.</w:t>
      </w:r>
    </w:p>
    <w:p w:rsidR="004303AB" w:rsidRPr="000C392D" w:rsidRDefault="004303AB" w:rsidP="007C0020">
      <w:pPr>
        <w:pStyle w:val="FootnoteText"/>
        <w:jc w:val="both"/>
        <w:rPr>
          <w:rFonts w:ascii="Century" w:hAnsi="Century"/>
          <w:sz w:val="24"/>
          <w:szCs w:val="24"/>
          <w:lang w:val="en-US"/>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Sullivan</w:t>
      </w:r>
      <w:r>
        <w:rPr>
          <w:rFonts w:ascii="Century" w:hAnsi="Century"/>
          <w:sz w:val="24"/>
          <w:szCs w:val="24"/>
          <w:lang w:val="en-US"/>
        </w:rPr>
        <w:t xml:space="preserve"> R</w:t>
      </w:r>
      <w:r w:rsidRPr="000C392D">
        <w:rPr>
          <w:rFonts w:ascii="Century" w:hAnsi="Century"/>
          <w:sz w:val="24"/>
          <w:szCs w:val="24"/>
          <w:lang w:val="en-US"/>
        </w:rPr>
        <w:t xml:space="preserve">, ‘Some Implications of Plain Language </w:t>
      </w:r>
      <w:r w:rsidR="00E66F1F">
        <w:rPr>
          <w:rFonts w:ascii="Century" w:hAnsi="Century"/>
          <w:sz w:val="24"/>
          <w:szCs w:val="24"/>
          <w:lang w:val="en-US"/>
        </w:rPr>
        <w:t>Drafting’ [2001]</w:t>
      </w:r>
      <w:r>
        <w:rPr>
          <w:rFonts w:ascii="Century" w:hAnsi="Century"/>
          <w:sz w:val="24"/>
          <w:szCs w:val="24"/>
          <w:lang w:val="en-US"/>
        </w:rPr>
        <w:t xml:space="preserve"> 22 SLR 145</w:t>
      </w:r>
      <w:r w:rsidRPr="000C392D">
        <w:rPr>
          <w:rFonts w:ascii="Century" w:hAnsi="Century"/>
          <w:sz w:val="24"/>
          <w:szCs w:val="24"/>
          <w:lang w:val="en-US"/>
        </w:rPr>
        <w:t xml:space="preserve">. </w:t>
      </w:r>
    </w:p>
    <w:p w:rsidR="004303AB" w:rsidRDefault="004303AB" w:rsidP="007C0020">
      <w:pPr>
        <w:pStyle w:val="FootnoteText"/>
        <w:jc w:val="both"/>
        <w:rPr>
          <w:rFonts w:ascii="Century" w:hAnsi="Century"/>
          <w:sz w:val="24"/>
          <w:szCs w:val="24"/>
          <w:lang w:val="en-US"/>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Sullivan</w:t>
      </w:r>
      <w:r>
        <w:rPr>
          <w:rFonts w:ascii="Century" w:hAnsi="Century"/>
          <w:sz w:val="24"/>
          <w:szCs w:val="24"/>
          <w:lang w:val="en-US"/>
        </w:rPr>
        <w:t xml:space="preserve"> R</w:t>
      </w:r>
      <w:r w:rsidRPr="000C392D">
        <w:rPr>
          <w:rFonts w:ascii="Century" w:hAnsi="Century"/>
          <w:sz w:val="24"/>
          <w:szCs w:val="24"/>
          <w:lang w:val="en-US"/>
        </w:rPr>
        <w:t>, ‘The Promise of Plain Language’</w:t>
      </w:r>
      <w:r w:rsidR="00E66F1F">
        <w:rPr>
          <w:rFonts w:ascii="Century" w:hAnsi="Century"/>
          <w:sz w:val="24"/>
          <w:szCs w:val="24"/>
          <w:lang w:val="en-US"/>
        </w:rPr>
        <w:t xml:space="preserve"> [2001-2002]</w:t>
      </w:r>
      <w:r>
        <w:rPr>
          <w:rFonts w:ascii="Century" w:hAnsi="Century"/>
          <w:sz w:val="24"/>
          <w:szCs w:val="24"/>
          <w:lang w:val="en-US"/>
        </w:rPr>
        <w:t xml:space="preserve"> 47 McGill LJ 97</w:t>
      </w:r>
      <w:r w:rsidRPr="000C392D">
        <w:rPr>
          <w:rFonts w:ascii="Century" w:hAnsi="Century"/>
          <w:sz w:val="24"/>
          <w:szCs w:val="24"/>
          <w:lang w:val="en-US"/>
        </w:rPr>
        <w:t>.</w:t>
      </w:r>
    </w:p>
    <w:p w:rsidR="00B4401C" w:rsidRDefault="00B4401C" w:rsidP="00EA2A47">
      <w:pPr>
        <w:pStyle w:val="FootnoteText"/>
        <w:jc w:val="both"/>
        <w:rPr>
          <w:rFonts w:ascii="Century" w:hAnsi="Century"/>
          <w:sz w:val="24"/>
          <w:szCs w:val="24"/>
        </w:rPr>
      </w:pPr>
    </w:p>
    <w:p w:rsidR="00EA2A47" w:rsidRPr="001203E6" w:rsidRDefault="00EA2A47" w:rsidP="00EA2A47">
      <w:pPr>
        <w:pStyle w:val="FootnoteText"/>
        <w:jc w:val="both"/>
        <w:rPr>
          <w:rFonts w:ascii="Century" w:hAnsi="Century"/>
          <w:sz w:val="24"/>
          <w:szCs w:val="24"/>
        </w:rPr>
      </w:pPr>
      <w:r w:rsidRPr="001203E6">
        <w:rPr>
          <w:rFonts w:ascii="Century" w:hAnsi="Century"/>
          <w:sz w:val="24"/>
          <w:szCs w:val="24"/>
        </w:rPr>
        <w:t xml:space="preserve">Saliember P, </w:t>
      </w:r>
      <w:r w:rsidRPr="001203E6">
        <w:rPr>
          <w:rFonts w:ascii="Century" w:hAnsi="Century"/>
          <w:i/>
          <w:sz w:val="24"/>
          <w:szCs w:val="24"/>
        </w:rPr>
        <w:t>Legal and Legislative Drafting</w:t>
      </w:r>
      <w:r>
        <w:rPr>
          <w:rFonts w:ascii="Century" w:hAnsi="Century"/>
          <w:sz w:val="24"/>
          <w:szCs w:val="24"/>
        </w:rPr>
        <w:t xml:space="preserve"> (</w:t>
      </w:r>
      <w:r w:rsidRPr="001203E6">
        <w:rPr>
          <w:rFonts w:ascii="Century" w:hAnsi="Century"/>
          <w:sz w:val="24"/>
          <w:szCs w:val="24"/>
        </w:rPr>
        <w:t>LexisNexis</w:t>
      </w:r>
      <w:r>
        <w:rPr>
          <w:rFonts w:ascii="Century" w:hAnsi="Century"/>
          <w:sz w:val="24"/>
          <w:szCs w:val="24"/>
        </w:rPr>
        <w:t xml:space="preserve"> 2009</w:t>
      </w:r>
      <w:r w:rsidRPr="001203E6">
        <w:rPr>
          <w:rFonts w:ascii="Century" w:hAnsi="Century"/>
          <w:sz w:val="24"/>
          <w:szCs w:val="24"/>
        </w:rPr>
        <w:t>)</w:t>
      </w:r>
      <w:r>
        <w:rPr>
          <w:rFonts w:ascii="Century" w:hAnsi="Century"/>
          <w:sz w:val="24"/>
          <w:szCs w:val="24"/>
        </w:rPr>
        <w:t>.</w:t>
      </w:r>
    </w:p>
    <w:p w:rsidR="00EA2A47" w:rsidRPr="001203E6" w:rsidRDefault="00EA2A47" w:rsidP="00EA2A47">
      <w:pPr>
        <w:pStyle w:val="FootnoteText"/>
        <w:rPr>
          <w:rFonts w:ascii="Century" w:hAnsi="Century"/>
          <w:sz w:val="24"/>
          <w:szCs w:val="24"/>
        </w:rPr>
      </w:pPr>
    </w:p>
    <w:p w:rsidR="005C3493" w:rsidRDefault="004303AB" w:rsidP="007C0020">
      <w:pPr>
        <w:pStyle w:val="FootnoteText"/>
        <w:jc w:val="both"/>
        <w:rPr>
          <w:rFonts w:ascii="Century" w:hAnsi="Century"/>
          <w:sz w:val="24"/>
          <w:szCs w:val="24"/>
        </w:rPr>
      </w:pPr>
      <w:r w:rsidRPr="000C392D">
        <w:rPr>
          <w:rFonts w:ascii="Century" w:hAnsi="Century"/>
          <w:sz w:val="24"/>
          <w:szCs w:val="24"/>
        </w:rPr>
        <w:t>Tamanaha</w:t>
      </w:r>
      <w:r>
        <w:rPr>
          <w:rFonts w:ascii="Century" w:hAnsi="Century"/>
          <w:sz w:val="24"/>
          <w:szCs w:val="24"/>
        </w:rPr>
        <w:t xml:space="preserve"> B</w:t>
      </w:r>
      <w:r w:rsidRPr="000C392D">
        <w:rPr>
          <w:rFonts w:ascii="Century" w:hAnsi="Century"/>
          <w:sz w:val="24"/>
          <w:szCs w:val="24"/>
        </w:rPr>
        <w:t>, ‘A Concise Guide to the Rule of Law’ (2007) Legal</w:t>
      </w:r>
      <w:r w:rsidR="00C05253">
        <w:rPr>
          <w:rFonts w:ascii="Century" w:hAnsi="Century"/>
          <w:sz w:val="24"/>
          <w:szCs w:val="24"/>
        </w:rPr>
        <w:t xml:space="preserve"> Studies Research Paper Series</w:t>
      </w:r>
      <w:r w:rsidRPr="000C392D">
        <w:rPr>
          <w:rFonts w:ascii="Century" w:hAnsi="Century"/>
          <w:sz w:val="24"/>
          <w:szCs w:val="24"/>
        </w:rPr>
        <w:t xml:space="preserve">. </w:t>
      </w:r>
    </w:p>
    <w:p w:rsidR="004303AB" w:rsidRPr="000C392D" w:rsidRDefault="004303AB" w:rsidP="007C0020">
      <w:pPr>
        <w:pStyle w:val="FootnoteText"/>
        <w:jc w:val="both"/>
        <w:rPr>
          <w:rFonts w:ascii="Century" w:hAnsi="Century"/>
          <w:sz w:val="24"/>
          <w:szCs w:val="24"/>
        </w:rPr>
      </w:pPr>
      <w:r w:rsidRPr="000C392D">
        <w:rPr>
          <w:rFonts w:ascii="Century" w:hAnsi="Century"/>
          <w:sz w:val="24"/>
          <w:szCs w:val="24"/>
        </w:rPr>
        <w:t>&lt;http://www.ruleoflawus.info/The%20Rule/Tamanha%20Concise%20Guide%20to%20Rule%20of%20Law.pdf&gt; accessed 10 August 2015</w:t>
      </w:r>
    </w:p>
    <w:p w:rsidR="004303AB" w:rsidRPr="000C392D" w:rsidRDefault="004303AB" w:rsidP="007C0020">
      <w:pPr>
        <w:pStyle w:val="FootnoteText"/>
        <w:jc w:val="both"/>
        <w:rPr>
          <w:rFonts w:ascii="Century" w:hAnsi="Century"/>
          <w:sz w:val="24"/>
          <w:szCs w:val="24"/>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Tanner</w:t>
      </w:r>
      <w:r>
        <w:rPr>
          <w:rFonts w:ascii="Century" w:hAnsi="Century"/>
          <w:sz w:val="24"/>
          <w:szCs w:val="24"/>
          <w:lang w:val="en-US"/>
        </w:rPr>
        <w:t xml:space="preserve"> G</w:t>
      </w:r>
      <w:r w:rsidRPr="000C392D">
        <w:rPr>
          <w:rFonts w:ascii="Century" w:hAnsi="Century"/>
          <w:sz w:val="24"/>
          <w:szCs w:val="24"/>
          <w:lang w:val="en-US"/>
        </w:rPr>
        <w:t>, ‘Drafting the Law-A Boring Job? The Role of the Parliamentary Counsel Office’ (3</w:t>
      </w:r>
      <w:r w:rsidRPr="000C392D">
        <w:rPr>
          <w:rFonts w:ascii="Century" w:hAnsi="Century"/>
          <w:sz w:val="24"/>
          <w:szCs w:val="24"/>
          <w:vertAlign w:val="superscript"/>
          <w:lang w:val="en-US"/>
        </w:rPr>
        <w:t>rd</w:t>
      </w:r>
      <w:r>
        <w:rPr>
          <w:rFonts w:ascii="Century" w:hAnsi="Century"/>
          <w:sz w:val="24"/>
          <w:szCs w:val="24"/>
          <w:lang w:val="en-US"/>
        </w:rPr>
        <w:t xml:space="preserve"> April 2006)</w:t>
      </w:r>
      <w:r w:rsidRPr="000C392D">
        <w:rPr>
          <w:rFonts w:ascii="Century" w:hAnsi="Century"/>
          <w:sz w:val="24"/>
          <w:szCs w:val="24"/>
          <w:lang w:val="en-US"/>
        </w:rPr>
        <w:t>.</w:t>
      </w: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rPr>
        <w:t xml:space="preserve"> &lt;</w:t>
      </w:r>
      <w:r w:rsidRPr="000C392D">
        <w:rPr>
          <w:rFonts w:ascii="Century" w:hAnsi="Century"/>
          <w:sz w:val="24"/>
          <w:szCs w:val="24"/>
          <w:lang w:val="en-US"/>
        </w:rPr>
        <w:t>http://www.lac.org.nz/assets/presentations/lac-seminar-tanner.pdf</w:t>
      </w:r>
      <w:r>
        <w:rPr>
          <w:rFonts w:ascii="Century" w:hAnsi="Century"/>
          <w:sz w:val="24"/>
          <w:szCs w:val="24"/>
          <w:lang w:val="en-US"/>
        </w:rPr>
        <w:t>&gt;</w:t>
      </w:r>
      <w:r w:rsidRPr="000C392D">
        <w:rPr>
          <w:rFonts w:ascii="Century" w:hAnsi="Century"/>
          <w:sz w:val="24"/>
          <w:szCs w:val="24"/>
          <w:lang w:val="en-US"/>
        </w:rPr>
        <w:t xml:space="preserve"> accessed 10 August 2015</w:t>
      </w:r>
    </w:p>
    <w:p w:rsidR="004303AB" w:rsidRPr="000C392D" w:rsidRDefault="004303AB" w:rsidP="007C0020">
      <w:pPr>
        <w:pStyle w:val="FootnoteText"/>
        <w:jc w:val="both"/>
        <w:rPr>
          <w:rFonts w:ascii="Century" w:hAnsi="Century"/>
          <w:sz w:val="24"/>
          <w:szCs w:val="24"/>
          <w:lang w:val="en-US"/>
        </w:rPr>
      </w:pPr>
    </w:p>
    <w:p w:rsidR="00EA2A47" w:rsidRDefault="00EA2A47" w:rsidP="00EA2A47">
      <w:pPr>
        <w:pStyle w:val="FootnoteText"/>
        <w:jc w:val="both"/>
        <w:rPr>
          <w:rFonts w:ascii="Century" w:hAnsi="Century"/>
          <w:sz w:val="24"/>
          <w:szCs w:val="24"/>
        </w:rPr>
      </w:pPr>
      <w:r>
        <w:rPr>
          <w:rFonts w:ascii="Century" w:hAnsi="Century"/>
          <w:sz w:val="24"/>
          <w:szCs w:val="24"/>
        </w:rPr>
        <w:t>The Renton Committee</w:t>
      </w:r>
      <w:r w:rsidRPr="000C392D">
        <w:rPr>
          <w:rFonts w:ascii="Century" w:hAnsi="Century"/>
          <w:sz w:val="24"/>
          <w:szCs w:val="24"/>
        </w:rPr>
        <w:t xml:space="preserve">, </w:t>
      </w:r>
      <w:r w:rsidRPr="000C392D">
        <w:rPr>
          <w:rFonts w:ascii="Century" w:hAnsi="Century"/>
          <w:i/>
          <w:sz w:val="24"/>
          <w:szCs w:val="24"/>
        </w:rPr>
        <w:t>The Preparation of Legislation: Report of a Committee Appointed by the Lord President of the Council</w:t>
      </w:r>
      <w:r>
        <w:rPr>
          <w:rFonts w:ascii="Century" w:hAnsi="Century"/>
          <w:sz w:val="24"/>
          <w:szCs w:val="24"/>
        </w:rPr>
        <w:t xml:space="preserve"> (Cmnd 6053, 1975)</w:t>
      </w:r>
      <w:r w:rsidRPr="000C392D">
        <w:rPr>
          <w:rFonts w:ascii="Century" w:hAnsi="Century"/>
          <w:sz w:val="24"/>
          <w:szCs w:val="24"/>
        </w:rPr>
        <w:t>.</w:t>
      </w:r>
    </w:p>
    <w:p w:rsidR="00EA2A47" w:rsidRDefault="00EA2A47" w:rsidP="007C0020">
      <w:pPr>
        <w:pStyle w:val="FootnoteText"/>
        <w:jc w:val="both"/>
        <w:rPr>
          <w:rFonts w:ascii="Century" w:hAnsi="Century"/>
          <w:sz w:val="24"/>
          <w:szCs w:val="24"/>
          <w:lang w:val="en-US"/>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Turatsinze</w:t>
      </w:r>
      <w:r>
        <w:rPr>
          <w:rFonts w:ascii="Century" w:hAnsi="Century"/>
          <w:sz w:val="24"/>
          <w:szCs w:val="24"/>
          <w:lang w:val="en-US"/>
        </w:rPr>
        <w:t xml:space="preserve"> E</w:t>
      </w:r>
      <w:r w:rsidRPr="000C392D">
        <w:rPr>
          <w:rFonts w:ascii="Century" w:hAnsi="Century"/>
          <w:sz w:val="24"/>
          <w:szCs w:val="24"/>
          <w:lang w:val="en-US"/>
        </w:rPr>
        <w:t>, ‘The Pursuit of Clarity, Precision and Unambiguity in Drafting Retrospective Legis</w:t>
      </w:r>
      <w:r w:rsidR="00673EF1">
        <w:rPr>
          <w:rFonts w:ascii="Century" w:hAnsi="Century"/>
          <w:sz w:val="24"/>
          <w:szCs w:val="24"/>
          <w:lang w:val="en-US"/>
        </w:rPr>
        <w:t>lation’</w:t>
      </w:r>
      <w:r w:rsidR="00E66F1F">
        <w:rPr>
          <w:rFonts w:ascii="Century" w:hAnsi="Century"/>
          <w:sz w:val="24"/>
          <w:szCs w:val="24"/>
          <w:lang w:val="en-US"/>
        </w:rPr>
        <w:t xml:space="preserve"> [2013]</w:t>
      </w:r>
      <w:r>
        <w:rPr>
          <w:rFonts w:ascii="Century" w:hAnsi="Century"/>
          <w:sz w:val="24"/>
          <w:szCs w:val="24"/>
          <w:lang w:val="en-US"/>
        </w:rPr>
        <w:t xml:space="preserve"> 15 Eur LJ 206</w:t>
      </w:r>
      <w:r w:rsidRPr="000C392D">
        <w:rPr>
          <w:rFonts w:ascii="Century" w:hAnsi="Century"/>
          <w:sz w:val="24"/>
          <w:szCs w:val="24"/>
          <w:lang w:val="en-US"/>
        </w:rPr>
        <w:t>.</w:t>
      </w:r>
    </w:p>
    <w:p w:rsidR="004303AB" w:rsidRPr="000C392D" w:rsidRDefault="004303AB" w:rsidP="007C0020">
      <w:pPr>
        <w:pStyle w:val="FootnoteText"/>
        <w:jc w:val="both"/>
        <w:rPr>
          <w:rFonts w:ascii="Century" w:hAnsi="Century"/>
          <w:sz w:val="24"/>
          <w:szCs w:val="24"/>
          <w:lang w:val="en-US"/>
        </w:rPr>
      </w:pPr>
    </w:p>
    <w:p w:rsidR="004303AB" w:rsidRPr="000C392D" w:rsidRDefault="004303AB" w:rsidP="007C0020">
      <w:pPr>
        <w:jc w:val="both"/>
        <w:rPr>
          <w:rFonts w:ascii="Century" w:hAnsi="Century"/>
          <w:sz w:val="24"/>
          <w:szCs w:val="24"/>
        </w:rPr>
      </w:pPr>
      <w:r w:rsidRPr="000C392D">
        <w:rPr>
          <w:rFonts w:ascii="Century" w:hAnsi="Century"/>
          <w:sz w:val="24"/>
          <w:szCs w:val="24"/>
          <w:lang w:val="en-US"/>
        </w:rPr>
        <w:t>Turnbull</w:t>
      </w:r>
      <w:r>
        <w:rPr>
          <w:rFonts w:ascii="Century" w:hAnsi="Century"/>
          <w:sz w:val="24"/>
          <w:szCs w:val="24"/>
          <w:lang w:val="en-US"/>
        </w:rPr>
        <w:t xml:space="preserve"> I</w:t>
      </w:r>
      <w:r w:rsidRPr="000C392D">
        <w:rPr>
          <w:rFonts w:ascii="Century" w:hAnsi="Century"/>
          <w:sz w:val="24"/>
          <w:szCs w:val="24"/>
          <w:lang w:val="en-US"/>
        </w:rPr>
        <w:t>, ‘Legislative Drafting in Plain Language and Sta</w:t>
      </w:r>
      <w:r w:rsidR="00013ECE">
        <w:rPr>
          <w:rFonts w:ascii="Century" w:hAnsi="Century"/>
          <w:sz w:val="24"/>
          <w:szCs w:val="24"/>
          <w:lang w:val="en-US"/>
        </w:rPr>
        <w:t>tements of General Principle</w:t>
      </w:r>
      <w:r w:rsidR="00E66F1F">
        <w:rPr>
          <w:rFonts w:ascii="Century" w:hAnsi="Century"/>
          <w:sz w:val="24"/>
          <w:szCs w:val="24"/>
          <w:lang w:val="en-US"/>
        </w:rPr>
        <w:t>’ [1997]</w:t>
      </w:r>
      <w:r w:rsidRPr="000C392D">
        <w:rPr>
          <w:rFonts w:ascii="Century" w:hAnsi="Century"/>
          <w:sz w:val="24"/>
          <w:szCs w:val="24"/>
          <w:lang w:val="en-US"/>
        </w:rPr>
        <w:t xml:space="preserve"> 18 SLR 21</w:t>
      </w:r>
      <w:r w:rsidR="00354DB1">
        <w:rPr>
          <w:rFonts w:ascii="Century" w:hAnsi="Century"/>
          <w:sz w:val="24"/>
          <w:szCs w:val="24"/>
          <w:lang w:val="en-US"/>
        </w:rPr>
        <w:t>.</w:t>
      </w:r>
    </w:p>
    <w:p w:rsidR="005D1FF1" w:rsidRPr="000C392D" w:rsidRDefault="005D1FF1" w:rsidP="007C0020">
      <w:pPr>
        <w:pStyle w:val="FootnoteText"/>
        <w:jc w:val="both"/>
        <w:rPr>
          <w:rFonts w:ascii="Century" w:hAnsi="Century"/>
          <w:sz w:val="24"/>
          <w:szCs w:val="24"/>
        </w:rPr>
      </w:pPr>
      <w:r w:rsidRPr="000C392D">
        <w:rPr>
          <w:rFonts w:ascii="Century" w:hAnsi="Century"/>
          <w:sz w:val="24"/>
          <w:szCs w:val="24"/>
        </w:rPr>
        <w:t>Waldron</w:t>
      </w:r>
      <w:r>
        <w:rPr>
          <w:rFonts w:ascii="Century" w:hAnsi="Century"/>
          <w:sz w:val="24"/>
          <w:szCs w:val="24"/>
        </w:rPr>
        <w:t xml:space="preserve"> J</w:t>
      </w:r>
      <w:r w:rsidRPr="000C392D">
        <w:rPr>
          <w:rFonts w:ascii="Century" w:hAnsi="Century"/>
          <w:sz w:val="24"/>
          <w:szCs w:val="24"/>
        </w:rPr>
        <w:t>, ‘Legislation and the Rule of La</w:t>
      </w:r>
      <w:r w:rsidR="00E66F1F">
        <w:rPr>
          <w:rFonts w:ascii="Century" w:hAnsi="Century"/>
          <w:sz w:val="24"/>
          <w:szCs w:val="24"/>
        </w:rPr>
        <w:t>w’ [2007]</w:t>
      </w:r>
      <w:r>
        <w:rPr>
          <w:rFonts w:ascii="Century" w:hAnsi="Century"/>
          <w:sz w:val="24"/>
          <w:szCs w:val="24"/>
        </w:rPr>
        <w:t xml:space="preserve"> 1 Legisprudence 91</w:t>
      </w:r>
      <w:r w:rsidRPr="000C392D">
        <w:rPr>
          <w:rFonts w:ascii="Century" w:hAnsi="Century"/>
          <w:sz w:val="24"/>
          <w:szCs w:val="24"/>
        </w:rPr>
        <w:t>.</w:t>
      </w:r>
    </w:p>
    <w:p w:rsidR="004303AB" w:rsidRPr="000C392D" w:rsidRDefault="004303AB" w:rsidP="007C0020">
      <w:pPr>
        <w:pStyle w:val="FootnoteText"/>
        <w:jc w:val="both"/>
        <w:rPr>
          <w:rFonts w:ascii="Century" w:hAnsi="Century"/>
          <w:sz w:val="24"/>
          <w:szCs w:val="24"/>
        </w:rPr>
      </w:pPr>
    </w:p>
    <w:p w:rsidR="004303AB" w:rsidRPr="000C392D" w:rsidRDefault="004303AB" w:rsidP="007C0020">
      <w:pPr>
        <w:pStyle w:val="FootnoteText"/>
        <w:jc w:val="both"/>
        <w:rPr>
          <w:rFonts w:ascii="Century" w:hAnsi="Century"/>
          <w:sz w:val="24"/>
          <w:szCs w:val="24"/>
          <w:lang w:val="en-US"/>
        </w:rPr>
      </w:pPr>
      <w:r>
        <w:rPr>
          <w:rFonts w:ascii="Century" w:hAnsi="Century"/>
          <w:sz w:val="24"/>
          <w:szCs w:val="24"/>
          <w:lang w:val="en-US"/>
        </w:rPr>
        <w:t>Watson-</w:t>
      </w:r>
      <w:r w:rsidRPr="000C392D">
        <w:rPr>
          <w:rFonts w:ascii="Century" w:hAnsi="Century"/>
          <w:sz w:val="24"/>
          <w:szCs w:val="24"/>
          <w:lang w:val="en-US"/>
        </w:rPr>
        <w:t>Brown</w:t>
      </w:r>
      <w:r>
        <w:rPr>
          <w:rFonts w:ascii="Century" w:hAnsi="Century"/>
          <w:sz w:val="24"/>
          <w:szCs w:val="24"/>
          <w:lang w:val="en-US"/>
        </w:rPr>
        <w:t xml:space="preserve"> A</w:t>
      </w:r>
      <w:r w:rsidRPr="000C392D">
        <w:rPr>
          <w:rFonts w:ascii="Century" w:hAnsi="Century"/>
          <w:sz w:val="24"/>
          <w:szCs w:val="24"/>
          <w:lang w:val="en-US"/>
        </w:rPr>
        <w:t xml:space="preserve">, </w:t>
      </w:r>
      <w:r>
        <w:rPr>
          <w:rFonts w:ascii="Century" w:hAnsi="Century"/>
          <w:sz w:val="24"/>
          <w:szCs w:val="24"/>
          <w:lang w:val="en-US"/>
        </w:rPr>
        <w:t>‘</w:t>
      </w:r>
      <w:r w:rsidRPr="000C392D">
        <w:rPr>
          <w:rFonts w:ascii="Century" w:hAnsi="Century"/>
          <w:sz w:val="24"/>
          <w:szCs w:val="24"/>
          <w:lang w:val="en-US"/>
        </w:rPr>
        <w:t>Defining ‘Plain English’ as an Aid to Lega</w:t>
      </w:r>
      <w:r w:rsidR="00E66F1F">
        <w:rPr>
          <w:rFonts w:ascii="Century" w:hAnsi="Century"/>
          <w:sz w:val="24"/>
          <w:szCs w:val="24"/>
          <w:lang w:val="en-US"/>
        </w:rPr>
        <w:t>l Drafting’ [2009]</w:t>
      </w:r>
      <w:r>
        <w:rPr>
          <w:rFonts w:ascii="Century" w:hAnsi="Century"/>
          <w:sz w:val="24"/>
          <w:szCs w:val="24"/>
          <w:lang w:val="en-US"/>
        </w:rPr>
        <w:t xml:space="preserve"> 30 SLR 85</w:t>
      </w:r>
      <w:r w:rsidRPr="000C392D">
        <w:rPr>
          <w:rFonts w:ascii="Century" w:hAnsi="Century"/>
          <w:sz w:val="24"/>
          <w:szCs w:val="24"/>
          <w:lang w:val="en-US"/>
        </w:rPr>
        <w:t>.</w:t>
      </w:r>
    </w:p>
    <w:p w:rsidR="004303AB" w:rsidRPr="000C392D" w:rsidRDefault="004303AB" w:rsidP="007C0020">
      <w:pPr>
        <w:pStyle w:val="FootnoteText"/>
        <w:jc w:val="both"/>
        <w:rPr>
          <w:rFonts w:ascii="Century" w:hAnsi="Century"/>
          <w:sz w:val="24"/>
          <w:szCs w:val="24"/>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Watson-Brown</w:t>
      </w:r>
      <w:r>
        <w:rPr>
          <w:rFonts w:ascii="Century" w:hAnsi="Century"/>
          <w:sz w:val="24"/>
          <w:szCs w:val="24"/>
          <w:lang w:val="en-US"/>
        </w:rPr>
        <w:t xml:space="preserve"> A</w:t>
      </w:r>
      <w:r w:rsidRPr="000C392D">
        <w:rPr>
          <w:rFonts w:ascii="Century" w:hAnsi="Century"/>
          <w:sz w:val="24"/>
          <w:szCs w:val="24"/>
          <w:lang w:val="en-US"/>
        </w:rPr>
        <w:t>, ‘In Search of Plain Language-The Holy Grail or Mythical Excalibur of Legislat</w:t>
      </w:r>
      <w:r w:rsidR="00E66F1F">
        <w:rPr>
          <w:rFonts w:ascii="Century" w:hAnsi="Century"/>
          <w:sz w:val="24"/>
          <w:szCs w:val="24"/>
          <w:lang w:val="en-US"/>
        </w:rPr>
        <w:t>ive Drafting’ [2011]</w:t>
      </w:r>
      <w:r>
        <w:rPr>
          <w:rFonts w:ascii="Century" w:hAnsi="Century"/>
          <w:sz w:val="24"/>
          <w:szCs w:val="24"/>
          <w:lang w:val="en-US"/>
        </w:rPr>
        <w:t xml:space="preserve"> 33 SLR 7</w:t>
      </w:r>
      <w:r w:rsidRPr="000C392D">
        <w:rPr>
          <w:rFonts w:ascii="Century" w:hAnsi="Century"/>
          <w:sz w:val="24"/>
          <w:szCs w:val="24"/>
          <w:lang w:val="en-US"/>
        </w:rPr>
        <w:t>.</w:t>
      </w:r>
    </w:p>
    <w:p w:rsidR="004303AB" w:rsidRPr="000C392D" w:rsidRDefault="004303AB" w:rsidP="007C0020">
      <w:pPr>
        <w:pStyle w:val="FootnoteText"/>
        <w:jc w:val="both"/>
        <w:rPr>
          <w:rFonts w:ascii="Century" w:hAnsi="Century"/>
          <w:sz w:val="24"/>
          <w:szCs w:val="24"/>
          <w:lang w:val="en-US"/>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t>Wilson</w:t>
      </w:r>
      <w:r>
        <w:rPr>
          <w:rFonts w:ascii="Century" w:hAnsi="Century"/>
          <w:sz w:val="24"/>
          <w:szCs w:val="24"/>
          <w:lang w:val="en-US"/>
        </w:rPr>
        <w:t xml:space="preserve"> M</w:t>
      </w:r>
      <w:r w:rsidRPr="000C392D">
        <w:rPr>
          <w:rFonts w:ascii="Century" w:hAnsi="Century"/>
          <w:sz w:val="24"/>
          <w:szCs w:val="24"/>
          <w:lang w:val="en-US"/>
        </w:rPr>
        <w:t xml:space="preserve">, ‘Gender Neutral Law Drafting: The Challenge of Translating Policy into Legislation’ </w:t>
      </w:r>
      <w:r w:rsidR="00E66F1F">
        <w:rPr>
          <w:rFonts w:ascii="Century" w:hAnsi="Century"/>
          <w:sz w:val="24"/>
          <w:szCs w:val="24"/>
          <w:lang w:val="en-US"/>
        </w:rPr>
        <w:t>[2011]</w:t>
      </w:r>
      <w:r>
        <w:rPr>
          <w:rFonts w:ascii="Century" w:hAnsi="Century"/>
          <w:sz w:val="24"/>
          <w:szCs w:val="24"/>
          <w:lang w:val="en-US"/>
        </w:rPr>
        <w:t>13 Eur JL Reform 199</w:t>
      </w:r>
      <w:r w:rsidRPr="000C392D">
        <w:rPr>
          <w:rFonts w:ascii="Century" w:hAnsi="Century"/>
          <w:sz w:val="24"/>
          <w:szCs w:val="24"/>
          <w:lang w:val="en-US"/>
        </w:rPr>
        <w:t>.</w:t>
      </w:r>
    </w:p>
    <w:p w:rsidR="00314A86" w:rsidRDefault="00314A86" w:rsidP="007C0020">
      <w:pPr>
        <w:pStyle w:val="FootnoteText"/>
        <w:jc w:val="both"/>
        <w:rPr>
          <w:rFonts w:ascii="Century" w:hAnsi="Century"/>
          <w:sz w:val="24"/>
          <w:szCs w:val="24"/>
        </w:rPr>
      </w:pPr>
    </w:p>
    <w:p w:rsidR="004303AB" w:rsidRPr="000C392D" w:rsidRDefault="004303AB" w:rsidP="007C0020">
      <w:pPr>
        <w:pStyle w:val="FootnoteText"/>
        <w:jc w:val="both"/>
        <w:rPr>
          <w:rFonts w:ascii="Century" w:hAnsi="Century"/>
          <w:sz w:val="24"/>
          <w:szCs w:val="24"/>
          <w:lang w:val="en-US"/>
        </w:rPr>
      </w:pPr>
      <w:r w:rsidRPr="000C392D">
        <w:rPr>
          <w:rFonts w:ascii="Century" w:hAnsi="Century"/>
          <w:sz w:val="24"/>
          <w:szCs w:val="24"/>
          <w:lang w:val="en-US"/>
        </w:rPr>
        <w:lastRenderedPageBreak/>
        <w:t>Vanterpool</w:t>
      </w:r>
      <w:r>
        <w:rPr>
          <w:rFonts w:ascii="Century" w:hAnsi="Century"/>
          <w:sz w:val="24"/>
          <w:szCs w:val="24"/>
          <w:lang w:val="en-US"/>
        </w:rPr>
        <w:t xml:space="preserve"> V</w:t>
      </w:r>
      <w:r w:rsidRPr="000C392D">
        <w:rPr>
          <w:rFonts w:ascii="Century" w:hAnsi="Century"/>
          <w:sz w:val="24"/>
          <w:szCs w:val="24"/>
          <w:lang w:val="en-US"/>
        </w:rPr>
        <w:t>, ‘A Critical Look at Achieving Quality in Legis</w:t>
      </w:r>
      <w:r w:rsidR="00E66F1F">
        <w:rPr>
          <w:rFonts w:ascii="Century" w:hAnsi="Century"/>
          <w:sz w:val="24"/>
          <w:szCs w:val="24"/>
          <w:lang w:val="en-US"/>
        </w:rPr>
        <w:t>lation’ [2007]</w:t>
      </w:r>
      <w:r>
        <w:rPr>
          <w:rFonts w:ascii="Century" w:hAnsi="Century"/>
          <w:sz w:val="24"/>
          <w:szCs w:val="24"/>
          <w:lang w:val="en-US"/>
        </w:rPr>
        <w:t xml:space="preserve"> 9 Eur LJ 167</w:t>
      </w:r>
      <w:r w:rsidRPr="000C392D">
        <w:rPr>
          <w:rFonts w:ascii="Century" w:hAnsi="Century"/>
          <w:sz w:val="24"/>
          <w:szCs w:val="24"/>
          <w:lang w:val="en-US"/>
        </w:rPr>
        <w:t>.</w:t>
      </w:r>
    </w:p>
    <w:p w:rsidR="004303AB" w:rsidRDefault="004303AB" w:rsidP="007C0020">
      <w:pPr>
        <w:pStyle w:val="FootnoteText"/>
        <w:jc w:val="both"/>
        <w:rPr>
          <w:rFonts w:ascii="Century" w:hAnsi="Century"/>
          <w:sz w:val="24"/>
          <w:szCs w:val="24"/>
          <w:lang w:val="en-US"/>
        </w:rPr>
      </w:pPr>
    </w:p>
    <w:p w:rsidR="004303AB" w:rsidRDefault="004303AB" w:rsidP="007C0020">
      <w:pPr>
        <w:pStyle w:val="FootnoteText"/>
        <w:jc w:val="both"/>
        <w:rPr>
          <w:rFonts w:ascii="Century" w:hAnsi="Century"/>
          <w:sz w:val="24"/>
          <w:szCs w:val="24"/>
          <w:lang w:val="en-US"/>
        </w:rPr>
      </w:pPr>
      <w:r w:rsidRPr="000C392D">
        <w:rPr>
          <w:rFonts w:ascii="Century" w:hAnsi="Century"/>
          <w:sz w:val="24"/>
          <w:szCs w:val="24"/>
          <w:lang w:val="en-US"/>
        </w:rPr>
        <w:t>Voermans</w:t>
      </w:r>
      <w:r>
        <w:rPr>
          <w:rFonts w:ascii="Century" w:hAnsi="Century"/>
          <w:sz w:val="24"/>
          <w:szCs w:val="24"/>
          <w:lang w:val="en-US"/>
        </w:rPr>
        <w:t xml:space="preserve"> W</w:t>
      </w:r>
      <w:r w:rsidRPr="000C392D">
        <w:rPr>
          <w:rFonts w:ascii="Century" w:hAnsi="Century"/>
          <w:sz w:val="24"/>
          <w:szCs w:val="24"/>
          <w:lang w:val="en-US"/>
        </w:rPr>
        <w:t xml:space="preserve">, </w:t>
      </w:r>
      <w:r>
        <w:rPr>
          <w:rFonts w:ascii="Century" w:hAnsi="Century"/>
          <w:sz w:val="24"/>
          <w:szCs w:val="24"/>
          <w:lang w:val="en-US"/>
        </w:rPr>
        <w:t>‘</w:t>
      </w:r>
      <w:r w:rsidRPr="000C392D">
        <w:rPr>
          <w:rFonts w:ascii="Century" w:hAnsi="Century"/>
          <w:sz w:val="24"/>
          <w:szCs w:val="24"/>
          <w:lang w:val="en-US"/>
        </w:rPr>
        <w:t xml:space="preserve">Concern about the Quality of EU Legislation: </w:t>
      </w:r>
      <w:r w:rsidR="00354DB1">
        <w:rPr>
          <w:rFonts w:ascii="Century" w:hAnsi="Century"/>
          <w:sz w:val="24"/>
          <w:szCs w:val="24"/>
          <w:lang w:val="en-US"/>
        </w:rPr>
        <w:t>W</w:t>
      </w:r>
      <w:r w:rsidRPr="000C392D">
        <w:rPr>
          <w:rFonts w:ascii="Century" w:hAnsi="Century"/>
          <w:sz w:val="24"/>
          <w:szCs w:val="24"/>
          <w:lang w:val="en-US"/>
        </w:rPr>
        <w:t>hat Kind of Problem, By What Kind of Standards?</w:t>
      </w:r>
      <w:r>
        <w:rPr>
          <w:rFonts w:ascii="Century" w:hAnsi="Century"/>
          <w:sz w:val="24"/>
          <w:szCs w:val="24"/>
          <w:lang w:val="en-US"/>
        </w:rPr>
        <w:t>’</w:t>
      </w:r>
      <w:r w:rsidRPr="000C392D">
        <w:rPr>
          <w:rFonts w:ascii="Century" w:hAnsi="Century"/>
          <w:sz w:val="24"/>
          <w:szCs w:val="24"/>
          <w:lang w:val="en-US"/>
        </w:rPr>
        <w:t xml:space="preserve">  </w:t>
      </w:r>
      <w:r w:rsidR="00E66F1F">
        <w:rPr>
          <w:rFonts w:ascii="Century" w:hAnsi="Century"/>
          <w:sz w:val="24"/>
          <w:szCs w:val="24"/>
          <w:lang w:val="en-US"/>
        </w:rPr>
        <w:t>[2009]</w:t>
      </w:r>
      <w:r w:rsidR="00FA4D41">
        <w:rPr>
          <w:rFonts w:ascii="Century" w:hAnsi="Century"/>
          <w:sz w:val="24"/>
          <w:szCs w:val="24"/>
          <w:lang w:val="en-US"/>
        </w:rPr>
        <w:t xml:space="preserve"> </w:t>
      </w:r>
      <w:r w:rsidRPr="000C392D">
        <w:rPr>
          <w:rFonts w:ascii="Century" w:hAnsi="Century"/>
          <w:sz w:val="24"/>
          <w:szCs w:val="24"/>
          <w:lang w:val="en-US"/>
        </w:rPr>
        <w:t xml:space="preserve">2 Erasmus Law Rev </w:t>
      </w:r>
      <w:r w:rsidR="00FA4D41">
        <w:rPr>
          <w:rFonts w:ascii="Century" w:hAnsi="Century"/>
          <w:sz w:val="24"/>
          <w:szCs w:val="24"/>
          <w:lang w:val="en-US"/>
        </w:rPr>
        <w:t>59</w:t>
      </w:r>
      <w:r>
        <w:rPr>
          <w:rFonts w:ascii="Century" w:hAnsi="Century"/>
          <w:sz w:val="24"/>
          <w:szCs w:val="24"/>
          <w:lang w:val="en-US"/>
        </w:rPr>
        <w:t>.</w:t>
      </w:r>
    </w:p>
    <w:p w:rsidR="00104A71" w:rsidRDefault="00104A71" w:rsidP="007C0020">
      <w:pPr>
        <w:pStyle w:val="FootnoteText"/>
        <w:jc w:val="both"/>
        <w:rPr>
          <w:rFonts w:ascii="Century" w:hAnsi="Century"/>
          <w:sz w:val="24"/>
          <w:szCs w:val="24"/>
          <w:lang w:val="en-US"/>
        </w:rPr>
      </w:pPr>
    </w:p>
    <w:p w:rsidR="00104A71" w:rsidRPr="00104A71" w:rsidRDefault="00104A71" w:rsidP="007C0020">
      <w:pPr>
        <w:pStyle w:val="FootnoteText"/>
        <w:jc w:val="both"/>
        <w:rPr>
          <w:rFonts w:ascii="Century" w:hAnsi="Century"/>
          <w:sz w:val="24"/>
          <w:szCs w:val="24"/>
          <w:lang w:val="en-US"/>
        </w:rPr>
      </w:pPr>
      <w:r w:rsidRPr="00104A71">
        <w:rPr>
          <w:rFonts w:ascii="Century" w:hAnsi="Century"/>
          <w:sz w:val="24"/>
          <w:szCs w:val="24"/>
          <w:lang w:val="en-US"/>
        </w:rPr>
        <w:t xml:space="preserve">Voermans W, ‘Styles of </w:t>
      </w:r>
      <w:r w:rsidR="001D0B2A">
        <w:rPr>
          <w:rFonts w:ascii="Century" w:hAnsi="Century"/>
          <w:sz w:val="24"/>
          <w:szCs w:val="24"/>
          <w:lang w:val="en-US"/>
        </w:rPr>
        <w:t>Legislation and their Effects’ [2011]</w:t>
      </w:r>
      <w:r w:rsidRPr="00104A71">
        <w:rPr>
          <w:rFonts w:ascii="Century" w:hAnsi="Century"/>
          <w:sz w:val="24"/>
          <w:szCs w:val="24"/>
          <w:lang w:val="en-US"/>
        </w:rPr>
        <w:t xml:space="preserve"> 32 SLR 38</w:t>
      </w:r>
      <w:r>
        <w:rPr>
          <w:rFonts w:ascii="Century" w:hAnsi="Century"/>
          <w:sz w:val="24"/>
          <w:szCs w:val="24"/>
          <w:lang w:val="en-US"/>
        </w:rPr>
        <w:t>.</w:t>
      </w:r>
    </w:p>
    <w:p w:rsidR="004303AB" w:rsidRPr="000C392D" w:rsidRDefault="004303AB" w:rsidP="007C0020">
      <w:pPr>
        <w:pStyle w:val="FootnoteText"/>
        <w:jc w:val="both"/>
        <w:rPr>
          <w:rFonts w:ascii="Century" w:hAnsi="Century"/>
          <w:sz w:val="24"/>
          <w:szCs w:val="24"/>
          <w:lang w:val="en-US"/>
        </w:rPr>
      </w:pPr>
    </w:p>
    <w:p w:rsidR="004C5C80" w:rsidRDefault="004C5C80" w:rsidP="004C5C80">
      <w:pPr>
        <w:jc w:val="both"/>
        <w:rPr>
          <w:rFonts w:ascii="Century" w:hAnsi="Century"/>
          <w:sz w:val="24"/>
          <w:szCs w:val="24"/>
        </w:rPr>
      </w:pPr>
      <w:r w:rsidRPr="000C392D">
        <w:rPr>
          <w:rFonts w:ascii="Century" w:hAnsi="Century"/>
          <w:sz w:val="24"/>
          <w:szCs w:val="24"/>
        </w:rPr>
        <w:t>Xanthaki</w:t>
      </w:r>
      <w:r>
        <w:rPr>
          <w:rFonts w:ascii="Century" w:hAnsi="Century"/>
          <w:sz w:val="24"/>
          <w:szCs w:val="24"/>
        </w:rPr>
        <w:t xml:space="preserve"> H</w:t>
      </w:r>
      <w:r w:rsidRPr="000C392D">
        <w:rPr>
          <w:rFonts w:ascii="Century" w:hAnsi="Century"/>
          <w:sz w:val="24"/>
          <w:szCs w:val="24"/>
        </w:rPr>
        <w:t xml:space="preserve">, ‘On Transferability of Legislative Solutions: The Functionality Test’ in Constantin Stefanou and Helen Xanthaki (eds), </w:t>
      </w:r>
      <w:r w:rsidRPr="000C392D">
        <w:rPr>
          <w:rFonts w:ascii="Century" w:hAnsi="Century"/>
          <w:i/>
          <w:sz w:val="24"/>
          <w:szCs w:val="24"/>
        </w:rPr>
        <w:t xml:space="preserve">Drafting Legislation: A Modern Approach </w:t>
      </w:r>
      <w:r>
        <w:rPr>
          <w:rFonts w:ascii="Century" w:hAnsi="Century"/>
          <w:sz w:val="24"/>
          <w:szCs w:val="24"/>
        </w:rPr>
        <w:t>(</w:t>
      </w:r>
      <w:r w:rsidRPr="000C392D">
        <w:rPr>
          <w:rFonts w:ascii="Century" w:hAnsi="Century"/>
          <w:sz w:val="24"/>
          <w:szCs w:val="24"/>
        </w:rPr>
        <w:t>Ashgate</w:t>
      </w:r>
      <w:r>
        <w:rPr>
          <w:rFonts w:ascii="Century" w:hAnsi="Century"/>
          <w:sz w:val="24"/>
          <w:szCs w:val="24"/>
        </w:rPr>
        <w:t xml:space="preserve"> Publishing 2008</w:t>
      </w:r>
      <w:r w:rsidRPr="000C392D">
        <w:rPr>
          <w:rFonts w:ascii="Century" w:hAnsi="Century"/>
          <w:sz w:val="24"/>
          <w:szCs w:val="24"/>
        </w:rPr>
        <w:t>)</w:t>
      </w:r>
      <w:r>
        <w:rPr>
          <w:rFonts w:ascii="Century" w:hAnsi="Century"/>
          <w:sz w:val="24"/>
          <w:szCs w:val="24"/>
        </w:rPr>
        <w:t>.</w:t>
      </w:r>
    </w:p>
    <w:p w:rsidR="001D0B2A" w:rsidRDefault="00374601" w:rsidP="007C0020">
      <w:pPr>
        <w:tabs>
          <w:tab w:val="left" w:pos="902"/>
        </w:tabs>
        <w:jc w:val="both"/>
      </w:pPr>
      <w:r w:rsidRPr="000D6DAE">
        <w:rPr>
          <w:rFonts w:ascii="Century" w:hAnsi="Century"/>
          <w:sz w:val="24"/>
          <w:szCs w:val="24"/>
          <w:lang w:val="en-US"/>
        </w:rPr>
        <w:t>Xanthaki</w:t>
      </w:r>
      <w:r>
        <w:rPr>
          <w:rFonts w:ascii="Century" w:hAnsi="Century"/>
          <w:sz w:val="24"/>
          <w:szCs w:val="24"/>
          <w:lang w:val="en-US"/>
        </w:rPr>
        <w:t xml:space="preserve"> H</w:t>
      </w:r>
      <w:r w:rsidRPr="000D6DAE">
        <w:rPr>
          <w:rFonts w:ascii="Century" w:hAnsi="Century"/>
          <w:sz w:val="24"/>
          <w:szCs w:val="24"/>
          <w:lang w:val="en-US"/>
        </w:rPr>
        <w:t>, ‘Legislative Drafting: A New Sub-Discipline is Born’ (2013) 1 IALS Student L Rev 64</w:t>
      </w:r>
      <w:r>
        <w:rPr>
          <w:rFonts w:ascii="Century" w:hAnsi="Century"/>
          <w:sz w:val="24"/>
          <w:szCs w:val="24"/>
          <w:lang w:val="en-US"/>
        </w:rPr>
        <w:t>.</w:t>
      </w:r>
      <w:r w:rsidR="001D0B2A" w:rsidRPr="001D0B2A">
        <w:t xml:space="preserve"> </w:t>
      </w:r>
    </w:p>
    <w:p w:rsidR="00374601" w:rsidRPr="000D6DAE" w:rsidRDefault="001D0B2A" w:rsidP="007C0020">
      <w:pPr>
        <w:tabs>
          <w:tab w:val="left" w:pos="902"/>
        </w:tabs>
        <w:jc w:val="both"/>
        <w:rPr>
          <w:rFonts w:ascii="Century" w:hAnsi="Century"/>
          <w:sz w:val="24"/>
          <w:szCs w:val="24"/>
        </w:rPr>
      </w:pPr>
      <w:r>
        <w:t>&lt;</w:t>
      </w:r>
      <w:r w:rsidRPr="001D0B2A">
        <w:rPr>
          <w:rFonts w:ascii="Century" w:hAnsi="Century"/>
          <w:sz w:val="24"/>
          <w:szCs w:val="24"/>
          <w:lang w:val="en-US"/>
        </w:rPr>
        <w:t>http://journals.sas.ac.uk/lawreview/article/view/1706/1642</w:t>
      </w:r>
      <w:r>
        <w:rPr>
          <w:rFonts w:ascii="Century" w:hAnsi="Century"/>
          <w:sz w:val="24"/>
          <w:szCs w:val="24"/>
          <w:lang w:val="en-US"/>
        </w:rPr>
        <w:t>&gt; accessed 28 August 2015</w:t>
      </w:r>
    </w:p>
    <w:p w:rsidR="004303AB" w:rsidRPr="000C392D" w:rsidRDefault="004303AB" w:rsidP="007C0020">
      <w:pPr>
        <w:jc w:val="both"/>
        <w:rPr>
          <w:rFonts w:ascii="Century" w:hAnsi="Century"/>
          <w:sz w:val="24"/>
          <w:szCs w:val="24"/>
          <w:lang w:val="en-US"/>
        </w:rPr>
      </w:pPr>
      <w:r w:rsidRPr="000C392D">
        <w:rPr>
          <w:rFonts w:ascii="Century" w:hAnsi="Century"/>
          <w:sz w:val="24"/>
          <w:szCs w:val="24"/>
          <w:lang w:val="en-US"/>
        </w:rPr>
        <w:t>Xanthaki</w:t>
      </w:r>
      <w:r>
        <w:rPr>
          <w:rFonts w:ascii="Century" w:hAnsi="Century"/>
          <w:sz w:val="24"/>
          <w:szCs w:val="24"/>
          <w:lang w:val="en-US"/>
        </w:rPr>
        <w:t xml:space="preserve"> H</w:t>
      </w:r>
      <w:r w:rsidRPr="000C392D">
        <w:rPr>
          <w:rFonts w:ascii="Century" w:hAnsi="Century"/>
          <w:sz w:val="24"/>
          <w:szCs w:val="24"/>
          <w:lang w:val="en-US"/>
        </w:rPr>
        <w:t xml:space="preserve">, ‘Legislative Techniques in Rwanda: Present </w:t>
      </w:r>
      <w:r>
        <w:rPr>
          <w:rFonts w:ascii="Century" w:hAnsi="Century"/>
          <w:sz w:val="24"/>
          <w:szCs w:val="24"/>
          <w:lang w:val="en-US"/>
        </w:rPr>
        <w:t>and Future’ (2013) 15 Eur LJ 95.</w:t>
      </w:r>
    </w:p>
    <w:p w:rsidR="00EA2A47" w:rsidRDefault="00EA2A47" w:rsidP="00EA2A47">
      <w:pPr>
        <w:pStyle w:val="FootnoteText"/>
        <w:jc w:val="both"/>
        <w:rPr>
          <w:rFonts w:ascii="Century" w:hAnsi="Century"/>
          <w:sz w:val="24"/>
          <w:szCs w:val="24"/>
        </w:rPr>
      </w:pPr>
      <w:r w:rsidRPr="000C392D">
        <w:rPr>
          <w:rFonts w:ascii="Century" w:hAnsi="Century"/>
          <w:sz w:val="24"/>
          <w:szCs w:val="24"/>
        </w:rPr>
        <w:t>Xanthaki</w:t>
      </w:r>
      <w:r>
        <w:rPr>
          <w:rFonts w:ascii="Century" w:hAnsi="Century"/>
          <w:sz w:val="24"/>
          <w:szCs w:val="24"/>
        </w:rPr>
        <w:t xml:space="preserve"> H</w:t>
      </w:r>
      <w:r w:rsidRPr="000C392D">
        <w:rPr>
          <w:rFonts w:ascii="Century" w:hAnsi="Century"/>
          <w:sz w:val="24"/>
          <w:szCs w:val="24"/>
        </w:rPr>
        <w:t xml:space="preserve">, </w:t>
      </w:r>
      <w:r w:rsidRPr="000C392D">
        <w:rPr>
          <w:rFonts w:ascii="Century" w:hAnsi="Century"/>
          <w:i/>
          <w:sz w:val="24"/>
          <w:szCs w:val="24"/>
          <w:lang w:val="en-US"/>
        </w:rPr>
        <w:t>Thornton’s Legislative Drafting</w:t>
      </w:r>
      <w:r w:rsidRPr="000C392D">
        <w:rPr>
          <w:rFonts w:ascii="Century" w:hAnsi="Century"/>
          <w:sz w:val="24"/>
          <w:szCs w:val="24"/>
          <w:lang w:val="en-US"/>
        </w:rPr>
        <w:t xml:space="preserve"> (5</w:t>
      </w:r>
      <w:r w:rsidRPr="000C392D">
        <w:rPr>
          <w:rFonts w:ascii="Century" w:hAnsi="Century"/>
          <w:sz w:val="24"/>
          <w:szCs w:val="24"/>
          <w:vertAlign w:val="superscript"/>
          <w:lang w:val="en-US"/>
        </w:rPr>
        <w:t>th</w:t>
      </w:r>
      <w:r>
        <w:rPr>
          <w:rFonts w:ascii="Century" w:hAnsi="Century"/>
          <w:sz w:val="24"/>
          <w:szCs w:val="24"/>
          <w:vertAlign w:val="superscript"/>
          <w:lang w:val="en-US"/>
        </w:rPr>
        <w:t xml:space="preserve"> </w:t>
      </w:r>
      <w:r>
        <w:rPr>
          <w:rFonts w:ascii="Century" w:hAnsi="Century"/>
          <w:sz w:val="24"/>
          <w:szCs w:val="24"/>
          <w:lang w:val="en-US"/>
        </w:rPr>
        <w:t xml:space="preserve">edn, </w:t>
      </w:r>
      <w:r w:rsidRPr="000C392D">
        <w:rPr>
          <w:rFonts w:ascii="Century" w:hAnsi="Century"/>
          <w:sz w:val="24"/>
          <w:szCs w:val="24"/>
          <w:lang w:val="en-US"/>
        </w:rPr>
        <w:t>Bloomsbury Professional Ltd</w:t>
      </w:r>
      <w:r>
        <w:rPr>
          <w:rFonts w:ascii="Century" w:hAnsi="Century"/>
          <w:sz w:val="24"/>
          <w:szCs w:val="24"/>
          <w:lang w:val="en-US"/>
        </w:rPr>
        <w:t xml:space="preserve"> 2013</w:t>
      </w:r>
      <w:r w:rsidRPr="000C392D">
        <w:rPr>
          <w:rFonts w:ascii="Century" w:hAnsi="Century"/>
          <w:sz w:val="24"/>
          <w:szCs w:val="24"/>
          <w:lang w:val="en-US"/>
        </w:rPr>
        <w:t>).</w:t>
      </w:r>
    </w:p>
    <w:p w:rsidR="00EA2A47" w:rsidRDefault="00EA2A47" w:rsidP="00EA2A47">
      <w:pPr>
        <w:pStyle w:val="FootnoteText"/>
        <w:jc w:val="both"/>
        <w:rPr>
          <w:rFonts w:ascii="Century" w:hAnsi="Century"/>
          <w:sz w:val="24"/>
          <w:szCs w:val="24"/>
        </w:rPr>
      </w:pPr>
    </w:p>
    <w:p w:rsidR="00EA2A47" w:rsidRPr="000C392D" w:rsidRDefault="00EA2A47" w:rsidP="00EA2A47">
      <w:pPr>
        <w:pStyle w:val="FootnoteText"/>
        <w:jc w:val="both"/>
        <w:rPr>
          <w:rFonts w:ascii="Century" w:hAnsi="Century"/>
          <w:sz w:val="24"/>
          <w:szCs w:val="24"/>
        </w:rPr>
      </w:pPr>
      <w:r w:rsidRPr="000C392D">
        <w:rPr>
          <w:rFonts w:ascii="Century" w:hAnsi="Century"/>
          <w:sz w:val="24"/>
          <w:szCs w:val="24"/>
        </w:rPr>
        <w:t>Xanthaki</w:t>
      </w:r>
      <w:r>
        <w:rPr>
          <w:rFonts w:ascii="Century" w:hAnsi="Century"/>
          <w:sz w:val="24"/>
          <w:szCs w:val="24"/>
        </w:rPr>
        <w:t xml:space="preserve"> H</w:t>
      </w:r>
      <w:r w:rsidRPr="000C392D">
        <w:rPr>
          <w:rFonts w:ascii="Century" w:hAnsi="Century"/>
          <w:sz w:val="24"/>
          <w:szCs w:val="24"/>
        </w:rPr>
        <w:t xml:space="preserve">, </w:t>
      </w:r>
      <w:r w:rsidRPr="000C392D">
        <w:rPr>
          <w:rFonts w:ascii="Century" w:hAnsi="Century"/>
          <w:i/>
          <w:sz w:val="24"/>
          <w:szCs w:val="24"/>
        </w:rPr>
        <w:t xml:space="preserve">Drafting Legislation: Art and Technology of Rules for Regulation </w:t>
      </w:r>
      <w:r>
        <w:rPr>
          <w:rFonts w:ascii="Century" w:hAnsi="Century"/>
          <w:sz w:val="24"/>
          <w:szCs w:val="24"/>
        </w:rPr>
        <w:t>(Hart Publishing 2014)</w:t>
      </w:r>
      <w:r w:rsidRPr="000C392D">
        <w:rPr>
          <w:rFonts w:ascii="Century" w:hAnsi="Century"/>
          <w:sz w:val="24"/>
          <w:szCs w:val="24"/>
        </w:rPr>
        <w:t>.</w:t>
      </w:r>
    </w:p>
    <w:p w:rsidR="00EA2A47" w:rsidRDefault="00EA2A47" w:rsidP="00EA2A47">
      <w:pPr>
        <w:pStyle w:val="FootnoteText"/>
        <w:rPr>
          <w:rFonts w:ascii="Century" w:hAnsi="Century"/>
          <w:sz w:val="24"/>
          <w:szCs w:val="24"/>
        </w:rPr>
      </w:pPr>
    </w:p>
    <w:p w:rsidR="008568F6" w:rsidRDefault="008568F6" w:rsidP="007C0020">
      <w:pPr>
        <w:spacing w:line="360" w:lineRule="auto"/>
        <w:jc w:val="both"/>
        <w:rPr>
          <w:rStyle w:val="sb8d990e2"/>
          <w:rFonts w:ascii="Century" w:hAnsi="Century"/>
          <w:sz w:val="24"/>
          <w:szCs w:val="24"/>
        </w:rPr>
      </w:pPr>
    </w:p>
    <w:p w:rsidR="00C22C6F" w:rsidRDefault="00C22C6F" w:rsidP="007C0020">
      <w:pPr>
        <w:pStyle w:val="FootnoteText"/>
        <w:jc w:val="both"/>
        <w:rPr>
          <w:rFonts w:ascii="Century" w:hAnsi="Century"/>
          <w:b/>
          <w:sz w:val="24"/>
          <w:szCs w:val="24"/>
        </w:rPr>
      </w:pPr>
      <w:r>
        <w:rPr>
          <w:rFonts w:ascii="Century" w:hAnsi="Century"/>
          <w:b/>
          <w:sz w:val="24"/>
          <w:szCs w:val="24"/>
        </w:rPr>
        <w:t>Legislation</w:t>
      </w:r>
    </w:p>
    <w:p w:rsidR="00C22C6F" w:rsidRDefault="00C22C6F" w:rsidP="007C0020">
      <w:pPr>
        <w:pStyle w:val="FootnoteText"/>
        <w:jc w:val="both"/>
        <w:rPr>
          <w:rFonts w:ascii="Century" w:hAnsi="Century"/>
          <w:b/>
          <w:sz w:val="24"/>
          <w:szCs w:val="24"/>
        </w:rPr>
      </w:pPr>
    </w:p>
    <w:p w:rsidR="007C0020" w:rsidRDefault="007C0020" w:rsidP="007C0020">
      <w:pPr>
        <w:pStyle w:val="FootnoteText"/>
        <w:jc w:val="both"/>
        <w:rPr>
          <w:rFonts w:ascii="Century" w:hAnsi="Century"/>
          <w:sz w:val="24"/>
          <w:szCs w:val="24"/>
        </w:rPr>
      </w:pPr>
      <w:r>
        <w:rPr>
          <w:rFonts w:ascii="Century" w:hAnsi="Century"/>
          <w:sz w:val="24"/>
          <w:szCs w:val="24"/>
        </w:rPr>
        <w:t>Consumer Credit Act 1974 (UK)</w:t>
      </w:r>
      <w:r w:rsidR="00276D24">
        <w:rPr>
          <w:rFonts w:ascii="Century" w:hAnsi="Century"/>
          <w:sz w:val="24"/>
          <w:szCs w:val="24"/>
        </w:rPr>
        <w:t>.</w:t>
      </w:r>
      <w:r>
        <w:rPr>
          <w:rFonts w:ascii="Century" w:hAnsi="Century"/>
          <w:sz w:val="24"/>
          <w:szCs w:val="24"/>
        </w:rPr>
        <w:t xml:space="preserve"> </w:t>
      </w:r>
    </w:p>
    <w:p w:rsidR="0043526F" w:rsidRDefault="00C22C6F" w:rsidP="007C0020">
      <w:pPr>
        <w:pStyle w:val="FootnoteText"/>
        <w:jc w:val="both"/>
        <w:rPr>
          <w:rFonts w:ascii="Century" w:hAnsi="Century"/>
          <w:sz w:val="24"/>
          <w:szCs w:val="24"/>
        </w:rPr>
      </w:pPr>
      <w:r>
        <w:t>&lt;</w:t>
      </w:r>
      <w:r w:rsidRPr="00706315">
        <w:rPr>
          <w:rFonts w:ascii="Century" w:hAnsi="Century"/>
          <w:sz w:val="24"/>
          <w:szCs w:val="24"/>
        </w:rPr>
        <w:t>http://www.legislation.g</w:t>
      </w:r>
      <w:r w:rsidR="0043526F">
        <w:rPr>
          <w:rFonts w:ascii="Century" w:hAnsi="Century"/>
          <w:sz w:val="24"/>
          <w:szCs w:val="24"/>
        </w:rPr>
        <w:t>ov.uk/ukpga/1974/39/schedule/2&gt;</w:t>
      </w:r>
    </w:p>
    <w:p w:rsidR="00C22C6F" w:rsidRPr="00706315" w:rsidRDefault="007C0020" w:rsidP="007C0020">
      <w:pPr>
        <w:pStyle w:val="FootnoteText"/>
        <w:jc w:val="both"/>
        <w:rPr>
          <w:rFonts w:ascii="Century" w:hAnsi="Century"/>
          <w:sz w:val="24"/>
          <w:szCs w:val="24"/>
          <w:lang w:val="en-US"/>
        </w:rPr>
      </w:pPr>
      <w:r>
        <w:rPr>
          <w:rFonts w:ascii="Century" w:hAnsi="Century"/>
          <w:sz w:val="24"/>
          <w:szCs w:val="24"/>
        </w:rPr>
        <w:t xml:space="preserve">accessed 17 August 2015 </w:t>
      </w:r>
    </w:p>
    <w:p w:rsidR="00C22C6F" w:rsidRDefault="00C22C6F" w:rsidP="007C0020">
      <w:pPr>
        <w:pStyle w:val="FootnoteText"/>
        <w:jc w:val="both"/>
        <w:rPr>
          <w:rFonts w:ascii="Century" w:hAnsi="Century"/>
          <w:sz w:val="24"/>
          <w:szCs w:val="24"/>
        </w:rPr>
      </w:pPr>
    </w:p>
    <w:p w:rsidR="00C22C6F" w:rsidRDefault="00C22C6F" w:rsidP="007C0020">
      <w:pPr>
        <w:pStyle w:val="FootnoteText"/>
        <w:jc w:val="both"/>
        <w:rPr>
          <w:rFonts w:ascii="Century" w:hAnsi="Century"/>
          <w:b/>
          <w:sz w:val="24"/>
          <w:szCs w:val="24"/>
        </w:rPr>
      </w:pPr>
      <w:r>
        <w:rPr>
          <w:rFonts w:ascii="Century" w:hAnsi="Century"/>
          <w:b/>
          <w:sz w:val="24"/>
          <w:szCs w:val="24"/>
        </w:rPr>
        <w:t>Cases</w:t>
      </w:r>
    </w:p>
    <w:p w:rsidR="00C22C6F" w:rsidRDefault="00C22C6F" w:rsidP="007C0020">
      <w:pPr>
        <w:pStyle w:val="FootnoteText"/>
        <w:jc w:val="both"/>
        <w:rPr>
          <w:rFonts w:ascii="Century" w:hAnsi="Century"/>
          <w:b/>
          <w:sz w:val="24"/>
          <w:szCs w:val="24"/>
        </w:rPr>
      </w:pPr>
    </w:p>
    <w:p w:rsidR="00C22C6F" w:rsidRDefault="00C22C6F" w:rsidP="007C0020">
      <w:pPr>
        <w:pStyle w:val="FootnoteText"/>
        <w:jc w:val="both"/>
        <w:rPr>
          <w:rFonts w:ascii="Century" w:hAnsi="Century"/>
          <w:sz w:val="24"/>
          <w:szCs w:val="24"/>
        </w:rPr>
      </w:pPr>
      <w:r>
        <w:rPr>
          <w:rFonts w:ascii="Century" w:hAnsi="Century"/>
          <w:sz w:val="24"/>
          <w:szCs w:val="24"/>
        </w:rPr>
        <w:t>AG v Joseph [2006] CCJ 1(AJ).</w:t>
      </w:r>
    </w:p>
    <w:p w:rsidR="00C22C6F" w:rsidRDefault="00C22C6F" w:rsidP="007C0020">
      <w:pPr>
        <w:pStyle w:val="FootnoteText"/>
        <w:jc w:val="both"/>
        <w:rPr>
          <w:rFonts w:ascii="Century" w:hAnsi="Century"/>
          <w:sz w:val="24"/>
          <w:szCs w:val="24"/>
        </w:rPr>
      </w:pPr>
    </w:p>
    <w:p w:rsidR="00C22C6F" w:rsidRDefault="00C22C6F" w:rsidP="007C0020">
      <w:pPr>
        <w:pStyle w:val="FootnoteText"/>
        <w:jc w:val="both"/>
        <w:rPr>
          <w:rFonts w:ascii="Century" w:hAnsi="Century"/>
          <w:sz w:val="24"/>
          <w:szCs w:val="24"/>
        </w:rPr>
      </w:pPr>
      <w:r>
        <w:rPr>
          <w:rFonts w:ascii="Century" w:hAnsi="Century"/>
          <w:sz w:val="24"/>
          <w:szCs w:val="24"/>
        </w:rPr>
        <w:t>Associated Newspapers Ltd v Wilson [1995] 2 WLR 354.</w:t>
      </w:r>
    </w:p>
    <w:p w:rsidR="00C22C6F" w:rsidRDefault="00C22C6F" w:rsidP="007C0020">
      <w:pPr>
        <w:pStyle w:val="FootnoteText"/>
        <w:jc w:val="both"/>
        <w:rPr>
          <w:rFonts w:ascii="Century" w:hAnsi="Century"/>
          <w:sz w:val="24"/>
          <w:szCs w:val="24"/>
        </w:rPr>
      </w:pPr>
    </w:p>
    <w:p w:rsidR="00C22C6F" w:rsidRDefault="00C22C6F" w:rsidP="007C0020">
      <w:pPr>
        <w:pStyle w:val="FootnoteText"/>
        <w:jc w:val="both"/>
        <w:rPr>
          <w:rFonts w:ascii="Century" w:hAnsi="Century"/>
          <w:sz w:val="24"/>
          <w:szCs w:val="24"/>
        </w:rPr>
      </w:pPr>
      <w:r>
        <w:rPr>
          <w:rFonts w:ascii="Century" w:hAnsi="Century"/>
          <w:sz w:val="24"/>
          <w:szCs w:val="24"/>
        </w:rPr>
        <w:t>Black Clawson v Papierwerke Waldhof [1975] AC 591.</w:t>
      </w:r>
    </w:p>
    <w:p w:rsidR="00C22C6F" w:rsidRDefault="00C22C6F" w:rsidP="007C0020">
      <w:pPr>
        <w:pStyle w:val="FootnoteText"/>
        <w:jc w:val="both"/>
        <w:rPr>
          <w:rFonts w:ascii="Century" w:hAnsi="Century"/>
          <w:sz w:val="24"/>
          <w:szCs w:val="24"/>
        </w:rPr>
      </w:pPr>
    </w:p>
    <w:p w:rsidR="00C22C6F" w:rsidRDefault="00C22C6F" w:rsidP="007C0020">
      <w:pPr>
        <w:pStyle w:val="FootnoteText"/>
        <w:jc w:val="both"/>
        <w:rPr>
          <w:rFonts w:ascii="Century" w:hAnsi="Century"/>
          <w:sz w:val="24"/>
          <w:szCs w:val="24"/>
        </w:rPr>
      </w:pPr>
      <w:r>
        <w:rPr>
          <w:rFonts w:ascii="Century" w:hAnsi="Century"/>
          <w:sz w:val="24"/>
          <w:szCs w:val="24"/>
        </w:rPr>
        <w:t>De Freitas v Permanent Secretary (1998) 53 WIR 131.</w:t>
      </w:r>
    </w:p>
    <w:p w:rsidR="00C22C6F" w:rsidRDefault="00C22C6F" w:rsidP="007C0020">
      <w:pPr>
        <w:pStyle w:val="FootnoteText"/>
        <w:jc w:val="both"/>
        <w:rPr>
          <w:rFonts w:ascii="Century" w:hAnsi="Century"/>
          <w:sz w:val="24"/>
          <w:szCs w:val="24"/>
        </w:rPr>
      </w:pPr>
    </w:p>
    <w:p w:rsidR="00C22C6F" w:rsidRDefault="00C22C6F" w:rsidP="007C0020">
      <w:pPr>
        <w:pStyle w:val="FootnoteText"/>
        <w:jc w:val="both"/>
        <w:rPr>
          <w:rFonts w:ascii="Century" w:hAnsi="Century"/>
          <w:sz w:val="24"/>
          <w:szCs w:val="24"/>
        </w:rPr>
      </w:pPr>
      <w:r>
        <w:rPr>
          <w:rFonts w:ascii="Century" w:hAnsi="Century"/>
          <w:sz w:val="24"/>
          <w:szCs w:val="24"/>
        </w:rPr>
        <w:t>Merkur Island Shipping Corpn v Laughton [1983] 2 AC 570.</w:t>
      </w:r>
    </w:p>
    <w:p w:rsidR="00C22C6F" w:rsidRPr="00CE3D13" w:rsidRDefault="00C22C6F" w:rsidP="007C0020">
      <w:pPr>
        <w:pStyle w:val="FootnoteText"/>
        <w:jc w:val="both"/>
        <w:rPr>
          <w:rFonts w:ascii="Century" w:hAnsi="Century"/>
          <w:sz w:val="24"/>
          <w:szCs w:val="24"/>
        </w:rPr>
      </w:pPr>
    </w:p>
    <w:p w:rsidR="00C22C6F" w:rsidRPr="00CE3D13" w:rsidRDefault="00C22C6F" w:rsidP="007C0020">
      <w:pPr>
        <w:pStyle w:val="FootnoteText"/>
        <w:jc w:val="both"/>
        <w:rPr>
          <w:rFonts w:ascii="Century" w:hAnsi="Century"/>
          <w:sz w:val="24"/>
          <w:szCs w:val="24"/>
        </w:rPr>
      </w:pPr>
      <w:r w:rsidRPr="00CE3D13">
        <w:rPr>
          <w:rFonts w:ascii="Century" w:hAnsi="Century"/>
          <w:sz w:val="24"/>
          <w:szCs w:val="24"/>
        </w:rPr>
        <w:t>R v Bradl</w:t>
      </w:r>
      <w:r>
        <w:rPr>
          <w:rFonts w:ascii="Century" w:hAnsi="Century"/>
          <w:sz w:val="24"/>
          <w:szCs w:val="24"/>
        </w:rPr>
        <w:t>ey [2005]</w:t>
      </w:r>
      <w:r w:rsidRPr="00CE3D13">
        <w:rPr>
          <w:rFonts w:ascii="Century" w:hAnsi="Century"/>
          <w:sz w:val="24"/>
          <w:szCs w:val="24"/>
        </w:rPr>
        <w:t xml:space="preserve"> </w:t>
      </w:r>
      <w:r>
        <w:rPr>
          <w:rFonts w:ascii="Century" w:hAnsi="Century"/>
          <w:sz w:val="24"/>
          <w:szCs w:val="24"/>
        </w:rPr>
        <w:t xml:space="preserve">EWCA Crim 20. </w:t>
      </w:r>
    </w:p>
    <w:p w:rsidR="00C22C6F" w:rsidRDefault="00C22C6F" w:rsidP="007C0020">
      <w:pPr>
        <w:pStyle w:val="FootnoteText"/>
        <w:jc w:val="both"/>
        <w:rPr>
          <w:rFonts w:ascii="Century" w:hAnsi="Century"/>
          <w:sz w:val="24"/>
          <w:szCs w:val="24"/>
        </w:rPr>
      </w:pPr>
    </w:p>
    <w:p w:rsidR="00C22C6F" w:rsidRDefault="00C22C6F" w:rsidP="007C0020">
      <w:pPr>
        <w:pStyle w:val="FootnoteText"/>
        <w:jc w:val="both"/>
        <w:rPr>
          <w:rFonts w:ascii="Century" w:hAnsi="Century"/>
          <w:sz w:val="24"/>
          <w:szCs w:val="24"/>
        </w:rPr>
      </w:pPr>
      <w:r>
        <w:rPr>
          <w:rFonts w:ascii="Century" w:hAnsi="Century"/>
          <w:sz w:val="24"/>
          <w:szCs w:val="24"/>
        </w:rPr>
        <w:lastRenderedPageBreak/>
        <w:t>Roe v Russel [1928] 2 KB 117.</w:t>
      </w:r>
    </w:p>
    <w:p w:rsidR="00C22C6F" w:rsidRDefault="00C22C6F" w:rsidP="007C0020">
      <w:pPr>
        <w:pStyle w:val="FootnoteText"/>
        <w:jc w:val="both"/>
        <w:rPr>
          <w:rFonts w:ascii="Century" w:hAnsi="Century"/>
          <w:sz w:val="24"/>
          <w:szCs w:val="24"/>
        </w:rPr>
      </w:pPr>
    </w:p>
    <w:p w:rsidR="00C22C6F" w:rsidRDefault="00C22C6F" w:rsidP="007C0020">
      <w:pPr>
        <w:pStyle w:val="FootnoteText"/>
        <w:jc w:val="both"/>
        <w:rPr>
          <w:rFonts w:ascii="Century" w:hAnsi="Century"/>
          <w:sz w:val="24"/>
          <w:szCs w:val="24"/>
        </w:rPr>
      </w:pPr>
      <w:r>
        <w:rPr>
          <w:rFonts w:ascii="Century" w:hAnsi="Century"/>
          <w:sz w:val="24"/>
          <w:szCs w:val="24"/>
        </w:rPr>
        <w:t>Sunday Times v United Kingdom [1979] ECHR</w:t>
      </w:r>
      <w:r w:rsidR="00FD28BA">
        <w:rPr>
          <w:rFonts w:ascii="Century" w:hAnsi="Century"/>
          <w:sz w:val="24"/>
          <w:szCs w:val="24"/>
        </w:rPr>
        <w:t xml:space="preserve"> 1</w:t>
      </w:r>
      <w:r>
        <w:rPr>
          <w:rFonts w:ascii="Century" w:hAnsi="Century"/>
          <w:sz w:val="24"/>
          <w:szCs w:val="24"/>
        </w:rPr>
        <w:t>.</w:t>
      </w:r>
    </w:p>
    <w:p w:rsidR="00C22C6F" w:rsidRDefault="00C22C6F" w:rsidP="007C0020">
      <w:pPr>
        <w:pStyle w:val="FootnoteText"/>
        <w:jc w:val="both"/>
        <w:rPr>
          <w:rFonts w:ascii="Century" w:hAnsi="Century"/>
          <w:sz w:val="24"/>
          <w:szCs w:val="24"/>
        </w:rPr>
      </w:pPr>
    </w:p>
    <w:p w:rsidR="00C22C6F" w:rsidRPr="002B3C12" w:rsidRDefault="00C22C6F" w:rsidP="007C0020">
      <w:pPr>
        <w:pStyle w:val="FootnoteText"/>
        <w:jc w:val="both"/>
        <w:rPr>
          <w:rFonts w:ascii="Century" w:hAnsi="Century"/>
          <w:sz w:val="24"/>
          <w:szCs w:val="24"/>
        </w:rPr>
      </w:pPr>
      <w:r w:rsidRPr="002B3C12">
        <w:rPr>
          <w:rFonts w:ascii="Century" w:hAnsi="Century"/>
          <w:sz w:val="24"/>
          <w:szCs w:val="24"/>
        </w:rPr>
        <w:t>Watson v Lee [1979] HCA 53</w:t>
      </w:r>
      <w:r>
        <w:rPr>
          <w:rFonts w:ascii="Century" w:hAnsi="Century"/>
          <w:sz w:val="24"/>
          <w:szCs w:val="24"/>
        </w:rPr>
        <w:t>.</w:t>
      </w:r>
    </w:p>
    <w:p w:rsidR="00C22C6F" w:rsidRDefault="00C22C6F" w:rsidP="007C0020">
      <w:pPr>
        <w:pStyle w:val="FootnoteText"/>
        <w:jc w:val="both"/>
        <w:rPr>
          <w:rFonts w:ascii="Century" w:hAnsi="Century"/>
          <w:b/>
          <w:sz w:val="24"/>
          <w:szCs w:val="24"/>
        </w:rPr>
      </w:pPr>
    </w:p>
    <w:p w:rsidR="00C22C6F" w:rsidRPr="00074BAA" w:rsidRDefault="00C22C6F" w:rsidP="007C0020">
      <w:pPr>
        <w:pStyle w:val="FootnoteText"/>
        <w:jc w:val="both"/>
        <w:rPr>
          <w:rFonts w:ascii="Century" w:hAnsi="Century"/>
          <w:sz w:val="24"/>
          <w:szCs w:val="24"/>
        </w:rPr>
      </w:pPr>
      <w:r w:rsidRPr="00074BAA">
        <w:rPr>
          <w:rFonts w:ascii="Century" w:hAnsi="Century"/>
          <w:sz w:val="24"/>
          <w:szCs w:val="24"/>
        </w:rPr>
        <w:t>Whipples v Houser</w:t>
      </w:r>
      <w:r>
        <w:rPr>
          <w:rFonts w:ascii="Century" w:hAnsi="Century"/>
          <w:sz w:val="24"/>
          <w:szCs w:val="24"/>
        </w:rPr>
        <w:t xml:space="preserve"> </w:t>
      </w:r>
      <w:r w:rsidRPr="00074BAA">
        <w:rPr>
          <w:rFonts w:ascii="Century" w:hAnsi="Century"/>
          <w:sz w:val="24"/>
          <w:szCs w:val="24"/>
          <w:lang w:val="en-US"/>
        </w:rPr>
        <w:t>(1981) 291 Or. 475, 632 P. 2d 782</w:t>
      </w:r>
      <w:r>
        <w:rPr>
          <w:rFonts w:ascii="Century" w:hAnsi="Century"/>
          <w:sz w:val="24"/>
          <w:szCs w:val="24"/>
          <w:lang w:val="en-US"/>
        </w:rPr>
        <w:t>.</w:t>
      </w:r>
    </w:p>
    <w:p w:rsidR="00C22C6F" w:rsidRPr="00074BAA" w:rsidRDefault="00C22C6F" w:rsidP="007C0020">
      <w:pPr>
        <w:pStyle w:val="FootnoteText"/>
        <w:jc w:val="both"/>
        <w:rPr>
          <w:rFonts w:ascii="Century" w:hAnsi="Century"/>
          <w:sz w:val="24"/>
          <w:szCs w:val="24"/>
        </w:rPr>
      </w:pPr>
    </w:p>
    <w:p w:rsidR="00D66015" w:rsidRDefault="00D66015" w:rsidP="007C0020">
      <w:pPr>
        <w:spacing w:line="360" w:lineRule="auto"/>
        <w:jc w:val="both"/>
        <w:rPr>
          <w:rStyle w:val="sb8d990e2"/>
          <w:rFonts w:ascii="Century" w:hAnsi="Century"/>
          <w:sz w:val="24"/>
          <w:szCs w:val="24"/>
        </w:rPr>
      </w:pPr>
    </w:p>
    <w:p w:rsidR="00D66015" w:rsidRDefault="00D66015" w:rsidP="007C0020">
      <w:pPr>
        <w:spacing w:line="360" w:lineRule="auto"/>
        <w:jc w:val="both"/>
        <w:rPr>
          <w:rStyle w:val="sb8d990e2"/>
          <w:rFonts w:ascii="Century" w:hAnsi="Century"/>
          <w:sz w:val="24"/>
          <w:szCs w:val="24"/>
        </w:rPr>
      </w:pPr>
    </w:p>
    <w:p w:rsidR="00D66015" w:rsidRDefault="00D66015" w:rsidP="007C0020">
      <w:pPr>
        <w:spacing w:line="360" w:lineRule="auto"/>
        <w:jc w:val="both"/>
        <w:rPr>
          <w:rStyle w:val="sb8d990e2"/>
          <w:rFonts w:ascii="Century" w:hAnsi="Century"/>
          <w:sz w:val="24"/>
          <w:szCs w:val="24"/>
        </w:rPr>
      </w:pPr>
    </w:p>
    <w:p w:rsidR="00D66015" w:rsidRDefault="00D66015" w:rsidP="007C0020">
      <w:pPr>
        <w:spacing w:line="360" w:lineRule="auto"/>
        <w:jc w:val="both"/>
        <w:rPr>
          <w:rStyle w:val="sb8d990e2"/>
          <w:rFonts w:ascii="Century" w:hAnsi="Century"/>
          <w:sz w:val="24"/>
          <w:szCs w:val="24"/>
        </w:rPr>
      </w:pPr>
    </w:p>
    <w:p w:rsidR="00D66015" w:rsidRDefault="00D66015" w:rsidP="00DB721F">
      <w:pPr>
        <w:spacing w:line="360" w:lineRule="auto"/>
        <w:jc w:val="both"/>
        <w:rPr>
          <w:rStyle w:val="sb8d990e2"/>
          <w:rFonts w:ascii="Century" w:hAnsi="Century"/>
          <w:sz w:val="24"/>
          <w:szCs w:val="24"/>
        </w:rPr>
      </w:pPr>
    </w:p>
    <w:p w:rsidR="00BB414E" w:rsidRDefault="00BB414E" w:rsidP="00DB721F">
      <w:pPr>
        <w:spacing w:line="360" w:lineRule="auto"/>
        <w:jc w:val="both"/>
        <w:rPr>
          <w:rStyle w:val="sb8d990e2"/>
          <w:rFonts w:ascii="Century" w:hAnsi="Century"/>
          <w:sz w:val="24"/>
          <w:szCs w:val="24"/>
        </w:rPr>
      </w:pPr>
    </w:p>
    <w:p w:rsidR="00BB414E" w:rsidRDefault="00BB414E" w:rsidP="00DB721F">
      <w:pPr>
        <w:spacing w:line="360" w:lineRule="auto"/>
        <w:jc w:val="both"/>
        <w:rPr>
          <w:rStyle w:val="sb8d990e2"/>
          <w:rFonts w:ascii="Century" w:hAnsi="Century"/>
          <w:sz w:val="24"/>
          <w:szCs w:val="24"/>
        </w:rPr>
      </w:pPr>
    </w:p>
    <w:p w:rsidR="007B49FA" w:rsidRDefault="007B49FA" w:rsidP="00DB721F">
      <w:pPr>
        <w:spacing w:line="360" w:lineRule="auto"/>
        <w:jc w:val="both"/>
        <w:rPr>
          <w:rStyle w:val="sb8d990e2"/>
          <w:rFonts w:ascii="Century" w:hAnsi="Century"/>
          <w:sz w:val="24"/>
          <w:szCs w:val="24"/>
        </w:rPr>
      </w:pPr>
    </w:p>
    <w:p w:rsidR="007B49FA" w:rsidRDefault="007B49FA" w:rsidP="00DB721F">
      <w:pPr>
        <w:spacing w:line="360" w:lineRule="auto"/>
        <w:jc w:val="both"/>
        <w:rPr>
          <w:rStyle w:val="sb8d990e2"/>
          <w:rFonts w:ascii="Century" w:hAnsi="Century"/>
          <w:sz w:val="24"/>
          <w:szCs w:val="24"/>
        </w:rPr>
      </w:pPr>
    </w:p>
    <w:p w:rsidR="0059427F" w:rsidRDefault="0059427F" w:rsidP="00DB721F">
      <w:pPr>
        <w:spacing w:line="360" w:lineRule="auto"/>
        <w:jc w:val="both"/>
        <w:rPr>
          <w:rStyle w:val="sb8d990e2"/>
          <w:rFonts w:ascii="Century" w:hAnsi="Century"/>
          <w:sz w:val="24"/>
          <w:szCs w:val="24"/>
        </w:rPr>
      </w:pPr>
    </w:p>
    <w:p w:rsidR="0059427F" w:rsidRDefault="0059427F" w:rsidP="00DB721F">
      <w:pPr>
        <w:spacing w:line="360" w:lineRule="auto"/>
        <w:jc w:val="both"/>
        <w:rPr>
          <w:rStyle w:val="sb8d990e2"/>
          <w:rFonts w:ascii="Century" w:hAnsi="Century"/>
          <w:sz w:val="24"/>
          <w:szCs w:val="24"/>
        </w:rPr>
      </w:pPr>
    </w:p>
    <w:p w:rsidR="00156CCC" w:rsidRDefault="00156CCC" w:rsidP="00DB721F">
      <w:pPr>
        <w:spacing w:line="360" w:lineRule="auto"/>
        <w:jc w:val="both"/>
        <w:rPr>
          <w:rStyle w:val="sb8d990e2"/>
          <w:rFonts w:ascii="Century" w:hAnsi="Century"/>
          <w:sz w:val="24"/>
          <w:szCs w:val="24"/>
        </w:rPr>
      </w:pPr>
    </w:p>
    <w:p w:rsidR="00C011B9" w:rsidRDefault="00C011B9" w:rsidP="00DB721F">
      <w:pPr>
        <w:spacing w:line="360" w:lineRule="auto"/>
        <w:jc w:val="both"/>
        <w:rPr>
          <w:rStyle w:val="sb8d990e2"/>
          <w:rFonts w:ascii="Century" w:hAnsi="Century"/>
          <w:sz w:val="24"/>
          <w:szCs w:val="24"/>
        </w:rPr>
      </w:pPr>
    </w:p>
    <w:sectPr w:rsidR="00C011B9" w:rsidSect="00DE3D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2160" w:header="708" w:footer="708" w:gutter="0"/>
      <w:pgBorders w:display="firstPage"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69" w:rsidRDefault="00426C69" w:rsidP="0049683B">
      <w:pPr>
        <w:spacing w:after="0" w:line="240" w:lineRule="auto"/>
      </w:pPr>
      <w:r>
        <w:separator/>
      </w:r>
    </w:p>
  </w:endnote>
  <w:endnote w:type="continuationSeparator" w:id="0">
    <w:p w:rsidR="00426C69" w:rsidRDefault="00426C69" w:rsidP="0049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70" w:rsidRDefault="00127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646463"/>
      <w:docPartObj>
        <w:docPartGallery w:val="Page Numbers (Bottom of Page)"/>
        <w:docPartUnique/>
      </w:docPartObj>
    </w:sdtPr>
    <w:sdtEndPr>
      <w:rPr>
        <w:color w:val="7F7F7F" w:themeColor="background1" w:themeShade="7F"/>
        <w:spacing w:val="60"/>
      </w:rPr>
    </w:sdtEndPr>
    <w:sdtContent>
      <w:p w:rsidR="00426C69" w:rsidRDefault="00426C6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5782">
          <w:rPr>
            <w:noProof/>
          </w:rPr>
          <w:t>20</w:t>
        </w:r>
        <w:r>
          <w:rPr>
            <w:noProof/>
          </w:rPr>
          <w:fldChar w:fldCharType="end"/>
        </w:r>
        <w:r>
          <w:t xml:space="preserve"> | </w:t>
        </w:r>
        <w:r>
          <w:rPr>
            <w:color w:val="7F7F7F" w:themeColor="background1" w:themeShade="7F"/>
            <w:spacing w:val="60"/>
          </w:rPr>
          <w:t>Page</w:t>
        </w:r>
      </w:p>
    </w:sdtContent>
  </w:sdt>
  <w:p w:rsidR="00426C69" w:rsidRDefault="00426C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70" w:rsidRDefault="00127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69" w:rsidRDefault="00426C69" w:rsidP="0049683B">
      <w:pPr>
        <w:spacing w:after="0" w:line="240" w:lineRule="auto"/>
      </w:pPr>
      <w:r>
        <w:separator/>
      </w:r>
    </w:p>
  </w:footnote>
  <w:footnote w:type="continuationSeparator" w:id="0">
    <w:p w:rsidR="00426C69" w:rsidRDefault="00426C69" w:rsidP="0049683B">
      <w:pPr>
        <w:spacing w:after="0" w:line="240" w:lineRule="auto"/>
      </w:pPr>
      <w:r>
        <w:continuationSeparator/>
      </w:r>
    </w:p>
  </w:footnote>
  <w:footnote w:id="1">
    <w:p w:rsidR="00426C69" w:rsidRDefault="00426C69" w:rsidP="00F8176D">
      <w:pPr>
        <w:pStyle w:val="FootnoteText"/>
      </w:pPr>
      <w:r>
        <w:rPr>
          <w:rStyle w:val="FootnoteReference"/>
        </w:rPr>
        <w:footnoteRef/>
      </w:r>
      <w:r>
        <w:t xml:space="preserve"> Ulrich Karpen, ‘Good Governance through Transparent Application of the Rule of Law’ [2009] 11 Eur LJ Reform 213, 217.</w:t>
      </w:r>
    </w:p>
  </w:footnote>
  <w:footnote w:id="2">
    <w:p w:rsidR="00426C69" w:rsidRPr="006733BA" w:rsidRDefault="00426C69" w:rsidP="00F8176D">
      <w:pPr>
        <w:pStyle w:val="FootnoteText"/>
        <w:rPr>
          <w:lang w:val="en-US"/>
        </w:rPr>
      </w:pPr>
      <w:r>
        <w:rPr>
          <w:rStyle w:val="FootnoteReference"/>
        </w:rPr>
        <w:footnoteRef/>
      </w:r>
      <w:r>
        <w:t xml:space="preserve"> </w:t>
      </w:r>
      <w:r>
        <w:rPr>
          <w:lang w:val="en-US"/>
        </w:rPr>
        <w:t>Colleen Murphy, ‘Lon Fuller and the Moral Value of the Rule of Law’ [2005] 24 Law and Philosophy 239, 241.</w:t>
      </w:r>
    </w:p>
  </w:footnote>
  <w:footnote w:id="3">
    <w:p w:rsidR="00426C69" w:rsidRDefault="00426C69" w:rsidP="004817DB">
      <w:pPr>
        <w:pStyle w:val="FootnoteText"/>
      </w:pPr>
      <w:r>
        <w:rPr>
          <w:rStyle w:val="FootnoteReference"/>
        </w:rPr>
        <w:footnoteRef/>
      </w:r>
      <w:r>
        <w:t>Robert Stein, ‘Rule of Law: What Does it Mean?’ (2009)18 Minn J Int’l L 293, 298.</w:t>
      </w:r>
      <w:r w:rsidRPr="00D30D98">
        <w:t xml:space="preserve"> </w:t>
      </w:r>
    </w:p>
    <w:p w:rsidR="00426C69" w:rsidRDefault="00426C69" w:rsidP="004817DB">
      <w:pPr>
        <w:pStyle w:val="FootnoteText"/>
      </w:pPr>
      <w:r>
        <w:t>&lt;</w:t>
      </w:r>
      <w:r w:rsidRPr="00D30D98">
        <w:t>http://www.law.umn.edu/uploads/kt/j1/ktj1SiAeuvdPv-_oeK2UdA/Stein-Introduction-Final-Online-PDF-03.30.09.pdf</w:t>
      </w:r>
      <w:r>
        <w:t>&gt; accessed 1</w:t>
      </w:r>
      <w:r w:rsidRPr="00EC20BA">
        <w:rPr>
          <w:vertAlign w:val="superscript"/>
        </w:rPr>
        <w:t>st</w:t>
      </w:r>
      <w:r>
        <w:t xml:space="preserve"> July 2015</w:t>
      </w:r>
    </w:p>
  </w:footnote>
  <w:footnote w:id="4">
    <w:p w:rsidR="00426C69" w:rsidRDefault="00426C69" w:rsidP="00F8176D">
      <w:pPr>
        <w:pStyle w:val="FootnoteText"/>
      </w:pPr>
      <w:r>
        <w:rPr>
          <w:rStyle w:val="FootnoteReference"/>
        </w:rPr>
        <w:footnoteRef/>
      </w:r>
      <w:r>
        <w:t>Sir David Renton as quoted in ‘Statute Law Society Newsletter’ (Summer 1978). &lt;</w:t>
      </w:r>
      <w:r w:rsidRPr="0015644C">
        <w:t>http://www.francisbennion.com/pdfs/fb/1978/1978-004-sls-summer-newsletter.pdf</w:t>
      </w:r>
      <w:r>
        <w:t>&gt; accessed 4</w:t>
      </w:r>
      <w:r w:rsidRPr="00994535">
        <w:rPr>
          <w:vertAlign w:val="superscript"/>
        </w:rPr>
        <w:t>th</w:t>
      </w:r>
      <w:r>
        <w:t xml:space="preserve"> </w:t>
      </w:r>
      <w:r>
        <w:rPr>
          <w:vertAlign w:val="superscript"/>
        </w:rPr>
        <w:t xml:space="preserve"> </w:t>
      </w:r>
      <w:r>
        <w:t>August 2015</w:t>
      </w:r>
    </w:p>
  </w:footnote>
  <w:footnote w:id="5">
    <w:p w:rsidR="00426C69" w:rsidRDefault="00426C69" w:rsidP="00F8176D">
      <w:pPr>
        <w:pStyle w:val="FootnoteText"/>
      </w:pPr>
      <w:r>
        <w:rPr>
          <w:rStyle w:val="FootnoteReference"/>
        </w:rPr>
        <w:footnoteRef/>
      </w:r>
      <w:r>
        <w:t xml:space="preserve"> ibid.</w:t>
      </w:r>
    </w:p>
  </w:footnote>
  <w:footnote w:id="6">
    <w:p w:rsidR="00426C69" w:rsidRPr="006068C4" w:rsidRDefault="00426C69" w:rsidP="00F8176D">
      <w:pPr>
        <w:pStyle w:val="FootnoteText"/>
        <w:rPr>
          <w:lang w:val="en-US"/>
        </w:rPr>
      </w:pPr>
      <w:r>
        <w:rPr>
          <w:rStyle w:val="FootnoteReference"/>
        </w:rPr>
        <w:footnoteRef/>
      </w:r>
      <w:r>
        <w:t xml:space="preserve"> </w:t>
      </w:r>
      <w:r>
        <w:rPr>
          <w:lang w:val="en-US"/>
        </w:rPr>
        <w:t>Ireland Law Reform Commission (ILC), ‘Consultation Paper on Statutory Drafting and Interpretation, Plain Language and the Law’ (July 1999) para 4.</w:t>
      </w:r>
      <w:r w:rsidRPr="00016EB1">
        <w:t xml:space="preserve"> </w:t>
      </w:r>
      <w:r>
        <w:t>&lt;</w:t>
      </w:r>
      <w:r w:rsidRPr="00016EB1">
        <w:rPr>
          <w:lang w:val="en-US"/>
        </w:rPr>
        <w:t>http://www.lawreform.ie/_fileupload/consultation%20papers/cpPlainLanguage.pdf</w:t>
      </w:r>
      <w:r>
        <w:rPr>
          <w:lang w:val="en-US"/>
        </w:rPr>
        <w:t>&gt; accessed 19 August 2015</w:t>
      </w:r>
    </w:p>
  </w:footnote>
  <w:footnote w:id="7">
    <w:p w:rsidR="00426C69" w:rsidRPr="005A4577" w:rsidRDefault="00426C69" w:rsidP="00F8176D">
      <w:pPr>
        <w:pStyle w:val="FootnoteText"/>
        <w:rPr>
          <w:lang w:val="en-US"/>
        </w:rPr>
      </w:pPr>
      <w:r>
        <w:rPr>
          <w:rStyle w:val="FootnoteReference"/>
        </w:rPr>
        <w:footnoteRef/>
      </w:r>
      <w:r>
        <w:t xml:space="preserve"> </w:t>
      </w:r>
      <w:r>
        <w:rPr>
          <w:lang w:val="en-US"/>
        </w:rPr>
        <w:t>[1983] 2 AC 570, 594.</w:t>
      </w:r>
    </w:p>
  </w:footnote>
  <w:footnote w:id="8">
    <w:p w:rsidR="00426C69" w:rsidRPr="00891A4B" w:rsidRDefault="00426C69" w:rsidP="00F8176D">
      <w:pPr>
        <w:pStyle w:val="FootnoteText"/>
        <w:rPr>
          <w:lang w:val="en-US"/>
        </w:rPr>
      </w:pPr>
      <w:r>
        <w:rPr>
          <w:rStyle w:val="FootnoteReference"/>
        </w:rPr>
        <w:footnoteRef/>
      </w:r>
      <w:r>
        <w:t xml:space="preserve"> </w:t>
      </w:r>
      <w:r>
        <w:rPr>
          <w:lang w:val="en-US"/>
        </w:rPr>
        <w:t>Wim Voermans, ‘Concern about the Quality of EU Legislation: what Kind of Problem, By What Kind of Standards?’[2009]  2 Erasmus Law Rev 59, 64.</w:t>
      </w:r>
    </w:p>
  </w:footnote>
  <w:footnote w:id="9">
    <w:p w:rsidR="00426C69" w:rsidRPr="002B1007" w:rsidRDefault="00426C69" w:rsidP="00F8176D">
      <w:pPr>
        <w:pStyle w:val="FootnoteText"/>
        <w:rPr>
          <w:lang w:val="en-US"/>
        </w:rPr>
      </w:pPr>
      <w:r>
        <w:rPr>
          <w:rStyle w:val="FootnoteReference"/>
        </w:rPr>
        <w:footnoteRef/>
      </w:r>
      <w:r>
        <w:t xml:space="preserve"> VCRAC </w:t>
      </w:r>
      <w:r>
        <w:rPr>
          <w:lang w:val="en-US"/>
        </w:rPr>
        <w:t xml:space="preserve">Crabbe, </w:t>
      </w:r>
      <w:r w:rsidRPr="00F12DA5">
        <w:rPr>
          <w:i/>
          <w:lang w:val="en-US"/>
        </w:rPr>
        <w:t>Legislative Drafting</w:t>
      </w:r>
      <w:r>
        <w:rPr>
          <w:lang w:val="en-US"/>
        </w:rPr>
        <w:t xml:space="preserve"> (Cavendish 1993) 1.</w:t>
      </w:r>
    </w:p>
  </w:footnote>
  <w:footnote w:id="10">
    <w:p w:rsidR="00426C69" w:rsidRDefault="00426C69" w:rsidP="00F8176D">
      <w:pPr>
        <w:pStyle w:val="FootnoteText"/>
      </w:pPr>
      <w:r>
        <w:rPr>
          <w:rStyle w:val="FootnoteReference"/>
        </w:rPr>
        <w:footnoteRef/>
      </w:r>
      <w:r>
        <w:t xml:space="preserve"> Jeremy Waldron, ‘Legislation and the Rule of Law’ [2007] 1 Legisprudence 91, 96.</w:t>
      </w:r>
    </w:p>
  </w:footnote>
  <w:footnote w:id="11">
    <w:p w:rsidR="00426C69" w:rsidRDefault="00426C69" w:rsidP="00F8176D">
      <w:pPr>
        <w:pStyle w:val="FootnoteText"/>
      </w:pPr>
      <w:r>
        <w:rPr>
          <w:rStyle w:val="FootnoteReference"/>
        </w:rPr>
        <w:footnoteRef/>
      </w:r>
      <w:r>
        <w:t xml:space="preserve"> Ian McLeod, </w:t>
      </w:r>
      <w:r w:rsidRPr="007B796D">
        <w:rPr>
          <w:i/>
        </w:rPr>
        <w:t>Principles of Legislative and Regulatory Drafting</w:t>
      </w:r>
      <w:r>
        <w:t xml:space="preserve"> (Hart Publishing 2009) 2.</w:t>
      </w:r>
    </w:p>
  </w:footnote>
  <w:footnote w:id="12">
    <w:p w:rsidR="00426C69" w:rsidRPr="00265924" w:rsidRDefault="00426C69" w:rsidP="00F8176D">
      <w:pPr>
        <w:pStyle w:val="FootnoteText"/>
      </w:pPr>
      <w:r>
        <w:rPr>
          <w:rStyle w:val="FootnoteReference"/>
        </w:rPr>
        <w:footnoteRef/>
      </w:r>
      <w:r>
        <w:t xml:space="preserve"> Office of Parliamentary Counsel UK (OPC UK), ‘When Laws Become Too Complex: A Review into the Causes of Complex Legislation’ (March 2013) 1. &lt;</w:t>
      </w:r>
      <w:r w:rsidRPr="00657578">
        <w:t>https://www.gov.uk/government/uploads/system/uploads/attachment_data/file/187015/GoodLaw_report_8April_AP.pdf</w:t>
      </w:r>
      <w:r>
        <w:t>&gt; accessed 19 August 2015</w:t>
      </w:r>
    </w:p>
  </w:footnote>
  <w:footnote w:id="13">
    <w:p w:rsidR="00426C69" w:rsidRPr="003D54BD" w:rsidRDefault="00426C69" w:rsidP="00F8176D">
      <w:pPr>
        <w:pStyle w:val="FootnoteText"/>
        <w:rPr>
          <w:lang w:val="en-US"/>
        </w:rPr>
      </w:pPr>
      <w:r>
        <w:rPr>
          <w:rStyle w:val="FootnoteReference"/>
        </w:rPr>
        <w:footnoteRef/>
      </w:r>
      <w:r>
        <w:t xml:space="preserve"> Helen Xanthaki, </w:t>
      </w:r>
      <w:r w:rsidRPr="000351C5">
        <w:rPr>
          <w:i/>
        </w:rPr>
        <w:t xml:space="preserve">Drafting Legislation: Art and Technology of Rules for Regulation </w:t>
      </w:r>
      <w:r>
        <w:t>(Hart Publishing 2014) 3.</w:t>
      </w:r>
    </w:p>
  </w:footnote>
  <w:footnote w:id="14">
    <w:p w:rsidR="00426C69" w:rsidRPr="005F6A43" w:rsidRDefault="00426C69" w:rsidP="00F8176D">
      <w:pPr>
        <w:pStyle w:val="FootnoteText"/>
        <w:rPr>
          <w:lang w:val="en-US"/>
        </w:rPr>
      </w:pPr>
      <w:r>
        <w:rPr>
          <w:rStyle w:val="FootnoteReference"/>
        </w:rPr>
        <w:footnoteRef/>
      </w:r>
      <w:r>
        <w:t xml:space="preserve"> </w:t>
      </w:r>
      <w:r>
        <w:rPr>
          <w:lang w:val="en-US"/>
        </w:rPr>
        <w:t>Duncan Berry, ‘Keeping the Statute Book Up-To-Date-A Personal View’ (2007) The Loophole 33.</w:t>
      </w:r>
      <w:r w:rsidRPr="00FE37F1">
        <w:t xml:space="preserve"> </w:t>
      </w:r>
      <w:r>
        <w:t>&lt;</w:t>
      </w:r>
      <w:r w:rsidRPr="00FE37F1">
        <w:rPr>
          <w:lang w:val="en-US"/>
        </w:rPr>
        <w:t>https://www.opc.gov.au/calc/docs/Loophole_papers/Berry_Oct2007.pdf</w:t>
      </w:r>
      <w:r>
        <w:rPr>
          <w:lang w:val="en-US"/>
        </w:rPr>
        <w:t>&gt; accessed 19 August 2015</w:t>
      </w:r>
    </w:p>
  </w:footnote>
  <w:footnote w:id="15">
    <w:p w:rsidR="00426C69" w:rsidRDefault="00426C69">
      <w:pPr>
        <w:pStyle w:val="FootnoteText"/>
      </w:pPr>
      <w:r>
        <w:rPr>
          <w:rStyle w:val="FootnoteReference"/>
        </w:rPr>
        <w:footnoteRef/>
      </w:r>
      <w:r>
        <w:t xml:space="preserve"> Tom Bingham, </w:t>
      </w:r>
      <w:r w:rsidRPr="003D55DA">
        <w:rPr>
          <w:i/>
        </w:rPr>
        <w:t>The Rule of Law</w:t>
      </w:r>
      <w:r>
        <w:t xml:space="preserve"> (Allen Lane 2010) vii.</w:t>
      </w:r>
    </w:p>
  </w:footnote>
  <w:footnote w:id="16">
    <w:p w:rsidR="00426C69" w:rsidRDefault="00426C69" w:rsidP="00F8176D">
      <w:pPr>
        <w:pStyle w:val="FootnoteText"/>
      </w:pPr>
      <w:r>
        <w:rPr>
          <w:rStyle w:val="FootnoteReference"/>
        </w:rPr>
        <w:footnoteRef/>
      </w:r>
      <w:r>
        <w:t xml:space="preserve"> ibid 37.</w:t>
      </w:r>
    </w:p>
  </w:footnote>
  <w:footnote w:id="17">
    <w:p w:rsidR="00426C69" w:rsidRDefault="00426C69" w:rsidP="00F8176D">
      <w:pPr>
        <w:pStyle w:val="FootnoteText"/>
      </w:pPr>
      <w:r>
        <w:rPr>
          <w:rStyle w:val="FootnoteReference"/>
        </w:rPr>
        <w:footnoteRef/>
      </w:r>
      <w:r>
        <w:t xml:space="preserve"> See </w:t>
      </w:r>
      <w:r w:rsidRPr="00521054">
        <w:t xml:space="preserve">JF Burrows and RI Carter, </w:t>
      </w:r>
      <w:r w:rsidRPr="00521054">
        <w:rPr>
          <w:i/>
        </w:rPr>
        <w:t>Statute Law in New Zealand</w:t>
      </w:r>
      <w:r w:rsidRPr="00521054">
        <w:t xml:space="preserve"> (4</w:t>
      </w:r>
      <w:r w:rsidRPr="00521054">
        <w:rPr>
          <w:vertAlign w:val="superscript"/>
        </w:rPr>
        <w:t>th</w:t>
      </w:r>
      <w:r>
        <w:t xml:space="preserve"> edn, </w:t>
      </w:r>
      <w:r w:rsidRPr="00521054">
        <w:t>LexisNexis</w:t>
      </w:r>
      <w:r>
        <w:t xml:space="preserve"> 2009</w:t>
      </w:r>
      <w:r w:rsidRPr="00521054">
        <w:t>) 141-</w:t>
      </w:r>
      <w:r>
        <w:t xml:space="preserve"> where the authors stated that a</w:t>
      </w:r>
      <w:r w:rsidRPr="00521054">
        <w:t xml:space="preserve">ccess to laws </w:t>
      </w:r>
      <w:r>
        <w:t>implies</w:t>
      </w:r>
      <w:r w:rsidRPr="00521054">
        <w:t xml:space="preserve">- </w:t>
      </w:r>
      <w:r>
        <w:t xml:space="preserve">physical </w:t>
      </w:r>
      <w:r w:rsidRPr="00521054">
        <w:t xml:space="preserve">availability of the law, navigability of the law and clarity of the law. </w:t>
      </w:r>
      <w:r>
        <w:t>See also, Lord Neuberger, ‘Justice in the Age of Austerity’ (Speech at Tom Sargant Memorial Lecture, 15 October 2013) para 2, where Lord Neuberger stated that ‘laws must be freely accessible: that means as available as possible and as understandable as possible’.</w:t>
      </w:r>
      <w:r w:rsidRPr="00B95DA3">
        <w:t xml:space="preserve"> </w:t>
      </w:r>
      <w:r>
        <w:t>&lt;</w:t>
      </w:r>
      <w:r w:rsidRPr="00B95DA3">
        <w:t>https://www.supremecourt.uk/docs/speech-131015.pdf</w:t>
      </w:r>
      <w:r>
        <w:t>&gt; accessed 24 August 2015</w:t>
      </w:r>
    </w:p>
  </w:footnote>
  <w:footnote w:id="18">
    <w:p w:rsidR="00426C69" w:rsidRPr="00827214" w:rsidRDefault="00426C69" w:rsidP="00F8176D">
      <w:pPr>
        <w:pStyle w:val="FootnoteText"/>
        <w:rPr>
          <w:lang w:val="en-US"/>
        </w:rPr>
      </w:pPr>
      <w:r>
        <w:rPr>
          <w:rStyle w:val="FootnoteReference"/>
        </w:rPr>
        <w:footnoteRef/>
      </w:r>
      <w:r>
        <w:t xml:space="preserve"> </w:t>
      </w:r>
      <w:r>
        <w:rPr>
          <w:lang w:val="en-US"/>
        </w:rPr>
        <w:t>Bingham (n15) 38.</w:t>
      </w:r>
    </w:p>
  </w:footnote>
  <w:footnote w:id="19">
    <w:p w:rsidR="00426C69" w:rsidRDefault="00426C69" w:rsidP="00F8176D">
      <w:pPr>
        <w:pStyle w:val="FootnoteText"/>
      </w:pPr>
      <w:r>
        <w:rPr>
          <w:rStyle w:val="FootnoteReference"/>
        </w:rPr>
        <w:footnoteRef/>
      </w:r>
      <w:r>
        <w:t xml:space="preserve"> The Renton Committee, </w:t>
      </w:r>
      <w:r w:rsidRPr="001D3CBC">
        <w:rPr>
          <w:i/>
        </w:rPr>
        <w:t>The Preparation of Legislation: Report of a Committee Appointed by the Lord President of the Council</w:t>
      </w:r>
      <w:r>
        <w:t>, (Cmnd 6053, 1975) 1.</w:t>
      </w:r>
    </w:p>
  </w:footnote>
  <w:footnote w:id="20">
    <w:p w:rsidR="00426C69" w:rsidRDefault="00426C69" w:rsidP="00F8176D">
      <w:pPr>
        <w:pStyle w:val="FootnoteText"/>
      </w:pPr>
      <w:r>
        <w:rPr>
          <w:rStyle w:val="FootnoteReference"/>
        </w:rPr>
        <w:footnoteRef/>
      </w:r>
      <w:r>
        <w:t xml:space="preserve"> OPC UK (n12) 29.</w:t>
      </w:r>
    </w:p>
  </w:footnote>
  <w:footnote w:id="21">
    <w:p w:rsidR="00426C69" w:rsidRDefault="00426C69" w:rsidP="00F8176D">
      <w:pPr>
        <w:pStyle w:val="FootnoteText"/>
      </w:pPr>
      <w:r>
        <w:rPr>
          <w:rStyle w:val="FootnoteReference"/>
        </w:rPr>
        <w:footnoteRef/>
      </w:r>
      <w:r>
        <w:t xml:space="preserve"> Karpen (n1) 217.</w:t>
      </w:r>
    </w:p>
  </w:footnote>
  <w:footnote w:id="22">
    <w:p w:rsidR="00426C69" w:rsidRPr="00D4779F" w:rsidRDefault="00426C69" w:rsidP="00F8176D">
      <w:pPr>
        <w:pStyle w:val="FootnoteText"/>
        <w:rPr>
          <w:lang w:val="en-US"/>
        </w:rPr>
      </w:pPr>
      <w:r>
        <w:rPr>
          <w:rStyle w:val="FootnoteReference"/>
        </w:rPr>
        <w:footnoteRef/>
      </w:r>
      <w:r>
        <w:t xml:space="preserve"> OPC UK (n12) 1.</w:t>
      </w:r>
    </w:p>
  </w:footnote>
  <w:footnote w:id="23">
    <w:p w:rsidR="00426C69" w:rsidRDefault="00426C69" w:rsidP="00F8176D">
      <w:pPr>
        <w:pStyle w:val="FootnoteText"/>
      </w:pPr>
      <w:r>
        <w:rPr>
          <w:rStyle w:val="FootnoteReference"/>
        </w:rPr>
        <w:footnoteRef/>
      </w:r>
      <w:r>
        <w:t xml:space="preserve"> Paul Saliember, </w:t>
      </w:r>
      <w:r w:rsidRPr="0036613D">
        <w:rPr>
          <w:i/>
        </w:rPr>
        <w:t>Legal and Legislative Drafting</w:t>
      </w:r>
      <w:r>
        <w:t xml:space="preserve"> (LexisNexis 2009) 1.</w:t>
      </w:r>
    </w:p>
  </w:footnote>
  <w:footnote w:id="24">
    <w:p w:rsidR="00426C69" w:rsidRDefault="00426C69" w:rsidP="00F8176D">
      <w:pPr>
        <w:pStyle w:val="FootnoteText"/>
      </w:pPr>
      <w:r>
        <w:rPr>
          <w:rStyle w:val="FootnoteReference"/>
        </w:rPr>
        <w:footnoteRef/>
      </w:r>
      <w:r>
        <w:t xml:space="preserve"> Law Reform Commission of Victoria (LRCV), </w:t>
      </w:r>
      <w:r>
        <w:rPr>
          <w:i/>
        </w:rPr>
        <w:t xml:space="preserve">Appendix 1, </w:t>
      </w:r>
      <w:r w:rsidRPr="001E1873">
        <w:rPr>
          <w:i/>
        </w:rPr>
        <w:t>Plain English and the Law</w:t>
      </w:r>
      <w:r>
        <w:rPr>
          <w:i/>
        </w:rPr>
        <w:t>: Drafting Manual,</w:t>
      </w:r>
      <w:r>
        <w:t xml:space="preserve"> para 6.</w:t>
      </w:r>
    </w:p>
  </w:footnote>
  <w:footnote w:id="25">
    <w:p w:rsidR="00426C69" w:rsidRPr="00DF0AC4" w:rsidRDefault="00426C69" w:rsidP="00F8176D">
      <w:pPr>
        <w:pStyle w:val="FootnoteText"/>
        <w:rPr>
          <w:lang w:val="en-US"/>
        </w:rPr>
      </w:pPr>
      <w:r>
        <w:rPr>
          <w:rStyle w:val="FootnoteReference"/>
        </w:rPr>
        <w:footnoteRef/>
      </w:r>
      <w:r>
        <w:t xml:space="preserve"> Richard C Nzerem, ‘The Role of the Legislative Drafter in Promoting Social Transformation’ in Constantin Stefanou and Helen Xanthaki (eds) </w:t>
      </w:r>
      <w:r w:rsidRPr="00001147">
        <w:rPr>
          <w:i/>
        </w:rPr>
        <w:t>Drafting Legislation: A Modern Approach</w:t>
      </w:r>
      <w:r>
        <w:rPr>
          <w:i/>
        </w:rPr>
        <w:t xml:space="preserve"> (</w:t>
      </w:r>
      <w:r>
        <w:t xml:space="preserve">Ashgate Publishing 2008) </w:t>
      </w:r>
      <w:r>
        <w:rPr>
          <w:lang w:val="en-US"/>
        </w:rPr>
        <w:t>143.</w:t>
      </w:r>
    </w:p>
  </w:footnote>
  <w:footnote w:id="26">
    <w:p w:rsidR="00426C69" w:rsidRDefault="00426C69" w:rsidP="00F8176D">
      <w:pPr>
        <w:pStyle w:val="FootnoteText"/>
      </w:pPr>
      <w:r>
        <w:rPr>
          <w:rStyle w:val="FootnoteReference"/>
        </w:rPr>
        <w:footnoteRef/>
      </w:r>
      <w:r>
        <w:t xml:space="preserve"> Robert French, ‘Law-Complexity and Moral Clarity’ (Speech at North West Law Association and Murray Mallee Community Legal Service, 19 May 2013) 13.</w:t>
      </w:r>
      <w:r w:rsidRPr="00685F80">
        <w:t xml:space="preserve"> </w:t>
      </w:r>
      <w:r>
        <w:t>&lt;</w:t>
      </w:r>
      <w:r w:rsidRPr="00685F80">
        <w:t>http://www.hcourt.gov.au/assets/publications/speeches/current-justices/frenchcj/frenchcj19may13.pdf</w:t>
      </w:r>
      <w:r>
        <w:t>&gt; accessed 17 August 2015</w:t>
      </w:r>
    </w:p>
  </w:footnote>
  <w:footnote w:id="27">
    <w:p w:rsidR="00426C69" w:rsidRDefault="00426C69" w:rsidP="00F8176D">
      <w:pPr>
        <w:pStyle w:val="FootnoteText"/>
      </w:pPr>
      <w:r>
        <w:rPr>
          <w:rStyle w:val="FootnoteReference"/>
        </w:rPr>
        <w:footnoteRef/>
      </w:r>
      <w:r>
        <w:t xml:space="preserve"> McLeod (n11) 1.</w:t>
      </w:r>
    </w:p>
  </w:footnote>
  <w:footnote w:id="28">
    <w:p w:rsidR="00426C69" w:rsidRDefault="00426C69" w:rsidP="00F8176D">
      <w:pPr>
        <w:pStyle w:val="FootnoteText"/>
      </w:pPr>
      <w:r>
        <w:rPr>
          <w:rStyle w:val="FootnoteReference"/>
        </w:rPr>
        <w:footnoteRef/>
      </w:r>
      <w:r>
        <w:t xml:space="preserve"> French (n26) 13.</w:t>
      </w:r>
    </w:p>
  </w:footnote>
  <w:footnote w:id="29">
    <w:p w:rsidR="00426C69" w:rsidRDefault="00426C69" w:rsidP="00F8176D">
      <w:pPr>
        <w:pStyle w:val="FootnoteText"/>
      </w:pPr>
      <w:r>
        <w:rPr>
          <w:rStyle w:val="FootnoteReference"/>
        </w:rPr>
        <w:footnoteRef/>
      </w:r>
      <w:r>
        <w:t xml:space="preserve"> McLeod (n11) 1.</w:t>
      </w:r>
    </w:p>
  </w:footnote>
  <w:footnote w:id="30">
    <w:p w:rsidR="00426C69" w:rsidRDefault="00426C69" w:rsidP="00F8176D">
      <w:pPr>
        <w:pStyle w:val="FootnoteText"/>
      </w:pPr>
      <w:r>
        <w:rPr>
          <w:rStyle w:val="FootnoteReference"/>
        </w:rPr>
        <w:footnoteRef/>
      </w:r>
      <w:r>
        <w:t xml:space="preserve"> French (n26) 13.</w:t>
      </w:r>
    </w:p>
  </w:footnote>
  <w:footnote w:id="31">
    <w:p w:rsidR="00426C69" w:rsidRDefault="00426C69" w:rsidP="00A32411">
      <w:pPr>
        <w:pStyle w:val="FootnoteText"/>
      </w:pPr>
      <w:r>
        <w:rPr>
          <w:rStyle w:val="FootnoteReference"/>
        </w:rPr>
        <w:footnoteRef/>
      </w:r>
      <w:r>
        <w:t xml:space="preserve"> Michael Gove, ‘What Does a One Nation Justice Policy Looks Like?’ (Speech at Legatum Institute, 23 June 2015). &lt;</w:t>
      </w:r>
      <w:r w:rsidRPr="00C7722E">
        <w:t>https://www.gov.uk/government/speeches/what-does-a-one-nation-justice-policy-look-like</w:t>
      </w:r>
      <w:r>
        <w:t>&gt; accessed 17 August 2015</w:t>
      </w:r>
    </w:p>
  </w:footnote>
  <w:footnote w:id="32">
    <w:p w:rsidR="00426C69" w:rsidRPr="00574B45" w:rsidRDefault="00426C69" w:rsidP="002C0E3B">
      <w:pPr>
        <w:pStyle w:val="FootnoteText"/>
        <w:rPr>
          <w:rFonts w:ascii="Book Antiqua" w:hAnsi="Book Antiqua"/>
        </w:rPr>
      </w:pPr>
      <w:r>
        <w:rPr>
          <w:rStyle w:val="FootnoteReference"/>
        </w:rPr>
        <w:footnoteRef/>
      </w:r>
      <w:r>
        <w:t xml:space="preserve"> Susan Krongold, ‘</w:t>
      </w:r>
      <w:r w:rsidRPr="00574B45">
        <w:rPr>
          <w:rFonts w:ascii="Book Antiqua" w:hAnsi="Book Antiqua"/>
        </w:rPr>
        <w:t>Writing Laws: Making them Easier to Understand’</w:t>
      </w:r>
      <w:r>
        <w:rPr>
          <w:rFonts w:ascii="Book Antiqua" w:hAnsi="Book Antiqua"/>
        </w:rPr>
        <w:t xml:space="preserve"> [1992] 24 Ottawa L Rev 495, </w:t>
      </w:r>
      <w:r>
        <w:t>505.</w:t>
      </w:r>
    </w:p>
  </w:footnote>
  <w:footnote w:id="33">
    <w:p w:rsidR="00426C69" w:rsidRDefault="00426C69">
      <w:pPr>
        <w:pStyle w:val="FootnoteText"/>
      </w:pPr>
      <w:r>
        <w:rPr>
          <w:rStyle w:val="FootnoteReference"/>
        </w:rPr>
        <w:footnoteRef/>
      </w:r>
      <w:r>
        <w:t xml:space="preserve"> Bingham (n15) 8.</w:t>
      </w:r>
    </w:p>
  </w:footnote>
  <w:footnote w:id="34">
    <w:p w:rsidR="00426C69" w:rsidRDefault="00426C69">
      <w:pPr>
        <w:pStyle w:val="FootnoteText"/>
      </w:pPr>
      <w:r>
        <w:rPr>
          <w:rStyle w:val="FootnoteReference"/>
        </w:rPr>
        <w:footnoteRef/>
      </w:r>
      <w:r>
        <w:t xml:space="preserve"> Karpen (n1) 217.</w:t>
      </w:r>
    </w:p>
  </w:footnote>
  <w:footnote w:id="35">
    <w:p w:rsidR="00426C69" w:rsidRDefault="00426C69" w:rsidP="00E84E57">
      <w:pPr>
        <w:pStyle w:val="FootnoteText"/>
      </w:pPr>
      <w:r>
        <w:rPr>
          <w:rStyle w:val="FootnoteReference"/>
        </w:rPr>
        <w:footnoteRef/>
      </w:r>
      <w:r>
        <w:t xml:space="preserve"> [2006] CCJ 1 (AJ) at 20.</w:t>
      </w:r>
    </w:p>
  </w:footnote>
  <w:footnote w:id="36">
    <w:p w:rsidR="00426C69" w:rsidRPr="006068C4" w:rsidRDefault="00426C69" w:rsidP="00FB0DAA">
      <w:pPr>
        <w:pStyle w:val="FootnoteText"/>
        <w:rPr>
          <w:lang w:val="en-US"/>
        </w:rPr>
      </w:pPr>
      <w:r>
        <w:rPr>
          <w:rStyle w:val="FootnoteReference"/>
        </w:rPr>
        <w:footnoteRef/>
      </w:r>
      <w:r>
        <w:t xml:space="preserve"> Lord Simon, ‘</w:t>
      </w:r>
      <w:r>
        <w:rPr>
          <w:lang w:val="en-US"/>
        </w:rPr>
        <w:t>The Renton Report-Ten Years On’ [1985] 6 SLR 133.</w:t>
      </w:r>
    </w:p>
  </w:footnote>
  <w:footnote w:id="37">
    <w:p w:rsidR="00426C69" w:rsidRDefault="00426C69" w:rsidP="004917F0">
      <w:pPr>
        <w:pStyle w:val="FootnoteText"/>
      </w:pPr>
      <w:r>
        <w:rPr>
          <w:rStyle w:val="FootnoteReference"/>
        </w:rPr>
        <w:footnoteRef/>
      </w:r>
      <w:r>
        <w:t xml:space="preserve"> [1979] HCA 53 para 5.</w:t>
      </w:r>
    </w:p>
  </w:footnote>
  <w:footnote w:id="38">
    <w:p w:rsidR="00426C69" w:rsidRPr="006A3070" w:rsidRDefault="00426C69" w:rsidP="004917F0">
      <w:pPr>
        <w:pStyle w:val="FootnoteText"/>
        <w:rPr>
          <w:lang w:val="en-US"/>
        </w:rPr>
      </w:pPr>
      <w:r>
        <w:rPr>
          <w:rStyle w:val="FootnoteReference"/>
        </w:rPr>
        <w:footnoteRef/>
      </w:r>
      <w:r>
        <w:t xml:space="preserve"> </w:t>
      </w:r>
      <w:r>
        <w:rPr>
          <w:lang w:val="en-US"/>
        </w:rPr>
        <w:t>Xanthaki (n13) 86.</w:t>
      </w:r>
    </w:p>
  </w:footnote>
  <w:footnote w:id="39">
    <w:p w:rsidR="00426C69" w:rsidRPr="009037BB" w:rsidRDefault="00426C69" w:rsidP="009469A5">
      <w:pPr>
        <w:pStyle w:val="FootnoteText"/>
        <w:rPr>
          <w:lang w:val="en-US"/>
        </w:rPr>
      </w:pPr>
      <w:r>
        <w:rPr>
          <w:rStyle w:val="FootnoteReference"/>
        </w:rPr>
        <w:footnoteRef/>
      </w:r>
      <w:r>
        <w:t xml:space="preserve"> Margaret  Ng, ‘Legislative Drafting: A Lawmaker’s Perspective’ (2010) The Loophole 78, </w:t>
      </w:r>
      <w:r>
        <w:rPr>
          <w:lang w:val="en-US"/>
        </w:rPr>
        <w:t>83.</w:t>
      </w:r>
      <w:r w:rsidRPr="00CB7970">
        <w:t xml:space="preserve"> </w:t>
      </w:r>
      <w:r>
        <w:t>&lt;</w:t>
      </w:r>
      <w:r w:rsidRPr="00CB7970">
        <w:rPr>
          <w:lang w:val="en-US"/>
        </w:rPr>
        <w:t>http://www.opc.gov.au/calc/docs/Loophole_papers/Ng_Dec%202010.pdf</w:t>
      </w:r>
      <w:r>
        <w:rPr>
          <w:lang w:val="en-US"/>
        </w:rPr>
        <w:t>&gt; accessed 7 August 2015</w:t>
      </w:r>
    </w:p>
  </w:footnote>
  <w:footnote w:id="40">
    <w:p w:rsidR="00426C69" w:rsidRPr="00706215" w:rsidRDefault="00426C69">
      <w:pPr>
        <w:pStyle w:val="FootnoteText"/>
        <w:rPr>
          <w:lang w:val="en-US"/>
        </w:rPr>
      </w:pPr>
      <w:r>
        <w:rPr>
          <w:rStyle w:val="FootnoteReference"/>
        </w:rPr>
        <w:footnoteRef/>
      </w:r>
      <w:r>
        <w:t xml:space="preserve"> Ann Seidman, Robert B Seidman and Nalin Abeyeskere, </w:t>
      </w:r>
      <w:r w:rsidRPr="002A0A64">
        <w:rPr>
          <w:i/>
        </w:rPr>
        <w:t>Legislative Drafting for Democratic Social Change: A Manual for Drafters</w:t>
      </w:r>
      <w:r>
        <w:t xml:space="preserve"> (Kluwer Law International 2001) 257.</w:t>
      </w:r>
    </w:p>
  </w:footnote>
  <w:footnote w:id="41">
    <w:p w:rsidR="00426C69" w:rsidRPr="00D67F3B" w:rsidRDefault="00426C69" w:rsidP="00C0467C">
      <w:pPr>
        <w:pStyle w:val="FootnoteText"/>
        <w:rPr>
          <w:lang w:val="en-US"/>
        </w:rPr>
      </w:pPr>
      <w:r>
        <w:rPr>
          <w:rStyle w:val="FootnoteReference"/>
        </w:rPr>
        <w:footnoteRef/>
      </w:r>
      <w:r>
        <w:t xml:space="preserve"> </w:t>
      </w:r>
      <w:r>
        <w:rPr>
          <w:lang w:val="en-US"/>
        </w:rPr>
        <w:t xml:space="preserve">Ruth Sullivan, ‘Some Implications of Plain Language Drafting’ [2001] 22 SLR 145, 148. </w:t>
      </w:r>
    </w:p>
  </w:footnote>
  <w:footnote w:id="42">
    <w:p w:rsidR="00426C69" w:rsidRPr="0012395C" w:rsidRDefault="00426C69" w:rsidP="00805BFB">
      <w:pPr>
        <w:pStyle w:val="FootnoteText"/>
        <w:rPr>
          <w:lang w:val="en-US"/>
        </w:rPr>
      </w:pPr>
      <w:r>
        <w:rPr>
          <w:rStyle w:val="FootnoteReference"/>
        </w:rPr>
        <w:footnoteRef/>
      </w:r>
      <w:r>
        <w:t xml:space="preserve"> Hilaire Barnett, </w:t>
      </w:r>
      <w:r w:rsidRPr="008328E6">
        <w:rPr>
          <w:i/>
        </w:rPr>
        <w:t>Constitutional and Administrative Law</w:t>
      </w:r>
      <w:r>
        <w:t xml:space="preserve"> (10</w:t>
      </w:r>
      <w:r w:rsidRPr="000C2814">
        <w:rPr>
          <w:vertAlign w:val="superscript"/>
        </w:rPr>
        <w:t>th</w:t>
      </w:r>
      <w:r>
        <w:t xml:space="preserve"> edn, Routledge 2013) 57.</w:t>
      </w:r>
    </w:p>
  </w:footnote>
  <w:footnote w:id="43">
    <w:p w:rsidR="00426C69" w:rsidRPr="00A869F0" w:rsidRDefault="00426C69" w:rsidP="00805BFB">
      <w:pPr>
        <w:pStyle w:val="FootnoteText"/>
        <w:rPr>
          <w:lang w:val="en-US"/>
        </w:rPr>
      </w:pPr>
      <w:r>
        <w:rPr>
          <w:rStyle w:val="FootnoteReference"/>
        </w:rPr>
        <w:footnoteRef/>
      </w:r>
      <w:r>
        <w:t xml:space="preserve"> </w:t>
      </w:r>
      <w:r>
        <w:rPr>
          <w:lang w:val="en-US"/>
        </w:rPr>
        <w:t>Krongold (n32) 501.</w:t>
      </w:r>
    </w:p>
  </w:footnote>
  <w:footnote w:id="44">
    <w:p w:rsidR="00426C69" w:rsidRPr="00FA57D4" w:rsidRDefault="00426C69" w:rsidP="00151864">
      <w:pPr>
        <w:pStyle w:val="FootnoteText"/>
        <w:rPr>
          <w:lang w:val="en-US"/>
        </w:rPr>
      </w:pPr>
      <w:r>
        <w:rPr>
          <w:rStyle w:val="FootnoteReference"/>
        </w:rPr>
        <w:footnoteRef/>
      </w:r>
      <w:r>
        <w:t xml:space="preserve"> </w:t>
      </w:r>
      <w:r>
        <w:rPr>
          <w:lang w:val="en-US"/>
        </w:rPr>
        <w:t xml:space="preserve">Lon L Fuller, </w:t>
      </w:r>
      <w:r w:rsidRPr="00577728">
        <w:rPr>
          <w:i/>
          <w:lang w:val="en-US"/>
        </w:rPr>
        <w:t>The Morality of Law</w:t>
      </w:r>
      <w:r>
        <w:rPr>
          <w:lang w:val="en-US"/>
        </w:rPr>
        <w:t xml:space="preserve"> (revised edn, YUP</w:t>
      </w:r>
      <w:r w:rsidRPr="000238D3">
        <w:rPr>
          <w:lang w:val="en-US"/>
        </w:rPr>
        <w:t xml:space="preserve"> </w:t>
      </w:r>
      <w:r>
        <w:rPr>
          <w:lang w:val="en-US"/>
        </w:rPr>
        <w:t>1969) 39.</w:t>
      </w:r>
    </w:p>
  </w:footnote>
  <w:footnote w:id="45">
    <w:p w:rsidR="00426C69" w:rsidRDefault="00426C69">
      <w:pPr>
        <w:pStyle w:val="FootnoteText"/>
      </w:pPr>
      <w:r>
        <w:rPr>
          <w:rStyle w:val="FootnoteReference"/>
        </w:rPr>
        <w:footnoteRef/>
      </w:r>
      <w:r>
        <w:t xml:space="preserve"> Sullivan (n41) 148.</w:t>
      </w:r>
    </w:p>
  </w:footnote>
  <w:footnote w:id="46">
    <w:p w:rsidR="00426C69" w:rsidRPr="00FB0DCD" w:rsidRDefault="00426C69" w:rsidP="00805BFB">
      <w:pPr>
        <w:pStyle w:val="FootnoteText"/>
        <w:rPr>
          <w:lang w:val="en-US"/>
        </w:rPr>
      </w:pPr>
      <w:r>
        <w:rPr>
          <w:rStyle w:val="FootnoteReference"/>
        </w:rPr>
        <w:footnoteRef/>
      </w:r>
      <w:r>
        <w:t xml:space="preserve"> </w:t>
      </w:r>
      <w:r>
        <w:rPr>
          <w:lang w:val="en-US"/>
        </w:rPr>
        <w:t>Murphy (n2) 241.</w:t>
      </w:r>
    </w:p>
  </w:footnote>
  <w:footnote w:id="47">
    <w:p w:rsidR="00426C69" w:rsidRDefault="00426C69" w:rsidP="00805BFB">
      <w:pPr>
        <w:pStyle w:val="FootnoteText"/>
      </w:pPr>
      <w:r>
        <w:rPr>
          <w:rStyle w:val="FootnoteReference"/>
        </w:rPr>
        <w:footnoteRef/>
      </w:r>
      <w:r>
        <w:t xml:space="preserve"> [1975] AC 591, 638.</w:t>
      </w:r>
    </w:p>
  </w:footnote>
  <w:footnote w:id="48">
    <w:p w:rsidR="00426C69" w:rsidRDefault="00426C69">
      <w:pPr>
        <w:pStyle w:val="FootnoteText"/>
      </w:pPr>
      <w:r>
        <w:rPr>
          <w:rStyle w:val="FootnoteReference"/>
        </w:rPr>
        <w:footnoteRef/>
      </w:r>
      <w:r>
        <w:t xml:space="preserve"> LRCV (n24) para 7.</w:t>
      </w:r>
    </w:p>
  </w:footnote>
  <w:footnote w:id="49">
    <w:p w:rsidR="00426C69" w:rsidRDefault="00426C69" w:rsidP="004939CD">
      <w:pPr>
        <w:pStyle w:val="FootnoteText"/>
        <w:rPr>
          <w:lang w:val="en-US"/>
        </w:rPr>
      </w:pPr>
      <w:r>
        <w:rPr>
          <w:rStyle w:val="FootnoteReference"/>
        </w:rPr>
        <w:footnoteRef/>
      </w:r>
      <w:r>
        <w:t xml:space="preserve"> </w:t>
      </w:r>
      <w:r>
        <w:rPr>
          <w:lang w:val="en-US"/>
        </w:rPr>
        <w:t>George Tanner, ‘Drafting the Law-A Boring Job? The Role of the Parliamentary Counsel Office’ (3</w:t>
      </w:r>
      <w:r w:rsidRPr="00D31341">
        <w:rPr>
          <w:vertAlign w:val="superscript"/>
          <w:lang w:val="en-US"/>
        </w:rPr>
        <w:t>rd</w:t>
      </w:r>
      <w:r>
        <w:rPr>
          <w:lang w:val="en-US"/>
        </w:rPr>
        <w:t xml:space="preserve"> April 2006) para 35.</w:t>
      </w:r>
    </w:p>
    <w:p w:rsidR="00426C69" w:rsidRPr="005E10A0" w:rsidRDefault="00426C69" w:rsidP="002C0E3B">
      <w:pPr>
        <w:pStyle w:val="FootnoteText"/>
        <w:rPr>
          <w:lang w:val="en-US"/>
        </w:rPr>
      </w:pPr>
      <w:r w:rsidRPr="00D31341">
        <w:t xml:space="preserve"> </w:t>
      </w:r>
      <w:r>
        <w:t>&lt;</w:t>
      </w:r>
      <w:r w:rsidRPr="00D31341">
        <w:rPr>
          <w:lang w:val="en-US"/>
        </w:rPr>
        <w:t>http://www.lac.org.nz/assets/presentations/lac-seminar-tanner.pdf</w:t>
      </w:r>
      <w:r>
        <w:rPr>
          <w:lang w:val="en-US"/>
        </w:rPr>
        <w:t>&gt;  accessed 10 August 2015</w:t>
      </w:r>
    </w:p>
  </w:footnote>
  <w:footnote w:id="50">
    <w:p w:rsidR="00426C69" w:rsidRDefault="00426C69">
      <w:pPr>
        <w:pStyle w:val="FootnoteText"/>
      </w:pPr>
      <w:r>
        <w:rPr>
          <w:rStyle w:val="FootnoteReference"/>
        </w:rPr>
        <w:footnoteRef/>
      </w:r>
      <w:r>
        <w:t xml:space="preserve"> Tracy Robinson, Arif Bulkan and Adrian Saunders, </w:t>
      </w:r>
      <w:r w:rsidRPr="00D47975">
        <w:rPr>
          <w:i/>
        </w:rPr>
        <w:t>Fundamentals of Caribbean Constitutional Law</w:t>
      </w:r>
      <w:r>
        <w:t xml:space="preserve"> (Sweet &amp; Maxwell 2015) 270. </w:t>
      </w:r>
    </w:p>
  </w:footnote>
  <w:footnote w:id="51">
    <w:p w:rsidR="00426C69" w:rsidRDefault="00426C69" w:rsidP="00C0467C">
      <w:pPr>
        <w:pStyle w:val="FootnoteText"/>
      </w:pPr>
      <w:r>
        <w:rPr>
          <w:rStyle w:val="FootnoteReference"/>
        </w:rPr>
        <w:footnoteRef/>
      </w:r>
      <w:r>
        <w:t xml:space="preserve"> Karpen (n1) 219.</w:t>
      </w:r>
    </w:p>
  </w:footnote>
  <w:footnote w:id="52">
    <w:p w:rsidR="00426C69" w:rsidRPr="00574B45" w:rsidRDefault="00426C69" w:rsidP="00E03272">
      <w:pPr>
        <w:pStyle w:val="FootnoteText"/>
        <w:rPr>
          <w:rFonts w:ascii="Book Antiqua" w:hAnsi="Book Antiqua"/>
        </w:rPr>
      </w:pPr>
      <w:r>
        <w:rPr>
          <w:rStyle w:val="FootnoteReference"/>
        </w:rPr>
        <w:footnoteRef/>
      </w:r>
      <w:r>
        <w:t xml:space="preserve"> Tobias Dorsey,</w:t>
      </w:r>
      <w:r w:rsidRPr="00574B45">
        <w:rPr>
          <w:rFonts w:ascii="Book Antiqua" w:hAnsi="Book Antiqua"/>
          <w:i/>
          <w:sz w:val="24"/>
          <w:szCs w:val="24"/>
        </w:rPr>
        <w:t xml:space="preserve"> </w:t>
      </w:r>
      <w:r w:rsidRPr="00574B45">
        <w:rPr>
          <w:rFonts w:ascii="Book Antiqua" w:hAnsi="Book Antiqua"/>
          <w:i/>
        </w:rPr>
        <w:t>Legislative Drafter’s Deskbook-A Practical Guide</w:t>
      </w:r>
      <w:r w:rsidRPr="00574B45">
        <w:rPr>
          <w:rFonts w:ascii="Book Antiqua" w:hAnsi="Book Antiqua"/>
        </w:rPr>
        <w:t xml:space="preserve"> (The CapitolNet 20</w:t>
      </w:r>
      <w:r>
        <w:rPr>
          <w:rFonts w:ascii="Book Antiqua" w:hAnsi="Book Antiqua"/>
        </w:rPr>
        <w:t>06)</w:t>
      </w:r>
      <w:r w:rsidRPr="00574B45">
        <w:t xml:space="preserve"> 172.</w:t>
      </w:r>
    </w:p>
  </w:footnote>
  <w:footnote w:id="53">
    <w:p w:rsidR="00426C69" w:rsidRPr="002550F2" w:rsidRDefault="00426C69" w:rsidP="00683BE6">
      <w:pPr>
        <w:pStyle w:val="FootnoteText"/>
        <w:rPr>
          <w:lang w:val="en-US"/>
        </w:rPr>
      </w:pPr>
      <w:r>
        <w:rPr>
          <w:rStyle w:val="FootnoteReference"/>
        </w:rPr>
        <w:footnoteRef/>
      </w:r>
      <w:r>
        <w:t xml:space="preserve"> </w:t>
      </w:r>
      <w:r>
        <w:rPr>
          <w:lang w:val="en-US"/>
        </w:rPr>
        <w:t>[2005] EWCA Crim 20.</w:t>
      </w:r>
    </w:p>
  </w:footnote>
  <w:footnote w:id="54">
    <w:p w:rsidR="00426C69" w:rsidRPr="002F37EA" w:rsidRDefault="00426C69">
      <w:pPr>
        <w:pStyle w:val="FootnoteText"/>
        <w:rPr>
          <w:lang w:val="en-US"/>
        </w:rPr>
      </w:pPr>
      <w:r>
        <w:rPr>
          <w:rStyle w:val="FootnoteReference"/>
        </w:rPr>
        <w:footnoteRef/>
      </w:r>
      <w:r>
        <w:t xml:space="preserve"> </w:t>
      </w:r>
      <w:r>
        <w:rPr>
          <w:lang w:val="en-US"/>
        </w:rPr>
        <w:t>ibid [38] (Rose LJ).</w:t>
      </w:r>
    </w:p>
  </w:footnote>
  <w:footnote w:id="55">
    <w:p w:rsidR="00426C69" w:rsidRPr="00C919BD" w:rsidRDefault="00426C69" w:rsidP="00683BE6">
      <w:pPr>
        <w:pStyle w:val="FootnoteText"/>
        <w:rPr>
          <w:lang w:val="en-US"/>
        </w:rPr>
      </w:pPr>
      <w:r>
        <w:rPr>
          <w:rStyle w:val="FootnoteReference"/>
        </w:rPr>
        <w:footnoteRef/>
      </w:r>
      <w:r>
        <w:t xml:space="preserve"> ibid.</w:t>
      </w:r>
    </w:p>
  </w:footnote>
  <w:footnote w:id="56">
    <w:p w:rsidR="00426C69" w:rsidRDefault="00426C69">
      <w:pPr>
        <w:pStyle w:val="FootnoteText"/>
      </w:pPr>
      <w:r>
        <w:rPr>
          <w:rStyle w:val="FootnoteReference"/>
        </w:rPr>
        <w:footnoteRef/>
      </w:r>
      <w:r>
        <w:t xml:space="preserve"> Robinson, Bulkan and Saunders (n50) 276.</w:t>
      </w:r>
    </w:p>
  </w:footnote>
  <w:footnote w:id="57">
    <w:p w:rsidR="00426C69" w:rsidRDefault="00426C69">
      <w:pPr>
        <w:pStyle w:val="FootnoteText"/>
      </w:pPr>
      <w:r>
        <w:rPr>
          <w:rStyle w:val="FootnoteReference"/>
        </w:rPr>
        <w:footnoteRef/>
      </w:r>
      <w:r>
        <w:t xml:space="preserve"> Bingham (n15) 88.</w:t>
      </w:r>
    </w:p>
  </w:footnote>
  <w:footnote w:id="58">
    <w:p w:rsidR="00426C69" w:rsidRPr="00FE4E42" w:rsidRDefault="00426C69" w:rsidP="00FD390B">
      <w:pPr>
        <w:pStyle w:val="FootnoteText"/>
        <w:rPr>
          <w:lang w:val="en-US"/>
        </w:rPr>
      </w:pPr>
      <w:r>
        <w:rPr>
          <w:rStyle w:val="FootnoteReference"/>
        </w:rPr>
        <w:footnoteRef/>
      </w:r>
      <w:r>
        <w:t xml:space="preserve"> </w:t>
      </w:r>
      <w:r>
        <w:rPr>
          <w:lang w:val="en-US"/>
        </w:rPr>
        <w:t>John- Paul Boyd, ‘Legislative Intelligibility and the Rule of Law’ (16 January 2015).</w:t>
      </w:r>
      <w:r w:rsidRPr="008773FC">
        <w:t xml:space="preserve"> </w:t>
      </w:r>
      <w:r>
        <w:t>&lt;</w:t>
      </w:r>
      <w:r w:rsidRPr="008773FC">
        <w:rPr>
          <w:lang w:val="en-US"/>
        </w:rPr>
        <w:t>http://www.slaw.ca/2015/01/16/legislative-intelligibility-and-the-rule-of-law/</w:t>
      </w:r>
      <w:r>
        <w:rPr>
          <w:lang w:val="en-US"/>
        </w:rPr>
        <w:t>&gt; accessed 25 July 2015</w:t>
      </w:r>
    </w:p>
  </w:footnote>
  <w:footnote w:id="59">
    <w:p w:rsidR="00426C69" w:rsidRDefault="00426C69" w:rsidP="00FD390B">
      <w:pPr>
        <w:pStyle w:val="FootnoteText"/>
      </w:pPr>
      <w:r>
        <w:rPr>
          <w:rStyle w:val="FootnoteReference"/>
        </w:rPr>
        <w:footnoteRef/>
      </w:r>
      <w:r>
        <w:t xml:space="preserve"> Brian Tamanaha, ‘A Concise Guide to the Rule of Law’ (2007) Legal Studies Research Paper Series 8.</w:t>
      </w:r>
      <w:r w:rsidRPr="006B21D6">
        <w:t xml:space="preserve"> </w:t>
      </w:r>
      <w:r>
        <w:t>&lt;</w:t>
      </w:r>
      <w:r w:rsidRPr="006B21D6">
        <w:t>http://www.ruleoflawus.info/The%20Rule/Tamanha%20Concise%20Guide%20to%20Rule%20of%20Law.pdf</w:t>
      </w:r>
      <w:r>
        <w:t>&gt; accessed 10 August 2015</w:t>
      </w:r>
    </w:p>
  </w:footnote>
  <w:footnote w:id="60">
    <w:p w:rsidR="00426C69" w:rsidRDefault="00426C69">
      <w:pPr>
        <w:pStyle w:val="FootnoteText"/>
      </w:pPr>
      <w:r>
        <w:rPr>
          <w:rStyle w:val="FootnoteReference"/>
        </w:rPr>
        <w:footnoteRef/>
      </w:r>
      <w:r>
        <w:t xml:space="preserve"> Karpen (n1) 215.</w:t>
      </w:r>
    </w:p>
  </w:footnote>
  <w:footnote w:id="61">
    <w:p w:rsidR="00426C69" w:rsidRDefault="00426C69">
      <w:pPr>
        <w:pStyle w:val="FootnoteText"/>
      </w:pPr>
      <w:r>
        <w:rPr>
          <w:rStyle w:val="FootnoteReference"/>
        </w:rPr>
        <w:footnoteRef/>
      </w:r>
      <w:r>
        <w:t xml:space="preserve"> ibid 219.</w:t>
      </w:r>
    </w:p>
  </w:footnote>
  <w:footnote w:id="62">
    <w:p w:rsidR="00426C69" w:rsidRDefault="00426C69" w:rsidP="00B0060B">
      <w:pPr>
        <w:pStyle w:val="FootnoteText"/>
      </w:pPr>
      <w:r>
        <w:rPr>
          <w:rStyle w:val="FootnoteReference"/>
        </w:rPr>
        <w:footnoteRef/>
      </w:r>
      <w:r>
        <w:t xml:space="preserve"> </w:t>
      </w:r>
      <w:r w:rsidRPr="003E731E">
        <w:t>Oliver Heald, ‘The Role of the Law Officers’ (Speech at Kent Law School, 18</w:t>
      </w:r>
      <w:r w:rsidRPr="003E731E">
        <w:rPr>
          <w:vertAlign w:val="superscript"/>
        </w:rPr>
        <w:t xml:space="preserve"> </w:t>
      </w:r>
      <w:r w:rsidRPr="003E731E">
        <w:t>October 2012)</w:t>
      </w:r>
      <w:r>
        <w:t>.</w:t>
      </w:r>
      <w:r w:rsidRPr="003E731E">
        <w:t xml:space="preserve"> &lt;https://www.gov.uk/government/speeches/the-role-of-the-law-officers&gt; 29</w:t>
      </w:r>
      <w:r w:rsidRPr="003E731E">
        <w:rPr>
          <w:vertAlign w:val="superscript"/>
        </w:rPr>
        <w:t>th</w:t>
      </w:r>
      <w:r w:rsidRPr="003E731E">
        <w:t xml:space="preserve"> July 2015</w:t>
      </w:r>
    </w:p>
  </w:footnote>
  <w:footnote w:id="63">
    <w:p w:rsidR="00426C69" w:rsidRDefault="00426C69" w:rsidP="00FD2B70">
      <w:pPr>
        <w:pStyle w:val="FootnoteText"/>
        <w:rPr>
          <w:lang w:val="en-US"/>
        </w:rPr>
      </w:pPr>
      <w:r>
        <w:rPr>
          <w:rStyle w:val="FootnoteReference"/>
        </w:rPr>
        <w:footnoteRef/>
      </w:r>
      <w:r>
        <w:t xml:space="preserve"> </w:t>
      </w:r>
      <w:r>
        <w:rPr>
          <w:lang w:val="en-US"/>
        </w:rPr>
        <w:t>Mary Arden, ‘The Impact of Judicial Interpretation on Legislative Drafting’ (2008) The Loophole 4, 9.</w:t>
      </w:r>
    </w:p>
    <w:p w:rsidR="00426C69" w:rsidRPr="001F195C" w:rsidRDefault="00426C69" w:rsidP="00FD2B70">
      <w:pPr>
        <w:pStyle w:val="FootnoteText"/>
        <w:rPr>
          <w:i/>
          <w:lang w:val="en-US"/>
        </w:rPr>
      </w:pPr>
      <w:r>
        <w:rPr>
          <w:lang w:val="en-US"/>
        </w:rPr>
        <w:t xml:space="preserve"> &lt;</w:t>
      </w:r>
      <w:r w:rsidRPr="00CD6E92">
        <w:t xml:space="preserve"> </w:t>
      </w:r>
      <w:r w:rsidRPr="00CD6E92">
        <w:rPr>
          <w:rStyle w:val="HTMLCite"/>
          <w:i w:val="0"/>
        </w:rPr>
        <w:t xml:space="preserve">https://www.opc.gov.au/calc/docs/Loophole/Loophole_Aug08.pdf </w:t>
      </w:r>
      <w:r>
        <w:rPr>
          <w:rStyle w:val="HTMLCite"/>
          <w:i w:val="0"/>
        </w:rPr>
        <w:t>&gt; accessed 4 August 2015.</w:t>
      </w:r>
    </w:p>
  </w:footnote>
  <w:footnote w:id="64">
    <w:p w:rsidR="00426C69" w:rsidRPr="00707680" w:rsidRDefault="00426C69" w:rsidP="00FD2B70">
      <w:pPr>
        <w:pStyle w:val="FootnoteText"/>
        <w:rPr>
          <w:lang w:val="en-US"/>
        </w:rPr>
      </w:pPr>
      <w:r>
        <w:rPr>
          <w:rStyle w:val="FootnoteReference"/>
        </w:rPr>
        <w:footnoteRef/>
      </w:r>
      <w:r>
        <w:t xml:space="preserve"> Francis Bennion as quoted in Janet </w:t>
      </w:r>
      <w:r>
        <w:rPr>
          <w:lang w:val="en-US"/>
        </w:rPr>
        <w:t>Erasmus, ‘Keepers of the Statute Book: Lessons from the Space-time Continuum’ (2009) The Loophole 7. &lt;</w:t>
      </w:r>
      <w:r w:rsidRPr="001E6D56">
        <w:rPr>
          <w:lang w:val="en-US"/>
        </w:rPr>
        <w:t>https://www.opc.gov.au/calc/docs/Loophole_papers/Erasmus_Jan2010.pdf</w:t>
      </w:r>
      <w:r>
        <w:rPr>
          <w:lang w:val="en-US"/>
        </w:rPr>
        <w:t>&gt; accessed 10 August 2015</w:t>
      </w:r>
    </w:p>
  </w:footnote>
  <w:footnote w:id="65">
    <w:p w:rsidR="00426C69" w:rsidRPr="00F06F2D" w:rsidRDefault="00426C69" w:rsidP="000F4847">
      <w:pPr>
        <w:pStyle w:val="FootnoteText"/>
        <w:rPr>
          <w:lang w:val="en-US"/>
        </w:rPr>
      </w:pPr>
      <w:r>
        <w:rPr>
          <w:rStyle w:val="FootnoteReference"/>
        </w:rPr>
        <w:footnoteRef/>
      </w:r>
      <w:r>
        <w:t xml:space="preserve"> </w:t>
      </w:r>
      <w:r>
        <w:rPr>
          <w:lang w:val="en-US"/>
        </w:rPr>
        <w:t xml:space="preserve">Stephen Laws, ‘Drawing the Line’ in Constantin Stefanou and Helen Xanthaki (eds), </w:t>
      </w:r>
      <w:r w:rsidRPr="0087729B">
        <w:rPr>
          <w:i/>
          <w:lang w:val="en-US"/>
        </w:rPr>
        <w:t>Drafting Legislation: A Modern Approach</w:t>
      </w:r>
      <w:r>
        <w:rPr>
          <w:lang w:val="en-US"/>
        </w:rPr>
        <w:t xml:space="preserve"> (Ashgate Publishing 2008) 32.</w:t>
      </w:r>
    </w:p>
  </w:footnote>
  <w:footnote w:id="66">
    <w:p w:rsidR="00426C69" w:rsidRPr="007B528F" w:rsidRDefault="00426C69" w:rsidP="00FD2B70">
      <w:pPr>
        <w:pStyle w:val="FootnoteText"/>
        <w:rPr>
          <w:lang w:val="en-US"/>
        </w:rPr>
      </w:pPr>
      <w:r>
        <w:rPr>
          <w:rStyle w:val="FootnoteReference"/>
        </w:rPr>
        <w:footnoteRef/>
      </w:r>
      <w:r>
        <w:rPr>
          <w:lang w:val="en-US"/>
        </w:rPr>
        <w:t>Robert J Marchant, ‘Representing Representatives: Ethical Considerations for the Legislature’s Attorneys’ (2003) 6 NYU J Legis &amp; Pub Pol’y 439, 440.</w:t>
      </w:r>
      <w:r w:rsidRPr="005265C5">
        <w:t xml:space="preserve"> </w:t>
      </w:r>
      <w:r>
        <w:t>&lt;</w:t>
      </w:r>
      <w:r w:rsidRPr="005265C5">
        <w:rPr>
          <w:lang w:val="en-US"/>
        </w:rPr>
        <w:t>http://www.nyujlpp.org/wp-content/uploads/2012/11/Robert-J.-Marchant-Representing-Representatives-Ethical-Considerations-for-the-Legislatures-Attorneys.pdf</w:t>
      </w:r>
      <w:r>
        <w:rPr>
          <w:lang w:val="en-US"/>
        </w:rPr>
        <w:t>&gt; accessed 10 August 2015</w:t>
      </w:r>
    </w:p>
  </w:footnote>
  <w:footnote w:id="67">
    <w:p w:rsidR="00426C69" w:rsidRPr="0039177A" w:rsidRDefault="00426C69" w:rsidP="00623407">
      <w:pPr>
        <w:pStyle w:val="FootnoteText"/>
        <w:rPr>
          <w:lang w:val="en-US"/>
        </w:rPr>
      </w:pPr>
      <w:r>
        <w:rPr>
          <w:rStyle w:val="FootnoteReference"/>
        </w:rPr>
        <w:footnoteRef/>
      </w:r>
      <w:r>
        <w:t xml:space="preserve">Helen Xanthaki, </w:t>
      </w:r>
      <w:r w:rsidRPr="00F46CB8">
        <w:rPr>
          <w:i/>
          <w:lang w:val="en-US"/>
        </w:rPr>
        <w:t>Thornton’s Legislative Drafting</w:t>
      </w:r>
      <w:r>
        <w:rPr>
          <w:lang w:val="en-US"/>
        </w:rPr>
        <w:t xml:space="preserve"> (5</w:t>
      </w:r>
      <w:r w:rsidRPr="00517363">
        <w:rPr>
          <w:vertAlign w:val="superscript"/>
          <w:lang w:val="en-US"/>
        </w:rPr>
        <w:t>th</w:t>
      </w:r>
      <w:r>
        <w:rPr>
          <w:lang w:val="en-US"/>
        </w:rPr>
        <w:t xml:space="preserve"> edn, Bloomsbury Professional Ltd 2013) 144.</w:t>
      </w:r>
    </w:p>
  </w:footnote>
  <w:footnote w:id="68">
    <w:p w:rsidR="00426C69" w:rsidRDefault="00426C69" w:rsidP="00623407">
      <w:pPr>
        <w:pStyle w:val="FootnoteText"/>
      </w:pPr>
      <w:r>
        <w:rPr>
          <w:rStyle w:val="FootnoteReference"/>
        </w:rPr>
        <w:footnoteRef/>
      </w:r>
      <w:r>
        <w:t xml:space="preserve"> Norismizan Haji Ismail, ‘Legislative Drafters: Lawyers or Not?’ [2013] 39 Comm L Bull 455.</w:t>
      </w:r>
    </w:p>
  </w:footnote>
  <w:footnote w:id="69">
    <w:p w:rsidR="00426C69" w:rsidRPr="007B528F" w:rsidRDefault="00426C69" w:rsidP="00623407">
      <w:pPr>
        <w:pStyle w:val="FootnoteText"/>
        <w:rPr>
          <w:lang w:val="en-US"/>
        </w:rPr>
      </w:pPr>
      <w:r>
        <w:rPr>
          <w:rStyle w:val="FootnoteReference"/>
        </w:rPr>
        <w:footnoteRef/>
      </w:r>
      <w:r>
        <w:t xml:space="preserve"> </w:t>
      </w:r>
      <w:r>
        <w:rPr>
          <w:lang w:val="en-US"/>
        </w:rPr>
        <w:t>Marchant (n66) 439.</w:t>
      </w:r>
    </w:p>
  </w:footnote>
  <w:footnote w:id="70">
    <w:p w:rsidR="00426C69" w:rsidRDefault="00426C69" w:rsidP="001D0B2A">
      <w:pPr>
        <w:tabs>
          <w:tab w:val="left" w:pos="902"/>
        </w:tabs>
        <w:jc w:val="both"/>
        <w:rPr>
          <w:sz w:val="20"/>
          <w:szCs w:val="20"/>
        </w:rPr>
      </w:pPr>
      <w:r>
        <w:rPr>
          <w:rStyle w:val="FootnoteReference"/>
        </w:rPr>
        <w:footnoteRef/>
      </w:r>
      <w:r>
        <w:t xml:space="preserve"> </w:t>
      </w:r>
      <w:r w:rsidRPr="0002485A">
        <w:rPr>
          <w:sz w:val="20"/>
          <w:szCs w:val="20"/>
        </w:rPr>
        <w:t>Nzerem (n25) 131; Helen</w:t>
      </w:r>
      <w:r w:rsidRPr="0002485A">
        <w:rPr>
          <w:sz w:val="20"/>
          <w:szCs w:val="20"/>
          <w:lang w:val="en-US"/>
        </w:rPr>
        <w:t xml:space="preserve"> Xanthaki, ‘Legislative Drafting: A New Sub-Discipline is Born’ (2013) 1 IALS Student L Rev 64.</w:t>
      </w:r>
      <w:r w:rsidRPr="0002485A">
        <w:rPr>
          <w:sz w:val="20"/>
          <w:szCs w:val="20"/>
        </w:rPr>
        <w:t xml:space="preserve"> </w:t>
      </w:r>
    </w:p>
    <w:p w:rsidR="00426C69" w:rsidRPr="004A2CF4" w:rsidRDefault="00426C69" w:rsidP="001D0B2A">
      <w:pPr>
        <w:tabs>
          <w:tab w:val="left" w:pos="902"/>
        </w:tabs>
        <w:jc w:val="both"/>
        <w:rPr>
          <w:sz w:val="20"/>
          <w:szCs w:val="20"/>
        </w:rPr>
      </w:pPr>
      <w:r w:rsidRPr="001D0B2A">
        <w:rPr>
          <w:sz w:val="20"/>
          <w:szCs w:val="20"/>
        </w:rPr>
        <w:t>&lt;</w:t>
      </w:r>
      <w:r w:rsidRPr="001D0B2A">
        <w:rPr>
          <w:rFonts w:ascii="Century" w:hAnsi="Century"/>
          <w:sz w:val="20"/>
          <w:szCs w:val="20"/>
          <w:lang w:val="en-US"/>
        </w:rPr>
        <w:t>http://journals.sas.ac.uk/lawreview/article/view/1706/1642&gt; accessed 28 August 2015</w:t>
      </w:r>
    </w:p>
    <w:p w:rsidR="00426C69" w:rsidRPr="00376BF9" w:rsidRDefault="00426C69" w:rsidP="000A3220">
      <w:pPr>
        <w:pStyle w:val="FootnoteText"/>
        <w:rPr>
          <w:lang w:val="en-US"/>
        </w:rPr>
      </w:pPr>
    </w:p>
  </w:footnote>
  <w:footnote w:id="71">
    <w:p w:rsidR="00426C69" w:rsidRDefault="00426C69" w:rsidP="000A3220">
      <w:pPr>
        <w:pStyle w:val="FootnoteText"/>
        <w:rPr>
          <w:lang w:val="en-US"/>
        </w:rPr>
      </w:pPr>
      <w:r>
        <w:rPr>
          <w:rStyle w:val="FootnoteReference"/>
        </w:rPr>
        <w:footnoteRef/>
      </w:r>
      <w:r>
        <w:t xml:space="preserve"> </w:t>
      </w:r>
      <w:r>
        <w:rPr>
          <w:lang w:val="en-US"/>
        </w:rPr>
        <w:t>Lionel A Levert, ‘Work Methods and Processes in a Drafting Environment’ (2011) The Loophole 29.</w:t>
      </w:r>
    </w:p>
    <w:p w:rsidR="00426C69" w:rsidRPr="00515CF7" w:rsidRDefault="00426C69" w:rsidP="000A3220">
      <w:pPr>
        <w:pStyle w:val="FootnoteText"/>
        <w:rPr>
          <w:lang w:val="en-US"/>
        </w:rPr>
      </w:pPr>
      <w:r w:rsidRPr="00515CF7">
        <w:t xml:space="preserve"> </w:t>
      </w:r>
      <w:r>
        <w:t>&lt;</w:t>
      </w:r>
      <w:r w:rsidRPr="00515CF7">
        <w:rPr>
          <w:lang w:val="en-US"/>
        </w:rPr>
        <w:t>http://www.opc.gov.au/calc/docs/Loophole_papers/Levert_Feb2011.pdf</w:t>
      </w:r>
      <w:r>
        <w:rPr>
          <w:lang w:val="en-US"/>
        </w:rPr>
        <w:t>&gt; accessed 28 July 2015</w:t>
      </w:r>
    </w:p>
  </w:footnote>
  <w:footnote w:id="72">
    <w:p w:rsidR="00426C69" w:rsidRPr="000D33B1" w:rsidRDefault="00426C69">
      <w:pPr>
        <w:pStyle w:val="FootnoteText"/>
        <w:rPr>
          <w:lang w:val="en-US"/>
        </w:rPr>
      </w:pPr>
      <w:r>
        <w:rPr>
          <w:rStyle w:val="FootnoteReference"/>
        </w:rPr>
        <w:footnoteRef/>
      </w:r>
      <w:r>
        <w:t xml:space="preserve"> </w:t>
      </w:r>
      <w:r>
        <w:rPr>
          <w:lang w:val="en-US"/>
        </w:rPr>
        <w:t>Robert D Eagleson, ‘Efficiency in Legal Drafting’ (1989) The Loophole 1.</w:t>
      </w:r>
      <w:r w:rsidRPr="00354836">
        <w:t xml:space="preserve"> </w:t>
      </w:r>
      <w:r>
        <w:t>&lt;</w:t>
      </w:r>
      <w:r w:rsidRPr="00354836">
        <w:rPr>
          <w:lang w:val="en-US"/>
        </w:rPr>
        <w:t>https://www.opc.gov.au/calc/docs/Loophole_papers/Eagleson_1989.pdf</w:t>
      </w:r>
      <w:r>
        <w:rPr>
          <w:lang w:val="en-US"/>
        </w:rPr>
        <w:t>&gt; accessed 4 August 2015</w:t>
      </w:r>
    </w:p>
  </w:footnote>
  <w:footnote w:id="73">
    <w:p w:rsidR="00426C69" w:rsidRPr="005265C5" w:rsidRDefault="00426C69">
      <w:pPr>
        <w:pStyle w:val="FootnoteText"/>
        <w:rPr>
          <w:lang w:val="en-US"/>
        </w:rPr>
      </w:pPr>
      <w:r>
        <w:rPr>
          <w:rStyle w:val="FootnoteReference"/>
        </w:rPr>
        <w:footnoteRef/>
      </w:r>
      <w:r>
        <w:t xml:space="preserve"> [1928] 2 KB 117, 130.</w:t>
      </w:r>
    </w:p>
  </w:footnote>
  <w:footnote w:id="74">
    <w:p w:rsidR="00426C69" w:rsidRPr="004A783B" w:rsidRDefault="00426C69">
      <w:pPr>
        <w:pStyle w:val="FootnoteText"/>
        <w:rPr>
          <w:lang w:val="en-US"/>
        </w:rPr>
      </w:pPr>
      <w:r>
        <w:rPr>
          <w:rStyle w:val="FootnoteReference"/>
        </w:rPr>
        <w:footnoteRef/>
      </w:r>
      <w:r>
        <w:t xml:space="preserve"> Xanthaki (n67) 1. </w:t>
      </w:r>
    </w:p>
  </w:footnote>
  <w:footnote w:id="75">
    <w:p w:rsidR="00426C69" w:rsidRPr="00977951" w:rsidRDefault="00426C69" w:rsidP="000E407B">
      <w:pPr>
        <w:pStyle w:val="FootnoteText"/>
        <w:rPr>
          <w:lang w:val="en-US"/>
        </w:rPr>
      </w:pPr>
      <w:r>
        <w:rPr>
          <w:rStyle w:val="FootnoteReference"/>
        </w:rPr>
        <w:footnoteRef/>
      </w:r>
      <w:r>
        <w:t xml:space="preserve"> </w:t>
      </w:r>
      <w:r>
        <w:rPr>
          <w:lang w:val="en-US"/>
        </w:rPr>
        <w:t>Krongold (n32) 505.</w:t>
      </w:r>
    </w:p>
  </w:footnote>
  <w:footnote w:id="76">
    <w:p w:rsidR="00426C69" w:rsidRDefault="00426C69">
      <w:pPr>
        <w:pStyle w:val="FootnoteText"/>
      </w:pPr>
      <w:r>
        <w:rPr>
          <w:rStyle w:val="FootnoteReference"/>
        </w:rPr>
        <w:footnoteRef/>
      </w:r>
      <w:r>
        <w:t xml:space="preserve"> Elmer A Driedger, </w:t>
      </w:r>
      <w:r w:rsidRPr="002052D7">
        <w:rPr>
          <w:i/>
        </w:rPr>
        <w:t>The Composition of Legislation: Legislative Forms and Precedents</w:t>
      </w:r>
      <w:r>
        <w:t xml:space="preserve"> (2</w:t>
      </w:r>
      <w:r w:rsidRPr="005C3E7E">
        <w:rPr>
          <w:vertAlign w:val="superscript"/>
        </w:rPr>
        <w:t>nd</w:t>
      </w:r>
      <w:r>
        <w:t xml:space="preserve"> edn, Ministry of Supply and Services Canada 1976) xx.</w:t>
      </w:r>
    </w:p>
  </w:footnote>
  <w:footnote w:id="77">
    <w:p w:rsidR="00426C69" w:rsidRPr="000F4847" w:rsidRDefault="00426C69">
      <w:pPr>
        <w:pStyle w:val="FootnoteText"/>
        <w:rPr>
          <w:lang w:val="en-US"/>
        </w:rPr>
      </w:pPr>
      <w:r>
        <w:rPr>
          <w:rStyle w:val="FootnoteReference"/>
        </w:rPr>
        <w:footnoteRef/>
      </w:r>
      <w:r>
        <w:t xml:space="preserve"> ibid.</w:t>
      </w:r>
    </w:p>
  </w:footnote>
  <w:footnote w:id="78">
    <w:p w:rsidR="00426C69" w:rsidRDefault="00426C69" w:rsidP="00536C5B">
      <w:pPr>
        <w:pStyle w:val="FootnoteText"/>
      </w:pPr>
      <w:r>
        <w:rPr>
          <w:rStyle w:val="FootnoteReference"/>
        </w:rPr>
        <w:footnoteRef/>
      </w:r>
      <w:r>
        <w:t xml:space="preserve"> </w:t>
      </w:r>
      <w:r>
        <w:rPr>
          <w:lang w:val="en-US"/>
        </w:rPr>
        <w:t>Daniel Greenberg, ‘Access to Legislation-the Legislative Counsel’s Role’ (2009) The Loophole 7, 10.</w:t>
      </w:r>
      <w:r w:rsidRPr="00BE5995">
        <w:t xml:space="preserve"> </w:t>
      </w:r>
    </w:p>
    <w:p w:rsidR="00426C69" w:rsidRPr="00B42B5E" w:rsidRDefault="00426C69" w:rsidP="00536C5B">
      <w:pPr>
        <w:pStyle w:val="FootnoteText"/>
        <w:rPr>
          <w:lang w:val="en-US"/>
        </w:rPr>
      </w:pPr>
      <w:r>
        <w:t>&lt;</w:t>
      </w:r>
      <w:r w:rsidRPr="00F70F58">
        <w:t xml:space="preserve"> </w:t>
      </w:r>
      <w:r w:rsidRPr="00F70F58">
        <w:rPr>
          <w:lang w:val="en-US"/>
        </w:rPr>
        <w:t>https://www.opc.gov.au/calc/docs/Loophole/Loophole_Oct09.pdf</w:t>
      </w:r>
      <w:r>
        <w:rPr>
          <w:lang w:val="en-US"/>
        </w:rPr>
        <w:t>&gt; accessed 19 August 2015</w:t>
      </w:r>
    </w:p>
  </w:footnote>
  <w:footnote w:id="79">
    <w:p w:rsidR="00426C69" w:rsidRDefault="00426C69" w:rsidP="006512FE">
      <w:pPr>
        <w:pStyle w:val="FootnoteText"/>
      </w:pPr>
      <w:r>
        <w:rPr>
          <w:rStyle w:val="FootnoteReference"/>
        </w:rPr>
        <w:footnoteRef/>
      </w:r>
      <w:r>
        <w:t xml:space="preserve"> Nick Horn, ‘Shaping Policy Into Law: A Strategy for Developing Common Standards’ (2011) The Loophole 40, 41.</w:t>
      </w:r>
      <w:r w:rsidRPr="001D33C7">
        <w:t xml:space="preserve"> </w:t>
      </w:r>
      <w:r>
        <w:t>&lt;</w:t>
      </w:r>
      <w:r w:rsidRPr="001D33C7">
        <w:t>https://www.opc.gov.au/calc/docs/Loophole_papers/Horn_Feb2011.pdf</w:t>
      </w:r>
      <w:r>
        <w:t>&gt; accessed 7 August 2015</w:t>
      </w:r>
    </w:p>
  </w:footnote>
  <w:footnote w:id="80">
    <w:p w:rsidR="00426C69" w:rsidRDefault="00426C69" w:rsidP="00A0629E">
      <w:pPr>
        <w:pStyle w:val="FootnoteText"/>
      </w:pPr>
      <w:r>
        <w:rPr>
          <w:rStyle w:val="FootnoteReference"/>
        </w:rPr>
        <w:footnoteRef/>
      </w:r>
      <w:r>
        <w:t xml:space="preserve"> </w:t>
      </w:r>
      <w:r w:rsidRPr="006F058E">
        <w:t xml:space="preserve">Daniel Greenberg, </w:t>
      </w:r>
      <w:r w:rsidRPr="006F058E">
        <w:rPr>
          <w:i/>
        </w:rPr>
        <w:t>Laying Down the Law</w:t>
      </w:r>
      <w:r w:rsidRPr="006F058E">
        <w:t xml:space="preserve"> (1</w:t>
      </w:r>
      <w:r w:rsidRPr="006F058E">
        <w:rPr>
          <w:vertAlign w:val="superscript"/>
        </w:rPr>
        <w:t>st</w:t>
      </w:r>
      <w:r w:rsidRPr="006F058E">
        <w:t xml:space="preserve"> edn, Sweet &amp; Maxwell 2011) 32.</w:t>
      </w:r>
    </w:p>
  </w:footnote>
  <w:footnote w:id="81">
    <w:p w:rsidR="00426C69" w:rsidRDefault="00426C69" w:rsidP="008856AA">
      <w:pPr>
        <w:pStyle w:val="FootnoteText"/>
        <w:rPr>
          <w:lang w:val="en-US"/>
        </w:rPr>
      </w:pPr>
      <w:r>
        <w:rPr>
          <w:rStyle w:val="FootnoteReference"/>
        </w:rPr>
        <w:footnoteRef/>
      </w:r>
      <w:r>
        <w:t xml:space="preserve"> Geoffrey </w:t>
      </w:r>
      <w:r>
        <w:rPr>
          <w:lang w:val="en-US"/>
        </w:rPr>
        <w:t>Bowman, ‘The Art of Legislative Drafting’ (2006) 64 Amicus Curiae 2, 5.</w:t>
      </w:r>
    </w:p>
    <w:p w:rsidR="00426C69" w:rsidRPr="00EE49B7" w:rsidRDefault="00426C69" w:rsidP="008856AA">
      <w:pPr>
        <w:pStyle w:val="FootnoteText"/>
        <w:rPr>
          <w:lang w:val="en-US"/>
        </w:rPr>
      </w:pPr>
      <w:r w:rsidRPr="00A90417">
        <w:t xml:space="preserve"> </w:t>
      </w:r>
      <w:r>
        <w:t>&lt;</w:t>
      </w:r>
      <w:r w:rsidRPr="00A90417">
        <w:rPr>
          <w:lang w:val="en-US"/>
        </w:rPr>
        <w:t>http://sas-space.sas.ac.uk/136/1/BowmanGeoffreyIssue064.pdf</w:t>
      </w:r>
      <w:r>
        <w:rPr>
          <w:lang w:val="en-US"/>
        </w:rPr>
        <w:t>&gt; accessed 9 August 2015</w:t>
      </w:r>
    </w:p>
  </w:footnote>
  <w:footnote w:id="82">
    <w:p w:rsidR="00426C69" w:rsidRPr="00267A9B" w:rsidRDefault="00426C69" w:rsidP="00352C28">
      <w:pPr>
        <w:pStyle w:val="FootnoteText"/>
        <w:rPr>
          <w:lang w:val="en-US"/>
        </w:rPr>
      </w:pPr>
      <w:r>
        <w:rPr>
          <w:rStyle w:val="FootnoteReference"/>
        </w:rPr>
        <w:footnoteRef/>
      </w:r>
      <w:r>
        <w:t xml:space="preserve"> </w:t>
      </w:r>
      <w:r>
        <w:rPr>
          <w:lang w:val="en-US"/>
        </w:rPr>
        <w:t>OPC UK (n12) 21.</w:t>
      </w:r>
    </w:p>
  </w:footnote>
  <w:footnote w:id="83">
    <w:p w:rsidR="00426C69" w:rsidRDefault="00426C69" w:rsidP="00D10576">
      <w:pPr>
        <w:pStyle w:val="FootnoteText"/>
      </w:pPr>
      <w:r>
        <w:rPr>
          <w:rStyle w:val="FootnoteReference"/>
        </w:rPr>
        <w:footnoteRef/>
      </w:r>
      <w:r>
        <w:t xml:space="preserve"> Arden (n63) 8.</w:t>
      </w:r>
    </w:p>
  </w:footnote>
  <w:footnote w:id="84">
    <w:p w:rsidR="00426C69" w:rsidRPr="002711FD" w:rsidRDefault="00426C69">
      <w:pPr>
        <w:pStyle w:val="FootnoteText"/>
        <w:rPr>
          <w:lang w:val="en-US"/>
        </w:rPr>
      </w:pPr>
      <w:r>
        <w:rPr>
          <w:rStyle w:val="FootnoteReference"/>
        </w:rPr>
        <w:footnoteRef/>
      </w:r>
      <w:r>
        <w:t xml:space="preserve"> </w:t>
      </w:r>
      <w:r>
        <w:rPr>
          <w:lang w:val="en-US"/>
        </w:rPr>
        <w:t xml:space="preserve">Daivd R Miers and Alan C Page, </w:t>
      </w:r>
      <w:r w:rsidRPr="00574B45">
        <w:rPr>
          <w:i/>
          <w:lang w:val="en-US"/>
        </w:rPr>
        <w:t>Legislation</w:t>
      </w:r>
      <w:r>
        <w:rPr>
          <w:lang w:val="en-US"/>
        </w:rPr>
        <w:t xml:space="preserve"> (Sweet &amp; Maxwell 1982) 87.</w:t>
      </w:r>
    </w:p>
  </w:footnote>
  <w:footnote w:id="85">
    <w:p w:rsidR="00426C69" w:rsidRPr="007C6BFB" w:rsidRDefault="00426C69">
      <w:pPr>
        <w:pStyle w:val="FootnoteText"/>
        <w:rPr>
          <w:lang w:val="en-US"/>
        </w:rPr>
      </w:pPr>
      <w:r>
        <w:rPr>
          <w:rStyle w:val="FootnoteReference"/>
        </w:rPr>
        <w:footnoteRef/>
      </w:r>
      <w:r>
        <w:t xml:space="preserve"> </w:t>
      </w:r>
      <w:r>
        <w:rPr>
          <w:lang w:val="en-US"/>
        </w:rPr>
        <w:t>Isabel Omal, ‘Scrutiny of Legislation in Uganda: A Case for Reform’ [2012] 14 Eur JL Reform 371, 372.</w:t>
      </w:r>
    </w:p>
  </w:footnote>
  <w:footnote w:id="86">
    <w:p w:rsidR="00426C69" w:rsidRPr="000160D3" w:rsidRDefault="00426C69">
      <w:pPr>
        <w:pStyle w:val="FootnoteText"/>
        <w:rPr>
          <w:lang w:val="en-US"/>
        </w:rPr>
      </w:pPr>
      <w:r>
        <w:rPr>
          <w:rStyle w:val="FootnoteReference"/>
        </w:rPr>
        <w:footnoteRef/>
      </w:r>
      <w:r>
        <w:t xml:space="preserve"> </w:t>
      </w:r>
      <w:r>
        <w:rPr>
          <w:lang w:val="en-US"/>
        </w:rPr>
        <w:t>Katherine MacCormick and John Mark Keyes, ‘Roles of Legislative Drafting Offices and Drafters’ 11.  &lt;</w:t>
      </w:r>
      <w:r w:rsidRPr="000835DC">
        <w:rPr>
          <w:lang w:val="en-US"/>
        </w:rPr>
        <w:t>http://studyonline.sas.ac.uk/pluginfile.php/7845/mod_resource/content/0/The_PCO/Role_of_Legislative_Drafting_Office.pdf</w:t>
      </w:r>
      <w:r>
        <w:rPr>
          <w:lang w:val="en-US"/>
        </w:rPr>
        <w:t>&gt; accessed 9 August 2015</w:t>
      </w:r>
    </w:p>
  </w:footnote>
  <w:footnote w:id="87">
    <w:p w:rsidR="00426C69" w:rsidRPr="002D631B" w:rsidRDefault="00426C69">
      <w:pPr>
        <w:pStyle w:val="FootnoteText"/>
        <w:rPr>
          <w:lang w:val="en-US"/>
        </w:rPr>
      </w:pPr>
      <w:r>
        <w:rPr>
          <w:rStyle w:val="FootnoteReference"/>
        </w:rPr>
        <w:footnoteRef/>
      </w:r>
      <w:r>
        <w:t xml:space="preserve"> </w:t>
      </w:r>
      <w:r>
        <w:rPr>
          <w:lang w:val="en-US"/>
        </w:rPr>
        <w:t>Miers and Page (n849) 87.</w:t>
      </w:r>
    </w:p>
  </w:footnote>
  <w:footnote w:id="88">
    <w:p w:rsidR="00426C69" w:rsidRPr="00BF610D" w:rsidRDefault="00426C69" w:rsidP="0003312C">
      <w:pPr>
        <w:pStyle w:val="FootnoteText"/>
        <w:rPr>
          <w:lang w:val="en-US"/>
        </w:rPr>
      </w:pPr>
      <w:r>
        <w:rPr>
          <w:rStyle w:val="FootnoteReference"/>
        </w:rPr>
        <w:footnoteRef/>
      </w:r>
      <w:r>
        <w:t xml:space="preserve"> </w:t>
      </w:r>
      <w:r w:rsidRPr="004006A3">
        <w:t xml:space="preserve">Augustin </w:t>
      </w:r>
      <w:r w:rsidRPr="004006A3">
        <w:rPr>
          <w:lang w:val="en-US"/>
        </w:rPr>
        <w:t>Mico, ‘The Drafter’s</w:t>
      </w:r>
      <w:r>
        <w:rPr>
          <w:lang w:val="en-US"/>
        </w:rPr>
        <w:t xml:space="preserve"> Role in the Drafting Process’ [2013]</w:t>
      </w:r>
      <w:r w:rsidRPr="004006A3">
        <w:rPr>
          <w:lang w:val="en-US"/>
        </w:rPr>
        <w:t xml:space="preserve"> 15 Eur LJ 177, 185.</w:t>
      </w:r>
    </w:p>
  </w:footnote>
  <w:footnote w:id="89">
    <w:p w:rsidR="00426C69" w:rsidRPr="00073D1A" w:rsidRDefault="00426C69" w:rsidP="00452689">
      <w:pPr>
        <w:pStyle w:val="FootnoteText"/>
        <w:rPr>
          <w:lang w:val="en-US"/>
        </w:rPr>
      </w:pPr>
      <w:r>
        <w:rPr>
          <w:rStyle w:val="FootnoteReference"/>
        </w:rPr>
        <w:footnoteRef/>
      </w:r>
      <w:r>
        <w:t xml:space="preserve"> </w:t>
      </w:r>
      <w:r>
        <w:rPr>
          <w:lang w:val="en-US"/>
        </w:rPr>
        <w:t>Constantin Stefanou, ‘Is Legislative Drafting a Form of Communication?’ [2011] 37 Comm L Bull 407, 415.</w:t>
      </w:r>
    </w:p>
  </w:footnote>
  <w:footnote w:id="90">
    <w:p w:rsidR="00426C69" w:rsidRPr="00D772B2" w:rsidRDefault="00426C69" w:rsidP="00BC2FF3">
      <w:pPr>
        <w:pStyle w:val="FootnoteText"/>
        <w:rPr>
          <w:lang w:val="en-US"/>
        </w:rPr>
      </w:pPr>
      <w:r>
        <w:rPr>
          <w:rStyle w:val="FootnoteReference"/>
        </w:rPr>
        <w:footnoteRef/>
      </w:r>
      <w:r>
        <w:t xml:space="preserve"> Vareen </w:t>
      </w:r>
      <w:r>
        <w:rPr>
          <w:lang w:val="en-US"/>
        </w:rPr>
        <w:t>Vanterpool, ‘A Critical Look at Achieving Quality in Legislation’ [2007] 9 Eur LJ 167, 173.</w:t>
      </w:r>
    </w:p>
  </w:footnote>
  <w:footnote w:id="91">
    <w:p w:rsidR="00426C69" w:rsidRPr="000D33AC" w:rsidRDefault="00426C69" w:rsidP="00DF3283">
      <w:pPr>
        <w:pStyle w:val="FootnoteText"/>
        <w:rPr>
          <w:lang w:val="en-US"/>
        </w:rPr>
      </w:pPr>
      <w:r>
        <w:rPr>
          <w:rStyle w:val="FootnoteReference"/>
        </w:rPr>
        <w:footnoteRef/>
      </w:r>
      <w:r>
        <w:t xml:space="preserve"> </w:t>
      </w:r>
      <w:r>
        <w:rPr>
          <w:lang w:val="en-US"/>
        </w:rPr>
        <w:t>Xanthaki (n67) 146.</w:t>
      </w:r>
    </w:p>
  </w:footnote>
  <w:footnote w:id="92">
    <w:p w:rsidR="00426C69" w:rsidRPr="00C06C3D" w:rsidRDefault="00426C69" w:rsidP="006F7E2E">
      <w:pPr>
        <w:pStyle w:val="FootnoteText"/>
        <w:rPr>
          <w:lang w:val="en-US"/>
        </w:rPr>
      </w:pPr>
      <w:r>
        <w:rPr>
          <w:rStyle w:val="FootnoteReference"/>
        </w:rPr>
        <w:footnoteRef/>
      </w:r>
      <w:r>
        <w:t xml:space="preserve"> </w:t>
      </w:r>
      <w:r>
        <w:rPr>
          <w:lang w:val="en-US"/>
        </w:rPr>
        <w:t>ibid.</w:t>
      </w:r>
    </w:p>
  </w:footnote>
  <w:footnote w:id="93">
    <w:p w:rsidR="00426C69" w:rsidRPr="003A4C4F" w:rsidRDefault="00426C69" w:rsidP="006F7E2E">
      <w:pPr>
        <w:pStyle w:val="FootnoteText"/>
        <w:rPr>
          <w:lang w:val="en-US"/>
        </w:rPr>
      </w:pPr>
      <w:r>
        <w:rPr>
          <w:rStyle w:val="FootnoteReference"/>
        </w:rPr>
        <w:footnoteRef/>
      </w:r>
      <w:r>
        <w:t xml:space="preserve"> </w:t>
      </w:r>
      <w:r>
        <w:rPr>
          <w:lang w:val="en-US"/>
        </w:rPr>
        <w:t xml:space="preserve"> ibid 151.</w:t>
      </w:r>
    </w:p>
  </w:footnote>
  <w:footnote w:id="94">
    <w:p w:rsidR="00426C69" w:rsidRPr="00BA2902" w:rsidRDefault="00426C69" w:rsidP="00926718">
      <w:pPr>
        <w:pStyle w:val="FootnoteText"/>
        <w:rPr>
          <w:lang w:val="en-US"/>
        </w:rPr>
      </w:pPr>
      <w:r>
        <w:rPr>
          <w:rStyle w:val="FootnoteReference"/>
        </w:rPr>
        <w:footnoteRef/>
      </w:r>
      <w:r>
        <w:t xml:space="preserve"> </w:t>
      </w:r>
      <w:r>
        <w:rPr>
          <w:lang w:val="en-US"/>
        </w:rPr>
        <w:t xml:space="preserve">George Engle, ‘Bills are made to pass as razors are made to sell’: Practical Constraints in the Preparation of Legislation’ [1983] 4 SLR 7, 14. </w:t>
      </w:r>
    </w:p>
  </w:footnote>
  <w:footnote w:id="95">
    <w:p w:rsidR="00426C69" w:rsidRPr="007933E9" w:rsidRDefault="00426C69" w:rsidP="007933E9">
      <w:pPr>
        <w:pStyle w:val="FootnoteText"/>
        <w:jc w:val="both"/>
      </w:pPr>
      <w:r>
        <w:rPr>
          <w:rStyle w:val="FootnoteReference"/>
        </w:rPr>
        <w:footnoteRef/>
      </w:r>
      <w:r>
        <w:t xml:space="preserve"> Xanthaki (n67) 147-</w:t>
      </w:r>
      <w:r w:rsidRPr="007933E9">
        <w:t>151Complete drafting instructions</w:t>
      </w:r>
      <w:r>
        <w:t xml:space="preserve"> according to Thornton ‘should be written </w:t>
      </w:r>
      <w:r w:rsidRPr="007933E9">
        <w:t>in narrative form</w:t>
      </w:r>
      <w:r>
        <w:t xml:space="preserve"> in clear, straightforward language.’ It will ‘illuminate’ the nature of the problem, the purposes of the proposed legislation, the means by which those purposes are to be achieved and the impact of the proposals</w:t>
      </w:r>
      <w:r w:rsidRPr="007933E9">
        <w:t xml:space="preserve"> on existing circumstances and law</w:t>
      </w:r>
      <w:r>
        <w:t>’</w:t>
      </w:r>
      <w:r w:rsidRPr="007933E9">
        <w:t xml:space="preserve">. </w:t>
      </w:r>
    </w:p>
  </w:footnote>
  <w:footnote w:id="96">
    <w:p w:rsidR="00426C69" w:rsidRPr="00BC1B80" w:rsidRDefault="00426C69" w:rsidP="006F7E2E">
      <w:pPr>
        <w:pStyle w:val="FootnoteText"/>
        <w:rPr>
          <w:lang w:val="en-US"/>
        </w:rPr>
      </w:pPr>
      <w:r>
        <w:rPr>
          <w:rStyle w:val="FootnoteReference"/>
        </w:rPr>
        <w:footnoteRef/>
      </w:r>
      <w:r>
        <w:t xml:space="preserve"> </w:t>
      </w:r>
      <w:r>
        <w:rPr>
          <w:lang w:val="en-US"/>
        </w:rPr>
        <w:t>Mico (n88)184.</w:t>
      </w:r>
    </w:p>
  </w:footnote>
  <w:footnote w:id="97">
    <w:p w:rsidR="00426C69" w:rsidRPr="000C48BC" w:rsidRDefault="00426C69">
      <w:pPr>
        <w:pStyle w:val="FootnoteText"/>
        <w:rPr>
          <w:lang w:val="en-US"/>
        </w:rPr>
      </w:pPr>
      <w:r>
        <w:rPr>
          <w:rStyle w:val="FootnoteReference"/>
        </w:rPr>
        <w:footnoteRef/>
      </w:r>
      <w:r>
        <w:t xml:space="preserve"> </w:t>
      </w:r>
      <w:r>
        <w:rPr>
          <w:lang w:val="en-US"/>
        </w:rPr>
        <w:t>OPC (UK) (n12) 5.</w:t>
      </w:r>
    </w:p>
  </w:footnote>
  <w:footnote w:id="98">
    <w:p w:rsidR="00426C69" w:rsidRPr="00D67097" w:rsidRDefault="00426C69" w:rsidP="0006389F">
      <w:pPr>
        <w:pStyle w:val="FootnoteText"/>
        <w:rPr>
          <w:lang w:val="en-US"/>
        </w:rPr>
      </w:pPr>
      <w:r>
        <w:rPr>
          <w:rStyle w:val="FootnoteReference"/>
        </w:rPr>
        <w:footnoteRef/>
      </w:r>
      <w:r>
        <w:t xml:space="preserve"> </w:t>
      </w:r>
      <w:r>
        <w:rPr>
          <w:lang w:val="en-US"/>
        </w:rPr>
        <w:t>Laws (n65) 23.</w:t>
      </w:r>
    </w:p>
  </w:footnote>
  <w:footnote w:id="99">
    <w:p w:rsidR="00426C69" w:rsidRPr="00F65272" w:rsidRDefault="00426C69" w:rsidP="00D67097">
      <w:pPr>
        <w:pStyle w:val="FootnoteText"/>
        <w:rPr>
          <w:lang w:val="en-US"/>
        </w:rPr>
      </w:pPr>
      <w:r>
        <w:rPr>
          <w:rStyle w:val="FootnoteReference"/>
        </w:rPr>
        <w:footnoteRef/>
      </w:r>
      <w:r>
        <w:t xml:space="preserve"> </w:t>
      </w:r>
      <w:r>
        <w:rPr>
          <w:lang w:val="en-US"/>
        </w:rPr>
        <w:t>Ross Carter, ‘High Quality Legislation (How) Can Drafters Facilitate It?’ (2011) The Loophole 41, 52.</w:t>
      </w:r>
      <w:r w:rsidRPr="004D4342">
        <w:t xml:space="preserve"> </w:t>
      </w:r>
      <w:r>
        <w:t>&lt;</w:t>
      </w:r>
      <w:r w:rsidRPr="004D4342">
        <w:rPr>
          <w:lang w:val="en-US"/>
        </w:rPr>
        <w:t>https://www.opc.gov.au/calc/docs/Loophole_papers/Carter_Nov2011.pdf</w:t>
      </w:r>
      <w:r>
        <w:rPr>
          <w:lang w:val="en-US"/>
        </w:rPr>
        <w:t>&gt; accessed 23 August 2015</w:t>
      </w:r>
    </w:p>
  </w:footnote>
  <w:footnote w:id="100">
    <w:p w:rsidR="00426C69" w:rsidRPr="00897755" w:rsidRDefault="00426C69" w:rsidP="000334C4">
      <w:pPr>
        <w:pStyle w:val="FootnoteText"/>
        <w:rPr>
          <w:lang w:val="en-US"/>
        </w:rPr>
      </w:pPr>
      <w:r>
        <w:rPr>
          <w:rStyle w:val="FootnoteReference"/>
        </w:rPr>
        <w:footnoteRef/>
      </w:r>
      <w:r>
        <w:t xml:space="preserve"> </w:t>
      </w:r>
      <w:r>
        <w:rPr>
          <w:lang w:val="en-US"/>
        </w:rPr>
        <w:t xml:space="preserve">Bowman (n81) 3. </w:t>
      </w:r>
    </w:p>
  </w:footnote>
  <w:footnote w:id="101">
    <w:p w:rsidR="00426C69" w:rsidRPr="00712A78" w:rsidRDefault="00426C69" w:rsidP="00776982">
      <w:pPr>
        <w:pStyle w:val="FootnoteText"/>
        <w:rPr>
          <w:lang w:val="en-US"/>
        </w:rPr>
      </w:pPr>
      <w:r>
        <w:rPr>
          <w:rStyle w:val="FootnoteReference"/>
        </w:rPr>
        <w:footnoteRef/>
      </w:r>
      <w:r>
        <w:t xml:space="preserve"> Levert (n71) </w:t>
      </w:r>
      <w:r>
        <w:rPr>
          <w:lang w:val="en-US"/>
        </w:rPr>
        <w:t>34.</w:t>
      </w:r>
    </w:p>
  </w:footnote>
  <w:footnote w:id="102">
    <w:p w:rsidR="00426C69" w:rsidRPr="002A6ED2" w:rsidRDefault="00426C69">
      <w:pPr>
        <w:pStyle w:val="FootnoteText"/>
        <w:rPr>
          <w:lang w:val="en-US"/>
        </w:rPr>
      </w:pPr>
      <w:r>
        <w:rPr>
          <w:rStyle w:val="FootnoteReference"/>
        </w:rPr>
        <w:footnoteRef/>
      </w:r>
      <w:r>
        <w:t xml:space="preserve"> David Marcello, ‘The Ethics and Politics of Legislative Drafting’ [1996] 70 Tulane L Rev 2437, 2443.</w:t>
      </w:r>
    </w:p>
  </w:footnote>
  <w:footnote w:id="103">
    <w:p w:rsidR="00426C69" w:rsidRPr="00346F64" w:rsidRDefault="00426C69" w:rsidP="00D7621A">
      <w:pPr>
        <w:pStyle w:val="FootnoteText"/>
        <w:rPr>
          <w:lang w:val="en-US"/>
        </w:rPr>
      </w:pPr>
      <w:r>
        <w:rPr>
          <w:rStyle w:val="FootnoteReference"/>
        </w:rPr>
        <w:footnoteRef/>
      </w:r>
      <w:r>
        <w:t xml:space="preserve"> ibid 2444.</w:t>
      </w:r>
    </w:p>
  </w:footnote>
  <w:footnote w:id="104">
    <w:p w:rsidR="00426C69" w:rsidRPr="00BD1C9F" w:rsidRDefault="00426C69">
      <w:pPr>
        <w:pStyle w:val="FootnoteText"/>
        <w:rPr>
          <w:lang w:val="en-US"/>
        </w:rPr>
      </w:pPr>
      <w:r>
        <w:rPr>
          <w:rStyle w:val="FootnoteReference"/>
        </w:rPr>
        <w:footnoteRef/>
      </w:r>
      <w:r>
        <w:t xml:space="preserve"> OPC UK (n12) 13.</w:t>
      </w:r>
    </w:p>
  </w:footnote>
  <w:footnote w:id="105">
    <w:p w:rsidR="00426C69" w:rsidRPr="000C48BC" w:rsidRDefault="00426C69">
      <w:pPr>
        <w:pStyle w:val="FootnoteText"/>
        <w:rPr>
          <w:lang w:val="en-US"/>
        </w:rPr>
      </w:pPr>
      <w:r>
        <w:rPr>
          <w:rStyle w:val="FootnoteReference"/>
        </w:rPr>
        <w:footnoteRef/>
      </w:r>
      <w:r>
        <w:t xml:space="preserve"> </w:t>
      </w:r>
      <w:r>
        <w:rPr>
          <w:lang w:val="en-US"/>
        </w:rPr>
        <w:t>ibid 1.</w:t>
      </w:r>
    </w:p>
  </w:footnote>
  <w:footnote w:id="106">
    <w:p w:rsidR="00426C69" w:rsidRPr="0048473E" w:rsidRDefault="00426C69" w:rsidP="00BC6485">
      <w:pPr>
        <w:pStyle w:val="FootnoteText"/>
        <w:rPr>
          <w:lang w:val="en-US"/>
        </w:rPr>
      </w:pPr>
      <w:r>
        <w:rPr>
          <w:rStyle w:val="FootnoteReference"/>
        </w:rPr>
        <w:footnoteRef/>
      </w:r>
      <w:r>
        <w:t xml:space="preserve"> </w:t>
      </w:r>
      <w:r>
        <w:rPr>
          <w:lang w:val="en-US"/>
        </w:rPr>
        <w:t>Xanthaki (n13) 47.</w:t>
      </w:r>
    </w:p>
  </w:footnote>
  <w:footnote w:id="107">
    <w:p w:rsidR="00426C69" w:rsidRPr="004B2236" w:rsidRDefault="00426C69" w:rsidP="004356A9">
      <w:pPr>
        <w:pStyle w:val="FootnoteText"/>
        <w:rPr>
          <w:lang w:val="en-US"/>
        </w:rPr>
      </w:pPr>
      <w:r>
        <w:rPr>
          <w:rStyle w:val="FootnoteReference"/>
        </w:rPr>
        <w:footnoteRef/>
      </w:r>
      <w:r>
        <w:t xml:space="preserve"> </w:t>
      </w:r>
      <w:r>
        <w:rPr>
          <w:lang w:val="en-US"/>
        </w:rPr>
        <w:t>ibid 46.</w:t>
      </w:r>
    </w:p>
  </w:footnote>
  <w:footnote w:id="108">
    <w:p w:rsidR="00426C69" w:rsidRPr="00055BD4" w:rsidRDefault="00426C69">
      <w:pPr>
        <w:pStyle w:val="FootnoteText"/>
        <w:rPr>
          <w:lang w:val="en-US"/>
        </w:rPr>
      </w:pPr>
      <w:r>
        <w:rPr>
          <w:rStyle w:val="FootnoteReference"/>
        </w:rPr>
        <w:footnoteRef/>
      </w:r>
      <w:r>
        <w:t xml:space="preserve"> Crabbe (n9) 21.</w:t>
      </w:r>
    </w:p>
  </w:footnote>
  <w:footnote w:id="109">
    <w:p w:rsidR="00426C69" w:rsidRDefault="00426C69" w:rsidP="00E451BB">
      <w:pPr>
        <w:pStyle w:val="FootnoteText"/>
      </w:pPr>
      <w:r>
        <w:rPr>
          <w:rStyle w:val="FootnoteReference"/>
        </w:rPr>
        <w:footnoteRef/>
      </w:r>
      <w:r>
        <w:t xml:space="preserve"> Vanterpool (n90) 180.</w:t>
      </w:r>
    </w:p>
  </w:footnote>
  <w:footnote w:id="110">
    <w:p w:rsidR="00426C69" w:rsidRPr="001312BB" w:rsidRDefault="00426C69" w:rsidP="00DE31B6">
      <w:pPr>
        <w:pStyle w:val="FootnoteText"/>
        <w:rPr>
          <w:lang w:val="en-US"/>
        </w:rPr>
      </w:pPr>
      <w:r>
        <w:rPr>
          <w:rStyle w:val="FootnoteReference"/>
        </w:rPr>
        <w:footnoteRef/>
      </w:r>
      <w:r>
        <w:t xml:space="preserve"> </w:t>
      </w:r>
      <w:r>
        <w:rPr>
          <w:lang w:val="en-US"/>
        </w:rPr>
        <w:t>Xanthaki (n13) 45.</w:t>
      </w:r>
    </w:p>
  </w:footnote>
  <w:footnote w:id="111">
    <w:p w:rsidR="00426C69" w:rsidRPr="00813769" w:rsidRDefault="00426C69">
      <w:pPr>
        <w:pStyle w:val="FootnoteText"/>
        <w:rPr>
          <w:lang w:val="en-US"/>
        </w:rPr>
      </w:pPr>
      <w:r>
        <w:rPr>
          <w:rStyle w:val="FootnoteReference"/>
        </w:rPr>
        <w:footnoteRef/>
      </w:r>
      <w:r>
        <w:t xml:space="preserve"> </w:t>
      </w:r>
      <w:r>
        <w:rPr>
          <w:lang w:val="en-US"/>
        </w:rPr>
        <w:t>Driedger (76) xvi.</w:t>
      </w:r>
    </w:p>
  </w:footnote>
  <w:footnote w:id="112">
    <w:p w:rsidR="00426C69" w:rsidRPr="008F6322" w:rsidRDefault="00426C69">
      <w:pPr>
        <w:pStyle w:val="FootnoteText"/>
        <w:rPr>
          <w:lang w:val="en-US"/>
        </w:rPr>
      </w:pPr>
      <w:r>
        <w:rPr>
          <w:rStyle w:val="FootnoteReference"/>
        </w:rPr>
        <w:footnoteRef/>
      </w:r>
      <w:r>
        <w:t xml:space="preserve"> </w:t>
      </w:r>
      <w:r>
        <w:rPr>
          <w:lang w:val="en-US"/>
        </w:rPr>
        <w:t>Teri Cherkewich, ‘By Sword and Shield: Legislative Counsel’s Role in Advancing and Protecting Democracy One Word (and Client) at a Time’ [2015] SLR (advance access via OUP) 9.</w:t>
      </w:r>
    </w:p>
  </w:footnote>
  <w:footnote w:id="113">
    <w:p w:rsidR="00426C69" w:rsidRPr="00537CAE" w:rsidRDefault="00426C69" w:rsidP="00B171A8">
      <w:pPr>
        <w:pStyle w:val="FootnoteText"/>
        <w:rPr>
          <w:lang w:val="en-US"/>
        </w:rPr>
      </w:pPr>
      <w:r>
        <w:rPr>
          <w:rStyle w:val="FootnoteReference"/>
        </w:rPr>
        <w:footnoteRef/>
      </w:r>
      <w:r>
        <w:t xml:space="preserve"> </w:t>
      </w:r>
      <w:r>
        <w:rPr>
          <w:lang w:val="en-US"/>
        </w:rPr>
        <w:t>Vanterpool (n90)180.</w:t>
      </w:r>
    </w:p>
  </w:footnote>
  <w:footnote w:id="114">
    <w:p w:rsidR="00426C69" w:rsidRPr="00B171A8" w:rsidRDefault="00426C69">
      <w:pPr>
        <w:pStyle w:val="FootnoteText"/>
        <w:rPr>
          <w:lang w:val="en-US"/>
        </w:rPr>
      </w:pPr>
      <w:r>
        <w:rPr>
          <w:rStyle w:val="FootnoteReference"/>
        </w:rPr>
        <w:footnoteRef/>
      </w:r>
      <w:r>
        <w:t xml:space="preserve"> </w:t>
      </w:r>
      <w:r>
        <w:rPr>
          <w:lang w:val="en-US"/>
        </w:rPr>
        <w:t>Xanthaki (n13) 45- 46.</w:t>
      </w:r>
    </w:p>
  </w:footnote>
  <w:footnote w:id="115">
    <w:p w:rsidR="00426C69" w:rsidRPr="006A221B" w:rsidRDefault="00426C69" w:rsidP="005D3107">
      <w:pPr>
        <w:pStyle w:val="FootnoteText"/>
        <w:rPr>
          <w:lang w:val="en-US"/>
        </w:rPr>
      </w:pPr>
      <w:r>
        <w:rPr>
          <w:rStyle w:val="FootnoteReference"/>
        </w:rPr>
        <w:footnoteRef/>
      </w:r>
      <w:r>
        <w:t xml:space="preserve"> </w:t>
      </w:r>
      <w:r>
        <w:rPr>
          <w:lang w:val="en-US"/>
        </w:rPr>
        <w:t>Vanterpool (n90) 180.</w:t>
      </w:r>
    </w:p>
  </w:footnote>
  <w:footnote w:id="116">
    <w:p w:rsidR="00426C69" w:rsidRPr="005D3107" w:rsidRDefault="00426C69">
      <w:pPr>
        <w:pStyle w:val="FootnoteText"/>
        <w:rPr>
          <w:lang w:val="en-US"/>
        </w:rPr>
      </w:pPr>
      <w:r>
        <w:rPr>
          <w:rStyle w:val="FootnoteReference"/>
        </w:rPr>
        <w:footnoteRef/>
      </w:r>
      <w:r>
        <w:t xml:space="preserve"> </w:t>
      </w:r>
      <w:r>
        <w:rPr>
          <w:lang w:val="en-US"/>
        </w:rPr>
        <w:t>Xanthaki (n13) 46.</w:t>
      </w:r>
    </w:p>
  </w:footnote>
  <w:footnote w:id="117">
    <w:p w:rsidR="00426C69" w:rsidRPr="00CB36FE" w:rsidRDefault="00426C69" w:rsidP="003B0443">
      <w:pPr>
        <w:pStyle w:val="FootnoteText"/>
        <w:rPr>
          <w:lang w:val="en-US"/>
        </w:rPr>
      </w:pPr>
      <w:r>
        <w:rPr>
          <w:rStyle w:val="FootnoteReference"/>
        </w:rPr>
        <w:footnoteRef/>
      </w:r>
      <w:r>
        <w:t xml:space="preserve"> </w:t>
      </w:r>
      <w:r>
        <w:rPr>
          <w:lang w:val="en-US"/>
        </w:rPr>
        <w:t>Xanthaki (n67) 152.</w:t>
      </w:r>
    </w:p>
  </w:footnote>
  <w:footnote w:id="118">
    <w:p w:rsidR="00426C69" w:rsidRPr="00161F6B" w:rsidRDefault="00426C69">
      <w:pPr>
        <w:pStyle w:val="FootnoteText"/>
        <w:rPr>
          <w:lang w:val="en-US"/>
        </w:rPr>
      </w:pPr>
      <w:r>
        <w:rPr>
          <w:rStyle w:val="FootnoteReference"/>
        </w:rPr>
        <w:footnoteRef/>
      </w:r>
      <w:r>
        <w:t xml:space="preserve"> </w:t>
      </w:r>
      <w:r>
        <w:rPr>
          <w:lang w:val="en-US"/>
        </w:rPr>
        <w:t>ibid.</w:t>
      </w:r>
    </w:p>
  </w:footnote>
  <w:footnote w:id="119">
    <w:p w:rsidR="00426C69" w:rsidRPr="00DB79AF" w:rsidRDefault="00426C69">
      <w:pPr>
        <w:pStyle w:val="FootnoteText"/>
        <w:rPr>
          <w:lang w:val="en-US"/>
        </w:rPr>
      </w:pPr>
      <w:r>
        <w:rPr>
          <w:rStyle w:val="FootnoteReference"/>
        </w:rPr>
        <w:footnoteRef/>
      </w:r>
      <w:r>
        <w:t>‘Retrospective Laws’ para 7.6. &lt;</w:t>
      </w:r>
      <w:r w:rsidRPr="000E3791">
        <w:t>https://www.alrc.gov.au/sites/default/files/pdfs/publications/ip46_ch_7._retrospective_laws.pdf</w:t>
      </w:r>
      <w:r>
        <w:t>&gt; accessed 5 August 2015</w:t>
      </w:r>
    </w:p>
  </w:footnote>
  <w:footnote w:id="120">
    <w:p w:rsidR="00426C69" w:rsidRDefault="00426C69">
      <w:pPr>
        <w:pStyle w:val="FootnoteText"/>
      </w:pPr>
      <w:r>
        <w:rPr>
          <w:rStyle w:val="FootnoteReference"/>
        </w:rPr>
        <w:footnoteRef/>
      </w:r>
      <w:r>
        <w:t xml:space="preserve"> ibid para 7.1.</w:t>
      </w:r>
    </w:p>
  </w:footnote>
  <w:footnote w:id="121">
    <w:p w:rsidR="00426C69" w:rsidRPr="009E36A4" w:rsidRDefault="00426C69">
      <w:pPr>
        <w:pStyle w:val="FootnoteText"/>
        <w:rPr>
          <w:lang w:val="en-US"/>
        </w:rPr>
      </w:pPr>
      <w:r>
        <w:rPr>
          <w:rStyle w:val="FootnoteReference"/>
        </w:rPr>
        <w:footnoteRef/>
      </w:r>
      <w:r>
        <w:t xml:space="preserve"> </w:t>
      </w:r>
      <w:r>
        <w:rPr>
          <w:lang w:val="en-US"/>
        </w:rPr>
        <w:t>ibid para 7.5-7.6.</w:t>
      </w:r>
    </w:p>
  </w:footnote>
  <w:footnote w:id="122">
    <w:p w:rsidR="00426C69" w:rsidRDefault="00426C69" w:rsidP="009E36A4">
      <w:pPr>
        <w:pStyle w:val="FootnoteText"/>
      </w:pPr>
      <w:r>
        <w:rPr>
          <w:rStyle w:val="FootnoteReference"/>
        </w:rPr>
        <w:footnoteRef/>
      </w:r>
      <w:r>
        <w:t xml:space="preserve"> Bingham (n15) 37.</w:t>
      </w:r>
    </w:p>
  </w:footnote>
  <w:footnote w:id="123">
    <w:p w:rsidR="00426C69" w:rsidRPr="0058262E" w:rsidRDefault="00426C69">
      <w:pPr>
        <w:pStyle w:val="FootnoteText"/>
        <w:rPr>
          <w:lang w:val="en-US"/>
        </w:rPr>
      </w:pPr>
      <w:r>
        <w:rPr>
          <w:rStyle w:val="FootnoteReference"/>
        </w:rPr>
        <w:footnoteRef/>
      </w:r>
      <w:r>
        <w:t xml:space="preserve"> ibid 74.</w:t>
      </w:r>
    </w:p>
  </w:footnote>
  <w:footnote w:id="124">
    <w:p w:rsidR="00426C69" w:rsidRPr="00726E79" w:rsidRDefault="00426C69" w:rsidP="00107FDC">
      <w:pPr>
        <w:pStyle w:val="FootnoteText"/>
        <w:rPr>
          <w:lang w:val="en-US"/>
        </w:rPr>
      </w:pPr>
      <w:r>
        <w:rPr>
          <w:rStyle w:val="FootnoteReference"/>
        </w:rPr>
        <w:footnoteRef/>
      </w:r>
      <w:r>
        <w:t xml:space="preserve"> </w:t>
      </w:r>
      <w:r>
        <w:rPr>
          <w:lang w:val="en-US"/>
        </w:rPr>
        <w:t>Joseph Kobba, ‘Criticisms of the Legislative Drafting Process and Suggested Reforms in Sierra Leone’ [2008] 10 Eur LJ Reform 219, 233.</w:t>
      </w:r>
    </w:p>
  </w:footnote>
  <w:footnote w:id="125">
    <w:p w:rsidR="00426C69" w:rsidRPr="00E65E66" w:rsidRDefault="00426C69">
      <w:pPr>
        <w:pStyle w:val="FootnoteText"/>
        <w:rPr>
          <w:lang w:val="en-US"/>
        </w:rPr>
      </w:pPr>
      <w:r>
        <w:rPr>
          <w:rStyle w:val="FootnoteReference"/>
        </w:rPr>
        <w:footnoteRef/>
      </w:r>
      <w:r>
        <w:t xml:space="preserve"> </w:t>
      </w:r>
      <w:r w:rsidRPr="00BE7232">
        <w:rPr>
          <w:lang w:val="en-US"/>
        </w:rPr>
        <w:t>Elias Turatsinze, ‘The Pursuit of Clarity, Precision and Unambiguity in Drafting Retrospective Legislation</w:t>
      </w:r>
      <w:r>
        <w:rPr>
          <w:lang w:val="en-US"/>
        </w:rPr>
        <w:t>’ [2013]</w:t>
      </w:r>
      <w:r w:rsidRPr="00BE7232">
        <w:rPr>
          <w:lang w:val="en-US"/>
        </w:rPr>
        <w:t xml:space="preserve"> 15 Eur LJ 206, 2</w:t>
      </w:r>
      <w:r>
        <w:rPr>
          <w:lang w:val="en-US"/>
        </w:rPr>
        <w:t>2</w:t>
      </w:r>
      <w:r w:rsidRPr="00BE7232">
        <w:rPr>
          <w:lang w:val="en-US"/>
        </w:rPr>
        <w:t>4</w:t>
      </w:r>
      <w:r>
        <w:rPr>
          <w:lang w:val="en-US"/>
        </w:rPr>
        <w:t>.</w:t>
      </w:r>
    </w:p>
  </w:footnote>
  <w:footnote w:id="126">
    <w:p w:rsidR="00426C69" w:rsidRPr="00074BAA" w:rsidRDefault="00426C69" w:rsidP="00107FDC">
      <w:pPr>
        <w:pStyle w:val="FootnoteText"/>
      </w:pPr>
      <w:r>
        <w:rPr>
          <w:rStyle w:val="FootnoteReference"/>
        </w:rPr>
        <w:footnoteRef/>
      </w:r>
      <w:r>
        <w:t xml:space="preserve"> </w:t>
      </w:r>
      <w:r>
        <w:rPr>
          <w:lang w:val="en-US"/>
        </w:rPr>
        <w:t>(1981) 291 Or. 475, 632 P. 2d 782.</w:t>
      </w:r>
      <w:r w:rsidRPr="00F02518">
        <w:t xml:space="preserve"> </w:t>
      </w:r>
    </w:p>
  </w:footnote>
  <w:footnote w:id="127">
    <w:p w:rsidR="00426C69" w:rsidRPr="001947D3" w:rsidRDefault="00426C69" w:rsidP="00575828">
      <w:pPr>
        <w:pStyle w:val="FootnoteText"/>
        <w:rPr>
          <w:lang w:val="en-US"/>
        </w:rPr>
      </w:pPr>
      <w:r>
        <w:rPr>
          <w:rStyle w:val="FootnoteReference"/>
        </w:rPr>
        <w:footnoteRef/>
      </w:r>
      <w:r>
        <w:t xml:space="preserve"> </w:t>
      </w:r>
      <w:r>
        <w:rPr>
          <w:lang w:val="en-US"/>
        </w:rPr>
        <w:t>Kobba (n124) 234.</w:t>
      </w:r>
    </w:p>
  </w:footnote>
  <w:footnote w:id="128">
    <w:p w:rsidR="00426C69" w:rsidRPr="004B2585" w:rsidRDefault="00426C69">
      <w:pPr>
        <w:pStyle w:val="FootnoteText"/>
        <w:rPr>
          <w:lang w:val="en-US"/>
        </w:rPr>
      </w:pPr>
      <w:r>
        <w:rPr>
          <w:rStyle w:val="FootnoteReference"/>
        </w:rPr>
        <w:footnoteRef/>
      </w:r>
      <w:r>
        <w:t xml:space="preserve"> </w:t>
      </w:r>
      <w:r>
        <w:rPr>
          <w:lang w:val="en-US"/>
        </w:rPr>
        <w:t>Abigail Bertlin, ‘</w:t>
      </w:r>
      <w:r>
        <w:t>What Works Best for the Readers? A Study on Drafting and Presenting Legislation’ (2014) The Loophole</w:t>
      </w:r>
      <w:r>
        <w:rPr>
          <w:lang w:val="en-US"/>
        </w:rPr>
        <w:t xml:space="preserve"> 25, 28.</w:t>
      </w:r>
      <w:r w:rsidRPr="00224DAB">
        <w:t xml:space="preserve"> </w:t>
      </w:r>
      <w:r>
        <w:t>&lt;</w:t>
      </w:r>
      <w:r w:rsidRPr="00224DAB">
        <w:rPr>
          <w:lang w:val="en-US"/>
        </w:rPr>
        <w:t>https://www.gov.uk/government/uploads/system/uploads/attachment_data/file/326937/Loophole_-_2014-2__2014-05-09_-What_works_best_for_the_reader.pdf</w:t>
      </w:r>
      <w:r>
        <w:rPr>
          <w:lang w:val="en-US"/>
        </w:rPr>
        <w:t>&gt; accessed 23 August 2015;  Duncan Berry, ‘Audience Analysis in the Legislative Drafting Process’ (2000) The Loophole 61.&lt;</w:t>
      </w:r>
      <w:r w:rsidRPr="004B2585">
        <w:t xml:space="preserve"> </w:t>
      </w:r>
      <w:r w:rsidRPr="004B2585">
        <w:rPr>
          <w:lang w:val="en-US"/>
        </w:rPr>
        <w:t>https://www.opc.gov.au/calc/docs/Loophole/Loophole_Jun00.pdf</w:t>
      </w:r>
      <w:r>
        <w:rPr>
          <w:lang w:val="en-US"/>
        </w:rPr>
        <w:t>&gt; accessed 14 August 2015</w:t>
      </w:r>
    </w:p>
  </w:footnote>
  <w:footnote w:id="129">
    <w:p w:rsidR="00426C69" w:rsidRPr="004B2585" w:rsidRDefault="00426C69" w:rsidP="004B2585">
      <w:pPr>
        <w:pStyle w:val="FootnoteText"/>
        <w:rPr>
          <w:lang w:val="en-US"/>
        </w:rPr>
      </w:pPr>
      <w:r>
        <w:rPr>
          <w:rStyle w:val="FootnoteReference"/>
        </w:rPr>
        <w:footnoteRef/>
      </w:r>
      <w:r>
        <w:t xml:space="preserve"> </w:t>
      </w:r>
      <w:r>
        <w:rPr>
          <w:lang w:val="en-US"/>
        </w:rPr>
        <w:t>Berry (n128) 61.</w:t>
      </w:r>
    </w:p>
  </w:footnote>
  <w:footnote w:id="130">
    <w:p w:rsidR="00426C69" w:rsidRPr="00044F3A" w:rsidRDefault="00426C69">
      <w:pPr>
        <w:pStyle w:val="FootnoteText"/>
        <w:rPr>
          <w:lang w:val="en-US"/>
        </w:rPr>
      </w:pPr>
      <w:r>
        <w:rPr>
          <w:rStyle w:val="FootnoteReference"/>
        </w:rPr>
        <w:footnoteRef/>
      </w:r>
      <w:r>
        <w:t xml:space="preserve"> </w:t>
      </w:r>
      <w:r>
        <w:rPr>
          <w:lang w:val="en-US"/>
        </w:rPr>
        <w:t>Bertlin (n128) 28.</w:t>
      </w:r>
    </w:p>
  </w:footnote>
  <w:footnote w:id="131">
    <w:p w:rsidR="00426C69" w:rsidRPr="00244815" w:rsidRDefault="00426C69">
      <w:pPr>
        <w:pStyle w:val="FootnoteText"/>
        <w:rPr>
          <w:lang w:val="en-US"/>
        </w:rPr>
      </w:pPr>
      <w:r>
        <w:rPr>
          <w:rStyle w:val="FootnoteReference"/>
        </w:rPr>
        <w:footnoteRef/>
      </w:r>
      <w:r>
        <w:t xml:space="preserve"> </w:t>
      </w:r>
      <w:r>
        <w:rPr>
          <w:lang w:val="en-US"/>
        </w:rPr>
        <w:t>Xanthaki (n13) 113.</w:t>
      </w:r>
    </w:p>
  </w:footnote>
  <w:footnote w:id="132">
    <w:p w:rsidR="00426C69" w:rsidRPr="0006519D" w:rsidRDefault="00426C69" w:rsidP="00683DDE">
      <w:pPr>
        <w:pStyle w:val="FootnoteText"/>
        <w:rPr>
          <w:lang w:val="en-US"/>
        </w:rPr>
      </w:pPr>
      <w:r>
        <w:rPr>
          <w:rStyle w:val="FootnoteReference"/>
        </w:rPr>
        <w:footnoteRef/>
      </w:r>
      <w:r>
        <w:t xml:space="preserve"> </w:t>
      </w:r>
      <w:r>
        <w:rPr>
          <w:lang w:val="en-US"/>
        </w:rPr>
        <w:t>ibid 115.</w:t>
      </w:r>
    </w:p>
  </w:footnote>
  <w:footnote w:id="133">
    <w:p w:rsidR="00426C69" w:rsidRPr="00A7723D" w:rsidRDefault="00426C69" w:rsidP="001C729D">
      <w:pPr>
        <w:pStyle w:val="FootnoteText"/>
        <w:rPr>
          <w:lang w:val="en-US"/>
        </w:rPr>
      </w:pPr>
      <w:r>
        <w:rPr>
          <w:rStyle w:val="FootnoteReference"/>
        </w:rPr>
        <w:footnoteRef/>
      </w:r>
      <w:r>
        <w:t xml:space="preserve"> Ruth </w:t>
      </w:r>
      <w:r>
        <w:rPr>
          <w:lang w:val="en-US"/>
        </w:rPr>
        <w:t>Sullivan, ‘The Promise of Plain Language’ [2001-2002] 47 McGill LJ 97,112.</w:t>
      </w:r>
    </w:p>
  </w:footnote>
  <w:footnote w:id="134">
    <w:p w:rsidR="00426C69" w:rsidRPr="0006519D" w:rsidRDefault="00426C69" w:rsidP="00592F2A">
      <w:pPr>
        <w:pStyle w:val="FootnoteText"/>
        <w:rPr>
          <w:lang w:val="en-US"/>
        </w:rPr>
      </w:pPr>
      <w:r>
        <w:rPr>
          <w:rStyle w:val="FootnoteReference"/>
        </w:rPr>
        <w:footnoteRef/>
      </w:r>
      <w:r>
        <w:t xml:space="preserve"> </w:t>
      </w:r>
      <w:r>
        <w:rPr>
          <w:lang w:val="en-US"/>
        </w:rPr>
        <w:t>Xanthaki (n13) 115.</w:t>
      </w:r>
    </w:p>
  </w:footnote>
  <w:footnote w:id="135">
    <w:p w:rsidR="00426C69" w:rsidRPr="00C616C1" w:rsidRDefault="00426C69">
      <w:pPr>
        <w:pStyle w:val="FootnoteText"/>
        <w:rPr>
          <w:lang w:val="en-US"/>
        </w:rPr>
      </w:pPr>
      <w:r>
        <w:rPr>
          <w:rStyle w:val="FootnoteReference"/>
        </w:rPr>
        <w:footnoteRef/>
      </w:r>
      <w:r>
        <w:t xml:space="preserve"> </w:t>
      </w:r>
      <w:r>
        <w:rPr>
          <w:lang w:val="en-US"/>
        </w:rPr>
        <w:t>ibid.</w:t>
      </w:r>
    </w:p>
  </w:footnote>
  <w:footnote w:id="136">
    <w:p w:rsidR="00426C69" w:rsidRPr="000A661F" w:rsidRDefault="00426C69" w:rsidP="003C5C3E">
      <w:pPr>
        <w:pStyle w:val="FootnoteText"/>
        <w:rPr>
          <w:lang w:val="en-US"/>
        </w:rPr>
      </w:pPr>
      <w:r>
        <w:rPr>
          <w:rStyle w:val="FootnoteReference"/>
        </w:rPr>
        <w:footnoteRef/>
      </w:r>
      <w:r>
        <w:t xml:space="preserve"> </w:t>
      </w:r>
      <w:r>
        <w:rPr>
          <w:lang w:val="en-US"/>
        </w:rPr>
        <w:t>Tanner (n49) para 34.</w:t>
      </w:r>
    </w:p>
  </w:footnote>
  <w:footnote w:id="137">
    <w:p w:rsidR="00426C69" w:rsidRPr="004510B5" w:rsidRDefault="00426C69" w:rsidP="003C5C3E">
      <w:pPr>
        <w:pStyle w:val="FootnoteText"/>
        <w:rPr>
          <w:lang w:val="en-US"/>
        </w:rPr>
      </w:pPr>
      <w:r>
        <w:rPr>
          <w:rStyle w:val="FootnoteReference"/>
        </w:rPr>
        <w:footnoteRef/>
      </w:r>
      <w:r>
        <w:t xml:space="preserve"> Bertlin (n128) 27.</w:t>
      </w:r>
    </w:p>
  </w:footnote>
  <w:footnote w:id="138">
    <w:p w:rsidR="00426C69" w:rsidRPr="00C24BC4" w:rsidRDefault="00426C69">
      <w:pPr>
        <w:pStyle w:val="FootnoteText"/>
        <w:rPr>
          <w:lang w:val="en-US"/>
        </w:rPr>
      </w:pPr>
      <w:r>
        <w:rPr>
          <w:rStyle w:val="FootnoteReference"/>
        </w:rPr>
        <w:footnoteRef/>
      </w:r>
      <w:r>
        <w:t xml:space="preserve"> Daniel Greenberg, ‘The Nature of Legislative Intention and Its Implications for Legislative Drafting’ </w:t>
      </w:r>
      <w:r>
        <w:rPr>
          <w:lang w:val="en-US"/>
        </w:rPr>
        <w:t>(2006) 27 SLR 15, 28. (words in parenthesis added)</w:t>
      </w:r>
    </w:p>
  </w:footnote>
  <w:footnote w:id="139">
    <w:p w:rsidR="00426C69" w:rsidRDefault="00426C69">
      <w:pPr>
        <w:pStyle w:val="FootnoteText"/>
      </w:pPr>
      <w:r>
        <w:rPr>
          <w:rStyle w:val="FootnoteReference"/>
        </w:rPr>
        <w:footnoteRef/>
      </w:r>
      <w:r>
        <w:t xml:space="preserve"> The Renton Committee (n19) para 10.3.</w:t>
      </w:r>
    </w:p>
  </w:footnote>
  <w:footnote w:id="140">
    <w:p w:rsidR="00426C69" w:rsidRPr="00B759C2" w:rsidRDefault="00426C69" w:rsidP="004843E3">
      <w:pPr>
        <w:pStyle w:val="FootnoteText"/>
        <w:rPr>
          <w:lang w:val="en-US"/>
        </w:rPr>
      </w:pPr>
      <w:r>
        <w:rPr>
          <w:rStyle w:val="FootnoteReference"/>
        </w:rPr>
        <w:footnoteRef/>
      </w:r>
      <w:r>
        <w:t xml:space="preserve"> </w:t>
      </w:r>
      <w:r>
        <w:rPr>
          <w:lang w:val="en-US"/>
        </w:rPr>
        <w:t>Xanthaki (n67) 50.</w:t>
      </w:r>
    </w:p>
  </w:footnote>
  <w:footnote w:id="141">
    <w:p w:rsidR="00426C69" w:rsidRPr="00B759C2" w:rsidRDefault="00426C69" w:rsidP="004843E3">
      <w:pPr>
        <w:pStyle w:val="FootnoteText"/>
        <w:rPr>
          <w:lang w:val="en-US"/>
        </w:rPr>
      </w:pPr>
      <w:r>
        <w:rPr>
          <w:rStyle w:val="FootnoteReference"/>
        </w:rPr>
        <w:footnoteRef/>
      </w:r>
      <w:r>
        <w:t xml:space="preserve"> </w:t>
      </w:r>
      <w:r>
        <w:rPr>
          <w:lang w:val="en-US"/>
        </w:rPr>
        <w:t>ibid 51.</w:t>
      </w:r>
    </w:p>
  </w:footnote>
  <w:footnote w:id="142">
    <w:p w:rsidR="00426C69" w:rsidRDefault="00426C69">
      <w:pPr>
        <w:pStyle w:val="FootnoteText"/>
      </w:pPr>
      <w:r>
        <w:rPr>
          <w:rStyle w:val="FootnoteReference"/>
        </w:rPr>
        <w:footnoteRef/>
      </w:r>
      <w:r>
        <w:t xml:space="preserve"> Nick Horn, ‘Legislative Section Headings: Drafting Techniques, Plain Language, and Redundancy’ [2011] 32 SLR 186,190.</w:t>
      </w:r>
    </w:p>
  </w:footnote>
  <w:footnote w:id="143">
    <w:p w:rsidR="00426C69" w:rsidRPr="009561DB" w:rsidRDefault="00426C69" w:rsidP="003C5C3E">
      <w:pPr>
        <w:pStyle w:val="FootnoteText"/>
        <w:rPr>
          <w:lang w:val="en-US"/>
        </w:rPr>
      </w:pPr>
      <w:r>
        <w:rPr>
          <w:rStyle w:val="FootnoteReference"/>
        </w:rPr>
        <w:footnoteRef/>
      </w:r>
      <w:r>
        <w:t xml:space="preserve"> ibid.</w:t>
      </w:r>
    </w:p>
  </w:footnote>
  <w:footnote w:id="144">
    <w:p w:rsidR="00426C69" w:rsidRPr="00F6291B" w:rsidRDefault="00426C69" w:rsidP="00DA11A4">
      <w:pPr>
        <w:pStyle w:val="FootnoteText"/>
        <w:rPr>
          <w:lang w:val="en-US"/>
        </w:rPr>
      </w:pPr>
      <w:r>
        <w:rPr>
          <w:rStyle w:val="FootnoteReference"/>
        </w:rPr>
        <w:footnoteRef/>
      </w:r>
      <w:r>
        <w:t xml:space="preserve"> </w:t>
      </w:r>
      <w:r>
        <w:rPr>
          <w:lang w:val="en-US"/>
        </w:rPr>
        <w:t>Samuel Ngirinshuti, ‘Use of Legislative Section Headings to Achieve Effectiveness: Comparative Study of Rwandan and Australian Jurisdictions’ [2013] 15 Eur LJ 299, 308.</w:t>
      </w:r>
    </w:p>
  </w:footnote>
  <w:footnote w:id="145">
    <w:p w:rsidR="00426C69" w:rsidRPr="0037355F" w:rsidRDefault="00426C69" w:rsidP="00DA11A4">
      <w:pPr>
        <w:pStyle w:val="FootnoteText"/>
        <w:rPr>
          <w:lang w:val="en-US"/>
        </w:rPr>
      </w:pPr>
      <w:r>
        <w:rPr>
          <w:rStyle w:val="FootnoteReference"/>
        </w:rPr>
        <w:footnoteRef/>
      </w:r>
      <w:r>
        <w:t xml:space="preserve"> </w:t>
      </w:r>
      <w:r>
        <w:rPr>
          <w:lang w:val="en-US"/>
        </w:rPr>
        <w:t>Bowman (n81) 4.</w:t>
      </w:r>
    </w:p>
  </w:footnote>
  <w:footnote w:id="146">
    <w:p w:rsidR="00426C69" w:rsidRDefault="00426C69">
      <w:pPr>
        <w:pStyle w:val="FootnoteText"/>
      </w:pPr>
      <w:r>
        <w:rPr>
          <w:rStyle w:val="FootnoteReference"/>
        </w:rPr>
        <w:footnoteRef/>
      </w:r>
      <w:r>
        <w:t xml:space="preserve"> Crabbe (n9) 19.</w:t>
      </w:r>
    </w:p>
  </w:footnote>
  <w:footnote w:id="147">
    <w:p w:rsidR="00426C69" w:rsidRDefault="00426C69" w:rsidP="00222F36">
      <w:pPr>
        <w:pStyle w:val="FootnoteText"/>
      </w:pPr>
      <w:r>
        <w:rPr>
          <w:rStyle w:val="FootnoteReference"/>
        </w:rPr>
        <w:footnoteRef/>
      </w:r>
      <w:r>
        <w:t xml:space="preserve"> Horn (n79) 43.</w:t>
      </w:r>
    </w:p>
  </w:footnote>
  <w:footnote w:id="148">
    <w:p w:rsidR="00426C69" w:rsidRPr="000328A6" w:rsidRDefault="00426C69" w:rsidP="00F36765">
      <w:pPr>
        <w:pStyle w:val="FootnoteText"/>
        <w:rPr>
          <w:lang w:val="en-US"/>
        </w:rPr>
      </w:pPr>
      <w:r>
        <w:rPr>
          <w:rStyle w:val="FootnoteReference"/>
        </w:rPr>
        <w:footnoteRef/>
      </w:r>
      <w:r>
        <w:t xml:space="preserve"> Crabbe (n9)16.</w:t>
      </w:r>
    </w:p>
  </w:footnote>
  <w:footnote w:id="149">
    <w:p w:rsidR="00426C69" w:rsidRPr="00F701F9" w:rsidRDefault="00426C69">
      <w:pPr>
        <w:pStyle w:val="FootnoteText"/>
        <w:rPr>
          <w:lang w:val="en-US"/>
        </w:rPr>
      </w:pPr>
      <w:r>
        <w:rPr>
          <w:rStyle w:val="FootnoteReference"/>
        </w:rPr>
        <w:footnoteRef/>
      </w:r>
      <w:r>
        <w:t xml:space="preserve"> </w:t>
      </w:r>
      <w:r>
        <w:rPr>
          <w:lang w:val="en-US"/>
        </w:rPr>
        <w:t xml:space="preserve">Engle (n94) 15. </w:t>
      </w:r>
    </w:p>
  </w:footnote>
  <w:footnote w:id="150">
    <w:p w:rsidR="00426C69" w:rsidRPr="000F58CE" w:rsidRDefault="00426C69">
      <w:pPr>
        <w:pStyle w:val="FootnoteText"/>
        <w:rPr>
          <w:lang w:val="en-US"/>
        </w:rPr>
      </w:pPr>
      <w:r>
        <w:rPr>
          <w:rStyle w:val="FootnoteReference"/>
        </w:rPr>
        <w:footnoteRef/>
      </w:r>
      <w:r>
        <w:t xml:space="preserve">Robert C Dick, </w:t>
      </w:r>
      <w:r w:rsidRPr="006A3B43">
        <w:rPr>
          <w:i/>
        </w:rPr>
        <w:t>Legal Drafting in Plain Language</w:t>
      </w:r>
      <w:r>
        <w:rPr>
          <w:lang w:val="en-US"/>
        </w:rPr>
        <w:t xml:space="preserve"> (3</w:t>
      </w:r>
      <w:r w:rsidRPr="00F0268E">
        <w:rPr>
          <w:vertAlign w:val="superscript"/>
          <w:lang w:val="en-US"/>
        </w:rPr>
        <w:t>rd</w:t>
      </w:r>
      <w:r>
        <w:rPr>
          <w:lang w:val="en-US"/>
        </w:rPr>
        <w:t xml:space="preserve"> edn, Carswell Thomson Professional Publishing 1995) 40.</w:t>
      </w:r>
    </w:p>
  </w:footnote>
  <w:footnote w:id="151">
    <w:p w:rsidR="00426C69" w:rsidRPr="0071317A" w:rsidRDefault="00426C69" w:rsidP="0071317A">
      <w:pPr>
        <w:pStyle w:val="FootnoteText"/>
        <w:rPr>
          <w:rFonts w:ascii="Century" w:hAnsi="Century"/>
          <w:sz w:val="24"/>
          <w:szCs w:val="24"/>
          <w:lang w:val="en-US"/>
        </w:rPr>
      </w:pPr>
      <w:r>
        <w:rPr>
          <w:rStyle w:val="FootnoteReference"/>
        </w:rPr>
        <w:footnoteRef/>
      </w:r>
      <w:r>
        <w:t xml:space="preserve"> </w:t>
      </w:r>
      <w:r w:rsidRPr="0071317A">
        <w:rPr>
          <w:rFonts w:ascii="Century" w:hAnsi="Century"/>
        </w:rPr>
        <w:t xml:space="preserve">Law Reform Commission of </w:t>
      </w:r>
      <w:r>
        <w:rPr>
          <w:rFonts w:ascii="Century" w:hAnsi="Century"/>
        </w:rPr>
        <w:t>Victoria (LRCV)</w:t>
      </w:r>
      <w:r w:rsidRPr="0071317A">
        <w:rPr>
          <w:rFonts w:ascii="Century" w:hAnsi="Century"/>
        </w:rPr>
        <w:t xml:space="preserve">, </w:t>
      </w:r>
      <w:r w:rsidRPr="0071317A">
        <w:rPr>
          <w:rFonts w:ascii="Century" w:hAnsi="Century"/>
          <w:i/>
        </w:rPr>
        <w:t>Report No. 9: Plain English and the Law</w:t>
      </w:r>
      <w:r w:rsidRPr="0071317A">
        <w:rPr>
          <w:rFonts w:ascii="Century" w:hAnsi="Century"/>
        </w:rPr>
        <w:t xml:space="preserve"> (30 June 1987)</w:t>
      </w:r>
      <w:r>
        <w:rPr>
          <w:rFonts w:ascii="Century" w:hAnsi="Century"/>
          <w:sz w:val="24"/>
          <w:szCs w:val="24"/>
        </w:rPr>
        <w:t xml:space="preserve"> </w:t>
      </w:r>
      <w:r>
        <w:rPr>
          <w:lang w:val="en-US"/>
        </w:rPr>
        <w:t>para 163.</w:t>
      </w:r>
    </w:p>
  </w:footnote>
  <w:footnote w:id="152">
    <w:p w:rsidR="00426C69" w:rsidRPr="00EE1F89" w:rsidRDefault="00426C69">
      <w:pPr>
        <w:pStyle w:val="FootnoteText"/>
        <w:rPr>
          <w:lang w:val="en-US"/>
        </w:rPr>
      </w:pPr>
      <w:r>
        <w:rPr>
          <w:rStyle w:val="FootnoteReference"/>
        </w:rPr>
        <w:footnoteRef/>
      </w:r>
      <w:r>
        <w:t xml:space="preserve"> Burrows and Carter (n17) </w:t>
      </w:r>
      <w:r>
        <w:rPr>
          <w:lang w:val="en-US"/>
        </w:rPr>
        <w:t>114.</w:t>
      </w:r>
    </w:p>
  </w:footnote>
  <w:footnote w:id="153">
    <w:p w:rsidR="00426C69" w:rsidRPr="00BD1B2C" w:rsidRDefault="00426C69" w:rsidP="00794276">
      <w:pPr>
        <w:pStyle w:val="FootnoteText"/>
        <w:rPr>
          <w:lang w:val="en-US"/>
        </w:rPr>
      </w:pPr>
      <w:r>
        <w:rPr>
          <w:rStyle w:val="FootnoteReference"/>
        </w:rPr>
        <w:footnoteRef/>
      </w:r>
      <w:r>
        <w:t xml:space="preserve"> </w:t>
      </w:r>
      <w:r>
        <w:rPr>
          <w:lang w:val="en-US"/>
        </w:rPr>
        <w:t>Engle (n94) 15.</w:t>
      </w:r>
    </w:p>
  </w:footnote>
  <w:footnote w:id="154">
    <w:p w:rsidR="00426C69" w:rsidRDefault="00426C69" w:rsidP="00986007">
      <w:pPr>
        <w:pStyle w:val="FootnoteText"/>
      </w:pPr>
      <w:r>
        <w:rPr>
          <w:rStyle w:val="FootnoteReference"/>
        </w:rPr>
        <w:footnoteRef/>
      </w:r>
      <w:r>
        <w:t xml:space="preserve"> Peter Butt, </w:t>
      </w:r>
      <w:r w:rsidRPr="0056011B">
        <w:rPr>
          <w:i/>
        </w:rPr>
        <w:t>Modern Legal Drafting: A Guide to Using Clearer Language</w:t>
      </w:r>
      <w:r>
        <w:t xml:space="preserve"> (3</w:t>
      </w:r>
      <w:r w:rsidRPr="00A13D17">
        <w:rPr>
          <w:vertAlign w:val="superscript"/>
        </w:rPr>
        <w:t>rd</w:t>
      </w:r>
      <w:r>
        <w:t xml:space="preserve"> edn, CUP 2013) 129.</w:t>
      </w:r>
    </w:p>
  </w:footnote>
  <w:footnote w:id="155">
    <w:p w:rsidR="00426C69" w:rsidRDefault="00426C69">
      <w:pPr>
        <w:pStyle w:val="FootnoteText"/>
      </w:pPr>
      <w:r>
        <w:rPr>
          <w:rStyle w:val="FootnoteReference"/>
        </w:rPr>
        <w:footnoteRef/>
      </w:r>
      <w:r>
        <w:t xml:space="preserve"> Seidman, Seidman and Abeyeskere (n40) 209.</w:t>
      </w:r>
    </w:p>
  </w:footnote>
  <w:footnote w:id="156">
    <w:p w:rsidR="00426C69" w:rsidRDefault="00426C69" w:rsidP="00966CB6">
      <w:pPr>
        <w:pStyle w:val="FootnoteText"/>
      </w:pPr>
      <w:r>
        <w:rPr>
          <w:rStyle w:val="FootnoteReference"/>
        </w:rPr>
        <w:footnoteRef/>
      </w:r>
      <w:r>
        <w:t xml:space="preserve"> Xanthaki (n67) 157.</w:t>
      </w:r>
    </w:p>
  </w:footnote>
  <w:footnote w:id="157">
    <w:p w:rsidR="00426C69" w:rsidRPr="00E077EA" w:rsidRDefault="00426C69" w:rsidP="00966CB6">
      <w:pPr>
        <w:pStyle w:val="FootnoteText"/>
        <w:rPr>
          <w:lang w:val="en-US"/>
        </w:rPr>
      </w:pPr>
      <w:r>
        <w:rPr>
          <w:rStyle w:val="FootnoteReference"/>
        </w:rPr>
        <w:footnoteRef/>
      </w:r>
      <w:r>
        <w:t xml:space="preserve"> Wim</w:t>
      </w:r>
      <w:r>
        <w:rPr>
          <w:lang w:val="en-US"/>
        </w:rPr>
        <w:t>Voermans, ‘Styles of Legislation and their Effects’ [2011] 32 SLR 38, 39.</w:t>
      </w:r>
    </w:p>
  </w:footnote>
  <w:footnote w:id="158">
    <w:p w:rsidR="00426C69" w:rsidRPr="00754820" w:rsidRDefault="00426C69" w:rsidP="00966CB6">
      <w:pPr>
        <w:pStyle w:val="FootnoteText"/>
        <w:rPr>
          <w:lang w:val="en-US"/>
        </w:rPr>
      </w:pPr>
      <w:r>
        <w:rPr>
          <w:rStyle w:val="FootnoteReference"/>
        </w:rPr>
        <w:footnoteRef/>
      </w:r>
      <w:r>
        <w:t xml:space="preserve"> </w:t>
      </w:r>
      <w:r>
        <w:rPr>
          <w:lang w:val="en-US"/>
        </w:rPr>
        <w:t>ibid 47.</w:t>
      </w:r>
    </w:p>
  </w:footnote>
  <w:footnote w:id="159">
    <w:p w:rsidR="00426C69" w:rsidRDefault="00426C69" w:rsidP="00966CB6">
      <w:pPr>
        <w:pStyle w:val="FootnoteText"/>
      </w:pPr>
      <w:r>
        <w:rPr>
          <w:rStyle w:val="FootnoteReference"/>
        </w:rPr>
        <w:footnoteRef/>
      </w:r>
      <w:r>
        <w:t xml:space="preserve"> Xanthaki (n13) 62.</w:t>
      </w:r>
    </w:p>
  </w:footnote>
  <w:footnote w:id="160">
    <w:p w:rsidR="00426C69" w:rsidRPr="00610C00" w:rsidRDefault="00426C69" w:rsidP="007B2472">
      <w:pPr>
        <w:pStyle w:val="FootnoteText"/>
        <w:rPr>
          <w:lang w:val="en-US"/>
        </w:rPr>
      </w:pPr>
      <w:r>
        <w:rPr>
          <w:rStyle w:val="FootnoteReference"/>
        </w:rPr>
        <w:footnoteRef/>
      </w:r>
      <w:r>
        <w:t xml:space="preserve"> </w:t>
      </w:r>
      <w:r>
        <w:rPr>
          <w:lang w:val="en-US"/>
        </w:rPr>
        <w:t xml:space="preserve">Alain Songa Gashabizi, ‘In Pursuit of Clarity: How Far Should the Drafter Go?’[2013] 39 Comm L Bull 415, 421. </w:t>
      </w:r>
    </w:p>
  </w:footnote>
  <w:footnote w:id="161">
    <w:p w:rsidR="00426C69" w:rsidRDefault="00426C69" w:rsidP="00F35523">
      <w:pPr>
        <w:pStyle w:val="FootnoteText"/>
      </w:pPr>
      <w:r>
        <w:rPr>
          <w:rStyle w:val="FootnoteReference"/>
        </w:rPr>
        <w:footnoteRef/>
      </w:r>
      <w:r>
        <w:t xml:space="preserve"> Seidman, Seidman and Abeyeskere (n40) 209.</w:t>
      </w:r>
    </w:p>
  </w:footnote>
  <w:footnote w:id="162">
    <w:p w:rsidR="00426C69" w:rsidRPr="00C3386B" w:rsidRDefault="00426C69" w:rsidP="00BE3AAB">
      <w:pPr>
        <w:pStyle w:val="FootnoteText"/>
        <w:rPr>
          <w:lang w:val="en-US"/>
        </w:rPr>
      </w:pPr>
      <w:r>
        <w:rPr>
          <w:rStyle w:val="FootnoteReference"/>
        </w:rPr>
        <w:footnoteRef/>
      </w:r>
      <w:r>
        <w:t xml:space="preserve"> </w:t>
      </w:r>
      <w:r>
        <w:rPr>
          <w:lang w:val="en-US"/>
        </w:rPr>
        <w:t>Krongold (n32) 509.</w:t>
      </w:r>
    </w:p>
  </w:footnote>
  <w:footnote w:id="163">
    <w:p w:rsidR="00426C69" w:rsidRDefault="00426C69" w:rsidP="00BC2BCA">
      <w:pPr>
        <w:pStyle w:val="FootnoteText"/>
      </w:pPr>
      <w:r>
        <w:rPr>
          <w:rStyle w:val="FootnoteReference"/>
        </w:rPr>
        <w:footnoteRef/>
      </w:r>
      <w:r>
        <w:t xml:space="preserve"> Xanthaki (n13) 62.</w:t>
      </w:r>
    </w:p>
  </w:footnote>
  <w:footnote w:id="164">
    <w:p w:rsidR="00426C69" w:rsidRDefault="00426C69" w:rsidP="00C77231">
      <w:pPr>
        <w:pStyle w:val="FootnoteText"/>
      </w:pPr>
      <w:r>
        <w:rPr>
          <w:rStyle w:val="FootnoteReference"/>
        </w:rPr>
        <w:footnoteRef/>
      </w:r>
      <w:r>
        <w:t xml:space="preserve"> ibid 65.</w:t>
      </w:r>
    </w:p>
  </w:footnote>
  <w:footnote w:id="165">
    <w:p w:rsidR="00426C69" w:rsidRPr="00F35523" w:rsidRDefault="00426C69">
      <w:pPr>
        <w:pStyle w:val="FootnoteText"/>
        <w:rPr>
          <w:lang w:val="en-US"/>
        </w:rPr>
      </w:pPr>
      <w:r>
        <w:rPr>
          <w:rStyle w:val="FootnoteReference"/>
        </w:rPr>
        <w:footnoteRef/>
      </w:r>
      <w:r>
        <w:t xml:space="preserve"> </w:t>
      </w:r>
      <w:r>
        <w:rPr>
          <w:lang w:val="en-US"/>
        </w:rPr>
        <w:t>Xanthaki (n67) 158.</w:t>
      </w:r>
    </w:p>
  </w:footnote>
  <w:footnote w:id="166">
    <w:p w:rsidR="00426C69" w:rsidRPr="00EE49B7" w:rsidRDefault="00426C69">
      <w:pPr>
        <w:pStyle w:val="FootnoteText"/>
        <w:rPr>
          <w:lang w:val="en-US"/>
        </w:rPr>
      </w:pPr>
      <w:r>
        <w:rPr>
          <w:rStyle w:val="FootnoteReference"/>
        </w:rPr>
        <w:footnoteRef/>
      </w:r>
      <w:r>
        <w:t xml:space="preserve"> </w:t>
      </w:r>
      <w:r>
        <w:rPr>
          <w:lang w:val="en-US"/>
        </w:rPr>
        <w:t>Bowman (n81) 5.</w:t>
      </w:r>
    </w:p>
  </w:footnote>
  <w:footnote w:id="167">
    <w:p w:rsidR="00426C69" w:rsidRDefault="00426C69" w:rsidP="00300289">
      <w:pPr>
        <w:pStyle w:val="FootnoteText"/>
      </w:pPr>
      <w:r>
        <w:rPr>
          <w:rStyle w:val="FootnoteReference"/>
        </w:rPr>
        <w:footnoteRef/>
      </w:r>
      <w:r>
        <w:t xml:space="preserve"> Seidman, Seidman and Abeyeskere (n40) 209.</w:t>
      </w:r>
    </w:p>
  </w:footnote>
  <w:footnote w:id="168">
    <w:p w:rsidR="00426C69" w:rsidRDefault="00426C69" w:rsidP="00BE3AAB">
      <w:pPr>
        <w:pStyle w:val="FootnoteText"/>
      </w:pPr>
      <w:r>
        <w:rPr>
          <w:rStyle w:val="FootnoteReference"/>
        </w:rPr>
        <w:footnoteRef/>
      </w:r>
      <w:r>
        <w:t xml:space="preserve"> Butt (n154) 129.</w:t>
      </w:r>
    </w:p>
  </w:footnote>
  <w:footnote w:id="169">
    <w:p w:rsidR="00426C69" w:rsidRDefault="00426C69" w:rsidP="004E1421">
      <w:pPr>
        <w:pStyle w:val="FootnoteText"/>
      </w:pPr>
      <w:r>
        <w:rPr>
          <w:rStyle w:val="FootnoteReference"/>
        </w:rPr>
        <w:footnoteRef/>
      </w:r>
      <w:r>
        <w:t xml:space="preserve"> Burrows and Carter (n17) 114.</w:t>
      </w:r>
    </w:p>
  </w:footnote>
  <w:footnote w:id="170">
    <w:p w:rsidR="00426C69" w:rsidRDefault="00426C69">
      <w:pPr>
        <w:pStyle w:val="FootnoteText"/>
        <w:rPr>
          <w:lang w:val="en-US"/>
        </w:rPr>
      </w:pPr>
      <w:r>
        <w:rPr>
          <w:rStyle w:val="FootnoteReference"/>
        </w:rPr>
        <w:footnoteRef/>
      </w:r>
      <w:r>
        <w:t xml:space="preserve"> Office of Parliamentary Counsel Australia, ‘</w:t>
      </w:r>
      <w:r>
        <w:rPr>
          <w:lang w:val="en-US"/>
        </w:rPr>
        <w:t>Reducing Complexity in Legislation’ (May 2011) para 35.</w:t>
      </w:r>
    </w:p>
    <w:p w:rsidR="00426C69" w:rsidRPr="001B58B3" w:rsidRDefault="00426C69">
      <w:pPr>
        <w:pStyle w:val="FootnoteText"/>
        <w:rPr>
          <w:lang w:val="en-US"/>
        </w:rPr>
      </w:pPr>
      <w:r w:rsidRPr="001E4328">
        <w:t xml:space="preserve"> </w:t>
      </w:r>
      <w:r>
        <w:t>&lt;</w:t>
      </w:r>
      <w:r w:rsidRPr="001E4328">
        <w:rPr>
          <w:lang w:val="en-US"/>
        </w:rPr>
        <w:t>http://www.opc.gov.au/about/docs/ReducingComplexity.pdf</w:t>
      </w:r>
      <w:r>
        <w:rPr>
          <w:lang w:val="en-US"/>
        </w:rPr>
        <w:t>&gt; accessed 7 August 2015</w:t>
      </w:r>
    </w:p>
  </w:footnote>
  <w:footnote w:id="171">
    <w:p w:rsidR="00426C69" w:rsidRDefault="00426C69" w:rsidP="00FD4E67">
      <w:pPr>
        <w:pStyle w:val="FootnoteText"/>
      </w:pPr>
      <w:r>
        <w:rPr>
          <w:rStyle w:val="FootnoteReference"/>
        </w:rPr>
        <w:footnoteRef/>
      </w:r>
      <w:r>
        <w:t xml:space="preserve"> Michele Asprey, </w:t>
      </w:r>
      <w:r w:rsidRPr="00DE4EBB">
        <w:rPr>
          <w:i/>
        </w:rPr>
        <w:t>Plain Language for Lawyers</w:t>
      </w:r>
      <w:r>
        <w:t xml:space="preserve"> (3</w:t>
      </w:r>
      <w:r w:rsidRPr="00F01769">
        <w:rPr>
          <w:vertAlign w:val="superscript"/>
        </w:rPr>
        <w:t>rd</w:t>
      </w:r>
      <w:r>
        <w:t xml:space="preserve"> edn, The Federation Press 2003) 94.</w:t>
      </w:r>
    </w:p>
  </w:footnote>
  <w:footnote w:id="172">
    <w:p w:rsidR="00426C69" w:rsidRDefault="00426C69" w:rsidP="00FD4E67">
      <w:pPr>
        <w:pStyle w:val="FootnoteText"/>
      </w:pPr>
      <w:r>
        <w:rPr>
          <w:rStyle w:val="FootnoteReference"/>
        </w:rPr>
        <w:footnoteRef/>
      </w:r>
      <w:r>
        <w:t xml:space="preserve"> ibid 95.</w:t>
      </w:r>
    </w:p>
  </w:footnote>
  <w:footnote w:id="173">
    <w:p w:rsidR="00426C69" w:rsidRDefault="00426C69">
      <w:pPr>
        <w:pStyle w:val="FootnoteText"/>
      </w:pPr>
      <w:r>
        <w:rPr>
          <w:rStyle w:val="FootnoteReference"/>
        </w:rPr>
        <w:footnoteRef/>
      </w:r>
      <w:r>
        <w:t xml:space="preserve"> Lord Thring’s guidelines as quoted in McLeod (n11) 67-68.</w:t>
      </w:r>
    </w:p>
  </w:footnote>
  <w:footnote w:id="174">
    <w:p w:rsidR="00426C69" w:rsidRDefault="00426C69" w:rsidP="00352858">
      <w:pPr>
        <w:pStyle w:val="FootnoteText"/>
      </w:pPr>
      <w:r>
        <w:rPr>
          <w:rStyle w:val="FootnoteReference"/>
        </w:rPr>
        <w:footnoteRef/>
      </w:r>
      <w:r>
        <w:t xml:space="preserve"> Xanthaki (n67) 157.</w:t>
      </w:r>
    </w:p>
  </w:footnote>
  <w:footnote w:id="175">
    <w:p w:rsidR="00426C69" w:rsidRDefault="00426C69" w:rsidP="001762C6">
      <w:pPr>
        <w:pStyle w:val="FootnoteText"/>
      </w:pPr>
      <w:r>
        <w:rPr>
          <w:rStyle w:val="FootnoteReference"/>
        </w:rPr>
        <w:footnoteRef/>
      </w:r>
      <w:r>
        <w:t xml:space="preserve"> ibid 159.</w:t>
      </w:r>
    </w:p>
  </w:footnote>
  <w:footnote w:id="176">
    <w:p w:rsidR="00426C69" w:rsidRDefault="00426C69">
      <w:pPr>
        <w:pStyle w:val="FootnoteText"/>
      </w:pPr>
      <w:r>
        <w:rPr>
          <w:rStyle w:val="FootnoteReference"/>
        </w:rPr>
        <w:footnoteRef/>
      </w:r>
      <w:r>
        <w:t xml:space="preserve"> Seidman, Seidman and Abeyesekere (n40) 219.</w:t>
      </w:r>
    </w:p>
  </w:footnote>
  <w:footnote w:id="177">
    <w:p w:rsidR="00426C69" w:rsidRPr="003E0E4A" w:rsidRDefault="00426C69" w:rsidP="007333CB">
      <w:pPr>
        <w:pStyle w:val="FootnoteText"/>
        <w:rPr>
          <w:lang w:val="en-US"/>
        </w:rPr>
      </w:pPr>
      <w:r>
        <w:rPr>
          <w:rStyle w:val="FootnoteReference"/>
        </w:rPr>
        <w:footnoteRef/>
      </w:r>
      <w:r>
        <w:t xml:space="preserve"> </w:t>
      </w:r>
      <w:r>
        <w:rPr>
          <w:lang w:val="en-US"/>
        </w:rPr>
        <w:t>Krongold (n32) 510.</w:t>
      </w:r>
    </w:p>
  </w:footnote>
  <w:footnote w:id="178">
    <w:p w:rsidR="00426C69" w:rsidRPr="00397450" w:rsidRDefault="00426C69" w:rsidP="00D667CC">
      <w:pPr>
        <w:pStyle w:val="FootnoteText"/>
        <w:rPr>
          <w:lang w:val="en-US"/>
        </w:rPr>
      </w:pPr>
      <w:r>
        <w:rPr>
          <w:rStyle w:val="FootnoteReference"/>
        </w:rPr>
        <w:footnoteRef/>
      </w:r>
      <w:r>
        <w:t xml:space="preserve"> </w:t>
      </w:r>
      <w:r>
        <w:rPr>
          <w:lang w:val="en-US"/>
        </w:rPr>
        <w:t>Xanthaki (n13) 77.</w:t>
      </w:r>
    </w:p>
  </w:footnote>
  <w:footnote w:id="179">
    <w:p w:rsidR="00426C69" w:rsidRPr="00397450" w:rsidRDefault="00426C69" w:rsidP="00D667CC">
      <w:pPr>
        <w:pStyle w:val="FootnoteText"/>
        <w:rPr>
          <w:lang w:val="en-US"/>
        </w:rPr>
      </w:pPr>
      <w:r>
        <w:rPr>
          <w:rStyle w:val="FootnoteReference"/>
        </w:rPr>
        <w:footnoteRef/>
      </w:r>
      <w:r>
        <w:t xml:space="preserve"> </w:t>
      </w:r>
      <w:r>
        <w:rPr>
          <w:lang w:val="en-US"/>
        </w:rPr>
        <w:t>ibid 77-78.</w:t>
      </w:r>
    </w:p>
  </w:footnote>
  <w:footnote w:id="180">
    <w:p w:rsidR="00426C69" w:rsidRDefault="00426C69" w:rsidP="003F0E88">
      <w:pPr>
        <w:pStyle w:val="FootnoteText"/>
      </w:pPr>
      <w:r>
        <w:rPr>
          <w:rStyle w:val="FootnoteReference"/>
        </w:rPr>
        <w:footnoteRef/>
      </w:r>
      <w:r>
        <w:t xml:space="preserve"> ibid 72.</w:t>
      </w:r>
    </w:p>
  </w:footnote>
  <w:footnote w:id="181">
    <w:p w:rsidR="00426C69" w:rsidRPr="00885CFB" w:rsidRDefault="00426C69" w:rsidP="003F0E88">
      <w:pPr>
        <w:pStyle w:val="FootnoteText"/>
        <w:rPr>
          <w:lang w:val="en-US"/>
        </w:rPr>
      </w:pPr>
      <w:r>
        <w:rPr>
          <w:rStyle w:val="FootnoteReference"/>
        </w:rPr>
        <w:footnoteRef/>
      </w:r>
      <w:r>
        <w:t xml:space="preserve"> </w:t>
      </w:r>
      <w:r>
        <w:rPr>
          <w:lang w:val="en-US"/>
        </w:rPr>
        <w:t>Kobba (n124) 236.</w:t>
      </w:r>
    </w:p>
  </w:footnote>
  <w:footnote w:id="182">
    <w:p w:rsidR="00426C69" w:rsidRDefault="00426C69" w:rsidP="00E437DF">
      <w:pPr>
        <w:pStyle w:val="FootnoteText"/>
      </w:pPr>
      <w:r>
        <w:rPr>
          <w:rStyle w:val="FootnoteReference"/>
        </w:rPr>
        <w:footnoteRef/>
      </w:r>
      <w:r>
        <w:t xml:space="preserve"> Xanthaki (n13) 71.</w:t>
      </w:r>
    </w:p>
  </w:footnote>
  <w:footnote w:id="183">
    <w:p w:rsidR="00426C69" w:rsidRDefault="00426C69" w:rsidP="00AE6578">
      <w:pPr>
        <w:pStyle w:val="FootnoteText"/>
      </w:pPr>
      <w:r>
        <w:rPr>
          <w:rStyle w:val="FootnoteReference"/>
        </w:rPr>
        <w:footnoteRef/>
      </w:r>
      <w:r>
        <w:t xml:space="preserve"> Saliember (n23) 287.</w:t>
      </w:r>
    </w:p>
  </w:footnote>
  <w:footnote w:id="184">
    <w:p w:rsidR="00426C69" w:rsidRDefault="00426C69" w:rsidP="00AE6578">
      <w:pPr>
        <w:pStyle w:val="FootnoteText"/>
      </w:pPr>
      <w:r>
        <w:rPr>
          <w:rStyle w:val="FootnoteReference"/>
        </w:rPr>
        <w:footnoteRef/>
      </w:r>
      <w:r>
        <w:t xml:space="preserve"> Kobba (n124) 238.</w:t>
      </w:r>
    </w:p>
  </w:footnote>
  <w:footnote w:id="185">
    <w:p w:rsidR="00426C69" w:rsidRDefault="00426C69">
      <w:pPr>
        <w:pStyle w:val="FootnoteText"/>
      </w:pPr>
      <w:r>
        <w:rPr>
          <w:rStyle w:val="FootnoteReference"/>
        </w:rPr>
        <w:footnoteRef/>
      </w:r>
      <w:r>
        <w:t xml:space="preserve"> JK Aitken, </w:t>
      </w:r>
      <w:r w:rsidRPr="00E17B0C">
        <w:rPr>
          <w:i/>
        </w:rPr>
        <w:t>Piesse</w:t>
      </w:r>
      <w:r>
        <w:rPr>
          <w:i/>
        </w:rPr>
        <w:t xml:space="preserve">: </w:t>
      </w:r>
      <w:r w:rsidRPr="00DE4EBB">
        <w:rPr>
          <w:i/>
        </w:rPr>
        <w:t>The Elements of Drafting</w:t>
      </w:r>
      <w:r>
        <w:t xml:space="preserve"> (9</w:t>
      </w:r>
      <w:r>
        <w:rPr>
          <w:vertAlign w:val="superscript"/>
        </w:rPr>
        <w:t>th</w:t>
      </w:r>
      <w:r>
        <w:t xml:space="preserve"> edn, The Law Book Company Limited 1995) 104.</w:t>
      </w:r>
    </w:p>
  </w:footnote>
  <w:footnote w:id="186">
    <w:p w:rsidR="00426C69" w:rsidRDefault="00426C69" w:rsidP="000C736E">
      <w:pPr>
        <w:pStyle w:val="FootnoteText"/>
      </w:pPr>
      <w:r>
        <w:rPr>
          <w:rStyle w:val="FootnoteReference"/>
        </w:rPr>
        <w:footnoteRef/>
      </w:r>
      <w:r>
        <w:t xml:space="preserve"> ibid.</w:t>
      </w:r>
    </w:p>
  </w:footnote>
  <w:footnote w:id="187">
    <w:p w:rsidR="00426C69" w:rsidRDefault="00426C69">
      <w:pPr>
        <w:pStyle w:val="FootnoteText"/>
      </w:pPr>
      <w:r>
        <w:rPr>
          <w:rStyle w:val="FootnoteReference"/>
        </w:rPr>
        <w:footnoteRef/>
      </w:r>
      <w:r>
        <w:t xml:space="preserve"> Xanthaki (n13) 191.</w:t>
      </w:r>
    </w:p>
  </w:footnote>
  <w:footnote w:id="188">
    <w:p w:rsidR="00426C69" w:rsidRDefault="00426C69" w:rsidP="00AE6578">
      <w:pPr>
        <w:pStyle w:val="FootnoteText"/>
      </w:pPr>
      <w:r>
        <w:rPr>
          <w:rStyle w:val="FootnoteReference"/>
        </w:rPr>
        <w:footnoteRef/>
      </w:r>
      <w:r>
        <w:t xml:space="preserve"> Seidman, Seidman and Abeyeskere (n40) 220.</w:t>
      </w:r>
    </w:p>
  </w:footnote>
  <w:footnote w:id="189">
    <w:p w:rsidR="00426C69" w:rsidRPr="007D76E1" w:rsidRDefault="00426C69">
      <w:pPr>
        <w:pStyle w:val="FootnoteText"/>
        <w:rPr>
          <w:lang w:val="en-US"/>
        </w:rPr>
      </w:pPr>
      <w:r>
        <w:rPr>
          <w:rStyle w:val="FootnoteReference"/>
        </w:rPr>
        <w:footnoteRef/>
      </w:r>
      <w:r>
        <w:t xml:space="preserve"> </w:t>
      </w:r>
      <w:r>
        <w:rPr>
          <w:lang w:val="en-US"/>
        </w:rPr>
        <w:t>Ronan Cormacain, ‘Keeling Schedules and Clarity in Amending Legislation’ [2013] 13 Eur LJ 96, 97.</w:t>
      </w:r>
    </w:p>
  </w:footnote>
  <w:footnote w:id="190">
    <w:p w:rsidR="00426C69" w:rsidRPr="00CD6CE9" w:rsidRDefault="00426C69" w:rsidP="00817371">
      <w:pPr>
        <w:pStyle w:val="FootnoteText"/>
        <w:jc w:val="both"/>
        <w:rPr>
          <w:lang w:val="en-US"/>
        </w:rPr>
      </w:pPr>
      <w:r>
        <w:rPr>
          <w:rStyle w:val="FootnoteReference"/>
        </w:rPr>
        <w:footnoteRef/>
      </w:r>
      <w:r>
        <w:rPr>
          <w:lang w:val="en-US"/>
        </w:rPr>
        <w:t xml:space="preserve">ibid 105-Keeling Schedules enhance clarity by restating the old law with the amendments included. They are attached to the Amending Act which contains the textual amendments. </w:t>
      </w:r>
    </w:p>
  </w:footnote>
  <w:footnote w:id="191">
    <w:p w:rsidR="00426C69" w:rsidRPr="00476025" w:rsidRDefault="00426C69" w:rsidP="00476025">
      <w:pPr>
        <w:pStyle w:val="FootnoteText"/>
        <w:rPr>
          <w:lang w:val="en-US"/>
        </w:rPr>
      </w:pPr>
      <w:r>
        <w:rPr>
          <w:rStyle w:val="FootnoteReference"/>
        </w:rPr>
        <w:footnoteRef/>
      </w:r>
      <w:r>
        <w:t xml:space="preserve"> </w:t>
      </w:r>
      <w:r>
        <w:rPr>
          <w:lang w:val="en-US"/>
        </w:rPr>
        <w:t>Laws (n65) 21. (word in parenthesis added)</w:t>
      </w:r>
    </w:p>
  </w:footnote>
  <w:footnote w:id="192">
    <w:p w:rsidR="00426C69" w:rsidRDefault="00426C69">
      <w:pPr>
        <w:pStyle w:val="FootnoteText"/>
      </w:pPr>
      <w:r>
        <w:rPr>
          <w:rStyle w:val="FootnoteReference"/>
        </w:rPr>
        <w:footnoteRef/>
      </w:r>
      <w:r>
        <w:t xml:space="preserve"> Dorsey (n52) 171.</w:t>
      </w:r>
    </w:p>
  </w:footnote>
  <w:footnote w:id="193">
    <w:p w:rsidR="00426C69" w:rsidRPr="008D344B" w:rsidRDefault="00426C69" w:rsidP="00C84C8D">
      <w:pPr>
        <w:pStyle w:val="FootnoteText"/>
        <w:rPr>
          <w:lang w:val="en-US"/>
        </w:rPr>
      </w:pPr>
      <w:r>
        <w:rPr>
          <w:rStyle w:val="FootnoteReference"/>
        </w:rPr>
        <w:footnoteRef/>
      </w:r>
      <w:r>
        <w:t xml:space="preserve"> </w:t>
      </w:r>
      <w:r>
        <w:rPr>
          <w:lang w:val="en-US"/>
        </w:rPr>
        <w:t>Xanthaki (n67) 164.</w:t>
      </w:r>
    </w:p>
  </w:footnote>
  <w:footnote w:id="194">
    <w:p w:rsidR="00426C69" w:rsidRPr="000F7818" w:rsidRDefault="00426C69">
      <w:pPr>
        <w:pStyle w:val="FootnoteText"/>
        <w:rPr>
          <w:lang w:val="en-US"/>
        </w:rPr>
      </w:pPr>
      <w:r>
        <w:rPr>
          <w:rStyle w:val="FootnoteReference"/>
        </w:rPr>
        <w:footnoteRef/>
      </w:r>
      <w:r>
        <w:t xml:space="preserve"> </w:t>
      </w:r>
      <w:r>
        <w:rPr>
          <w:lang w:val="en-US"/>
        </w:rPr>
        <w:t>ibid 163.</w:t>
      </w:r>
    </w:p>
  </w:footnote>
  <w:footnote w:id="195">
    <w:p w:rsidR="00426C69" w:rsidRDefault="00426C69">
      <w:pPr>
        <w:pStyle w:val="FootnoteText"/>
      </w:pPr>
      <w:r>
        <w:rPr>
          <w:rStyle w:val="FootnoteReference"/>
        </w:rPr>
        <w:footnoteRef/>
      </w:r>
      <w:r>
        <w:t xml:space="preserve"> Merkur (n7) 594.</w:t>
      </w:r>
    </w:p>
  </w:footnote>
  <w:footnote w:id="196">
    <w:p w:rsidR="00426C69" w:rsidRDefault="00426C69">
      <w:pPr>
        <w:pStyle w:val="FootnoteText"/>
      </w:pPr>
      <w:r>
        <w:rPr>
          <w:rStyle w:val="FootnoteReference"/>
        </w:rPr>
        <w:footnoteRef/>
      </w:r>
      <w:r>
        <w:t xml:space="preserve"> Horn (n142) 190.</w:t>
      </w:r>
    </w:p>
  </w:footnote>
  <w:footnote w:id="197">
    <w:p w:rsidR="00426C69" w:rsidRPr="005C1B49" w:rsidRDefault="00426C69">
      <w:pPr>
        <w:pStyle w:val="FootnoteText"/>
        <w:rPr>
          <w:lang w:val="en-US"/>
        </w:rPr>
      </w:pPr>
      <w:r>
        <w:rPr>
          <w:rStyle w:val="FootnoteReference"/>
        </w:rPr>
        <w:footnoteRef/>
      </w:r>
      <w:r>
        <w:t xml:space="preserve"> </w:t>
      </w:r>
      <w:r>
        <w:rPr>
          <w:lang w:val="en-US"/>
        </w:rPr>
        <w:t>Voermans (n8) 79.</w:t>
      </w:r>
    </w:p>
  </w:footnote>
  <w:footnote w:id="198">
    <w:p w:rsidR="00426C69" w:rsidRDefault="00426C69" w:rsidP="00E724B2">
      <w:pPr>
        <w:pStyle w:val="FootnoteText"/>
      </w:pPr>
      <w:r>
        <w:rPr>
          <w:rStyle w:val="FootnoteReference"/>
        </w:rPr>
        <w:footnoteRef/>
      </w:r>
      <w:r>
        <w:t>Merkur (n7) 612.</w:t>
      </w:r>
    </w:p>
  </w:footnote>
  <w:footnote w:id="199">
    <w:p w:rsidR="00426C69" w:rsidRPr="00476C68" w:rsidRDefault="00426C69" w:rsidP="002F4F5C">
      <w:pPr>
        <w:pStyle w:val="FootnoteText"/>
        <w:rPr>
          <w:lang w:val="en-US"/>
        </w:rPr>
      </w:pPr>
      <w:r>
        <w:rPr>
          <w:rStyle w:val="FootnoteReference"/>
        </w:rPr>
        <w:footnoteRef/>
      </w:r>
      <w:r>
        <w:t xml:space="preserve"> </w:t>
      </w:r>
      <w:r>
        <w:rPr>
          <w:lang w:val="en-US"/>
        </w:rPr>
        <w:t>Margaret Wilson, ‘Gender Neutral Law Drafting: The Challenge of Translating Policy into Legislation’ [2011] 13 Eur JL Reform 199, 200.</w:t>
      </w:r>
    </w:p>
  </w:footnote>
  <w:footnote w:id="200">
    <w:p w:rsidR="00426C69" w:rsidRPr="001F42EE" w:rsidRDefault="00426C69">
      <w:pPr>
        <w:pStyle w:val="FootnoteText"/>
        <w:rPr>
          <w:lang w:val="en-US"/>
        </w:rPr>
      </w:pPr>
      <w:r>
        <w:rPr>
          <w:rStyle w:val="FootnoteReference"/>
        </w:rPr>
        <w:footnoteRef/>
      </w:r>
      <w:r>
        <w:t xml:space="preserve"> C Soanes (ed), Compact Oxford English Dictionary (2003) OUP 193 as quoted in </w:t>
      </w:r>
      <w:r>
        <w:rPr>
          <w:lang w:val="en-US"/>
        </w:rPr>
        <w:t>Xanthaki (n13) 88.</w:t>
      </w:r>
    </w:p>
  </w:footnote>
  <w:footnote w:id="201">
    <w:p w:rsidR="00426C69" w:rsidRPr="002B11CB" w:rsidRDefault="00426C69">
      <w:pPr>
        <w:pStyle w:val="FootnoteText"/>
        <w:rPr>
          <w:lang w:val="en-US"/>
        </w:rPr>
      </w:pPr>
      <w:r>
        <w:rPr>
          <w:rStyle w:val="FootnoteReference"/>
        </w:rPr>
        <w:footnoteRef/>
      </w:r>
      <w:r>
        <w:rPr>
          <w:lang w:val="en-US"/>
        </w:rPr>
        <w:t>McLeod (n11) 81.</w:t>
      </w:r>
    </w:p>
  </w:footnote>
  <w:footnote w:id="202">
    <w:p w:rsidR="00426C69" w:rsidRPr="0042312E" w:rsidRDefault="00426C69" w:rsidP="00C446BE">
      <w:pPr>
        <w:pStyle w:val="FootnoteText"/>
        <w:rPr>
          <w:lang w:val="en-US"/>
        </w:rPr>
      </w:pPr>
      <w:r>
        <w:rPr>
          <w:rStyle w:val="FootnoteReference"/>
        </w:rPr>
        <w:footnoteRef/>
      </w:r>
      <w:r>
        <w:t xml:space="preserve"> </w:t>
      </w:r>
      <w:r>
        <w:rPr>
          <w:lang w:val="en-US"/>
        </w:rPr>
        <w:t xml:space="preserve">Soanes (n200) 8.                                                                                                                                        </w:t>
      </w:r>
    </w:p>
  </w:footnote>
  <w:footnote w:id="203">
    <w:p w:rsidR="00426C69" w:rsidRPr="00434B23" w:rsidRDefault="00426C69">
      <w:pPr>
        <w:pStyle w:val="FootnoteText"/>
        <w:rPr>
          <w:lang w:val="en-US"/>
        </w:rPr>
      </w:pPr>
      <w:r>
        <w:rPr>
          <w:rStyle w:val="FootnoteReference"/>
        </w:rPr>
        <w:footnoteRef/>
      </w:r>
      <w:r>
        <w:t xml:space="preserve"> </w:t>
      </w:r>
      <w:r>
        <w:rPr>
          <w:lang w:val="en-US"/>
        </w:rPr>
        <w:t xml:space="preserve">Jack Stark, ‘Should the Main Goal of Statutory Drafting Be Accuracy or Clarity?’ [1994]15 SLR 207,209.                                                           </w:t>
      </w:r>
    </w:p>
  </w:footnote>
  <w:footnote w:id="204">
    <w:p w:rsidR="00426C69" w:rsidRDefault="00426C69" w:rsidP="00F87AEF">
      <w:pPr>
        <w:pStyle w:val="FootnoteText"/>
      </w:pPr>
      <w:r>
        <w:rPr>
          <w:rStyle w:val="FootnoteReference"/>
        </w:rPr>
        <w:footnoteRef/>
      </w:r>
      <w:r>
        <w:t xml:space="preserve"> Saliember (n23) 3.</w:t>
      </w:r>
    </w:p>
  </w:footnote>
  <w:footnote w:id="205">
    <w:p w:rsidR="00426C69" w:rsidRPr="00E46F9A" w:rsidRDefault="00426C69">
      <w:pPr>
        <w:pStyle w:val="FootnoteText"/>
        <w:rPr>
          <w:lang w:val="en-US"/>
        </w:rPr>
      </w:pPr>
      <w:r>
        <w:rPr>
          <w:rStyle w:val="FootnoteReference"/>
        </w:rPr>
        <w:footnoteRef/>
      </w:r>
      <w:r>
        <w:t xml:space="preserve"> </w:t>
      </w:r>
      <w:r>
        <w:rPr>
          <w:lang w:val="en-US"/>
        </w:rPr>
        <w:t>Associated Newspapers Ltd v Wilson [1995] 2 WLR 354, 362.</w:t>
      </w:r>
    </w:p>
  </w:footnote>
  <w:footnote w:id="206">
    <w:p w:rsidR="00426C69" w:rsidRPr="00565F61" w:rsidRDefault="00426C69">
      <w:pPr>
        <w:pStyle w:val="FootnoteText"/>
        <w:rPr>
          <w:lang w:val="en-US"/>
        </w:rPr>
      </w:pPr>
      <w:r>
        <w:rPr>
          <w:rStyle w:val="FootnoteReference"/>
        </w:rPr>
        <w:footnoteRef/>
      </w:r>
      <w:r>
        <w:t xml:space="preserve"> </w:t>
      </w:r>
      <w:r>
        <w:rPr>
          <w:lang w:val="en-US"/>
        </w:rPr>
        <w:t>Turatsinze (n125) 212.</w:t>
      </w:r>
    </w:p>
  </w:footnote>
  <w:footnote w:id="207">
    <w:p w:rsidR="00426C69" w:rsidRDefault="00426C69">
      <w:pPr>
        <w:pStyle w:val="FootnoteText"/>
      </w:pPr>
      <w:r>
        <w:rPr>
          <w:rStyle w:val="FootnoteReference"/>
        </w:rPr>
        <w:footnoteRef/>
      </w:r>
      <w:r>
        <w:t xml:space="preserve"> De Freitas v Permanent Secretary (1998) 53 WIR 131, 141 (Lord Clyde).</w:t>
      </w:r>
    </w:p>
  </w:footnote>
  <w:footnote w:id="208">
    <w:p w:rsidR="00426C69" w:rsidRDefault="00426C69" w:rsidP="002E0CBC">
      <w:pPr>
        <w:pStyle w:val="FootnoteText"/>
      </w:pPr>
      <w:r>
        <w:rPr>
          <w:rStyle w:val="FootnoteReference"/>
        </w:rPr>
        <w:footnoteRef/>
      </w:r>
      <w:r>
        <w:t xml:space="preserve"> Sunday Times v United Kingdom [1979] ECHR 1 para 49.</w:t>
      </w:r>
    </w:p>
  </w:footnote>
  <w:footnote w:id="209">
    <w:p w:rsidR="00426C69" w:rsidRPr="00C37465" w:rsidRDefault="00426C69">
      <w:pPr>
        <w:pStyle w:val="FootnoteText"/>
        <w:rPr>
          <w:lang w:val="en-US"/>
        </w:rPr>
      </w:pPr>
      <w:r>
        <w:rPr>
          <w:rStyle w:val="FootnoteReference"/>
        </w:rPr>
        <w:footnoteRef/>
      </w:r>
      <w:r>
        <w:t xml:space="preserve"> </w:t>
      </w:r>
      <w:r>
        <w:rPr>
          <w:lang w:val="en-US"/>
        </w:rPr>
        <w:t>Vanterpool (n90) 195.</w:t>
      </w:r>
    </w:p>
  </w:footnote>
  <w:footnote w:id="210">
    <w:p w:rsidR="00426C69" w:rsidRPr="00AC7362" w:rsidRDefault="00426C69">
      <w:pPr>
        <w:pStyle w:val="FootnoteText"/>
        <w:rPr>
          <w:lang w:val="en-US"/>
        </w:rPr>
      </w:pPr>
      <w:r>
        <w:rPr>
          <w:rStyle w:val="FootnoteReference"/>
        </w:rPr>
        <w:footnoteRef/>
      </w:r>
      <w:r>
        <w:t xml:space="preserve"> </w:t>
      </w:r>
      <w:r>
        <w:rPr>
          <w:lang w:val="en-US"/>
        </w:rPr>
        <w:t>ibid 190.</w:t>
      </w:r>
    </w:p>
  </w:footnote>
  <w:footnote w:id="211">
    <w:p w:rsidR="00426C69" w:rsidRDefault="00426C69">
      <w:pPr>
        <w:pStyle w:val="FootnoteText"/>
      </w:pPr>
      <w:r>
        <w:rPr>
          <w:rStyle w:val="FootnoteReference"/>
        </w:rPr>
        <w:footnoteRef/>
      </w:r>
      <w:r>
        <w:t xml:space="preserve"> LRCV (n151) para 65.</w:t>
      </w:r>
    </w:p>
  </w:footnote>
  <w:footnote w:id="212">
    <w:p w:rsidR="00426C69" w:rsidRDefault="00426C69">
      <w:pPr>
        <w:pStyle w:val="FootnoteText"/>
      </w:pPr>
      <w:r>
        <w:rPr>
          <w:rStyle w:val="FootnoteReference"/>
        </w:rPr>
        <w:footnoteRef/>
      </w:r>
      <w:r>
        <w:t xml:space="preserve"> Daniel Greenberg (ed), </w:t>
      </w:r>
      <w:r w:rsidRPr="00775A5B">
        <w:rPr>
          <w:i/>
        </w:rPr>
        <w:t>Craies on Legislation: A Practioner’s Guide to the Nature, Process and Effect and Interpretation of Legislation</w:t>
      </w:r>
      <w:r>
        <w:t xml:space="preserve"> (10</w:t>
      </w:r>
      <w:r w:rsidRPr="00F01769">
        <w:rPr>
          <w:vertAlign w:val="superscript"/>
        </w:rPr>
        <w:t>th</w:t>
      </w:r>
      <w:r>
        <w:t xml:space="preserve"> edn, Sweet &amp;Maxwell 2012) para 8.1.6.</w:t>
      </w:r>
    </w:p>
  </w:footnote>
  <w:footnote w:id="213">
    <w:p w:rsidR="00426C69" w:rsidRDefault="00426C69" w:rsidP="00AE64AD">
      <w:pPr>
        <w:pStyle w:val="FootnoteText"/>
      </w:pPr>
      <w:r>
        <w:rPr>
          <w:rStyle w:val="FootnoteReference"/>
        </w:rPr>
        <w:footnoteRef/>
      </w:r>
      <w:r>
        <w:t xml:space="preserve"> Dorsey (n52) 172.</w:t>
      </w:r>
    </w:p>
  </w:footnote>
  <w:footnote w:id="214">
    <w:p w:rsidR="00426C69" w:rsidRPr="00C51D4E" w:rsidRDefault="00426C69">
      <w:pPr>
        <w:pStyle w:val="FootnoteText"/>
        <w:rPr>
          <w:lang w:val="en-US"/>
        </w:rPr>
      </w:pPr>
      <w:r>
        <w:rPr>
          <w:rStyle w:val="FootnoteReference"/>
        </w:rPr>
        <w:footnoteRef/>
      </w:r>
      <w:r>
        <w:t xml:space="preserve"> </w:t>
      </w:r>
      <w:r>
        <w:rPr>
          <w:lang w:val="en-US"/>
        </w:rPr>
        <w:t>Xanthaki (n67) 56.</w:t>
      </w:r>
    </w:p>
  </w:footnote>
  <w:footnote w:id="215">
    <w:p w:rsidR="00426C69" w:rsidRPr="006F0455" w:rsidRDefault="00426C69">
      <w:pPr>
        <w:pStyle w:val="FootnoteText"/>
        <w:rPr>
          <w:lang w:val="en-US"/>
        </w:rPr>
      </w:pPr>
      <w:r>
        <w:rPr>
          <w:rStyle w:val="FootnoteReference"/>
        </w:rPr>
        <w:footnoteRef/>
      </w:r>
      <w:r>
        <w:t xml:space="preserve"> Dick (n150) 21.</w:t>
      </w:r>
    </w:p>
  </w:footnote>
  <w:footnote w:id="216">
    <w:p w:rsidR="00426C69" w:rsidRDefault="00426C69" w:rsidP="00E03272">
      <w:pPr>
        <w:pStyle w:val="FootnoteText"/>
      </w:pPr>
      <w:r>
        <w:rPr>
          <w:rStyle w:val="FootnoteReference"/>
        </w:rPr>
        <w:footnoteRef/>
      </w:r>
      <w:r>
        <w:t xml:space="preserve"> Joseph Raz, ‘The Rule of Law and Its Virtue’ [1977] 93 LQR 195, 199.</w:t>
      </w:r>
    </w:p>
  </w:footnote>
  <w:footnote w:id="217">
    <w:p w:rsidR="00426C69" w:rsidRPr="000F11CF" w:rsidRDefault="00426C69" w:rsidP="00967647">
      <w:pPr>
        <w:pStyle w:val="FootnoteText"/>
        <w:rPr>
          <w:lang w:val="en-US"/>
        </w:rPr>
      </w:pPr>
      <w:r>
        <w:rPr>
          <w:rStyle w:val="FootnoteReference"/>
        </w:rPr>
        <w:footnoteRef/>
      </w:r>
      <w:r>
        <w:t xml:space="preserve"> </w:t>
      </w:r>
      <w:r>
        <w:rPr>
          <w:lang w:val="en-US"/>
        </w:rPr>
        <w:t>Xanthaki (n13) 90.</w:t>
      </w:r>
    </w:p>
  </w:footnote>
  <w:footnote w:id="218">
    <w:p w:rsidR="00426C69" w:rsidRPr="004A4EB3" w:rsidRDefault="00426C69" w:rsidP="00E27287">
      <w:pPr>
        <w:pStyle w:val="FootnoteText"/>
        <w:rPr>
          <w:lang w:val="en-US"/>
        </w:rPr>
      </w:pPr>
      <w:r>
        <w:rPr>
          <w:rStyle w:val="FootnoteReference"/>
        </w:rPr>
        <w:footnoteRef/>
      </w:r>
      <w:r>
        <w:t xml:space="preserve"> </w:t>
      </w:r>
      <w:r>
        <w:rPr>
          <w:lang w:val="en-US"/>
        </w:rPr>
        <w:t>Turatsinze (n125) 213.</w:t>
      </w:r>
    </w:p>
  </w:footnote>
  <w:footnote w:id="219">
    <w:p w:rsidR="00426C69" w:rsidRPr="008902A8" w:rsidRDefault="00426C69">
      <w:pPr>
        <w:pStyle w:val="FootnoteText"/>
        <w:rPr>
          <w:lang w:val="en-US"/>
        </w:rPr>
      </w:pPr>
      <w:r>
        <w:rPr>
          <w:rStyle w:val="FootnoteReference"/>
        </w:rPr>
        <w:footnoteRef/>
      </w:r>
      <w:r>
        <w:t xml:space="preserve"> </w:t>
      </w:r>
      <w:r>
        <w:rPr>
          <w:lang w:val="en-US"/>
        </w:rPr>
        <w:t>Dorsey (n52)176.</w:t>
      </w:r>
    </w:p>
  </w:footnote>
  <w:footnote w:id="220">
    <w:p w:rsidR="00426C69" w:rsidRPr="0083315E" w:rsidRDefault="00426C69" w:rsidP="00A10A9B">
      <w:pPr>
        <w:pStyle w:val="FootnoteText"/>
        <w:rPr>
          <w:lang w:val="en-US"/>
        </w:rPr>
      </w:pPr>
      <w:r>
        <w:rPr>
          <w:rStyle w:val="FootnoteReference"/>
        </w:rPr>
        <w:footnoteRef/>
      </w:r>
      <w:r>
        <w:t xml:space="preserve"> </w:t>
      </w:r>
      <w:r>
        <w:rPr>
          <w:lang w:val="en-US"/>
        </w:rPr>
        <w:t>Xanthaki (n13) 90.</w:t>
      </w:r>
    </w:p>
  </w:footnote>
  <w:footnote w:id="221">
    <w:p w:rsidR="00426C69" w:rsidRPr="00C80227" w:rsidRDefault="00426C69">
      <w:pPr>
        <w:pStyle w:val="FootnoteText"/>
        <w:rPr>
          <w:lang w:val="en-US"/>
        </w:rPr>
      </w:pPr>
      <w:r>
        <w:rPr>
          <w:rStyle w:val="FootnoteReference"/>
        </w:rPr>
        <w:footnoteRef/>
      </w:r>
      <w:r>
        <w:t xml:space="preserve"> ibid 91.</w:t>
      </w:r>
    </w:p>
  </w:footnote>
  <w:footnote w:id="222">
    <w:p w:rsidR="00426C69" w:rsidRPr="0083315E" w:rsidRDefault="00426C69" w:rsidP="00AE6367">
      <w:pPr>
        <w:pStyle w:val="FootnoteText"/>
        <w:rPr>
          <w:lang w:val="en-US"/>
        </w:rPr>
      </w:pPr>
      <w:r>
        <w:rPr>
          <w:rStyle w:val="FootnoteReference"/>
        </w:rPr>
        <w:footnoteRef/>
      </w:r>
      <w:r>
        <w:t xml:space="preserve"> </w:t>
      </w:r>
      <w:r>
        <w:rPr>
          <w:lang w:val="en-US"/>
        </w:rPr>
        <w:t>Xanthaki (n13) 91.</w:t>
      </w:r>
    </w:p>
  </w:footnote>
  <w:footnote w:id="223">
    <w:p w:rsidR="00426C69" w:rsidRPr="00934B7E" w:rsidRDefault="00426C69" w:rsidP="00AE6367">
      <w:pPr>
        <w:pStyle w:val="FootnoteText"/>
        <w:rPr>
          <w:lang w:val="en-US"/>
        </w:rPr>
      </w:pPr>
      <w:r>
        <w:rPr>
          <w:rStyle w:val="FootnoteReference"/>
        </w:rPr>
        <w:footnoteRef/>
      </w:r>
      <w:r>
        <w:t xml:space="preserve"> </w:t>
      </w:r>
      <w:r>
        <w:rPr>
          <w:lang w:val="en-US"/>
        </w:rPr>
        <w:t>Dorsey (n52)177.</w:t>
      </w:r>
    </w:p>
  </w:footnote>
  <w:footnote w:id="224">
    <w:p w:rsidR="00426C69" w:rsidRPr="00055E2E" w:rsidRDefault="00426C69">
      <w:pPr>
        <w:pStyle w:val="FootnoteText"/>
        <w:rPr>
          <w:lang w:val="en-US"/>
        </w:rPr>
      </w:pPr>
      <w:r>
        <w:rPr>
          <w:rStyle w:val="FootnoteReference"/>
        </w:rPr>
        <w:footnoteRef/>
      </w:r>
      <w:r>
        <w:t xml:space="preserve"> </w:t>
      </w:r>
      <w:r>
        <w:rPr>
          <w:lang w:val="en-US"/>
        </w:rPr>
        <w:t>ibid.</w:t>
      </w:r>
    </w:p>
  </w:footnote>
  <w:footnote w:id="225">
    <w:p w:rsidR="00426C69" w:rsidRPr="0083315E" w:rsidRDefault="00426C69" w:rsidP="00A10A9B">
      <w:pPr>
        <w:pStyle w:val="FootnoteText"/>
        <w:rPr>
          <w:lang w:val="en-US"/>
        </w:rPr>
      </w:pPr>
      <w:r>
        <w:rPr>
          <w:rStyle w:val="FootnoteReference"/>
        </w:rPr>
        <w:footnoteRef/>
      </w:r>
      <w:r>
        <w:t xml:space="preserve"> </w:t>
      </w:r>
      <w:r>
        <w:rPr>
          <w:lang w:val="en-US"/>
        </w:rPr>
        <w:t>Xanthaki (n13) 92.</w:t>
      </w:r>
    </w:p>
  </w:footnote>
  <w:footnote w:id="226">
    <w:p w:rsidR="00426C69" w:rsidRDefault="00426C69">
      <w:pPr>
        <w:pStyle w:val="FootnoteText"/>
      </w:pPr>
      <w:r>
        <w:rPr>
          <w:rStyle w:val="FootnoteReference"/>
        </w:rPr>
        <w:footnoteRef/>
      </w:r>
      <w:r>
        <w:t xml:space="preserve"> Esther Majambere, ‘Clarity, Precision and Unambiguity: Aspects for Effective Legislative Drafting’ [2011] 37 Comm L Bull 417, 420.</w:t>
      </w:r>
    </w:p>
  </w:footnote>
  <w:footnote w:id="227">
    <w:p w:rsidR="00426C69" w:rsidRPr="00540D4D" w:rsidRDefault="00426C69" w:rsidP="00476517">
      <w:pPr>
        <w:pStyle w:val="FootnoteText"/>
        <w:rPr>
          <w:lang w:val="en-US"/>
        </w:rPr>
      </w:pPr>
      <w:r>
        <w:rPr>
          <w:rStyle w:val="FootnoteReference"/>
        </w:rPr>
        <w:footnoteRef/>
      </w:r>
      <w:r>
        <w:t xml:space="preserve"> </w:t>
      </w:r>
      <w:r>
        <w:rPr>
          <w:lang w:val="en-US"/>
        </w:rPr>
        <w:t>Bernard Bekink and Christo Botha, ‘Aspects of Legislative Drafting: Some South African Realities (or Plain Language is Not Always Plain Sailing)’ [2007] 28 SLR 34, 66.</w:t>
      </w:r>
    </w:p>
  </w:footnote>
  <w:footnote w:id="228">
    <w:p w:rsidR="00426C69" w:rsidRPr="000E086F" w:rsidRDefault="00426C69">
      <w:pPr>
        <w:pStyle w:val="FootnoteText"/>
        <w:rPr>
          <w:lang w:val="en-US"/>
        </w:rPr>
      </w:pPr>
      <w:r>
        <w:rPr>
          <w:rStyle w:val="FootnoteReference"/>
        </w:rPr>
        <w:footnoteRef/>
      </w:r>
      <w:r>
        <w:t xml:space="preserve"> </w:t>
      </w:r>
      <w:r>
        <w:rPr>
          <w:lang w:val="en-US"/>
        </w:rPr>
        <w:t>Kadija Kabba, Gender-neutral Language: An Essential Language Tool to Serve Precision, Clarity and Unambiguity, [2011] 37 Comm L Bull 427, 431.</w:t>
      </w:r>
    </w:p>
  </w:footnote>
  <w:footnote w:id="229">
    <w:p w:rsidR="00426C69" w:rsidRPr="00073D1A" w:rsidRDefault="00426C69">
      <w:pPr>
        <w:pStyle w:val="FootnoteText"/>
        <w:rPr>
          <w:lang w:val="en-US"/>
        </w:rPr>
      </w:pPr>
      <w:r>
        <w:rPr>
          <w:rStyle w:val="FootnoteReference"/>
        </w:rPr>
        <w:footnoteRef/>
      </w:r>
      <w:r>
        <w:t xml:space="preserve"> </w:t>
      </w:r>
      <w:r>
        <w:rPr>
          <w:lang w:val="en-US"/>
        </w:rPr>
        <w:t>Stefanou (n89) 414.</w:t>
      </w:r>
    </w:p>
  </w:footnote>
  <w:footnote w:id="230">
    <w:p w:rsidR="00426C69" w:rsidRPr="005B6528" w:rsidRDefault="00426C69" w:rsidP="0004180E">
      <w:pPr>
        <w:pStyle w:val="FootnoteText"/>
        <w:rPr>
          <w:lang w:val="en-US"/>
        </w:rPr>
      </w:pPr>
      <w:r>
        <w:rPr>
          <w:rStyle w:val="FootnoteReference"/>
        </w:rPr>
        <w:footnoteRef/>
      </w:r>
      <w:r>
        <w:t xml:space="preserve"> </w:t>
      </w:r>
      <w:r>
        <w:rPr>
          <w:lang w:val="en-US"/>
        </w:rPr>
        <w:t>Xanthaki (n13) 86.</w:t>
      </w:r>
    </w:p>
  </w:footnote>
  <w:footnote w:id="231">
    <w:p w:rsidR="00426C69" w:rsidRPr="0046668F" w:rsidRDefault="00426C69" w:rsidP="00C80227">
      <w:pPr>
        <w:pStyle w:val="FootnoteText"/>
        <w:rPr>
          <w:lang w:val="en-US"/>
        </w:rPr>
      </w:pPr>
      <w:r>
        <w:rPr>
          <w:rStyle w:val="FootnoteReference"/>
        </w:rPr>
        <w:footnoteRef/>
      </w:r>
      <w:r>
        <w:t xml:space="preserve"> </w:t>
      </w:r>
      <w:r>
        <w:rPr>
          <w:lang w:val="en-US"/>
        </w:rPr>
        <w:t>Majambere (n226) 420.</w:t>
      </w:r>
    </w:p>
  </w:footnote>
  <w:footnote w:id="232">
    <w:p w:rsidR="00426C69" w:rsidRPr="006E4492" w:rsidRDefault="00426C69" w:rsidP="0095080F">
      <w:pPr>
        <w:pStyle w:val="FootnoteText"/>
        <w:rPr>
          <w:lang w:val="en-US"/>
        </w:rPr>
      </w:pPr>
      <w:r>
        <w:rPr>
          <w:rStyle w:val="FootnoteReference"/>
        </w:rPr>
        <w:footnoteRef/>
      </w:r>
      <w:r>
        <w:t xml:space="preserve"> </w:t>
      </w:r>
      <w:r>
        <w:rPr>
          <w:lang w:val="en-US"/>
        </w:rPr>
        <w:t>Ronan Cormacain, ‘A Plain Language Case Study: Business Tenancies (Northern Ireland) Order 1996’ (2012) The Loophole 33, 43. &lt;</w:t>
      </w:r>
      <w:r w:rsidRPr="00C660CB">
        <w:rPr>
          <w:lang w:val="en-US"/>
        </w:rPr>
        <w:t>https://www.opc.gov.au/calc/docs/Loophole/Loophole_Apr12.pdf</w:t>
      </w:r>
      <w:r>
        <w:rPr>
          <w:lang w:val="en-US"/>
        </w:rPr>
        <w:t>&gt; accessed 4 August 2015</w:t>
      </w:r>
    </w:p>
  </w:footnote>
  <w:footnote w:id="233">
    <w:p w:rsidR="00426C69" w:rsidRPr="00AE47F6" w:rsidRDefault="00426C69">
      <w:pPr>
        <w:pStyle w:val="FootnoteText"/>
        <w:rPr>
          <w:lang w:val="en-US"/>
        </w:rPr>
      </w:pPr>
      <w:r>
        <w:rPr>
          <w:rStyle w:val="FootnoteReference"/>
        </w:rPr>
        <w:footnoteRef/>
      </w:r>
      <w:r>
        <w:t xml:space="preserve"> </w:t>
      </w:r>
      <w:r>
        <w:rPr>
          <w:lang w:val="en-US"/>
        </w:rPr>
        <w:t>Xanthaki (n13) 108.</w:t>
      </w:r>
    </w:p>
  </w:footnote>
  <w:footnote w:id="234">
    <w:p w:rsidR="00426C69" w:rsidRDefault="00426C69" w:rsidP="00C53E57">
      <w:pPr>
        <w:pStyle w:val="FootnoteText"/>
      </w:pPr>
      <w:r>
        <w:rPr>
          <w:rStyle w:val="FootnoteReference"/>
        </w:rPr>
        <w:footnoteRef/>
      </w:r>
      <w:r>
        <w:t xml:space="preserve"> </w:t>
      </w:r>
      <w:r>
        <w:rPr>
          <w:lang w:val="en-US"/>
        </w:rPr>
        <w:t>Daniel Greenberg, ‘Three Myths of Plain English Drafting’ (2011) The Loophole 103.</w:t>
      </w:r>
      <w:r w:rsidRPr="00190E8C">
        <w:t xml:space="preserve"> </w:t>
      </w:r>
    </w:p>
    <w:p w:rsidR="00426C69" w:rsidRPr="00800E80" w:rsidRDefault="00426C69" w:rsidP="00C53E57">
      <w:pPr>
        <w:pStyle w:val="FootnoteText"/>
        <w:rPr>
          <w:lang w:val="en-US"/>
        </w:rPr>
      </w:pPr>
      <w:r>
        <w:t>&lt;</w:t>
      </w:r>
      <w:r w:rsidRPr="00190E8C">
        <w:rPr>
          <w:lang w:val="en-US"/>
        </w:rPr>
        <w:t>http://www.opc.gov.au/calc/docs/Loophole_papers/Greenberg_Feb2011.pdf</w:t>
      </w:r>
      <w:r>
        <w:rPr>
          <w:lang w:val="en-US"/>
        </w:rPr>
        <w:t>&gt; accessed 4 August 2015</w:t>
      </w:r>
    </w:p>
  </w:footnote>
  <w:footnote w:id="235">
    <w:p w:rsidR="00426C69" w:rsidRDefault="00426C69">
      <w:pPr>
        <w:pStyle w:val="FootnoteText"/>
      </w:pPr>
      <w:r>
        <w:rPr>
          <w:rStyle w:val="FootnoteReference"/>
        </w:rPr>
        <w:footnoteRef/>
      </w:r>
      <w:r>
        <w:t xml:space="preserve"> Eageleson (n72) 1.</w:t>
      </w:r>
    </w:p>
  </w:footnote>
  <w:footnote w:id="236">
    <w:p w:rsidR="00426C69" w:rsidRPr="008050A0" w:rsidRDefault="00426C69" w:rsidP="009D3FB7">
      <w:pPr>
        <w:pStyle w:val="FootnoteText"/>
        <w:rPr>
          <w:lang w:val="en-US"/>
        </w:rPr>
      </w:pPr>
      <w:r>
        <w:rPr>
          <w:rStyle w:val="FootnoteReference"/>
        </w:rPr>
        <w:footnoteRef/>
      </w:r>
      <w:r>
        <w:t xml:space="preserve"> </w:t>
      </w:r>
      <w:r>
        <w:rPr>
          <w:lang w:val="en-US"/>
        </w:rPr>
        <w:t>Anthony Watson- Brown, ‘Defining ‘Plain English’ as an Aid to Legal Drafting’ [2009] 30 SLR 85, 86.</w:t>
      </w:r>
    </w:p>
  </w:footnote>
  <w:footnote w:id="237">
    <w:p w:rsidR="00426C69" w:rsidRPr="00940313" w:rsidRDefault="00426C69" w:rsidP="00F73B9C">
      <w:pPr>
        <w:pStyle w:val="FootnoteText"/>
        <w:rPr>
          <w:lang w:val="en-US"/>
        </w:rPr>
      </w:pPr>
      <w:r>
        <w:rPr>
          <w:rStyle w:val="FootnoteReference"/>
        </w:rPr>
        <w:footnoteRef/>
      </w:r>
      <w:r>
        <w:t xml:space="preserve"> </w:t>
      </w:r>
      <w:r>
        <w:rPr>
          <w:lang w:val="en-US"/>
        </w:rPr>
        <w:t>Stefanou (n89) 415.</w:t>
      </w:r>
    </w:p>
  </w:footnote>
  <w:footnote w:id="238">
    <w:p w:rsidR="00426C69" w:rsidRPr="00EA5774" w:rsidRDefault="00426C69" w:rsidP="00F73B9C">
      <w:pPr>
        <w:pStyle w:val="FootnoteText"/>
        <w:rPr>
          <w:lang w:val="en-US"/>
        </w:rPr>
      </w:pPr>
      <w:r>
        <w:rPr>
          <w:rStyle w:val="FootnoteReference"/>
        </w:rPr>
        <w:footnoteRef/>
      </w:r>
      <w:r>
        <w:t xml:space="preserve"> </w:t>
      </w:r>
      <w:r>
        <w:rPr>
          <w:lang w:val="en-US"/>
        </w:rPr>
        <w:t>Bekink and Botha (n227) 37.</w:t>
      </w:r>
    </w:p>
  </w:footnote>
  <w:footnote w:id="239">
    <w:p w:rsidR="00426C69" w:rsidRPr="0053001B" w:rsidRDefault="00426C69">
      <w:pPr>
        <w:pStyle w:val="FootnoteText"/>
        <w:rPr>
          <w:lang w:val="en-US"/>
        </w:rPr>
      </w:pPr>
      <w:r>
        <w:rPr>
          <w:rStyle w:val="FootnoteReference"/>
        </w:rPr>
        <w:footnoteRef/>
      </w:r>
      <w:r>
        <w:t xml:space="preserve"> </w:t>
      </w:r>
      <w:r>
        <w:rPr>
          <w:lang w:val="en-US"/>
        </w:rPr>
        <w:t>Peter Butt, ‘What is Plain Language and why use it? Speaking Plainly: Plain Language for Non-Lawyers’ (12 September 2002).</w:t>
      </w:r>
      <w:r w:rsidRPr="00C61F75">
        <w:t xml:space="preserve"> </w:t>
      </w:r>
      <w:r>
        <w:t>&lt;</w:t>
      </w:r>
      <w:r w:rsidRPr="00C61F75">
        <w:rPr>
          <w:lang w:val="en-US"/>
        </w:rPr>
        <w:t>http://www.lawfoundation.net.au/ljf/app/&amp;id=/2FD34F71BE2A0155CA25714C001739DA</w:t>
      </w:r>
      <w:r>
        <w:rPr>
          <w:lang w:val="en-US"/>
        </w:rPr>
        <w:t>&gt; accessed 10 August 2015</w:t>
      </w:r>
    </w:p>
  </w:footnote>
  <w:footnote w:id="240">
    <w:p w:rsidR="00426C69" w:rsidRPr="008942D8" w:rsidRDefault="00426C69" w:rsidP="00336DC5">
      <w:pPr>
        <w:pStyle w:val="FootnoteText"/>
        <w:rPr>
          <w:lang w:val="en-US"/>
        </w:rPr>
      </w:pPr>
      <w:r>
        <w:rPr>
          <w:rStyle w:val="FootnoteReference"/>
        </w:rPr>
        <w:footnoteRef/>
      </w:r>
      <w:r>
        <w:rPr>
          <w:lang w:val="en-US"/>
        </w:rPr>
        <w:t>Augustin Mico, ‘Drafting and Plain Language’ [2013] 39 Comm L Bull 435, 436.</w:t>
      </w:r>
    </w:p>
  </w:footnote>
  <w:footnote w:id="241">
    <w:p w:rsidR="00426C69" w:rsidRPr="00832889" w:rsidRDefault="00426C69">
      <w:pPr>
        <w:pStyle w:val="FootnoteText"/>
        <w:rPr>
          <w:lang w:val="en-US"/>
        </w:rPr>
      </w:pPr>
      <w:r>
        <w:rPr>
          <w:rStyle w:val="FootnoteReference"/>
        </w:rPr>
        <w:footnoteRef/>
      </w:r>
      <w:r>
        <w:t xml:space="preserve"> </w:t>
      </w:r>
      <w:r>
        <w:rPr>
          <w:lang w:val="en-US"/>
        </w:rPr>
        <w:t>Xanthaki (n13) 111.</w:t>
      </w:r>
    </w:p>
  </w:footnote>
  <w:footnote w:id="242">
    <w:p w:rsidR="00426C69" w:rsidRPr="00A615BD" w:rsidRDefault="00426C69" w:rsidP="009D3FB7">
      <w:pPr>
        <w:pStyle w:val="FootnoteText"/>
        <w:rPr>
          <w:lang w:val="en-US"/>
        </w:rPr>
      </w:pPr>
      <w:r>
        <w:rPr>
          <w:rStyle w:val="FootnoteReference"/>
        </w:rPr>
        <w:footnoteRef/>
      </w:r>
      <w:r>
        <w:t xml:space="preserve"> </w:t>
      </w:r>
      <w:r>
        <w:rPr>
          <w:lang w:val="en-US"/>
        </w:rPr>
        <w:t>Mico (n240) 436.</w:t>
      </w:r>
    </w:p>
  </w:footnote>
  <w:footnote w:id="243">
    <w:p w:rsidR="00426C69" w:rsidRPr="000B4D0B" w:rsidRDefault="00426C69" w:rsidP="00C73D1A">
      <w:pPr>
        <w:pStyle w:val="FootnoteText"/>
        <w:rPr>
          <w:lang w:val="en-US"/>
        </w:rPr>
      </w:pPr>
      <w:r>
        <w:rPr>
          <w:rStyle w:val="FootnoteReference"/>
        </w:rPr>
        <w:footnoteRef/>
      </w:r>
      <w:r>
        <w:t xml:space="preserve"> </w:t>
      </w:r>
      <w:r>
        <w:rPr>
          <w:lang w:val="en-US"/>
        </w:rPr>
        <w:t>Eagleson (n72) 2.</w:t>
      </w:r>
      <w:r w:rsidRPr="00C71BC5">
        <w:t xml:space="preserve"> </w:t>
      </w:r>
    </w:p>
  </w:footnote>
  <w:footnote w:id="244">
    <w:p w:rsidR="00426C69" w:rsidRPr="00964E16" w:rsidRDefault="00426C69">
      <w:pPr>
        <w:pStyle w:val="FootnoteText"/>
        <w:rPr>
          <w:lang w:val="en-US"/>
        </w:rPr>
      </w:pPr>
      <w:r>
        <w:rPr>
          <w:rStyle w:val="FootnoteReference"/>
        </w:rPr>
        <w:footnoteRef/>
      </w:r>
      <w:r>
        <w:t xml:space="preserve"> See Xanthaki (n67) 57-58 for </w:t>
      </w:r>
      <w:r>
        <w:rPr>
          <w:lang w:val="en-US"/>
        </w:rPr>
        <w:t>Comprehensive list of plain language guidelines.</w:t>
      </w:r>
    </w:p>
  </w:footnote>
  <w:footnote w:id="245">
    <w:p w:rsidR="00426C69" w:rsidRPr="008E5035" w:rsidRDefault="00426C69" w:rsidP="00330F3E">
      <w:pPr>
        <w:pStyle w:val="FootnoteText"/>
        <w:rPr>
          <w:lang w:val="en-US"/>
        </w:rPr>
      </w:pPr>
      <w:r>
        <w:rPr>
          <w:rStyle w:val="FootnoteReference"/>
        </w:rPr>
        <w:footnoteRef/>
      </w:r>
      <w:r>
        <w:t xml:space="preserve"> </w:t>
      </w:r>
      <w:r>
        <w:rPr>
          <w:lang w:val="en-US"/>
        </w:rPr>
        <w:t>Ian Turnbull, ‘Legislative Drafting in Plain Language and Statements of General Principle’ [1997] 18 SLR 21, 23.</w:t>
      </w:r>
    </w:p>
  </w:footnote>
  <w:footnote w:id="246">
    <w:p w:rsidR="00426C69" w:rsidRPr="003E5021" w:rsidRDefault="00426C69">
      <w:pPr>
        <w:pStyle w:val="FootnoteText"/>
        <w:rPr>
          <w:lang w:val="en-US"/>
        </w:rPr>
      </w:pPr>
      <w:r>
        <w:rPr>
          <w:rStyle w:val="FootnoteReference"/>
        </w:rPr>
        <w:footnoteRef/>
      </w:r>
      <w:r>
        <w:t xml:space="preserve"> </w:t>
      </w:r>
      <w:r>
        <w:rPr>
          <w:lang w:val="en-US"/>
        </w:rPr>
        <w:t>ibid 21.</w:t>
      </w:r>
    </w:p>
  </w:footnote>
  <w:footnote w:id="247">
    <w:p w:rsidR="00426C69" w:rsidRDefault="00426C69">
      <w:pPr>
        <w:pStyle w:val="FootnoteText"/>
      </w:pPr>
      <w:r>
        <w:rPr>
          <w:rStyle w:val="FootnoteReference"/>
        </w:rPr>
        <w:footnoteRef/>
      </w:r>
      <w:r>
        <w:t xml:space="preserve"> </w:t>
      </w:r>
      <w:r>
        <w:rPr>
          <w:lang w:val="en-US"/>
        </w:rPr>
        <w:t>Duncan Berry, ‘Reducing the Complexity of Legislative Sentences’ (2009) The Loophole 37, 38.</w:t>
      </w:r>
      <w:r w:rsidRPr="00FE37F1">
        <w:t xml:space="preserve"> </w:t>
      </w:r>
    </w:p>
    <w:p w:rsidR="00426C69" w:rsidRPr="00232696" w:rsidRDefault="00426C69">
      <w:pPr>
        <w:pStyle w:val="FootnoteText"/>
        <w:rPr>
          <w:lang w:val="en-US"/>
        </w:rPr>
      </w:pPr>
      <w:r>
        <w:t>&lt;</w:t>
      </w:r>
      <w:r w:rsidRPr="00FE37F1">
        <w:rPr>
          <w:lang w:val="en-US"/>
        </w:rPr>
        <w:t>https://www.opc.gov.au/calc/docs/Loophole/Loophole_Jan09.pdf</w:t>
      </w:r>
      <w:r>
        <w:rPr>
          <w:lang w:val="en-US"/>
        </w:rPr>
        <w:t>&gt; accessed 7 August 2015</w:t>
      </w:r>
    </w:p>
  </w:footnote>
  <w:footnote w:id="248">
    <w:p w:rsidR="00426C69" w:rsidRDefault="00426C69" w:rsidP="003D6FA4">
      <w:pPr>
        <w:pStyle w:val="FootnoteText"/>
      </w:pPr>
      <w:r>
        <w:rPr>
          <w:rStyle w:val="FootnoteReference"/>
        </w:rPr>
        <w:footnoteRef/>
      </w:r>
      <w:r>
        <w:t xml:space="preserve"> Aitken (n185) 30.</w:t>
      </w:r>
    </w:p>
  </w:footnote>
  <w:footnote w:id="249">
    <w:p w:rsidR="00426C69" w:rsidRPr="000B57F3" w:rsidRDefault="00426C69" w:rsidP="00B358C4">
      <w:pPr>
        <w:pStyle w:val="FootnoteText"/>
        <w:rPr>
          <w:lang w:val="en-US"/>
        </w:rPr>
      </w:pPr>
      <w:r>
        <w:rPr>
          <w:rStyle w:val="FootnoteReference"/>
        </w:rPr>
        <w:footnoteRef/>
      </w:r>
      <w:r>
        <w:t xml:space="preserve"> </w:t>
      </w:r>
      <w:r>
        <w:rPr>
          <w:lang w:val="en-US"/>
        </w:rPr>
        <w:t>Burrows and Carter (n17) 113.</w:t>
      </w:r>
    </w:p>
  </w:footnote>
  <w:footnote w:id="250">
    <w:p w:rsidR="00426C69" w:rsidRPr="003E5021" w:rsidRDefault="00426C69">
      <w:pPr>
        <w:pStyle w:val="FootnoteText"/>
        <w:rPr>
          <w:lang w:val="en-US"/>
        </w:rPr>
      </w:pPr>
      <w:r>
        <w:rPr>
          <w:rStyle w:val="FootnoteReference"/>
        </w:rPr>
        <w:footnoteRef/>
      </w:r>
      <w:r>
        <w:t xml:space="preserve"> </w:t>
      </w:r>
      <w:r>
        <w:rPr>
          <w:lang w:val="en-US"/>
        </w:rPr>
        <w:t>Bekink and Botha (n227) 38.</w:t>
      </w:r>
    </w:p>
  </w:footnote>
  <w:footnote w:id="251">
    <w:p w:rsidR="00426C69" w:rsidRPr="000B57F3" w:rsidRDefault="00426C69">
      <w:pPr>
        <w:pStyle w:val="FootnoteText"/>
        <w:rPr>
          <w:lang w:val="en-US"/>
        </w:rPr>
      </w:pPr>
      <w:r>
        <w:rPr>
          <w:rStyle w:val="FootnoteReference"/>
        </w:rPr>
        <w:footnoteRef/>
      </w:r>
      <w:r>
        <w:t xml:space="preserve"> </w:t>
      </w:r>
      <w:r>
        <w:rPr>
          <w:lang w:val="en-US"/>
        </w:rPr>
        <w:t>Xanthaki (n67) 58.</w:t>
      </w:r>
    </w:p>
  </w:footnote>
  <w:footnote w:id="252">
    <w:p w:rsidR="00426C69" w:rsidRPr="00964E16" w:rsidRDefault="00426C69">
      <w:pPr>
        <w:pStyle w:val="FootnoteText"/>
        <w:rPr>
          <w:lang w:val="en-US"/>
        </w:rPr>
      </w:pPr>
      <w:r>
        <w:rPr>
          <w:rStyle w:val="FootnoteReference"/>
        </w:rPr>
        <w:footnoteRef/>
      </w:r>
      <w:r>
        <w:t xml:space="preserve"> ibid.</w:t>
      </w:r>
    </w:p>
  </w:footnote>
  <w:footnote w:id="253">
    <w:p w:rsidR="00426C69" w:rsidRPr="007869F8" w:rsidRDefault="00426C69">
      <w:pPr>
        <w:pStyle w:val="FootnoteText"/>
        <w:rPr>
          <w:lang w:val="en-US"/>
        </w:rPr>
      </w:pPr>
      <w:r>
        <w:rPr>
          <w:rStyle w:val="FootnoteReference"/>
        </w:rPr>
        <w:footnoteRef/>
      </w:r>
      <w:r>
        <w:t xml:space="preserve"> </w:t>
      </w:r>
      <w:r>
        <w:rPr>
          <w:lang w:val="en-US"/>
        </w:rPr>
        <w:t>Mico (n240) 437.</w:t>
      </w:r>
    </w:p>
  </w:footnote>
  <w:footnote w:id="254">
    <w:p w:rsidR="00426C69" w:rsidRPr="00C77F1F" w:rsidRDefault="00426C69" w:rsidP="006333FE">
      <w:pPr>
        <w:pStyle w:val="FootnoteText"/>
        <w:rPr>
          <w:lang w:val="en-US"/>
        </w:rPr>
      </w:pPr>
      <w:r>
        <w:rPr>
          <w:rStyle w:val="FootnoteReference"/>
        </w:rPr>
        <w:footnoteRef/>
      </w:r>
      <w:r>
        <w:t xml:space="preserve"> </w:t>
      </w:r>
      <w:r>
        <w:rPr>
          <w:lang w:val="en-US"/>
        </w:rPr>
        <w:t>Brian Hunt, ‘Plain Language in Legislative Drafting: An Achievable Objective or a Laudable Ideal?’ [2003] 24 SLR 112, 118.</w:t>
      </w:r>
    </w:p>
  </w:footnote>
  <w:footnote w:id="255">
    <w:p w:rsidR="00426C69" w:rsidRPr="00A00B1A" w:rsidRDefault="00426C69" w:rsidP="009A5FD7">
      <w:pPr>
        <w:pStyle w:val="FootnoteText"/>
        <w:rPr>
          <w:lang w:val="en-US"/>
        </w:rPr>
      </w:pPr>
      <w:r>
        <w:rPr>
          <w:rStyle w:val="FootnoteReference"/>
        </w:rPr>
        <w:footnoteRef/>
      </w:r>
      <w:r>
        <w:t xml:space="preserve"> </w:t>
      </w:r>
      <w:r>
        <w:rPr>
          <w:lang w:val="en-US"/>
        </w:rPr>
        <w:t>Anthony Watson-Brown, ‘In Search of Plain Language-The Holy Grail or Mythical Excalibur of Legislative Drafting’ [2011] 33 SLR 7, 9.</w:t>
      </w:r>
    </w:p>
  </w:footnote>
  <w:footnote w:id="256">
    <w:p w:rsidR="00426C69" w:rsidRPr="00513981" w:rsidRDefault="00426C69" w:rsidP="009A5FD7">
      <w:pPr>
        <w:pStyle w:val="FootnoteText"/>
        <w:rPr>
          <w:lang w:val="en-US"/>
        </w:rPr>
      </w:pPr>
      <w:r>
        <w:rPr>
          <w:rStyle w:val="FootnoteReference"/>
        </w:rPr>
        <w:footnoteRef/>
      </w:r>
      <w:r>
        <w:t xml:space="preserve"> Xanthaki (n67) 182.</w:t>
      </w:r>
    </w:p>
  </w:footnote>
  <w:footnote w:id="257">
    <w:p w:rsidR="00426C69" w:rsidRPr="006E5E5C" w:rsidRDefault="00426C69" w:rsidP="00A00B1A">
      <w:pPr>
        <w:pStyle w:val="FootnoteText"/>
        <w:rPr>
          <w:lang w:val="en-US"/>
        </w:rPr>
      </w:pPr>
      <w:r>
        <w:rPr>
          <w:rStyle w:val="FootnoteReference"/>
        </w:rPr>
        <w:footnoteRef/>
      </w:r>
      <w:r>
        <w:t xml:space="preserve"> </w:t>
      </w:r>
      <w:r>
        <w:rPr>
          <w:lang w:val="en-US"/>
        </w:rPr>
        <w:t>ibid 56.</w:t>
      </w:r>
    </w:p>
  </w:footnote>
  <w:footnote w:id="258">
    <w:p w:rsidR="00426C69" w:rsidRPr="004C45FB" w:rsidRDefault="00426C69" w:rsidP="00A00B1A">
      <w:pPr>
        <w:pStyle w:val="FootnoteText"/>
        <w:rPr>
          <w:lang w:val="en-US"/>
        </w:rPr>
      </w:pPr>
      <w:r>
        <w:rPr>
          <w:rStyle w:val="FootnoteReference"/>
        </w:rPr>
        <w:footnoteRef/>
      </w:r>
      <w:r>
        <w:t xml:space="preserve"> David </w:t>
      </w:r>
      <w:r>
        <w:rPr>
          <w:lang w:val="en-US"/>
        </w:rPr>
        <w:t>Elliot, ‘Using Plain English in Statutes: Clarity’s Submission to the Hansard Law Society for Parliamentary Government’ (June 1992) 15. &lt;</w:t>
      </w:r>
      <w:r w:rsidRPr="00EB709A">
        <w:rPr>
          <w:lang w:val="en-US"/>
        </w:rPr>
        <w:t>http://www.davidelliott.ca/legislativedrafting.htm</w:t>
      </w:r>
      <w:r>
        <w:rPr>
          <w:lang w:val="en-US"/>
        </w:rPr>
        <w:t>&gt; 4 August 2015</w:t>
      </w:r>
    </w:p>
  </w:footnote>
  <w:footnote w:id="259">
    <w:p w:rsidR="00426C69" w:rsidRDefault="00426C69">
      <w:pPr>
        <w:pStyle w:val="FootnoteText"/>
      </w:pPr>
      <w:r>
        <w:rPr>
          <w:rStyle w:val="FootnoteReference"/>
        </w:rPr>
        <w:footnoteRef/>
      </w:r>
      <w:r>
        <w:t xml:space="preserve"> ILC (n6) para 2.33. </w:t>
      </w:r>
    </w:p>
  </w:footnote>
  <w:footnote w:id="260">
    <w:p w:rsidR="00426C69" w:rsidRPr="00ED6859" w:rsidRDefault="00426C69">
      <w:pPr>
        <w:pStyle w:val="FootnoteText"/>
        <w:rPr>
          <w:lang w:val="en-US"/>
        </w:rPr>
      </w:pPr>
      <w:r>
        <w:rPr>
          <w:rStyle w:val="FootnoteReference"/>
        </w:rPr>
        <w:footnoteRef/>
      </w:r>
      <w:r>
        <w:t xml:space="preserve"> New Zealand Law Commission (NZLC), ‘Legislation Manual: Structure and Style’ (May 1996)</w:t>
      </w:r>
      <w:r>
        <w:rPr>
          <w:lang w:val="en-US"/>
        </w:rPr>
        <w:t xml:space="preserve"> para 118.</w:t>
      </w:r>
      <w:r w:rsidRPr="00DB6D96">
        <w:t xml:space="preserve"> </w:t>
      </w:r>
      <w:r>
        <w:t>&lt;</w:t>
      </w:r>
      <w:r w:rsidRPr="00DB6D96">
        <w:rPr>
          <w:lang w:val="en-US"/>
        </w:rPr>
        <w:t>http://www.lawcom.govt.nz/sites/default/files/projectAvailableFormats/NZLC%20R35.pdf</w:t>
      </w:r>
      <w:r>
        <w:rPr>
          <w:lang w:val="en-US"/>
        </w:rPr>
        <w:t>&gt; accessed 13 August 2015</w:t>
      </w:r>
    </w:p>
  </w:footnote>
  <w:footnote w:id="261">
    <w:p w:rsidR="00426C69" w:rsidRDefault="00426C69" w:rsidP="00E66320">
      <w:pPr>
        <w:pStyle w:val="FootnoteText"/>
      </w:pPr>
      <w:r>
        <w:rPr>
          <w:rStyle w:val="FootnoteReference"/>
        </w:rPr>
        <w:footnoteRef/>
      </w:r>
      <w:r>
        <w:t>Parliamentary Counsel Office, ‘</w:t>
      </w:r>
      <w:r>
        <w:rPr>
          <w:lang w:val="en-US"/>
        </w:rPr>
        <w:t>Principles of Clear Drafting’ (August 2009) para 3.80-3.95.</w:t>
      </w:r>
      <w:r w:rsidRPr="00D45E1C">
        <w:t xml:space="preserve"> </w:t>
      </w:r>
    </w:p>
    <w:p w:rsidR="00426C69" w:rsidRPr="006B2928" w:rsidRDefault="00426C69" w:rsidP="00E66320">
      <w:pPr>
        <w:pStyle w:val="FootnoteText"/>
        <w:rPr>
          <w:lang w:val="en-US"/>
        </w:rPr>
      </w:pPr>
      <w:r>
        <w:t>&lt;</w:t>
      </w:r>
      <w:r w:rsidRPr="00D45E1C">
        <w:rPr>
          <w:lang w:val="en-US"/>
        </w:rPr>
        <w:t>http://www.pco.parliament.govt.nz/clear-drafting/</w:t>
      </w:r>
      <w:r>
        <w:rPr>
          <w:lang w:val="en-US"/>
        </w:rPr>
        <w:t>&gt; accessed 13 August 2015</w:t>
      </w:r>
    </w:p>
  </w:footnote>
  <w:footnote w:id="262">
    <w:p w:rsidR="00426C69" w:rsidRPr="00E43C7E" w:rsidRDefault="00426C69">
      <w:pPr>
        <w:pStyle w:val="FootnoteText"/>
        <w:rPr>
          <w:lang w:val="en-US"/>
        </w:rPr>
      </w:pPr>
      <w:r>
        <w:rPr>
          <w:rStyle w:val="FootnoteReference"/>
        </w:rPr>
        <w:footnoteRef/>
      </w:r>
      <w:r>
        <w:t xml:space="preserve"> </w:t>
      </w:r>
      <w:r>
        <w:rPr>
          <w:lang w:val="en-US"/>
        </w:rPr>
        <w:t>NZLC (n260) para 119.</w:t>
      </w:r>
    </w:p>
  </w:footnote>
  <w:footnote w:id="263">
    <w:p w:rsidR="00426C69" w:rsidRPr="00483EE2" w:rsidRDefault="00426C69">
      <w:pPr>
        <w:pStyle w:val="FootnoteText"/>
        <w:rPr>
          <w:lang w:val="en-US"/>
        </w:rPr>
      </w:pPr>
      <w:r>
        <w:rPr>
          <w:rStyle w:val="FootnoteReference"/>
        </w:rPr>
        <w:footnoteRef/>
      </w:r>
      <w:r>
        <w:t xml:space="preserve"> </w:t>
      </w:r>
      <w:r w:rsidRPr="00E814D8">
        <w:rPr>
          <w:i/>
          <w:lang w:val="en-US"/>
        </w:rPr>
        <w:t>Queensland Legislation Handbook</w:t>
      </w:r>
      <w:r>
        <w:rPr>
          <w:lang w:val="en-US"/>
        </w:rPr>
        <w:t xml:space="preserve"> </w:t>
      </w:r>
      <w:r w:rsidRPr="00EF0549">
        <w:rPr>
          <w:lang w:val="en-US"/>
        </w:rPr>
        <w:t>(2</w:t>
      </w:r>
      <w:r w:rsidRPr="00EF0549">
        <w:rPr>
          <w:vertAlign w:val="superscript"/>
          <w:lang w:val="en-US"/>
        </w:rPr>
        <w:t>nd</w:t>
      </w:r>
      <w:r w:rsidRPr="00EF0549">
        <w:rPr>
          <w:lang w:val="en-US"/>
        </w:rPr>
        <w:t xml:space="preserve"> edn, </w:t>
      </w:r>
      <w:r w:rsidRPr="00EF0549">
        <w:t>The State of Queensland, Department of the Premier and Cabinet</w:t>
      </w:r>
      <w:r w:rsidRPr="00EF0549">
        <w:rPr>
          <w:lang w:val="en-US"/>
        </w:rPr>
        <w:t xml:space="preserve"> 2004) para 3.5.1.</w:t>
      </w:r>
      <w:r w:rsidRPr="009220A5">
        <w:rPr>
          <w:rFonts w:ascii="Century" w:hAnsi="Century"/>
          <w:sz w:val="24"/>
          <w:szCs w:val="24"/>
        </w:rPr>
        <w:t xml:space="preserve"> </w:t>
      </w:r>
      <w:r>
        <w:t>&lt;</w:t>
      </w:r>
      <w:r w:rsidRPr="00DB6D96">
        <w:rPr>
          <w:lang w:val="en-US"/>
        </w:rPr>
        <w:t>https://www.legislation.qld.gov.au/leg_info/publications/legislation_handbook.pdf</w:t>
      </w:r>
      <w:r>
        <w:rPr>
          <w:lang w:val="en-US"/>
        </w:rPr>
        <w:t>&gt; accessed 13 August 2015</w:t>
      </w:r>
    </w:p>
  </w:footnote>
  <w:footnote w:id="264">
    <w:p w:rsidR="00426C69" w:rsidRPr="00E75CF5" w:rsidRDefault="00426C69" w:rsidP="00742546">
      <w:pPr>
        <w:pStyle w:val="FootnoteText"/>
        <w:rPr>
          <w:lang w:val="en-US"/>
        </w:rPr>
      </w:pPr>
      <w:r>
        <w:rPr>
          <w:rStyle w:val="FootnoteReference"/>
        </w:rPr>
        <w:footnoteRef/>
      </w:r>
      <w:r>
        <w:t xml:space="preserve"> </w:t>
      </w:r>
      <w:r>
        <w:rPr>
          <w:lang w:val="en-US"/>
        </w:rPr>
        <w:t>ibid</w:t>
      </w:r>
      <w:r w:rsidRPr="00EF0549">
        <w:rPr>
          <w:lang w:val="en-US"/>
        </w:rPr>
        <w:t>.</w:t>
      </w:r>
      <w:r w:rsidRPr="009220A5">
        <w:rPr>
          <w:rFonts w:ascii="Century" w:hAnsi="Century"/>
          <w:sz w:val="24"/>
          <w:szCs w:val="24"/>
        </w:rPr>
        <w:t xml:space="preserve"> </w:t>
      </w:r>
    </w:p>
  </w:footnote>
  <w:footnote w:id="265">
    <w:p w:rsidR="00426C69" w:rsidRDefault="00426C69" w:rsidP="00742546">
      <w:pPr>
        <w:pStyle w:val="FootnoteText"/>
        <w:rPr>
          <w:lang w:val="en-US"/>
        </w:rPr>
      </w:pPr>
      <w:r>
        <w:rPr>
          <w:rStyle w:val="FootnoteReference"/>
        </w:rPr>
        <w:footnoteRef/>
      </w:r>
      <w:r>
        <w:t xml:space="preserve"> Vince Robinson, ‘</w:t>
      </w:r>
      <w:r>
        <w:rPr>
          <w:lang w:val="en-US"/>
        </w:rPr>
        <w:t>Rewriting Legislation: Australian Federal Experience’ (November 2002)11.</w:t>
      </w:r>
    </w:p>
    <w:p w:rsidR="00426C69" w:rsidRPr="00887DB0" w:rsidRDefault="00426C69" w:rsidP="00742546">
      <w:pPr>
        <w:pStyle w:val="FootnoteText"/>
        <w:rPr>
          <w:lang w:val="en-US"/>
        </w:rPr>
      </w:pPr>
      <w:r w:rsidRPr="00F45BF0">
        <w:t xml:space="preserve"> </w:t>
      </w:r>
      <w:r>
        <w:t>&lt;</w:t>
      </w:r>
      <w:r w:rsidRPr="00F45BF0">
        <w:rPr>
          <w:lang w:val="en-US"/>
        </w:rPr>
        <w:t>https://www.opc.gov.au/plain/docs/rewriting.pdf</w:t>
      </w:r>
      <w:r>
        <w:rPr>
          <w:lang w:val="en-US"/>
        </w:rPr>
        <w:t>&gt; accessed 4 August 2015</w:t>
      </w:r>
    </w:p>
  </w:footnote>
  <w:footnote w:id="266">
    <w:p w:rsidR="00426C69" w:rsidRPr="00CE495F" w:rsidRDefault="00426C69" w:rsidP="00622AC7">
      <w:pPr>
        <w:pStyle w:val="FootnoteText"/>
        <w:rPr>
          <w:lang w:val="en-US"/>
        </w:rPr>
      </w:pPr>
      <w:r>
        <w:rPr>
          <w:rStyle w:val="FootnoteReference"/>
        </w:rPr>
        <w:footnoteRef/>
      </w:r>
      <w:r>
        <w:t xml:space="preserve"> Richard Krever, ‘Taming Complexity in Australian Income Tax’ [2003] 25 Sydney Law Review 467, 492.</w:t>
      </w:r>
    </w:p>
  </w:footnote>
  <w:footnote w:id="267">
    <w:p w:rsidR="00426C69" w:rsidRPr="00CE495F" w:rsidRDefault="00426C69" w:rsidP="00622AC7">
      <w:pPr>
        <w:pStyle w:val="FootnoteText"/>
        <w:rPr>
          <w:lang w:val="en-US"/>
        </w:rPr>
      </w:pPr>
      <w:r>
        <w:rPr>
          <w:rStyle w:val="FootnoteReference"/>
        </w:rPr>
        <w:footnoteRef/>
      </w:r>
      <w:r>
        <w:t xml:space="preserve"> </w:t>
      </w:r>
      <w:r>
        <w:rPr>
          <w:lang w:val="en-US"/>
        </w:rPr>
        <w:t>ibid.</w:t>
      </w:r>
    </w:p>
  </w:footnote>
  <w:footnote w:id="268">
    <w:p w:rsidR="00426C69" w:rsidRPr="00513981" w:rsidRDefault="00426C69" w:rsidP="000943F1">
      <w:pPr>
        <w:pStyle w:val="FootnoteText"/>
        <w:rPr>
          <w:lang w:val="en-US"/>
        </w:rPr>
      </w:pPr>
      <w:r>
        <w:rPr>
          <w:rStyle w:val="FootnoteReference"/>
        </w:rPr>
        <w:footnoteRef/>
      </w:r>
      <w:r>
        <w:t xml:space="preserve"> </w:t>
      </w:r>
      <w:r>
        <w:rPr>
          <w:lang w:val="en-US"/>
        </w:rPr>
        <w:t>Xanthaki (n67)182.</w:t>
      </w:r>
    </w:p>
  </w:footnote>
  <w:footnote w:id="269">
    <w:p w:rsidR="00426C69" w:rsidRDefault="00426C69">
      <w:pPr>
        <w:pStyle w:val="FootnoteText"/>
      </w:pPr>
      <w:r>
        <w:rPr>
          <w:rStyle w:val="FootnoteReference"/>
        </w:rPr>
        <w:footnoteRef/>
      </w:r>
      <w:r>
        <w:t xml:space="preserve"> See Schedule 2 for examples.</w:t>
      </w:r>
    </w:p>
    <w:p w:rsidR="00426C69" w:rsidRPr="002B6DF0" w:rsidRDefault="00426C69">
      <w:pPr>
        <w:pStyle w:val="FootnoteText"/>
        <w:rPr>
          <w:lang w:val="en-US"/>
        </w:rPr>
      </w:pPr>
      <w:r>
        <w:t xml:space="preserve"> &lt;</w:t>
      </w:r>
      <w:r w:rsidRPr="00BD1C3E">
        <w:t>http://www.legislation.gov.uk/ukpga/1974/39/schedule/2</w:t>
      </w:r>
      <w:r>
        <w:t>&gt; accessed 17 August 2015</w:t>
      </w:r>
    </w:p>
  </w:footnote>
  <w:footnote w:id="270">
    <w:p w:rsidR="00426C69" w:rsidRPr="00A42A14" w:rsidRDefault="00426C69">
      <w:pPr>
        <w:pStyle w:val="FootnoteText"/>
        <w:rPr>
          <w:lang w:val="en-US"/>
        </w:rPr>
      </w:pPr>
      <w:r>
        <w:rPr>
          <w:rStyle w:val="FootnoteReference"/>
        </w:rPr>
        <w:footnoteRef/>
      </w:r>
      <w:r>
        <w:t xml:space="preserve"> </w:t>
      </w:r>
      <w:r>
        <w:rPr>
          <w:lang w:val="en-US"/>
        </w:rPr>
        <w:t>Ross Carter and Matthew Green, ‘The Enactment is Self-Explanatory…or is it? –Explanatory Provisions in New Zealand Legislation’ [2007] 28 SLR 1, 9.</w:t>
      </w:r>
    </w:p>
  </w:footnote>
  <w:footnote w:id="271">
    <w:p w:rsidR="00426C69" w:rsidRPr="00102AB8" w:rsidRDefault="00426C69">
      <w:pPr>
        <w:pStyle w:val="FootnoteText"/>
        <w:rPr>
          <w:lang w:val="en-US"/>
        </w:rPr>
      </w:pPr>
      <w:r>
        <w:rPr>
          <w:rStyle w:val="FootnoteReference"/>
        </w:rPr>
        <w:footnoteRef/>
      </w:r>
      <w:r>
        <w:t xml:space="preserve"> </w:t>
      </w:r>
      <w:r w:rsidRPr="00031EB1">
        <w:t xml:space="preserve">Helen Xanthaki, ‘On Transferability of Legislative Solutions: The Functionality Test’ in Constantin Stefanou and Helen Xanthaki (eds), </w:t>
      </w:r>
      <w:r w:rsidRPr="00031EB1">
        <w:rPr>
          <w:i/>
        </w:rPr>
        <w:t xml:space="preserve">Drafting Legislation: A Modern Approach </w:t>
      </w:r>
      <w:r>
        <w:t>(</w:t>
      </w:r>
      <w:r w:rsidRPr="00031EB1">
        <w:t>Ashgate</w:t>
      </w:r>
      <w:r>
        <w:t xml:space="preserve"> Publishing 2008) </w:t>
      </w:r>
      <w:r w:rsidRPr="00031EB1">
        <w:t>15.</w:t>
      </w:r>
    </w:p>
  </w:footnote>
  <w:footnote w:id="272">
    <w:p w:rsidR="00426C69" w:rsidRDefault="00426C69" w:rsidP="0055131C">
      <w:pPr>
        <w:pStyle w:val="FootnoteText"/>
      </w:pPr>
      <w:r>
        <w:rPr>
          <w:rStyle w:val="FootnoteReference"/>
        </w:rPr>
        <w:footnoteRef/>
      </w:r>
      <w:r>
        <w:t xml:space="preserve"> ibid.</w:t>
      </w:r>
    </w:p>
  </w:footnote>
  <w:footnote w:id="273">
    <w:p w:rsidR="00426C69" w:rsidRPr="008D5CF2" w:rsidRDefault="00426C69" w:rsidP="001F14FC">
      <w:pPr>
        <w:pStyle w:val="FootnoteText"/>
        <w:rPr>
          <w:lang w:val="en-US"/>
        </w:rPr>
      </w:pPr>
      <w:r>
        <w:rPr>
          <w:rStyle w:val="FootnoteReference"/>
        </w:rPr>
        <w:footnoteRef/>
      </w:r>
      <w:r>
        <w:t xml:space="preserve"> </w:t>
      </w:r>
      <w:r>
        <w:rPr>
          <w:lang w:val="en-US"/>
        </w:rPr>
        <w:t>Kabba (n228) 429.</w:t>
      </w:r>
    </w:p>
  </w:footnote>
  <w:footnote w:id="274">
    <w:p w:rsidR="00426C69" w:rsidRDefault="00426C69">
      <w:pPr>
        <w:pStyle w:val="FootnoteText"/>
      </w:pPr>
      <w:r>
        <w:rPr>
          <w:rStyle w:val="FootnoteReference"/>
        </w:rPr>
        <w:footnoteRef/>
      </w:r>
      <w:r>
        <w:t xml:space="preserve"> Xanthaki (n13) 104.</w:t>
      </w:r>
    </w:p>
  </w:footnote>
  <w:footnote w:id="275">
    <w:p w:rsidR="00426C69" w:rsidRDefault="00426C69" w:rsidP="007C0CB7">
      <w:pPr>
        <w:pStyle w:val="FootnoteText"/>
      </w:pPr>
      <w:r>
        <w:rPr>
          <w:rStyle w:val="FootnoteReference"/>
        </w:rPr>
        <w:footnoteRef/>
      </w:r>
      <w:r>
        <w:t xml:space="preserve"> Daniel Greenberg, ‘The Techniques of Gender Neutral </w:t>
      </w:r>
      <w:r w:rsidRPr="007C0CB7">
        <w:t xml:space="preserve">Drafting’ in Constantin Stefanou and Helen Xanthaki (eds), </w:t>
      </w:r>
      <w:r w:rsidRPr="007C0CB7">
        <w:rPr>
          <w:i/>
        </w:rPr>
        <w:t xml:space="preserve">Drafting Legislation: A Modern Approach </w:t>
      </w:r>
      <w:r>
        <w:t>(Ashgate Publishing 2008) 67-72.</w:t>
      </w:r>
    </w:p>
  </w:footnote>
  <w:footnote w:id="276">
    <w:p w:rsidR="00426C69" w:rsidRDefault="00426C69">
      <w:pPr>
        <w:pStyle w:val="FootnoteText"/>
      </w:pPr>
      <w:r>
        <w:rPr>
          <w:rStyle w:val="FootnoteReference"/>
        </w:rPr>
        <w:footnoteRef/>
      </w:r>
      <w:r>
        <w:t xml:space="preserve"> Xanthaki (n13) 105.</w:t>
      </w:r>
    </w:p>
  </w:footnote>
  <w:footnote w:id="277">
    <w:p w:rsidR="00426C69" w:rsidRPr="003059D7" w:rsidRDefault="00426C69" w:rsidP="00EF748F">
      <w:pPr>
        <w:pStyle w:val="FootnoteText"/>
        <w:rPr>
          <w:lang w:val="en-US"/>
        </w:rPr>
      </w:pPr>
      <w:r>
        <w:rPr>
          <w:rStyle w:val="FootnoteReference"/>
        </w:rPr>
        <w:footnoteRef/>
      </w:r>
      <w:r>
        <w:t xml:space="preserve"> </w:t>
      </w:r>
      <w:r>
        <w:rPr>
          <w:lang w:val="en-US"/>
        </w:rPr>
        <w:t>NZLC (n260) para 188.</w:t>
      </w:r>
    </w:p>
  </w:footnote>
  <w:footnote w:id="278">
    <w:p w:rsidR="00426C69" w:rsidRDefault="00426C69">
      <w:pPr>
        <w:pStyle w:val="FootnoteText"/>
      </w:pPr>
      <w:r>
        <w:rPr>
          <w:rStyle w:val="FootnoteReference"/>
        </w:rPr>
        <w:footnoteRef/>
      </w:r>
      <w:r>
        <w:t xml:space="preserve"> ibid para 189.</w:t>
      </w:r>
    </w:p>
  </w:footnote>
  <w:footnote w:id="279">
    <w:p w:rsidR="00426C69" w:rsidRDefault="00426C69">
      <w:pPr>
        <w:pStyle w:val="FootnoteText"/>
      </w:pPr>
      <w:r>
        <w:rPr>
          <w:rStyle w:val="FootnoteReference"/>
        </w:rPr>
        <w:footnoteRef/>
      </w:r>
      <w:r>
        <w:t xml:space="preserve"> McLeod (n11) 77.</w:t>
      </w:r>
    </w:p>
  </w:footnote>
  <w:footnote w:id="280">
    <w:p w:rsidR="00426C69" w:rsidRDefault="00426C69">
      <w:pPr>
        <w:pStyle w:val="FootnoteText"/>
      </w:pPr>
      <w:r>
        <w:rPr>
          <w:rStyle w:val="FootnoteReference"/>
        </w:rPr>
        <w:footnoteRef/>
      </w:r>
      <w:r>
        <w:t xml:space="preserve"> Xanthaki (n13) 106.</w:t>
      </w:r>
    </w:p>
  </w:footnote>
  <w:footnote w:id="281">
    <w:p w:rsidR="00426C69" w:rsidRDefault="00426C69">
      <w:pPr>
        <w:pStyle w:val="FootnoteText"/>
      </w:pPr>
      <w:r>
        <w:rPr>
          <w:rStyle w:val="FootnoteReference"/>
        </w:rPr>
        <w:footnoteRef/>
      </w:r>
      <w:r>
        <w:t xml:space="preserve"> Office of Parliamentary Counsel, ‘Drafting Guidance’ (20 March 2014) para 2.3.23.</w:t>
      </w:r>
      <w:r w:rsidRPr="003448C2">
        <w:t xml:space="preserve"> </w:t>
      </w:r>
      <w:r>
        <w:t>&lt;</w:t>
      </w:r>
      <w:r w:rsidRPr="003448C2">
        <w:t>https://www.gov.uk/government/uploads/system/uploads/attachment_data/file/293866/guidancebook-20_March.pdf</w:t>
      </w:r>
      <w:r>
        <w:t>&gt; accessed 17 August 2015</w:t>
      </w:r>
    </w:p>
  </w:footnote>
  <w:footnote w:id="282">
    <w:p w:rsidR="00426C69" w:rsidRDefault="00426C69">
      <w:pPr>
        <w:pStyle w:val="FootnoteText"/>
      </w:pPr>
      <w:r>
        <w:rPr>
          <w:rStyle w:val="FootnoteReference"/>
        </w:rPr>
        <w:footnoteRef/>
      </w:r>
      <w:r>
        <w:t xml:space="preserve"> NZLC (n260) para 187.</w:t>
      </w:r>
    </w:p>
  </w:footnote>
  <w:footnote w:id="283">
    <w:p w:rsidR="00426C69" w:rsidRDefault="00426C69">
      <w:pPr>
        <w:pStyle w:val="FootnoteText"/>
      </w:pPr>
      <w:r>
        <w:rPr>
          <w:rStyle w:val="FootnoteReference"/>
        </w:rPr>
        <w:footnoteRef/>
      </w:r>
      <w:r>
        <w:t xml:space="preserve"> Greenberg (n275) 68.</w:t>
      </w:r>
    </w:p>
  </w:footnote>
  <w:footnote w:id="284">
    <w:p w:rsidR="00426C69" w:rsidRDefault="00426C69">
      <w:pPr>
        <w:pStyle w:val="FootnoteText"/>
      </w:pPr>
      <w:r>
        <w:rPr>
          <w:rStyle w:val="FootnoteReference"/>
        </w:rPr>
        <w:footnoteRef/>
      </w:r>
      <w:r>
        <w:t xml:space="preserve"> Greenberg (n212) para 8.2.8.1.</w:t>
      </w:r>
    </w:p>
  </w:footnote>
  <w:footnote w:id="285">
    <w:p w:rsidR="00426C69" w:rsidRDefault="00426C69">
      <w:pPr>
        <w:pStyle w:val="FootnoteText"/>
      </w:pPr>
      <w:r>
        <w:rPr>
          <w:rStyle w:val="FootnoteReference"/>
        </w:rPr>
        <w:footnoteRef/>
      </w:r>
      <w:r>
        <w:t xml:space="preserve"> Greenberg (n275) 68.</w:t>
      </w:r>
    </w:p>
  </w:footnote>
  <w:footnote w:id="286">
    <w:p w:rsidR="00426C69" w:rsidRDefault="00426C69" w:rsidP="00DC354D">
      <w:pPr>
        <w:pStyle w:val="FootnoteText"/>
      </w:pPr>
      <w:r>
        <w:rPr>
          <w:rStyle w:val="FootnoteReference"/>
        </w:rPr>
        <w:footnoteRef/>
      </w:r>
      <w:r>
        <w:t xml:space="preserve"> Kabba (n228) 433.</w:t>
      </w:r>
    </w:p>
  </w:footnote>
  <w:footnote w:id="287">
    <w:p w:rsidR="00426C69" w:rsidRDefault="00426C69" w:rsidP="004D3A28">
      <w:pPr>
        <w:pStyle w:val="FootnoteText"/>
      </w:pPr>
      <w:r>
        <w:rPr>
          <w:rStyle w:val="FootnoteReference"/>
        </w:rPr>
        <w:footnoteRef/>
      </w:r>
      <w:r>
        <w:t xml:space="preserve"> Zione Ntaba, ‘Pre-Legislative Scrutiny’ in Constantin Stefanou and Helen Xanthaki (eds) </w:t>
      </w:r>
      <w:r w:rsidRPr="00F6132C">
        <w:rPr>
          <w:i/>
        </w:rPr>
        <w:t>Drafting Legislation: A Modern Approach</w:t>
      </w:r>
      <w:r>
        <w:t xml:space="preserve"> (Ashgate Publishing 2008) 120.</w:t>
      </w:r>
    </w:p>
  </w:footnote>
  <w:footnote w:id="288">
    <w:p w:rsidR="00426C69" w:rsidRPr="00F121DF" w:rsidRDefault="00426C69">
      <w:pPr>
        <w:pStyle w:val="FootnoteText"/>
        <w:rPr>
          <w:lang w:val="en-US"/>
        </w:rPr>
      </w:pPr>
      <w:r>
        <w:rPr>
          <w:rStyle w:val="FootnoteReference"/>
        </w:rPr>
        <w:footnoteRef/>
      </w:r>
      <w:r>
        <w:t xml:space="preserve"> </w:t>
      </w:r>
      <w:r>
        <w:rPr>
          <w:lang w:val="en-US"/>
        </w:rPr>
        <w:t>Asprey (171)293.</w:t>
      </w:r>
    </w:p>
  </w:footnote>
  <w:footnote w:id="289">
    <w:p w:rsidR="00426C69" w:rsidRDefault="00426C69">
      <w:pPr>
        <w:pStyle w:val="FootnoteText"/>
      </w:pPr>
      <w:r>
        <w:rPr>
          <w:rStyle w:val="FootnoteReference"/>
        </w:rPr>
        <w:footnoteRef/>
      </w:r>
      <w:r>
        <w:t xml:space="preserve"> Ntaba (n287) 122.</w:t>
      </w:r>
    </w:p>
  </w:footnote>
  <w:footnote w:id="290">
    <w:p w:rsidR="00426C69" w:rsidRDefault="00426C69" w:rsidP="00F24575">
      <w:pPr>
        <w:pStyle w:val="FootnoteText"/>
      </w:pPr>
      <w:r>
        <w:rPr>
          <w:rStyle w:val="FootnoteReference"/>
        </w:rPr>
        <w:footnoteRef/>
      </w:r>
      <w:r>
        <w:t xml:space="preserve"> ibid.</w:t>
      </w:r>
    </w:p>
  </w:footnote>
  <w:footnote w:id="291">
    <w:p w:rsidR="00426C69" w:rsidRDefault="00426C69">
      <w:pPr>
        <w:pStyle w:val="FootnoteText"/>
      </w:pPr>
      <w:r>
        <w:rPr>
          <w:rStyle w:val="FootnoteReference"/>
        </w:rPr>
        <w:footnoteRef/>
      </w:r>
      <w:r>
        <w:t xml:space="preserve"> Mico (n88) 199.</w:t>
      </w:r>
    </w:p>
  </w:footnote>
  <w:footnote w:id="292">
    <w:p w:rsidR="00426C69" w:rsidRPr="002F190B" w:rsidRDefault="00426C69" w:rsidP="005B3340">
      <w:pPr>
        <w:pStyle w:val="FootnoteText"/>
        <w:rPr>
          <w:lang w:val="en-US"/>
        </w:rPr>
      </w:pPr>
      <w:r>
        <w:rPr>
          <w:rStyle w:val="FootnoteReference"/>
        </w:rPr>
        <w:footnoteRef/>
      </w:r>
      <w:r>
        <w:t xml:space="preserve"> </w:t>
      </w:r>
      <w:r>
        <w:rPr>
          <w:lang w:val="en-US"/>
        </w:rPr>
        <w:t>Xanthaki (n67) 200.</w:t>
      </w:r>
    </w:p>
  </w:footnote>
  <w:footnote w:id="293">
    <w:p w:rsidR="00426C69" w:rsidRPr="006633C8" w:rsidRDefault="00426C69" w:rsidP="005B3340">
      <w:pPr>
        <w:pStyle w:val="FootnoteText"/>
        <w:rPr>
          <w:lang w:val="en-US"/>
        </w:rPr>
      </w:pPr>
      <w:r>
        <w:rPr>
          <w:rStyle w:val="FootnoteReference"/>
        </w:rPr>
        <w:footnoteRef/>
      </w:r>
      <w:r>
        <w:t xml:space="preserve"> </w:t>
      </w:r>
      <w:r>
        <w:rPr>
          <w:lang w:val="en-US"/>
        </w:rPr>
        <w:t>ibid.</w:t>
      </w:r>
    </w:p>
  </w:footnote>
  <w:footnote w:id="294">
    <w:p w:rsidR="00426C69" w:rsidRPr="00017E47" w:rsidRDefault="00426C69" w:rsidP="006108F0">
      <w:pPr>
        <w:pStyle w:val="FootnoteText"/>
        <w:rPr>
          <w:lang w:val="en-US"/>
        </w:rPr>
      </w:pPr>
      <w:r>
        <w:rPr>
          <w:rStyle w:val="FootnoteReference"/>
        </w:rPr>
        <w:footnoteRef/>
      </w:r>
      <w:r>
        <w:t xml:space="preserve"> </w:t>
      </w:r>
      <w:r>
        <w:rPr>
          <w:lang w:val="en-US"/>
        </w:rPr>
        <w:t>Kobba (n124) 241.</w:t>
      </w:r>
    </w:p>
  </w:footnote>
  <w:footnote w:id="295">
    <w:p w:rsidR="00426C69" w:rsidRPr="004E1794" w:rsidRDefault="00426C69" w:rsidP="007B1BDC">
      <w:pPr>
        <w:pStyle w:val="FootnoteText"/>
        <w:rPr>
          <w:lang w:val="en-US"/>
        </w:rPr>
      </w:pPr>
      <w:r>
        <w:rPr>
          <w:rStyle w:val="FootnoteReference"/>
        </w:rPr>
        <w:footnoteRef/>
      </w:r>
      <w:r>
        <w:t xml:space="preserve"> </w:t>
      </w:r>
      <w:r>
        <w:rPr>
          <w:lang w:val="en-US"/>
        </w:rPr>
        <w:t>Mico (n88) 199.</w:t>
      </w:r>
    </w:p>
  </w:footnote>
  <w:footnote w:id="296">
    <w:p w:rsidR="00426C69" w:rsidRPr="00E86A81" w:rsidRDefault="00426C69">
      <w:pPr>
        <w:pStyle w:val="FootnoteText"/>
        <w:rPr>
          <w:lang w:val="en-US"/>
        </w:rPr>
      </w:pPr>
      <w:r>
        <w:rPr>
          <w:rStyle w:val="FootnoteReference"/>
        </w:rPr>
        <w:footnoteRef/>
      </w:r>
      <w:r>
        <w:t xml:space="preserve"> </w:t>
      </w:r>
      <w:r>
        <w:rPr>
          <w:lang w:val="en-US"/>
        </w:rPr>
        <w:t>Asprey (n171) 289.</w:t>
      </w:r>
    </w:p>
  </w:footnote>
  <w:footnote w:id="297">
    <w:p w:rsidR="00426C69" w:rsidRPr="00E86A81" w:rsidRDefault="00426C69">
      <w:pPr>
        <w:pStyle w:val="FootnoteText"/>
        <w:rPr>
          <w:lang w:val="en-US"/>
        </w:rPr>
      </w:pPr>
      <w:r>
        <w:rPr>
          <w:rStyle w:val="FootnoteReference"/>
        </w:rPr>
        <w:footnoteRef/>
      </w:r>
      <w:r>
        <w:t xml:space="preserve"> </w:t>
      </w:r>
      <w:r>
        <w:rPr>
          <w:lang w:val="en-US"/>
        </w:rPr>
        <w:t>Robinson (n265) 6-7.</w:t>
      </w:r>
    </w:p>
  </w:footnote>
  <w:footnote w:id="298">
    <w:p w:rsidR="00426C69" w:rsidRPr="00CA7836" w:rsidRDefault="00426C69">
      <w:pPr>
        <w:pStyle w:val="FootnoteText"/>
        <w:rPr>
          <w:lang w:val="en-US"/>
        </w:rPr>
      </w:pPr>
      <w:r>
        <w:rPr>
          <w:rStyle w:val="FootnoteReference"/>
        </w:rPr>
        <w:footnoteRef/>
      </w:r>
      <w:r>
        <w:t xml:space="preserve"> </w:t>
      </w:r>
      <w:r>
        <w:rPr>
          <w:lang w:val="en-US"/>
        </w:rPr>
        <w:t>Peter E Johnson, ‘Legislative Drafting Practices and Other Factors Affecting the Clarity of Canada’s Laws’ [1991] 12 SLR 2-3.</w:t>
      </w:r>
    </w:p>
  </w:footnote>
  <w:footnote w:id="299">
    <w:p w:rsidR="00426C69" w:rsidRPr="00026C3F" w:rsidRDefault="00426C69" w:rsidP="005536A8">
      <w:pPr>
        <w:pStyle w:val="FootnoteText"/>
        <w:rPr>
          <w:lang w:val="en-US"/>
        </w:rPr>
      </w:pPr>
      <w:r>
        <w:rPr>
          <w:rStyle w:val="FootnoteReference"/>
        </w:rPr>
        <w:footnoteRef/>
      </w:r>
      <w:r>
        <w:t xml:space="preserve"> </w:t>
      </w:r>
      <w:r>
        <w:rPr>
          <w:lang w:val="en-US"/>
        </w:rPr>
        <w:t>Vanterpool (n90) 196.</w:t>
      </w:r>
    </w:p>
  </w:footnote>
  <w:footnote w:id="300">
    <w:p w:rsidR="00426C69" w:rsidRDefault="00426C69" w:rsidP="003310D5">
      <w:pPr>
        <w:pStyle w:val="FootnoteText"/>
      </w:pPr>
      <w:r>
        <w:rPr>
          <w:rStyle w:val="FootnoteReference"/>
        </w:rPr>
        <w:footnoteRef/>
      </w:r>
      <w:r>
        <w:t xml:space="preserve"> Ntaba (n287) 120.</w:t>
      </w:r>
    </w:p>
  </w:footnote>
  <w:footnote w:id="301">
    <w:p w:rsidR="00426C69" w:rsidRPr="00026C3F" w:rsidRDefault="00426C69">
      <w:pPr>
        <w:pStyle w:val="FootnoteText"/>
        <w:rPr>
          <w:lang w:val="en-US"/>
        </w:rPr>
      </w:pPr>
      <w:r>
        <w:rPr>
          <w:rStyle w:val="FootnoteReference"/>
        </w:rPr>
        <w:footnoteRef/>
      </w:r>
      <w:r>
        <w:t xml:space="preserve"> </w:t>
      </w:r>
      <w:r>
        <w:rPr>
          <w:lang w:val="en-US"/>
        </w:rPr>
        <w:t>Vanterpool (n90) 196.</w:t>
      </w:r>
    </w:p>
  </w:footnote>
  <w:footnote w:id="302">
    <w:p w:rsidR="00426C69" w:rsidRPr="00017E47" w:rsidRDefault="00426C69" w:rsidP="00A9564F">
      <w:pPr>
        <w:pStyle w:val="FootnoteText"/>
        <w:rPr>
          <w:lang w:val="en-US"/>
        </w:rPr>
      </w:pPr>
      <w:r>
        <w:rPr>
          <w:rStyle w:val="FootnoteReference"/>
        </w:rPr>
        <w:footnoteRef/>
      </w:r>
      <w:r>
        <w:t xml:space="preserve"> </w:t>
      </w:r>
      <w:r>
        <w:rPr>
          <w:lang w:val="en-US"/>
        </w:rPr>
        <w:t>Mico (n88) 198.</w:t>
      </w:r>
    </w:p>
  </w:footnote>
  <w:footnote w:id="303">
    <w:p w:rsidR="00426C69" w:rsidRPr="003D6A47" w:rsidRDefault="00426C69">
      <w:pPr>
        <w:pStyle w:val="FootnoteText"/>
        <w:rPr>
          <w:lang w:val="en-US"/>
        </w:rPr>
      </w:pPr>
      <w:r>
        <w:rPr>
          <w:rStyle w:val="FootnoteReference"/>
        </w:rPr>
        <w:footnoteRef/>
      </w:r>
      <w:r>
        <w:t xml:space="preserve"> </w:t>
      </w:r>
      <w:r>
        <w:rPr>
          <w:lang w:val="en-US"/>
        </w:rPr>
        <w:t>Helen Xanthaki, ‘Legislative Techniques in Rwanda: Present and Future’ [2013] 15 Eur LJ 95, 109.</w:t>
      </w:r>
    </w:p>
  </w:footnote>
  <w:footnote w:id="304">
    <w:p w:rsidR="00426C69" w:rsidRPr="00696D7F" w:rsidRDefault="00426C69">
      <w:pPr>
        <w:pStyle w:val="FootnoteText"/>
        <w:rPr>
          <w:lang w:val="en-US"/>
        </w:rPr>
      </w:pPr>
      <w:r>
        <w:rPr>
          <w:rStyle w:val="FootnoteReference"/>
        </w:rPr>
        <w:footnoteRef/>
      </w:r>
      <w:r>
        <w:rPr>
          <w:lang w:val="en-US"/>
        </w:rPr>
        <w:t>Tanner (n49) para 30.</w:t>
      </w:r>
    </w:p>
  </w:footnote>
  <w:footnote w:id="305">
    <w:p w:rsidR="00426C69" w:rsidRPr="00F121DF" w:rsidRDefault="00426C69" w:rsidP="00F121DF">
      <w:pPr>
        <w:pStyle w:val="FootnoteText"/>
        <w:rPr>
          <w:lang w:val="en-US"/>
        </w:rPr>
      </w:pPr>
      <w:r>
        <w:rPr>
          <w:rStyle w:val="FootnoteReference"/>
        </w:rPr>
        <w:footnoteRef/>
      </w:r>
      <w:r>
        <w:t xml:space="preserve"> </w:t>
      </w:r>
      <w:r>
        <w:rPr>
          <w:lang w:val="en-US"/>
        </w:rPr>
        <w:t>Asprey (171) 295.</w:t>
      </w:r>
    </w:p>
  </w:footnote>
  <w:footnote w:id="306">
    <w:p w:rsidR="00426C69" w:rsidRDefault="00426C69">
      <w:pPr>
        <w:pStyle w:val="FootnoteText"/>
      </w:pPr>
      <w:r>
        <w:rPr>
          <w:rStyle w:val="FootnoteReference"/>
        </w:rPr>
        <w:footnoteRef/>
      </w:r>
      <w:r>
        <w:t xml:space="preserve"> Ntaba (n287) 128.</w:t>
      </w:r>
    </w:p>
  </w:footnote>
  <w:footnote w:id="307">
    <w:p w:rsidR="00426C69" w:rsidRDefault="00426C69">
      <w:pPr>
        <w:pStyle w:val="FootnoteText"/>
      </w:pPr>
      <w:r>
        <w:rPr>
          <w:rStyle w:val="FootnoteReference"/>
        </w:rPr>
        <w:footnoteRef/>
      </w:r>
      <w:r>
        <w:t xml:space="preserve"> Bingham (n15) 37.</w:t>
      </w:r>
    </w:p>
  </w:footnote>
  <w:footnote w:id="308">
    <w:p w:rsidR="00426C69" w:rsidRPr="00713F43" w:rsidRDefault="00426C69">
      <w:pPr>
        <w:pStyle w:val="FootnoteText"/>
        <w:rPr>
          <w:lang w:val="en-US"/>
        </w:rPr>
      </w:pPr>
      <w:r>
        <w:rPr>
          <w:rStyle w:val="FootnoteReference"/>
        </w:rPr>
        <w:footnoteRef/>
      </w:r>
      <w:r>
        <w:t xml:space="preserve"> </w:t>
      </w:r>
      <w:r>
        <w:rPr>
          <w:lang w:val="en-US"/>
        </w:rPr>
        <w:t>Laws (n65) 24.</w:t>
      </w:r>
    </w:p>
  </w:footnote>
  <w:footnote w:id="309">
    <w:p w:rsidR="00426C69" w:rsidRPr="00DA10CA" w:rsidRDefault="00426C69" w:rsidP="007B52C1">
      <w:pPr>
        <w:pStyle w:val="FootnoteText"/>
        <w:rPr>
          <w:lang w:val="en-US"/>
        </w:rPr>
      </w:pPr>
      <w:r>
        <w:rPr>
          <w:rStyle w:val="FootnoteReference"/>
        </w:rPr>
        <w:footnoteRef/>
      </w:r>
      <w:r>
        <w:t xml:space="preserve"> </w:t>
      </w:r>
      <w:r>
        <w:rPr>
          <w:lang w:val="en-US"/>
        </w:rPr>
        <w:t>Estelle Appiah, ‘Training and Development of Legislative Counsel in Commonwealth Africa-The Way Forward’ (2011) The Loophole 80, 81.</w:t>
      </w:r>
      <w:r w:rsidRPr="009B489A">
        <w:t xml:space="preserve"> </w:t>
      </w:r>
      <w:r>
        <w:t>&lt;</w:t>
      </w:r>
      <w:r w:rsidRPr="009B489A">
        <w:rPr>
          <w:lang w:val="en-US"/>
        </w:rPr>
        <w:t>https://www.opc.gov.au/calc/docs/Loophole_papers/Appiah_Nov2011.pdf</w:t>
      </w:r>
      <w:r>
        <w:rPr>
          <w:lang w:val="en-US"/>
        </w:rPr>
        <w:t>&gt; 20 August 2015</w:t>
      </w:r>
    </w:p>
  </w:footnote>
  <w:footnote w:id="310">
    <w:p w:rsidR="00426C69" w:rsidRPr="00F571DA" w:rsidRDefault="00426C69" w:rsidP="007A3859">
      <w:pPr>
        <w:pStyle w:val="FootnoteText"/>
        <w:rPr>
          <w:lang w:val="en-US"/>
        </w:rPr>
      </w:pPr>
      <w:r>
        <w:rPr>
          <w:rStyle w:val="FootnoteReference"/>
        </w:rPr>
        <w:footnoteRef/>
      </w:r>
      <w:r>
        <w:t xml:space="preserve"> </w:t>
      </w:r>
      <w:r>
        <w:rPr>
          <w:lang w:val="en-US"/>
        </w:rPr>
        <w:t>V.C.R.A.C Crabbe, ‘</w:t>
      </w:r>
      <w:r>
        <w:t>The Ethics of Legislative Drafting’ [2010] 36 Comm L Bull 11, 13</w:t>
      </w:r>
      <w:r>
        <w:rPr>
          <w:lang w:val="en-US"/>
        </w:rPr>
        <w:t>.</w:t>
      </w:r>
    </w:p>
  </w:footnote>
  <w:footnote w:id="311">
    <w:p w:rsidR="00426C69" w:rsidRDefault="00426C69">
      <w:pPr>
        <w:pStyle w:val="FootnoteText"/>
      </w:pPr>
      <w:r>
        <w:rPr>
          <w:rStyle w:val="FootnoteReference"/>
        </w:rPr>
        <w:footnoteRef/>
      </w:r>
      <w:r>
        <w:t xml:space="preserve"> The Renton Committee (n19) para 6.3.</w:t>
      </w:r>
    </w:p>
  </w:footnote>
  <w:footnote w:id="312">
    <w:p w:rsidR="00426C69" w:rsidRPr="00291384" w:rsidRDefault="00426C69">
      <w:pPr>
        <w:pStyle w:val="FootnoteText"/>
        <w:rPr>
          <w:lang w:val="en-US"/>
        </w:rPr>
      </w:pPr>
      <w:r>
        <w:rPr>
          <w:rStyle w:val="FootnoteReference"/>
        </w:rPr>
        <w:footnoteRef/>
      </w:r>
      <w:r>
        <w:t xml:space="preserve"> </w:t>
      </w:r>
      <w:r>
        <w:rPr>
          <w:lang w:val="en-US"/>
        </w:rPr>
        <w:t>Xanthaki (n13) 357.</w:t>
      </w:r>
    </w:p>
  </w:footnote>
  <w:footnote w:id="313">
    <w:p w:rsidR="00426C69" w:rsidRDefault="00426C69" w:rsidP="00D65320">
      <w:pPr>
        <w:pStyle w:val="FootnoteText"/>
      </w:pPr>
      <w:r>
        <w:rPr>
          <w:rStyle w:val="FootnoteReference"/>
        </w:rPr>
        <w:footnoteRef/>
      </w:r>
      <w:r>
        <w:t xml:space="preserve"> ibid.</w:t>
      </w:r>
    </w:p>
  </w:footnote>
  <w:footnote w:id="314">
    <w:p w:rsidR="00426C69" w:rsidRDefault="00426C69" w:rsidP="00880F36">
      <w:pPr>
        <w:pStyle w:val="FootnoteText"/>
      </w:pPr>
      <w:r>
        <w:rPr>
          <w:rStyle w:val="FootnoteReference"/>
        </w:rPr>
        <w:footnoteRef/>
      </w:r>
      <w:r>
        <w:t xml:space="preserve"> The Renton Committee (n19) para 7.17.</w:t>
      </w:r>
    </w:p>
  </w:footnote>
  <w:footnote w:id="315">
    <w:p w:rsidR="00426C69" w:rsidRPr="00AF45D3" w:rsidRDefault="00426C69" w:rsidP="007A3859">
      <w:pPr>
        <w:pStyle w:val="FootnoteText"/>
      </w:pPr>
      <w:r>
        <w:rPr>
          <w:rStyle w:val="FootnoteReference"/>
        </w:rPr>
        <w:footnoteRef/>
      </w:r>
      <w:r>
        <w:t xml:space="preserve"> Crabbe (n310) 13.</w:t>
      </w:r>
    </w:p>
  </w:footnote>
  <w:footnote w:id="316">
    <w:p w:rsidR="00426C69" w:rsidRPr="004579C0" w:rsidRDefault="00426C69">
      <w:pPr>
        <w:pStyle w:val="FootnoteText"/>
        <w:rPr>
          <w:lang w:val="en-US"/>
        </w:rPr>
      </w:pPr>
      <w:r>
        <w:rPr>
          <w:rStyle w:val="FootnoteReference"/>
        </w:rPr>
        <w:footnoteRef/>
      </w:r>
      <w:r>
        <w:t xml:space="preserve"> </w:t>
      </w:r>
      <w:r>
        <w:rPr>
          <w:lang w:val="en-US"/>
        </w:rPr>
        <w:t>Pius Perry Biribonwoha, ‘Efficiency of the Legislative Process in Uganda’ [2005] 7 Eur JL Reform 135, 151.</w:t>
      </w:r>
    </w:p>
  </w:footnote>
  <w:footnote w:id="317">
    <w:p w:rsidR="00426C69" w:rsidRDefault="00426C69">
      <w:pPr>
        <w:pStyle w:val="FootnoteText"/>
      </w:pPr>
      <w:r>
        <w:rPr>
          <w:rStyle w:val="FootnoteReference"/>
        </w:rPr>
        <w:footnoteRef/>
      </w:r>
      <w:r>
        <w:t xml:space="preserve"> </w:t>
      </w:r>
      <w:r>
        <w:rPr>
          <w:lang w:val="en-US"/>
        </w:rPr>
        <w:t>Sandra C Markman, ‘Legislative Drafting: Art, Science or Discipline?’ (2011) The Loophole 11.</w:t>
      </w:r>
      <w:r w:rsidRPr="00FA663F">
        <w:t xml:space="preserve"> </w:t>
      </w:r>
    </w:p>
    <w:p w:rsidR="00426C69" w:rsidRPr="00D073B4" w:rsidRDefault="00426C69">
      <w:pPr>
        <w:pStyle w:val="FootnoteText"/>
        <w:rPr>
          <w:lang w:val="en-US"/>
        </w:rPr>
      </w:pPr>
      <w:r>
        <w:t>&lt;</w:t>
      </w:r>
      <w:r w:rsidRPr="00FA663F">
        <w:rPr>
          <w:lang w:val="en-US"/>
        </w:rPr>
        <w:t>http://www.opc.gov.au/calc/docs/Loophole_papers/Markman_Nov2011.pdf</w:t>
      </w:r>
      <w:r>
        <w:rPr>
          <w:lang w:val="en-US"/>
        </w:rPr>
        <w:t>&gt; accessed 9 August 2015</w:t>
      </w:r>
    </w:p>
  </w:footnote>
  <w:footnote w:id="318">
    <w:p w:rsidR="00426C69" w:rsidRDefault="00426C69" w:rsidP="007A3859">
      <w:pPr>
        <w:pStyle w:val="FootnoteText"/>
      </w:pPr>
      <w:r>
        <w:rPr>
          <w:rStyle w:val="FootnoteReference"/>
        </w:rPr>
        <w:footnoteRef/>
      </w:r>
      <w:r>
        <w:t xml:space="preserve"> Xanthaki (n13) 359.</w:t>
      </w:r>
    </w:p>
  </w:footnote>
  <w:footnote w:id="319">
    <w:p w:rsidR="00426C69" w:rsidRDefault="00426C69" w:rsidP="005E336F">
      <w:pPr>
        <w:pStyle w:val="FootnoteText"/>
      </w:pPr>
      <w:r>
        <w:rPr>
          <w:rStyle w:val="FootnoteReference"/>
        </w:rPr>
        <w:footnoteRef/>
      </w:r>
      <w:r>
        <w:t xml:space="preserve"> ibid 10.</w:t>
      </w:r>
    </w:p>
  </w:footnote>
  <w:footnote w:id="320">
    <w:p w:rsidR="00426C69" w:rsidRDefault="00426C69" w:rsidP="005E336F">
      <w:pPr>
        <w:pStyle w:val="FootnoteText"/>
      </w:pPr>
      <w:r>
        <w:rPr>
          <w:rStyle w:val="FootnoteReference"/>
        </w:rPr>
        <w:footnoteRef/>
      </w:r>
      <w:r>
        <w:t xml:space="preserve"> ibid 7.</w:t>
      </w:r>
    </w:p>
  </w:footnote>
  <w:footnote w:id="321">
    <w:p w:rsidR="00426C69" w:rsidRPr="005A7A1B" w:rsidRDefault="00426C69">
      <w:pPr>
        <w:pStyle w:val="FootnoteText"/>
        <w:rPr>
          <w:lang w:val="en-US"/>
        </w:rPr>
      </w:pPr>
      <w:r>
        <w:rPr>
          <w:rStyle w:val="FootnoteReference"/>
        </w:rPr>
        <w:footnoteRef/>
      </w:r>
      <w:r>
        <w:t xml:space="preserve"> </w:t>
      </w:r>
      <w:r>
        <w:rPr>
          <w:lang w:val="en-US"/>
        </w:rPr>
        <w:t>Appiah (n309) 80-81.</w:t>
      </w:r>
    </w:p>
  </w:footnote>
  <w:footnote w:id="322">
    <w:p w:rsidR="00426C69" w:rsidRDefault="00426C69" w:rsidP="00F00576">
      <w:pPr>
        <w:pStyle w:val="FootnoteText"/>
      </w:pPr>
      <w:r>
        <w:rPr>
          <w:rStyle w:val="FootnoteReference"/>
        </w:rPr>
        <w:footnoteRef/>
      </w:r>
      <w:r>
        <w:t xml:space="preserve"> Seidman, Seidman and Abeyeskere (n40) 257.</w:t>
      </w:r>
    </w:p>
  </w:footnote>
  <w:footnote w:id="323">
    <w:p w:rsidR="00426C69" w:rsidRPr="007134D0" w:rsidRDefault="00426C69" w:rsidP="00B249E6">
      <w:pPr>
        <w:pStyle w:val="FootnoteText"/>
        <w:rPr>
          <w:lang w:val="en-US"/>
        </w:rPr>
      </w:pPr>
      <w:r>
        <w:rPr>
          <w:rStyle w:val="FootnoteReference"/>
        </w:rPr>
        <w:footnoteRef/>
      </w:r>
      <w:r>
        <w:t xml:space="preserve"> </w:t>
      </w:r>
      <w:r>
        <w:rPr>
          <w:lang w:val="en-US"/>
        </w:rPr>
        <w:t>Greenberg (n80) 271.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70" w:rsidRDefault="00127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69" w:rsidRDefault="00426C69">
    <w:pPr>
      <w:pStyle w:val="Header"/>
    </w:pPr>
    <w:r>
      <w:t xml:space="preserve">                                                                                                             Student No.1540254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70" w:rsidRDefault="00127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4030"/>
    <w:multiLevelType w:val="hybridMultilevel"/>
    <w:tmpl w:val="A022D552"/>
    <w:lvl w:ilvl="0" w:tplc="D6504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62BC7"/>
    <w:multiLevelType w:val="hybridMultilevel"/>
    <w:tmpl w:val="A6302FA2"/>
    <w:lvl w:ilvl="0" w:tplc="D6504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83749"/>
    <w:multiLevelType w:val="hybridMultilevel"/>
    <w:tmpl w:val="A038F822"/>
    <w:lvl w:ilvl="0" w:tplc="CF207B9E">
      <w:start w:val="1"/>
      <w:numFmt w:val="upperLetter"/>
      <w:lvlText w:val="%1."/>
      <w:lvlJc w:val="left"/>
      <w:pPr>
        <w:ind w:left="1095" w:hanging="435"/>
      </w:pPr>
      <w:rPr>
        <w:rFonts w:eastAsiaTheme="minorHAnsi" w:hint="default"/>
        <w:color w:val="auto"/>
        <w:u w:val="non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107A57DD"/>
    <w:multiLevelType w:val="hybridMultilevel"/>
    <w:tmpl w:val="12DAAB44"/>
    <w:lvl w:ilvl="0" w:tplc="41C45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54DB"/>
    <w:multiLevelType w:val="hybridMultilevel"/>
    <w:tmpl w:val="4C6EACAA"/>
    <w:lvl w:ilvl="0" w:tplc="2F32ED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D41FA"/>
    <w:multiLevelType w:val="hybridMultilevel"/>
    <w:tmpl w:val="A0046034"/>
    <w:lvl w:ilvl="0" w:tplc="4576299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DA76EA"/>
    <w:multiLevelType w:val="hybridMultilevel"/>
    <w:tmpl w:val="F34066E4"/>
    <w:lvl w:ilvl="0" w:tplc="429E25C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9A522A"/>
    <w:multiLevelType w:val="hybridMultilevel"/>
    <w:tmpl w:val="D0AAC282"/>
    <w:lvl w:ilvl="0" w:tplc="15443D2A">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42F4B92"/>
    <w:multiLevelType w:val="hybridMultilevel"/>
    <w:tmpl w:val="7902B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70AAF"/>
    <w:multiLevelType w:val="hybridMultilevel"/>
    <w:tmpl w:val="CFFA235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54C37"/>
    <w:multiLevelType w:val="hybridMultilevel"/>
    <w:tmpl w:val="EF52DE98"/>
    <w:lvl w:ilvl="0" w:tplc="F4FE4C6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F214E"/>
    <w:multiLevelType w:val="hybridMultilevel"/>
    <w:tmpl w:val="A6627608"/>
    <w:lvl w:ilvl="0" w:tplc="2AF417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7F3553"/>
    <w:multiLevelType w:val="hybridMultilevel"/>
    <w:tmpl w:val="D346B100"/>
    <w:lvl w:ilvl="0" w:tplc="D6504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A7FCF"/>
    <w:multiLevelType w:val="hybridMultilevel"/>
    <w:tmpl w:val="D3363824"/>
    <w:lvl w:ilvl="0" w:tplc="493AAE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C62AA6"/>
    <w:multiLevelType w:val="hybridMultilevel"/>
    <w:tmpl w:val="A6EE6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A6BD0"/>
    <w:multiLevelType w:val="hybridMultilevel"/>
    <w:tmpl w:val="A9E2C00A"/>
    <w:lvl w:ilvl="0" w:tplc="D6504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61E80"/>
    <w:multiLevelType w:val="hybridMultilevel"/>
    <w:tmpl w:val="A022D552"/>
    <w:lvl w:ilvl="0" w:tplc="D6504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636F2"/>
    <w:multiLevelType w:val="hybridMultilevel"/>
    <w:tmpl w:val="58F4DDA4"/>
    <w:lvl w:ilvl="0" w:tplc="088ADC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16559F"/>
    <w:multiLevelType w:val="hybridMultilevel"/>
    <w:tmpl w:val="685ACCF4"/>
    <w:lvl w:ilvl="0" w:tplc="788CE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F6621"/>
    <w:multiLevelType w:val="hybridMultilevel"/>
    <w:tmpl w:val="9F0E43FA"/>
    <w:lvl w:ilvl="0" w:tplc="DFB0195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E5072AA"/>
    <w:multiLevelType w:val="hybridMultilevel"/>
    <w:tmpl w:val="D81A20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C1B27"/>
    <w:multiLevelType w:val="hybridMultilevel"/>
    <w:tmpl w:val="8E945D0A"/>
    <w:lvl w:ilvl="0" w:tplc="A5D2F1C6">
      <w:start w:val="1"/>
      <w:numFmt w:val="lowerLetter"/>
      <w:lvlText w:val="(%1)"/>
      <w:lvlJc w:val="left"/>
      <w:pPr>
        <w:ind w:left="54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6F67EB"/>
    <w:multiLevelType w:val="hybridMultilevel"/>
    <w:tmpl w:val="7B607860"/>
    <w:lvl w:ilvl="0" w:tplc="5E58D320">
      <w:start w:val="1"/>
      <w:numFmt w:val="upp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9EC5E7B"/>
    <w:multiLevelType w:val="hybridMultilevel"/>
    <w:tmpl w:val="D03E7628"/>
    <w:lvl w:ilvl="0" w:tplc="81BC755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B55F0"/>
    <w:multiLevelType w:val="hybridMultilevel"/>
    <w:tmpl w:val="E57C4D02"/>
    <w:lvl w:ilvl="0" w:tplc="B6985410">
      <w:start w:val="1"/>
      <w:numFmt w:val="upperRoman"/>
      <w:lvlText w:val="%1."/>
      <w:lvlJc w:val="left"/>
      <w:pPr>
        <w:ind w:left="1380" w:hanging="720"/>
      </w:pPr>
      <w:rPr>
        <w:rFonts w:eastAsiaTheme="minorHAnsi" w:hint="default"/>
        <w:b w:val="0"/>
        <w:color w:val="auto"/>
        <w:u w:val="none"/>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5" w15:restartNumberingAfterBreak="0">
    <w:nsid w:val="7122634E"/>
    <w:multiLevelType w:val="hybridMultilevel"/>
    <w:tmpl w:val="D8E2F6E6"/>
    <w:lvl w:ilvl="0" w:tplc="76E2195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561CBB"/>
    <w:multiLevelType w:val="hybridMultilevel"/>
    <w:tmpl w:val="374609B4"/>
    <w:lvl w:ilvl="0" w:tplc="BE78A0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9F4526"/>
    <w:multiLevelType w:val="hybridMultilevel"/>
    <w:tmpl w:val="A8D2F8EE"/>
    <w:lvl w:ilvl="0" w:tplc="D6504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B7ADF"/>
    <w:multiLevelType w:val="hybridMultilevel"/>
    <w:tmpl w:val="5096F416"/>
    <w:lvl w:ilvl="0" w:tplc="AB0A2680">
      <w:start w:val="9"/>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1"/>
  </w:num>
  <w:num w:numId="3">
    <w:abstractNumId w:val="8"/>
  </w:num>
  <w:num w:numId="4">
    <w:abstractNumId w:val="4"/>
  </w:num>
  <w:num w:numId="5">
    <w:abstractNumId w:val="3"/>
  </w:num>
  <w:num w:numId="6">
    <w:abstractNumId w:val="9"/>
  </w:num>
  <w:num w:numId="7">
    <w:abstractNumId w:val="25"/>
  </w:num>
  <w:num w:numId="8">
    <w:abstractNumId w:val="26"/>
  </w:num>
  <w:num w:numId="9">
    <w:abstractNumId w:val="17"/>
  </w:num>
  <w:num w:numId="10">
    <w:abstractNumId w:val="28"/>
  </w:num>
  <w:num w:numId="11">
    <w:abstractNumId w:val="5"/>
  </w:num>
  <w:num w:numId="12">
    <w:abstractNumId w:val="13"/>
  </w:num>
  <w:num w:numId="13">
    <w:abstractNumId w:val="18"/>
  </w:num>
  <w:num w:numId="14">
    <w:abstractNumId w:val="11"/>
  </w:num>
  <w:num w:numId="15">
    <w:abstractNumId w:val="22"/>
  </w:num>
  <w:num w:numId="16">
    <w:abstractNumId w:val="7"/>
  </w:num>
  <w:num w:numId="17">
    <w:abstractNumId w:val="6"/>
  </w:num>
  <w:num w:numId="18">
    <w:abstractNumId w:val="19"/>
  </w:num>
  <w:num w:numId="19">
    <w:abstractNumId w:val="16"/>
  </w:num>
  <w:num w:numId="20">
    <w:abstractNumId w:val="15"/>
  </w:num>
  <w:num w:numId="21">
    <w:abstractNumId w:val="27"/>
  </w:num>
  <w:num w:numId="22">
    <w:abstractNumId w:val="12"/>
  </w:num>
  <w:num w:numId="23">
    <w:abstractNumId w:val="23"/>
  </w:num>
  <w:num w:numId="24">
    <w:abstractNumId w:val="10"/>
  </w:num>
  <w:num w:numId="25">
    <w:abstractNumId w:val="14"/>
  </w:num>
  <w:num w:numId="26">
    <w:abstractNumId w:val="1"/>
  </w:num>
  <w:num w:numId="27">
    <w:abstractNumId w:val="2"/>
  </w:num>
  <w:num w:numId="28">
    <w:abstractNumId w:val="0"/>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3B"/>
    <w:rsid w:val="0000005F"/>
    <w:rsid w:val="00000306"/>
    <w:rsid w:val="00001147"/>
    <w:rsid w:val="00001759"/>
    <w:rsid w:val="00001A6F"/>
    <w:rsid w:val="00001EA1"/>
    <w:rsid w:val="00002699"/>
    <w:rsid w:val="00002B58"/>
    <w:rsid w:val="00002C54"/>
    <w:rsid w:val="00002FEA"/>
    <w:rsid w:val="00003037"/>
    <w:rsid w:val="00003085"/>
    <w:rsid w:val="00003940"/>
    <w:rsid w:val="000039F4"/>
    <w:rsid w:val="000040F9"/>
    <w:rsid w:val="00004F1F"/>
    <w:rsid w:val="00005145"/>
    <w:rsid w:val="00005F00"/>
    <w:rsid w:val="0000637A"/>
    <w:rsid w:val="00006B36"/>
    <w:rsid w:val="00007443"/>
    <w:rsid w:val="00010017"/>
    <w:rsid w:val="000104F3"/>
    <w:rsid w:val="00010F43"/>
    <w:rsid w:val="00011CAC"/>
    <w:rsid w:val="0001220E"/>
    <w:rsid w:val="00012E07"/>
    <w:rsid w:val="00012E28"/>
    <w:rsid w:val="00013475"/>
    <w:rsid w:val="00013ECE"/>
    <w:rsid w:val="000144DA"/>
    <w:rsid w:val="00014FF4"/>
    <w:rsid w:val="000154A9"/>
    <w:rsid w:val="000160D3"/>
    <w:rsid w:val="000169A4"/>
    <w:rsid w:val="00016A0B"/>
    <w:rsid w:val="00016A89"/>
    <w:rsid w:val="00016C9A"/>
    <w:rsid w:val="00016EB1"/>
    <w:rsid w:val="00017E47"/>
    <w:rsid w:val="000213E6"/>
    <w:rsid w:val="00022C56"/>
    <w:rsid w:val="00022CD9"/>
    <w:rsid w:val="000238D3"/>
    <w:rsid w:val="000243A9"/>
    <w:rsid w:val="0002485A"/>
    <w:rsid w:val="00024C8D"/>
    <w:rsid w:val="00024FCF"/>
    <w:rsid w:val="00025D34"/>
    <w:rsid w:val="00026280"/>
    <w:rsid w:val="00026C3F"/>
    <w:rsid w:val="00026F10"/>
    <w:rsid w:val="000272B5"/>
    <w:rsid w:val="000277ED"/>
    <w:rsid w:val="00027A21"/>
    <w:rsid w:val="000301D6"/>
    <w:rsid w:val="00030BB3"/>
    <w:rsid w:val="00030E57"/>
    <w:rsid w:val="000312EA"/>
    <w:rsid w:val="00031763"/>
    <w:rsid w:val="00031DDA"/>
    <w:rsid w:val="00031EB1"/>
    <w:rsid w:val="00032707"/>
    <w:rsid w:val="000328A6"/>
    <w:rsid w:val="00033030"/>
    <w:rsid w:val="0003312C"/>
    <w:rsid w:val="000334C4"/>
    <w:rsid w:val="00034301"/>
    <w:rsid w:val="000351C5"/>
    <w:rsid w:val="000358F3"/>
    <w:rsid w:val="00035CD6"/>
    <w:rsid w:val="00036549"/>
    <w:rsid w:val="000372B2"/>
    <w:rsid w:val="00037AA1"/>
    <w:rsid w:val="000401F8"/>
    <w:rsid w:val="000415D8"/>
    <w:rsid w:val="0004180E"/>
    <w:rsid w:val="000418A6"/>
    <w:rsid w:val="000418FD"/>
    <w:rsid w:val="00041920"/>
    <w:rsid w:val="0004197F"/>
    <w:rsid w:val="00041D35"/>
    <w:rsid w:val="000421ED"/>
    <w:rsid w:val="00042422"/>
    <w:rsid w:val="00042CB0"/>
    <w:rsid w:val="00042D1E"/>
    <w:rsid w:val="00042E7D"/>
    <w:rsid w:val="00043608"/>
    <w:rsid w:val="00043B14"/>
    <w:rsid w:val="00043E23"/>
    <w:rsid w:val="00043E27"/>
    <w:rsid w:val="000445D8"/>
    <w:rsid w:val="00044F3A"/>
    <w:rsid w:val="0004503D"/>
    <w:rsid w:val="000454C5"/>
    <w:rsid w:val="0004569F"/>
    <w:rsid w:val="000463D4"/>
    <w:rsid w:val="00046E8B"/>
    <w:rsid w:val="000471EC"/>
    <w:rsid w:val="00050C02"/>
    <w:rsid w:val="0005129F"/>
    <w:rsid w:val="000515A4"/>
    <w:rsid w:val="00051EAA"/>
    <w:rsid w:val="00052CCA"/>
    <w:rsid w:val="00055BD4"/>
    <w:rsid w:val="00055E2E"/>
    <w:rsid w:val="0005601F"/>
    <w:rsid w:val="000566F0"/>
    <w:rsid w:val="00057186"/>
    <w:rsid w:val="0005728D"/>
    <w:rsid w:val="000576CF"/>
    <w:rsid w:val="00057E9E"/>
    <w:rsid w:val="00060607"/>
    <w:rsid w:val="000608C0"/>
    <w:rsid w:val="000618D3"/>
    <w:rsid w:val="00062A39"/>
    <w:rsid w:val="00062BC7"/>
    <w:rsid w:val="0006308E"/>
    <w:rsid w:val="000631F1"/>
    <w:rsid w:val="0006389F"/>
    <w:rsid w:val="00063F19"/>
    <w:rsid w:val="00063F4C"/>
    <w:rsid w:val="00064322"/>
    <w:rsid w:val="00064452"/>
    <w:rsid w:val="000647BA"/>
    <w:rsid w:val="00064879"/>
    <w:rsid w:val="0006519D"/>
    <w:rsid w:val="00065E78"/>
    <w:rsid w:val="00065F14"/>
    <w:rsid w:val="00066168"/>
    <w:rsid w:val="00067AA6"/>
    <w:rsid w:val="00067D0D"/>
    <w:rsid w:val="00070EB9"/>
    <w:rsid w:val="00070F8D"/>
    <w:rsid w:val="00071A2A"/>
    <w:rsid w:val="00071E8A"/>
    <w:rsid w:val="00071EB7"/>
    <w:rsid w:val="000728F0"/>
    <w:rsid w:val="0007298E"/>
    <w:rsid w:val="000738C8"/>
    <w:rsid w:val="00073B83"/>
    <w:rsid w:val="00073D1A"/>
    <w:rsid w:val="00074499"/>
    <w:rsid w:val="0007484C"/>
    <w:rsid w:val="000748BC"/>
    <w:rsid w:val="00074BAA"/>
    <w:rsid w:val="0007637E"/>
    <w:rsid w:val="000766C5"/>
    <w:rsid w:val="0007706C"/>
    <w:rsid w:val="00077DFD"/>
    <w:rsid w:val="0008008A"/>
    <w:rsid w:val="00080519"/>
    <w:rsid w:val="000818DF"/>
    <w:rsid w:val="00081DF0"/>
    <w:rsid w:val="000835DC"/>
    <w:rsid w:val="00083EE0"/>
    <w:rsid w:val="00084F10"/>
    <w:rsid w:val="0008518F"/>
    <w:rsid w:val="0008532D"/>
    <w:rsid w:val="0008544D"/>
    <w:rsid w:val="00085DD0"/>
    <w:rsid w:val="00086235"/>
    <w:rsid w:val="00086391"/>
    <w:rsid w:val="000867BE"/>
    <w:rsid w:val="00087159"/>
    <w:rsid w:val="00087385"/>
    <w:rsid w:val="00087D1E"/>
    <w:rsid w:val="00087F18"/>
    <w:rsid w:val="000910D5"/>
    <w:rsid w:val="00091125"/>
    <w:rsid w:val="00091486"/>
    <w:rsid w:val="0009163A"/>
    <w:rsid w:val="00091E12"/>
    <w:rsid w:val="00092153"/>
    <w:rsid w:val="00093415"/>
    <w:rsid w:val="00093883"/>
    <w:rsid w:val="000943F1"/>
    <w:rsid w:val="0009449C"/>
    <w:rsid w:val="000949DE"/>
    <w:rsid w:val="00094BB2"/>
    <w:rsid w:val="000976AF"/>
    <w:rsid w:val="00097B07"/>
    <w:rsid w:val="00097B6C"/>
    <w:rsid w:val="000A0A2E"/>
    <w:rsid w:val="000A0A4D"/>
    <w:rsid w:val="000A215A"/>
    <w:rsid w:val="000A2C44"/>
    <w:rsid w:val="000A2EDB"/>
    <w:rsid w:val="000A3220"/>
    <w:rsid w:val="000A39A6"/>
    <w:rsid w:val="000A4835"/>
    <w:rsid w:val="000A48E5"/>
    <w:rsid w:val="000A5C4C"/>
    <w:rsid w:val="000A661F"/>
    <w:rsid w:val="000A6C32"/>
    <w:rsid w:val="000A6D64"/>
    <w:rsid w:val="000A6FA6"/>
    <w:rsid w:val="000A710C"/>
    <w:rsid w:val="000A7286"/>
    <w:rsid w:val="000B12B6"/>
    <w:rsid w:val="000B2EEB"/>
    <w:rsid w:val="000B30E3"/>
    <w:rsid w:val="000B3D84"/>
    <w:rsid w:val="000B4062"/>
    <w:rsid w:val="000B43C8"/>
    <w:rsid w:val="000B43FD"/>
    <w:rsid w:val="000B44DB"/>
    <w:rsid w:val="000B48D3"/>
    <w:rsid w:val="000B4D0B"/>
    <w:rsid w:val="000B4EA6"/>
    <w:rsid w:val="000B50ED"/>
    <w:rsid w:val="000B51C9"/>
    <w:rsid w:val="000B57F3"/>
    <w:rsid w:val="000B63F7"/>
    <w:rsid w:val="000B6761"/>
    <w:rsid w:val="000B69C5"/>
    <w:rsid w:val="000B71AE"/>
    <w:rsid w:val="000B746C"/>
    <w:rsid w:val="000C0127"/>
    <w:rsid w:val="000C1FCF"/>
    <w:rsid w:val="000C200D"/>
    <w:rsid w:val="000C2289"/>
    <w:rsid w:val="000C2339"/>
    <w:rsid w:val="000C2705"/>
    <w:rsid w:val="000C2814"/>
    <w:rsid w:val="000C2D1B"/>
    <w:rsid w:val="000C2F11"/>
    <w:rsid w:val="000C3EDE"/>
    <w:rsid w:val="000C48BC"/>
    <w:rsid w:val="000C4AFE"/>
    <w:rsid w:val="000C4C1D"/>
    <w:rsid w:val="000C5A5D"/>
    <w:rsid w:val="000C5F68"/>
    <w:rsid w:val="000C6169"/>
    <w:rsid w:val="000C6E84"/>
    <w:rsid w:val="000C736E"/>
    <w:rsid w:val="000C7B13"/>
    <w:rsid w:val="000C7D19"/>
    <w:rsid w:val="000D1284"/>
    <w:rsid w:val="000D2355"/>
    <w:rsid w:val="000D27E8"/>
    <w:rsid w:val="000D2FB9"/>
    <w:rsid w:val="000D33B1"/>
    <w:rsid w:val="000D34C7"/>
    <w:rsid w:val="000D3557"/>
    <w:rsid w:val="000D39ED"/>
    <w:rsid w:val="000D4ABE"/>
    <w:rsid w:val="000D54FE"/>
    <w:rsid w:val="000D650F"/>
    <w:rsid w:val="000D67C2"/>
    <w:rsid w:val="000D6C77"/>
    <w:rsid w:val="000D6D2E"/>
    <w:rsid w:val="000D6FA7"/>
    <w:rsid w:val="000D76BA"/>
    <w:rsid w:val="000D7CC0"/>
    <w:rsid w:val="000E086F"/>
    <w:rsid w:val="000E195A"/>
    <w:rsid w:val="000E3010"/>
    <w:rsid w:val="000E3791"/>
    <w:rsid w:val="000E3901"/>
    <w:rsid w:val="000E39DB"/>
    <w:rsid w:val="000E3AAF"/>
    <w:rsid w:val="000E407B"/>
    <w:rsid w:val="000E48B8"/>
    <w:rsid w:val="000E4A96"/>
    <w:rsid w:val="000E61C0"/>
    <w:rsid w:val="000E6EA9"/>
    <w:rsid w:val="000E70C8"/>
    <w:rsid w:val="000F009C"/>
    <w:rsid w:val="000F0613"/>
    <w:rsid w:val="000F0629"/>
    <w:rsid w:val="000F10E1"/>
    <w:rsid w:val="000F11CF"/>
    <w:rsid w:val="000F1317"/>
    <w:rsid w:val="000F1332"/>
    <w:rsid w:val="000F19E3"/>
    <w:rsid w:val="000F1FA1"/>
    <w:rsid w:val="000F2CFC"/>
    <w:rsid w:val="000F3339"/>
    <w:rsid w:val="000F3A6E"/>
    <w:rsid w:val="000F3AC8"/>
    <w:rsid w:val="000F3B96"/>
    <w:rsid w:val="000F40D4"/>
    <w:rsid w:val="000F41BE"/>
    <w:rsid w:val="000F4553"/>
    <w:rsid w:val="000F4645"/>
    <w:rsid w:val="000F4847"/>
    <w:rsid w:val="000F512E"/>
    <w:rsid w:val="000F58CE"/>
    <w:rsid w:val="000F62AD"/>
    <w:rsid w:val="000F6546"/>
    <w:rsid w:val="000F7417"/>
    <w:rsid w:val="000F75FD"/>
    <w:rsid w:val="000F77C8"/>
    <w:rsid w:val="000F7818"/>
    <w:rsid w:val="0010045D"/>
    <w:rsid w:val="0010126D"/>
    <w:rsid w:val="0010154D"/>
    <w:rsid w:val="00101C12"/>
    <w:rsid w:val="00102692"/>
    <w:rsid w:val="00102AB8"/>
    <w:rsid w:val="001030CC"/>
    <w:rsid w:val="001035B2"/>
    <w:rsid w:val="00103DDE"/>
    <w:rsid w:val="00104A71"/>
    <w:rsid w:val="001056A3"/>
    <w:rsid w:val="00105A3F"/>
    <w:rsid w:val="001068C0"/>
    <w:rsid w:val="0010706E"/>
    <w:rsid w:val="00107FDC"/>
    <w:rsid w:val="00110314"/>
    <w:rsid w:val="00110B8D"/>
    <w:rsid w:val="001117BC"/>
    <w:rsid w:val="001121DC"/>
    <w:rsid w:val="00112298"/>
    <w:rsid w:val="00113591"/>
    <w:rsid w:val="001143B2"/>
    <w:rsid w:val="001144A8"/>
    <w:rsid w:val="00116F2A"/>
    <w:rsid w:val="0011735E"/>
    <w:rsid w:val="00117D5D"/>
    <w:rsid w:val="001203E6"/>
    <w:rsid w:val="00121D02"/>
    <w:rsid w:val="001222FA"/>
    <w:rsid w:val="001223C2"/>
    <w:rsid w:val="00123045"/>
    <w:rsid w:val="001233D5"/>
    <w:rsid w:val="0012395C"/>
    <w:rsid w:val="001242C6"/>
    <w:rsid w:val="0012549F"/>
    <w:rsid w:val="0012582B"/>
    <w:rsid w:val="00125BC4"/>
    <w:rsid w:val="00126E15"/>
    <w:rsid w:val="00127029"/>
    <w:rsid w:val="00127370"/>
    <w:rsid w:val="001278D9"/>
    <w:rsid w:val="0012790E"/>
    <w:rsid w:val="001304BB"/>
    <w:rsid w:val="00130E11"/>
    <w:rsid w:val="00130F3A"/>
    <w:rsid w:val="001312BB"/>
    <w:rsid w:val="001326AE"/>
    <w:rsid w:val="001333EB"/>
    <w:rsid w:val="00134822"/>
    <w:rsid w:val="00134AB8"/>
    <w:rsid w:val="00134B03"/>
    <w:rsid w:val="0013667C"/>
    <w:rsid w:val="00136C29"/>
    <w:rsid w:val="001377B2"/>
    <w:rsid w:val="00137AEE"/>
    <w:rsid w:val="00137E6F"/>
    <w:rsid w:val="00140EC5"/>
    <w:rsid w:val="00141C3D"/>
    <w:rsid w:val="00142B94"/>
    <w:rsid w:val="00142F02"/>
    <w:rsid w:val="00143B9F"/>
    <w:rsid w:val="00144456"/>
    <w:rsid w:val="00144A7D"/>
    <w:rsid w:val="00145146"/>
    <w:rsid w:val="001456B4"/>
    <w:rsid w:val="00145989"/>
    <w:rsid w:val="0014638A"/>
    <w:rsid w:val="00146500"/>
    <w:rsid w:val="0014715A"/>
    <w:rsid w:val="001502DE"/>
    <w:rsid w:val="001503CB"/>
    <w:rsid w:val="00150478"/>
    <w:rsid w:val="00150B99"/>
    <w:rsid w:val="00150D1D"/>
    <w:rsid w:val="001515DA"/>
    <w:rsid w:val="00151864"/>
    <w:rsid w:val="001519B1"/>
    <w:rsid w:val="00152147"/>
    <w:rsid w:val="00152A7B"/>
    <w:rsid w:val="00153996"/>
    <w:rsid w:val="001539F4"/>
    <w:rsid w:val="00153B27"/>
    <w:rsid w:val="00153F76"/>
    <w:rsid w:val="001563E4"/>
    <w:rsid w:val="0015644C"/>
    <w:rsid w:val="00156477"/>
    <w:rsid w:val="00156AF5"/>
    <w:rsid w:val="00156CCC"/>
    <w:rsid w:val="00156DEA"/>
    <w:rsid w:val="00157800"/>
    <w:rsid w:val="001605A7"/>
    <w:rsid w:val="00160924"/>
    <w:rsid w:val="00160D9A"/>
    <w:rsid w:val="0016177F"/>
    <w:rsid w:val="001618C6"/>
    <w:rsid w:val="00161F6B"/>
    <w:rsid w:val="00163299"/>
    <w:rsid w:val="001633C3"/>
    <w:rsid w:val="001633DE"/>
    <w:rsid w:val="0016343A"/>
    <w:rsid w:val="00163548"/>
    <w:rsid w:val="00163602"/>
    <w:rsid w:val="00163B29"/>
    <w:rsid w:val="00163CCA"/>
    <w:rsid w:val="00163FBE"/>
    <w:rsid w:val="00165087"/>
    <w:rsid w:val="00165342"/>
    <w:rsid w:val="00165A09"/>
    <w:rsid w:val="0016626D"/>
    <w:rsid w:val="00166702"/>
    <w:rsid w:val="00166807"/>
    <w:rsid w:val="001702AC"/>
    <w:rsid w:val="00170EDC"/>
    <w:rsid w:val="00171070"/>
    <w:rsid w:val="0017114D"/>
    <w:rsid w:val="0017148A"/>
    <w:rsid w:val="00172661"/>
    <w:rsid w:val="00172BC1"/>
    <w:rsid w:val="001730D7"/>
    <w:rsid w:val="001738A4"/>
    <w:rsid w:val="00173F28"/>
    <w:rsid w:val="001749EB"/>
    <w:rsid w:val="00175280"/>
    <w:rsid w:val="001754EF"/>
    <w:rsid w:val="00175C8C"/>
    <w:rsid w:val="00175F29"/>
    <w:rsid w:val="00176127"/>
    <w:rsid w:val="001762C6"/>
    <w:rsid w:val="00177232"/>
    <w:rsid w:val="001774BE"/>
    <w:rsid w:val="00177A7C"/>
    <w:rsid w:val="001813D8"/>
    <w:rsid w:val="00182A89"/>
    <w:rsid w:val="00182F9F"/>
    <w:rsid w:val="00183000"/>
    <w:rsid w:val="001831F1"/>
    <w:rsid w:val="001833A1"/>
    <w:rsid w:val="00183999"/>
    <w:rsid w:val="001839B8"/>
    <w:rsid w:val="00183C65"/>
    <w:rsid w:val="0018419D"/>
    <w:rsid w:val="00185123"/>
    <w:rsid w:val="00185CDC"/>
    <w:rsid w:val="001875D0"/>
    <w:rsid w:val="001879B5"/>
    <w:rsid w:val="00187EC1"/>
    <w:rsid w:val="001900E1"/>
    <w:rsid w:val="0019071D"/>
    <w:rsid w:val="00190970"/>
    <w:rsid w:val="00190E8C"/>
    <w:rsid w:val="00191A71"/>
    <w:rsid w:val="00191C04"/>
    <w:rsid w:val="00192CB2"/>
    <w:rsid w:val="00192FDE"/>
    <w:rsid w:val="001932F3"/>
    <w:rsid w:val="00193301"/>
    <w:rsid w:val="00193C57"/>
    <w:rsid w:val="00194056"/>
    <w:rsid w:val="001947D3"/>
    <w:rsid w:val="00195436"/>
    <w:rsid w:val="001957E0"/>
    <w:rsid w:val="001961DB"/>
    <w:rsid w:val="001964A0"/>
    <w:rsid w:val="0019658A"/>
    <w:rsid w:val="001968F9"/>
    <w:rsid w:val="00196BE9"/>
    <w:rsid w:val="00196C69"/>
    <w:rsid w:val="00196ECD"/>
    <w:rsid w:val="001A0764"/>
    <w:rsid w:val="001A15C6"/>
    <w:rsid w:val="001A1999"/>
    <w:rsid w:val="001A1B62"/>
    <w:rsid w:val="001A236F"/>
    <w:rsid w:val="001A3ED7"/>
    <w:rsid w:val="001A4335"/>
    <w:rsid w:val="001A4980"/>
    <w:rsid w:val="001A4EE9"/>
    <w:rsid w:val="001A5427"/>
    <w:rsid w:val="001A5C55"/>
    <w:rsid w:val="001A66C8"/>
    <w:rsid w:val="001A68CE"/>
    <w:rsid w:val="001A75EF"/>
    <w:rsid w:val="001A7776"/>
    <w:rsid w:val="001A78DA"/>
    <w:rsid w:val="001B108F"/>
    <w:rsid w:val="001B18A6"/>
    <w:rsid w:val="001B212C"/>
    <w:rsid w:val="001B232C"/>
    <w:rsid w:val="001B23CD"/>
    <w:rsid w:val="001B2576"/>
    <w:rsid w:val="001B27E0"/>
    <w:rsid w:val="001B2AEC"/>
    <w:rsid w:val="001B2D0D"/>
    <w:rsid w:val="001B34A2"/>
    <w:rsid w:val="001B4968"/>
    <w:rsid w:val="001B58B3"/>
    <w:rsid w:val="001B5B2B"/>
    <w:rsid w:val="001B633D"/>
    <w:rsid w:val="001B7A03"/>
    <w:rsid w:val="001C0718"/>
    <w:rsid w:val="001C0818"/>
    <w:rsid w:val="001C0B68"/>
    <w:rsid w:val="001C10DD"/>
    <w:rsid w:val="001C1401"/>
    <w:rsid w:val="001C1536"/>
    <w:rsid w:val="001C1783"/>
    <w:rsid w:val="001C1CF5"/>
    <w:rsid w:val="001C1CF6"/>
    <w:rsid w:val="001C26C0"/>
    <w:rsid w:val="001C341E"/>
    <w:rsid w:val="001C37D2"/>
    <w:rsid w:val="001C3A91"/>
    <w:rsid w:val="001C40F2"/>
    <w:rsid w:val="001C4510"/>
    <w:rsid w:val="001C4718"/>
    <w:rsid w:val="001C5169"/>
    <w:rsid w:val="001C729D"/>
    <w:rsid w:val="001C733C"/>
    <w:rsid w:val="001C752C"/>
    <w:rsid w:val="001C759E"/>
    <w:rsid w:val="001C78C5"/>
    <w:rsid w:val="001C7A53"/>
    <w:rsid w:val="001C7A91"/>
    <w:rsid w:val="001C7AAE"/>
    <w:rsid w:val="001D0361"/>
    <w:rsid w:val="001D03C8"/>
    <w:rsid w:val="001D0B2A"/>
    <w:rsid w:val="001D0C95"/>
    <w:rsid w:val="001D17DB"/>
    <w:rsid w:val="001D1CE2"/>
    <w:rsid w:val="001D1F2D"/>
    <w:rsid w:val="001D2B7C"/>
    <w:rsid w:val="001D2D73"/>
    <w:rsid w:val="001D33C7"/>
    <w:rsid w:val="001D3CBC"/>
    <w:rsid w:val="001D3FD2"/>
    <w:rsid w:val="001D4D3E"/>
    <w:rsid w:val="001D5B7D"/>
    <w:rsid w:val="001D692B"/>
    <w:rsid w:val="001D6A81"/>
    <w:rsid w:val="001D6F07"/>
    <w:rsid w:val="001E06A4"/>
    <w:rsid w:val="001E136B"/>
    <w:rsid w:val="001E16C3"/>
    <w:rsid w:val="001E1873"/>
    <w:rsid w:val="001E389D"/>
    <w:rsid w:val="001E3AE6"/>
    <w:rsid w:val="001E3D94"/>
    <w:rsid w:val="001E4328"/>
    <w:rsid w:val="001E5877"/>
    <w:rsid w:val="001E59A9"/>
    <w:rsid w:val="001E5A29"/>
    <w:rsid w:val="001E5BFB"/>
    <w:rsid w:val="001E5FAF"/>
    <w:rsid w:val="001E6030"/>
    <w:rsid w:val="001E61D4"/>
    <w:rsid w:val="001E6A9E"/>
    <w:rsid w:val="001E6D56"/>
    <w:rsid w:val="001E7BDB"/>
    <w:rsid w:val="001F05B6"/>
    <w:rsid w:val="001F0B53"/>
    <w:rsid w:val="001F1431"/>
    <w:rsid w:val="001F14FC"/>
    <w:rsid w:val="001F195C"/>
    <w:rsid w:val="001F2525"/>
    <w:rsid w:val="001F27A2"/>
    <w:rsid w:val="001F42EE"/>
    <w:rsid w:val="001F467C"/>
    <w:rsid w:val="001F497D"/>
    <w:rsid w:val="001F57F2"/>
    <w:rsid w:val="001F6AE6"/>
    <w:rsid w:val="001F6CF6"/>
    <w:rsid w:val="0020000E"/>
    <w:rsid w:val="00200E97"/>
    <w:rsid w:val="002010D3"/>
    <w:rsid w:val="00201E30"/>
    <w:rsid w:val="00202630"/>
    <w:rsid w:val="002028E0"/>
    <w:rsid w:val="0020368F"/>
    <w:rsid w:val="00203FE3"/>
    <w:rsid w:val="002052D7"/>
    <w:rsid w:val="00205915"/>
    <w:rsid w:val="00205CD0"/>
    <w:rsid w:val="00206C2D"/>
    <w:rsid w:val="00207229"/>
    <w:rsid w:val="00207A3C"/>
    <w:rsid w:val="00207A87"/>
    <w:rsid w:val="00207ED8"/>
    <w:rsid w:val="00210332"/>
    <w:rsid w:val="0021043A"/>
    <w:rsid w:val="0021121B"/>
    <w:rsid w:val="00211C1E"/>
    <w:rsid w:val="00211CA4"/>
    <w:rsid w:val="002121CF"/>
    <w:rsid w:val="002123B2"/>
    <w:rsid w:val="002125EC"/>
    <w:rsid w:val="00213EC2"/>
    <w:rsid w:val="0021411C"/>
    <w:rsid w:val="002148FD"/>
    <w:rsid w:val="00214EBB"/>
    <w:rsid w:val="00215298"/>
    <w:rsid w:val="002159E0"/>
    <w:rsid w:val="0021684C"/>
    <w:rsid w:val="00216936"/>
    <w:rsid w:val="00216AE1"/>
    <w:rsid w:val="00216D3D"/>
    <w:rsid w:val="002223C2"/>
    <w:rsid w:val="0022254C"/>
    <w:rsid w:val="00222937"/>
    <w:rsid w:val="00222F36"/>
    <w:rsid w:val="00223452"/>
    <w:rsid w:val="00223504"/>
    <w:rsid w:val="0022409A"/>
    <w:rsid w:val="00224254"/>
    <w:rsid w:val="00224A5C"/>
    <w:rsid w:val="00224B53"/>
    <w:rsid w:val="00224CAD"/>
    <w:rsid w:val="00224D8B"/>
    <w:rsid w:val="00224DAB"/>
    <w:rsid w:val="00225293"/>
    <w:rsid w:val="00231019"/>
    <w:rsid w:val="00231594"/>
    <w:rsid w:val="00232696"/>
    <w:rsid w:val="00232D81"/>
    <w:rsid w:val="00233CC1"/>
    <w:rsid w:val="00233D4F"/>
    <w:rsid w:val="00233E25"/>
    <w:rsid w:val="00234B94"/>
    <w:rsid w:val="00235C86"/>
    <w:rsid w:val="00236050"/>
    <w:rsid w:val="00236D61"/>
    <w:rsid w:val="002370C4"/>
    <w:rsid w:val="00237A00"/>
    <w:rsid w:val="00241658"/>
    <w:rsid w:val="0024204B"/>
    <w:rsid w:val="002432C6"/>
    <w:rsid w:val="00243449"/>
    <w:rsid w:val="00243848"/>
    <w:rsid w:val="00243915"/>
    <w:rsid w:val="00243DA3"/>
    <w:rsid w:val="00244815"/>
    <w:rsid w:val="00245575"/>
    <w:rsid w:val="00245816"/>
    <w:rsid w:val="00247C13"/>
    <w:rsid w:val="00251924"/>
    <w:rsid w:val="002531CC"/>
    <w:rsid w:val="00253565"/>
    <w:rsid w:val="00253FEA"/>
    <w:rsid w:val="00254A68"/>
    <w:rsid w:val="002550F2"/>
    <w:rsid w:val="00255ADA"/>
    <w:rsid w:val="00255F4F"/>
    <w:rsid w:val="0025683D"/>
    <w:rsid w:val="0025719C"/>
    <w:rsid w:val="0025761B"/>
    <w:rsid w:val="002579F8"/>
    <w:rsid w:val="00257DF0"/>
    <w:rsid w:val="00257FE0"/>
    <w:rsid w:val="002605AB"/>
    <w:rsid w:val="00260C31"/>
    <w:rsid w:val="00261FBA"/>
    <w:rsid w:val="00262F87"/>
    <w:rsid w:val="00264256"/>
    <w:rsid w:val="00265924"/>
    <w:rsid w:val="002660EA"/>
    <w:rsid w:val="0026620A"/>
    <w:rsid w:val="0026626F"/>
    <w:rsid w:val="0026751E"/>
    <w:rsid w:val="00267A9B"/>
    <w:rsid w:val="00267C31"/>
    <w:rsid w:val="00267D2E"/>
    <w:rsid w:val="0027000E"/>
    <w:rsid w:val="002704C8"/>
    <w:rsid w:val="0027051F"/>
    <w:rsid w:val="002711FD"/>
    <w:rsid w:val="00271871"/>
    <w:rsid w:val="0027189E"/>
    <w:rsid w:val="00272628"/>
    <w:rsid w:val="002728AF"/>
    <w:rsid w:val="00272DD7"/>
    <w:rsid w:val="00272DF4"/>
    <w:rsid w:val="002732D7"/>
    <w:rsid w:val="002748C1"/>
    <w:rsid w:val="00274A40"/>
    <w:rsid w:val="00274E5F"/>
    <w:rsid w:val="002751CF"/>
    <w:rsid w:val="002757C8"/>
    <w:rsid w:val="00275E36"/>
    <w:rsid w:val="0027624E"/>
    <w:rsid w:val="00276849"/>
    <w:rsid w:val="00276A55"/>
    <w:rsid w:val="00276D24"/>
    <w:rsid w:val="00277822"/>
    <w:rsid w:val="00277DA9"/>
    <w:rsid w:val="0028061C"/>
    <w:rsid w:val="00281624"/>
    <w:rsid w:val="0028175F"/>
    <w:rsid w:val="002818C2"/>
    <w:rsid w:val="00281B4F"/>
    <w:rsid w:val="00281FA3"/>
    <w:rsid w:val="0028238F"/>
    <w:rsid w:val="0028290E"/>
    <w:rsid w:val="00282DD9"/>
    <w:rsid w:val="002833F1"/>
    <w:rsid w:val="00283416"/>
    <w:rsid w:val="0028348C"/>
    <w:rsid w:val="00283772"/>
    <w:rsid w:val="00283A9A"/>
    <w:rsid w:val="0028448B"/>
    <w:rsid w:val="00284FE6"/>
    <w:rsid w:val="002868CE"/>
    <w:rsid w:val="00287DBE"/>
    <w:rsid w:val="0029001A"/>
    <w:rsid w:val="00290536"/>
    <w:rsid w:val="00291384"/>
    <w:rsid w:val="00291462"/>
    <w:rsid w:val="002914D1"/>
    <w:rsid w:val="0029153F"/>
    <w:rsid w:val="00291EE1"/>
    <w:rsid w:val="002933FC"/>
    <w:rsid w:val="0029394E"/>
    <w:rsid w:val="00293E1F"/>
    <w:rsid w:val="00294DEC"/>
    <w:rsid w:val="00295330"/>
    <w:rsid w:val="0029537B"/>
    <w:rsid w:val="00295989"/>
    <w:rsid w:val="00295DB9"/>
    <w:rsid w:val="00295F87"/>
    <w:rsid w:val="00296128"/>
    <w:rsid w:val="00296ED2"/>
    <w:rsid w:val="0029701C"/>
    <w:rsid w:val="00297102"/>
    <w:rsid w:val="0029712C"/>
    <w:rsid w:val="002972C3"/>
    <w:rsid w:val="002A040E"/>
    <w:rsid w:val="002A0A64"/>
    <w:rsid w:val="002A0A77"/>
    <w:rsid w:val="002A1542"/>
    <w:rsid w:val="002A16B8"/>
    <w:rsid w:val="002A1B19"/>
    <w:rsid w:val="002A273D"/>
    <w:rsid w:val="002A2A78"/>
    <w:rsid w:val="002A387D"/>
    <w:rsid w:val="002A3F71"/>
    <w:rsid w:val="002A476E"/>
    <w:rsid w:val="002A4F00"/>
    <w:rsid w:val="002A4FFC"/>
    <w:rsid w:val="002A6879"/>
    <w:rsid w:val="002A6ED2"/>
    <w:rsid w:val="002B0FA4"/>
    <w:rsid w:val="002B1007"/>
    <w:rsid w:val="002B11CB"/>
    <w:rsid w:val="002B1341"/>
    <w:rsid w:val="002B1DF0"/>
    <w:rsid w:val="002B28A2"/>
    <w:rsid w:val="002B29A6"/>
    <w:rsid w:val="002B29B2"/>
    <w:rsid w:val="002B2E1C"/>
    <w:rsid w:val="002B30D9"/>
    <w:rsid w:val="002B3423"/>
    <w:rsid w:val="002B395B"/>
    <w:rsid w:val="002B3C12"/>
    <w:rsid w:val="002B3E17"/>
    <w:rsid w:val="002B4BA9"/>
    <w:rsid w:val="002B52C4"/>
    <w:rsid w:val="002B54B8"/>
    <w:rsid w:val="002B5912"/>
    <w:rsid w:val="002B5E96"/>
    <w:rsid w:val="002B60E6"/>
    <w:rsid w:val="002B60EF"/>
    <w:rsid w:val="002B6290"/>
    <w:rsid w:val="002B6DF0"/>
    <w:rsid w:val="002B72E8"/>
    <w:rsid w:val="002B76BA"/>
    <w:rsid w:val="002C01DD"/>
    <w:rsid w:val="002C0233"/>
    <w:rsid w:val="002C0695"/>
    <w:rsid w:val="002C06FB"/>
    <w:rsid w:val="002C0717"/>
    <w:rsid w:val="002C0E3B"/>
    <w:rsid w:val="002C18DB"/>
    <w:rsid w:val="002C2374"/>
    <w:rsid w:val="002C25D5"/>
    <w:rsid w:val="002C2F50"/>
    <w:rsid w:val="002C34A9"/>
    <w:rsid w:val="002C38D0"/>
    <w:rsid w:val="002C3C16"/>
    <w:rsid w:val="002C3E35"/>
    <w:rsid w:val="002C4613"/>
    <w:rsid w:val="002C5E89"/>
    <w:rsid w:val="002C6148"/>
    <w:rsid w:val="002C6918"/>
    <w:rsid w:val="002C6CE8"/>
    <w:rsid w:val="002C782E"/>
    <w:rsid w:val="002D02CE"/>
    <w:rsid w:val="002D0B45"/>
    <w:rsid w:val="002D1F80"/>
    <w:rsid w:val="002D2316"/>
    <w:rsid w:val="002D2679"/>
    <w:rsid w:val="002D2F4C"/>
    <w:rsid w:val="002D301C"/>
    <w:rsid w:val="002D311C"/>
    <w:rsid w:val="002D3CD2"/>
    <w:rsid w:val="002D51E9"/>
    <w:rsid w:val="002D631B"/>
    <w:rsid w:val="002D6505"/>
    <w:rsid w:val="002D679E"/>
    <w:rsid w:val="002D6B30"/>
    <w:rsid w:val="002D78EC"/>
    <w:rsid w:val="002E0CBC"/>
    <w:rsid w:val="002E11C0"/>
    <w:rsid w:val="002E197C"/>
    <w:rsid w:val="002E1E48"/>
    <w:rsid w:val="002E2418"/>
    <w:rsid w:val="002E2846"/>
    <w:rsid w:val="002E2BFE"/>
    <w:rsid w:val="002E3110"/>
    <w:rsid w:val="002E3515"/>
    <w:rsid w:val="002E38D0"/>
    <w:rsid w:val="002E5132"/>
    <w:rsid w:val="002E51C9"/>
    <w:rsid w:val="002E5296"/>
    <w:rsid w:val="002E5ED8"/>
    <w:rsid w:val="002E60EE"/>
    <w:rsid w:val="002E638D"/>
    <w:rsid w:val="002E6E00"/>
    <w:rsid w:val="002F013D"/>
    <w:rsid w:val="002F0293"/>
    <w:rsid w:val="002F0C50"/>
    <w:rsid w:val="002F0CD1"/>
    <w:rsid w:val="002F1267"/>
    <w:rsid w:val="002F1857"/>
    <w:rsid w:val="002F190B"/>
    <w:rsid w:val="002F1F19"/>
    <w:rsid w:val="002F278D"/>
    <w:rsid w:val="002F2B41"/>
    <w:rsid w:val="002F2EB7"/>
    <w:rsid w:val="002F37EA"/>
    <w:rsid w:val="002F3CF7"/>
    <w:rsid w:val="002F447D"/>
    <w:rsid w:val="002F4A98"/>
    <w:rsid w:val="002F4F5C"/>
    <w:rsid w:val="002F528E"/>
    <w:rsid w:val="002F6341"/>
    <w:rsid w:val="002F6754"/>
    <w:rsid w:val="00300289"/>
    <w:rsid w:val="00300C83"/>
    <w:rsid w:val="00301788"/>
    <w:rsid w:val="00301E3B"/>
    <w:rsid w:val="00302F3C"/>
    <w:rsid w:val="00303291"/>
    <w:rsid w:val="00303367"/>
    <w:rsid w:val="003053B2"/>
    <w:rsid w:val="00305973"/>
    <w:rsid w:val="003059B6"/>
    <w:rsid w:val="003059D7"/>
    <w:rsid w:val="00305CA9"/>
    <w:rsid w:val="00305DC8"/>
    <w:rsid w:val="00306DFE"/>
    <w:rsid w:val="00310CF0"/>
    <w:rsid w:val="00311055"/>
    <w:rsid w:val="003112B1"/>
    <w:rsid w:val="003122EA"/>
    <w:rsid w:val="00312AE8"/>
    <w:rsid w:val="00312D53"/>
    <w:rsid w:val="003146D4"/>
    <w:rsid w:val="00314A86"/>
    <w:rsid w:val="00314B5A"/>
    <w:rsid w:val="00314C46"/>
    <w:rsid w:val="00314EDE"/>
    <w:rsid w:val="0031542E"/>
    <w:rsid w:val="00315D76"/>
    <w:rsid w:val="003165AA"/>
    <w:rsid w:val="00316727"/>
    <w:rsid w:val="00316F9D"/>
    <w:rsid w:val="0031706E"/>
    <w:rsid w:val="00317236"/>
    <w:rsid w:val="00317AAD"/>
    <w:rsid w:val="00317B7F"/>
    <w:rsid w:val="00317DBD"/>
    <w:rsid w:val="00320049"/>
    <w:rsid w:val="0032106D"/>
    <w:rsid w:val="00321C43"/>
    <w:rsid w:val="00322238"/>
    <w:rsid w:val="003222CF"/>
    <w:rsid w:val="003225BA"/>
    <w:rsid w:val="003227C1"/>
    <w:rsid w:val="00322A01"/>
    <w:rsid w:val="00322A98"/>
    <w:rsid w:val="00322BAC"/>
    <w:rsid w:val="00323413"/>
    <w:rsid w:val="003237DA"/>
    <w:rsid w:val="00323F38"/>
    <w:rsid w:val="00325C03"/>
    <w:rsid w:val="00325FC8"/>
    <w:rsid w:val="00326731"/>
    <w:rsid w:val="00326861"/>
    <w:rsid w:val="003270BB"/>
    <w:rsid w:val="003273CB"/>
    <w:rsid w:val="00327654"/>
    <w:rsid w:val="00327C7D"/>
    <w:rsid w:val="00327D6A"/>
    <w:rsid w:val="003300A8"/>
    <w:rsid w:val="00330AB7"/>
    <w:rsid w:val="00330F3E"/>
    <w:rsid w:val="003310D5"/>
    <w:rsid w:val="003314EB"/>
    <w:rsid w:val="00331EEF"/>
    <w:rsid w:val="0033357A"/>
    <w:rsid w:val="00333FC0"/>
    <w:rsid w:val="00335065"/>
    <w:rsid w:val="00335CFE"/>
    <w:rsid w:val="003362FD"/>
    <w:rsid w:val="003365FF"/>
    <w:rsid w:val="00336A9D"/>
    <w:rsid w:val="00336DC5"/>
    <w:rsid w:val="003372A4"/>
    <w:rsid w:val="003372CC"/>
    <w:rsid w:val="003372D8"/>
    <w:rsid w:val="00340462"/>
    <w:rsid w:val="0034123D"/>
    <w:rsid w:val="00341D95"/>
    <w:rsid w:val="0034382A"/>
    <w:rsid w:val="00344208"/>
    <w:rsid w:val="00344392"/>
    <w:rsid w:val="003444ED"/>
    <w:rsid w:val="003448C2"/>
    <w:rsid w:val="00345315"/>
    <w:rsid w:val="00346F64"/>
    <w:rsid w:val="00350011"/>
    <w:rsid w:val="00350578"/>
    <w:rsid w:val="00350A71"/>
    <w:rsid w:val="00350EF4"/>
    <w:rsid w:val="00351A92"/>
    <w:rsid w:val="003520E4"/>
    <w:rsid w:val="00352554"/>
    <w:rsid w:val="00352858"/>
    <w:rsid w:val="00352C28"/>
    <w:rsid w:val="00353600"/>
    <w:rsid w:val="003542ED"/>
    <w:rsid w:val="003544D4"/>
    <w:rsid w:val="00354836"/>
    <w:rsid w:val="00354DB1"/>
    <w:rsid w:val="00354F3B"/>
    <w:rsid w:val="00355B2C"/>
    <w:rsid w:val="00357A40"/>
    <w:rsid w:val="00357C23"/>
    <w:rsid w:val="00357D7C"/>
    <w:rsid w:val="0036097F"/>
    <w:rsid w:val="00361028"/>
    <w:rsid w:val="00361887"/>
    <w:rsid w:val="003621DA"/>
    <w:rsid w:val="00362501"/>
    <w:rsid w:val="00362648"/>
    <w:rsid w:val="00363C90"/>
    <w:rsid w:val="00363ED0"/>
    <w:rsid w:val="00363F7C"/>
    <w:rsid w:val="003641CF"/>
    <w:rsid w:val="003642ED"/>
    <w:rsid w:val="00364894"/>
    <w:rsid w:val="00364C97"/>
    <w:rsid w:val="00364F16"/>
    <w:rsid w:val="003650C0"/>
    <w:rsid w:val="00365729"/>
    <w:rsid w:val="0036613D"/>
    <w:rsid w:val="0036678B"/>
    <w:rsid w:val="00366D68"/>
    <w:rsid w:val="003679C1"/>
    <w:rsid w:val="00370BB6"/>
    <w:rsid w:val="00370ED5"/>
    <w:rsid w:val="00371817"/>
    <w:rsid w:val="00372176"/>
    <w:rsid w:val="00372227"/>
    <w:rsid w:val="00372573"/>
    <w:rsid w:val="00372DF5"/>
    <w:rsid w:val="0037355F"/>
    <w:rsid w:val="0037390A"/>
    <w:rsid w:val="00374246"/>
    <w:rsid w:val="00374601"/>
    <w:rsid w:val="00374C4A"/>
    <w:rsid w:val="00375D23"/>
    <w:rsid w:val="00376017"/>
    <w:rsid w:val="00376B83"/>
    <w:rsid w:val="00376BF9"/>
    <w:rsid w:val="003804AE"/>
    <w:rsid w:val="003807FB"/>
    <w:rsid w:val="00380A16"/>
    <w:rsid w:val="003813ED"/>
    <w:rsid w:val="00381BAC"/>
    <w:rsid w:val="003828AC"/>
    <w:rsid w:val="0038323C"/>
    <w:rsid w:val="00383287"/>
    <w:rsid w:val="00383A87"/>
    <w:rsid w:val="00384AAD"/>
    <w:rsid w:val="00384AED"/>
    <w:rsid w:val="00385D58"/>
    <w:rsid w:val="00385DD2"/>
    <w:rsid w:val="00386BA8"/>
    <w:rsid w:val="00386D30"/>
    <w:rsid w:val="00387CFE"/>
    <w:rsid w:val="00390833"/>
    <w:rsid w:val="00390ADD"/>
    <w:rsid w:val="003913AB"/>
    <w:rsid w:val="00391657"/>
    <w:rsid w:val="00391CB7"/>
    <w:rsid w:val="00391E20"/>
    <w:rsid w:val="00392A13"/>
    <w:rsid w:val="00392D26"/>
    <w:rsid w:val="00393151"/>
    <w:rsid w:val="003938FE"/>
    <w:rsid w:val="003946DA"/>
    <w:rsid w:val="00394C4A"/>
    <w:rsid w:val="003955CA"/>
    <w:rsid w:val="00395C4E"/>
    <w:rsid w:val="00396490"/>
    <w:rsid w:val="0039714E"/>
    <w:rsid w:val="00397386"/>
    <w:rsid w:val="00397450"/>
    <w:rsid w:val="003A0181"/>
    <w:rsid w:val="003A06F9"/>
    <w:rsid w:val="003A287D"/>
    <w:rsid w:val="003A3112"/>
    <w:rsid w:val="003A3BAF"/>
    <w:rsid w:val="003A4030"/>
    <w:rsid w:val="003A4346"/>
    <w:rsid w:val="003A4A77"/>
    <w:rsid w:val="003A4DF6"/>
    <w:rsid w:val="003A5B48"/>
    <w:rsid w:val="003A5BB4"/>
    <w:rsid w:val="003A6169"/>
    <w:rsid w:val="003A6420"/>
    <w:rsid w:val="003A64E3"/>
    <w:rsid w:val="003A6C32"/>
    <w:rsid w:val="003A7563"/>
    <w:rsid w:val="003A7846"/>
    <w:rsid w:val="003B0443"/>
    <w:rsid w:val="003B078E"/>
    <w:rsid w:val="003B0837"/>
    <w:rsid w:val="003B1BF4"/>
    <w:rsid w:val="003B1F44"/>
    <w:rsid w:val="003B2835"/>
    <w:rsid w:val="003B2A1D"/>
    <w:rsid w:val="003B4F18"/>
    <w:rsid w:val="003B50C0"/>
    <w:rsid w:val="003B52B5"/>
    <w:rsid w:val="003B5502"/>
    <w:rsid w:val="003B6F2F"/>
    <w:rsid w:val="003B73C2"/>
    <w:rsid w:val="003B77E9"/>
    <w:rsid w:val="003B7F24"/>
    <w:rsid w:val="003C00BD"/>
    <w:rsid w:val="003C070A"/>
    <w:rsid w:val="003C0795"/>
    <w:rsid w:val="003C0C59"/>
    <w:rsid w:val="003C15B7"/>
    <w:rsid w:val="003C1C58"/>
    <w:rsid w:val="003C25C4"/>
    <w:rsid w:val="003C2BAF"/>
    <w:rsid w:val="003C2C66"/>
    <w:rsid w:val="003C3086"/>
    <w:rsid w:val="003C31E0"/>
    <w:rsid w:val="003C3991"/>
    <w:rsid w:val="003C3D34"/>
    <w:rsid w:val="003C4E0B"/>
    <w:rsid w:val="003C5901"/>
    <w:rsid w:val="003C5BDE"/>
    <w:rsid w:val="003C5C3E"/>
    <w:rsid w:val="003C5E79"/>
    <w:rsid w:val="003C70B4"/>
    <w:rsid w:val="003D0128"/>
    <w:rsid w:val="003D0410"/>
    <w:rsid w:val="003D1A95"/>
    <w:rsid w:val="003D1B17"/>
    <w:rsid w:val="003D2CE1"/>
    <w:rsid w:val="003D30F6"/>
    <w:rsid w:val="003D4339"/>
    <w:rsid w:val="003D4BE1"/>
    <w:rsid w:val="003D54BD"/>
    <w:rsid w:val="003D5546"/>
    <w:rsid w:val="003D55DA"/>
    <w:rsid w:val="003D55EB"/>
    <w:rsid w:val="003D67F3"/>
    <w:rsid w:val="003D6A47"/>
    <w:rsid w:val="003D6FA4"/>
    <w:rsid w:val="003D71AA"/>
    <w:rsid w:val="003D7294"/>
    <w:rsid w:val="003D78A1"/>
    <w:rsid w:val="003E0E4A"/>
    <w:rsid w:val="003E11EB"/>
    <w:rsid w:val="003E1791"/>
    <w:rsid w:val="003E195E"/>
    <w:rsid w:val="003E1E7C"/>
    <w:rsid w:val="003E2857"/>
    <w:rsid w:val="003E2955"/>
    <w:rsid w:val="003E3B44"/>
    <w:rsid w:val="003E4042"/>
    <w:rsid w:val="003E5021"/>
    <w:rsid w:val="003E57A6"/>
    <w:rsid w:val="003E649E"/>
    <w:rsid w:val="003E6ADA"/>
    <w:rsid w:val="003E6C83"/>
    <w:rsid w:val="003E6E96"/>
    <w:rsid w:val="003E70DF"/>
    <w:rsid w:val="003E731E"/>
    <w:rsid w:val="003E7353"/>
    <w:rsid w:val="003E7B17"/>
    <w:rsid w:val="003E7D37"/>
    <w:rsid w:val="003F06EF"/>
    <w:rsid w:val="003F06F2"/>
    <w:rsid w:val="003F0D3C"/>
    <w:rsid w:val="003F0E88"/>
    <w:rsid w:val="003F1023"/>
    <w:rsid w:val="003F1D15"/>
    <w:rsid w:val="003F2315"/>
    <w:rsid w:val="003F3100"/>
    <w:rsid w:val="003F3389"/>
    <w:rsid w:val="003F4D2D"/>
    <w:rsid w:val="003F4E14"/>
    <w:rsid w:val="003F54D5"/>
    <w:rsid w:val="003F774D"/>
    <w:rsid w:val="003F79E5"/>
    <w:rsid w:val="003F7FF4"/>
    <w:rsid w:val="004006A3"/>
    <w:rsid w:val="0040087E"/>
    <w:rsid w:val="00401044"/>
    <w:rsid w:val="00401AE7"/>
    <w:rsid w:val="004023AD"/>
    <w:rsid w:val="00402729"/>
    <w:rsid w:val="0040391D"/>
    <w:rsid w:val="00404781"/>
    <w:rsid w:val="00404A66"/>
    <w:rsid w:val="00404B4A"/>
    <w:rsid w:val="0040522B"/>
    <w:rsid w:val="0040530A"/>
    <w:rsid w:val="00406B9A"/>
    <w:rsid w:val="00406FD6"/>
    <w:rsid w:val="0040722C"/>
    <w:rsid w:val="00410A7C"/>
    <w:rsid w:val="00410D70"/>
    <w:rsid w:val="004119AE"/>
    <w:rsid w:val="00412C87"/>
    <w:rsid w:val="00412F9B"/>
    <w:rsid w:val="00413138"/>
    <w:rsid w:val="004166DF"/>
    <w:rsid w:val="0041764C"/>
    <w:rsid w:val="00420719"/>
    <w:rsid w:val="004209F6"/>
    <w:rsid w:val="00420A08"/>
    <w:rsid w:val="00420BAB"/>
    <w:rsid w:val="00420D0A"/>
    <w:rsid w:val="00421927"/>
    <w:rsid w:val="0042208C"/>
    <w:rsid w:val="0042312E"/>
    <w:rsid w:val="00423182"/>
    <w:rsid w:val="00423A1E"/>
    <w:rsid w:val="00424191"/>
    <w:rsid w:val="00424755"/>
    <w:rsid w:val="0042597B"/>
    <w:rsid w:val="00425D1B"/>
    <w:rsid w:val="004264E9"/>
    <w:rsid w:val="00426C69"/>
    <w:rsid w:val="00427045"/>
    <w:rsid w:val="00427862"/>
    <w:rsid w:val="004303AB"/>
    <w:rsid w:val="004310AD"/>
    <w:rsid w:val="00431D63"/>
    <w:rsid w:val="004327FC"/>
    <w:rsid w:val="00432DE7"/>
    <w:rsid w:val="00434B23"/>
    <w:rsid w:val="00434B41"/>
    <w:rsid w:val="0043526F"/>
    <w:rsid w:val="00435459"/>
    <w:rsid w:val="004356A9"/>
    <w:rsid w:val="00437672"/>
    <w:rsid w:val="004405B3"/>
    <w:rsid w:val="004410BF"/>
    <w:rsid w:val="00441347"/>
    <w:rsid w:val="00441A24"/>
    <w:rsid w:val="00442A14"/>
    <w:rsid w:val="00442E95"/>
    <w:rsid w:val="00443AA0"/>
    <w:rsid w:val="004441F2"/>
    <w:rsid w:val="00444706"/>
    <w:rsid w:val="004453AE"/>
    <w:rsid w:val="00446369"/>
    <w:rsid w:val="00447552"/>
    <w:rsid w:val="00450A98"/>
    <w:rsid w:val="00450D2D"/>
    <w:rsid w:val="004510B5"/>
    <w:rsid w:val="00452689"/>
    <w:rsid w:val="00452867"/>
    <w:rsid w:val="00452E49"/>
    <w:rsid w:val="0045495A"/>
    <w:rsid w:val="00454DA2"/>
    <w:rsid w:val="00454E3B"/>
    <w:rsid w:val="004559C6"/>
    <w:rsid w:val="00456C3A"/>
    <w:rsid w:val="00456D52"/>
    <w:rsid w:val="004570B3"/>
    <w:rsid w:val="004579C0"/>
    <w:rsid w:val="00460AA2"/>
    <w:rsid w:val="00460CDF"/>
    <w:rsid w:val="00461056"/>
    <w:rsid w:val="004615AC"/>
    <w:rsid w:val="0046234F"/>
    <w:rsid w:val="0046313F"/>
    <w:rsid w:val="004631E8"/>
    <w:rsid w:val="00463FF2"/>
    <w:rsid w:val="0046467D"/>
    <w:rsid w:val="00464ADF"/>
    <w:rsid w:val="004656E9"/>
    <w:rsid w:val="00465B26"/>
    <w:rsid w:val="0046668F"/>
    <w:rsid w:val="00466C12"/>
    <w:rsid w:val="004674C1"/>
    <w:rsid w:val="00467667"/>
    <w:rsid w:val="00467796"/>
    <w:rsid w:val="00470519"/>
    <w:rsid w:val="00470645"/>
    <w:rsid w:val="004708AD"/>
    <w:rsid w:val="0047126D"/>
    <w:rsid w:val="0047167A"/>
    <w:rsid w:val="00471859"/>
    <w:rsid w:val="004725B3"/>
    <w:rsid w:val="0047297E"/>
    <w:rsid w:val="00472F0C"/>
    <w:rsid w:val="00472FA8"/>
    <w:rsid w:val="004733BE"/>
    <w:rsid w:val="00474B5D"/>
    <w:rsid w:val="0047593B"/>
    <w:rsid w:val="00475EBD"/>
    <w:rsid w:val="00475EC0"/>
    <w:rsid w:val="00476025"/>
    <w:rsid w:val="00476517"/>
    <w:rsid w:val="00476C68"/>
    <w:rsid w:val="004770E8"/>
    <w:rsid w:val="00477E00"/>
    <w:rsid w:val="00480057"/>
    <w:rsid w:val="00480254"/>
    <w:rsid w:val="004817DB"/>
    <w:rsid w:val="00483C13"/>
    <w:rsid w:val="00483ED9"/>
    <w:rsid w:val="00483EE2"/>
    <w:rsid w:val="004843E3"/>
    <w:rsid w:val="004843F0"/>
    <w:rsid w:val="0048473E"/>
    <w:rsid w:val="00485222"/>
    <w:rsid w:val="00485322"/>
    <w:rsid w:val="0048559B"/>
    <w:rsid w:val="004856B0"/>
    <w:rsid w:val="0048647D"/>
    <w:rsid w:val="004864CE"/>
    <w:rsid w:val="004865EC"/>
    <w:rsid w:val="0049003E"/>
    <w:rsid w:val="00490C20"/>
    <w:rsid w:val="00490CDF"/>
    <w:rsid w:val="004917F0"/>
    <w:rsid w:val="00491E12"/>
    <w:rsid w:val="00492DA4"/>
    <w:rsid w:val="004939CD"/>
    <w:rsid w:val="00493C5F"/>
    <w:rsid w:val="00494869"/>
    <w:rsid w:val="004949A1"/>
    <w:rsid w:val="004949CF"/>
    <w:rsid w:val="00495A25"/>
    <w:rsid w:val="0049683B"/>
    <w:rsid w:val="0049689A"/>
    <w:rsid w:val="00496A30"/>
    <w:rsid w:val="00496AC5"/>
    <w:rsid w:val="0049782E"/>
    <w:rsid w:val="00497CCA"/>
    <w:rsid w:val="004A0C28"/>
    <w:rsid w:val="004A17FF"/>
    <w:rsid w:val="004A23ED"/>
    <w:rsid w:val="004A2A3C"/>
    <w:rsid w:val="004A2AEB"/>
    <w:rsid w:val="004A2CF4"/>
    <w:rsid w:val="004A3CD1"/>
    <w:rsid w:val="004A4857"/>
    <w:rsid w:val="004A4EB3"/>
    <w:rsid w:val="004A5046"/>
    <w:rsid w:val="004A52CE"/>
    <w:rsid w:val="004A5A18"/>
    <w:rsid w:val="004A5A83"/>
    <w:rsid w:val="004A5EF9"/>
    <w:rsid w:val="004A783B"/>
    <w:rsid w:val="004A7C08"/>
    <w:rsid w:val="004B0468"/>
    <w:rsid w:val="004B0794"/>
    <w:rsid w:val="004B1802"/>
    <w:rsid w:val="004B220D"/>
    <w:rsid w:val="004B2236"/>
    <w:rsid w:val="004B2585"/>
    <w:rsid w:val="004B2E32"/>
    <w:rsid w:val="004B5365"/>
    <w:rsid w:val="004B62F9"/>
    <w:rsid w:val="004B65B4"/>
    <w:rsid w:val="004B68B2"/>
    <w:rsid w:val="004B69C9"/>
    <w:rsid w:val="004B716D"/>
    <w:rsid w:val="004B73F4"/>
    <w:rsid w:val="004C018C"/>
    <w:rsid w:val="004C07DD"/>
    <w:rsid w:val="004C16C2"/>
    <w:rsid w:val="004C1CB2"/>
    <w:rsid w:val="004C2C81"/>
    <w:rsid w:val="004C30E3"/>
    <w:rsid w:val="004C390F"/>
    <w:rsid w:val="004C3B8C"/>
    <w:rsid w:val="004C45D2"/>
    <w:rsid w:val="004C45FB"/>
    <w:rsid w:val="004C4705"/>
    <w:rsid w:val="004C487C"/>
    <w:rsid w:val="004C4E5D"/>
    <w:rsid w:val="004C5A63"/>
    <w:rsid w:val="004C5A80"/>
    <w:rsid w:val="004C5C80"/>
    <w:rsid w:val="004C5F2B"/>
    <w:rsid w:val="004C60BA"/>
    <w:rsid w:val="004C6261"/>
    <w:rsid w:val="004C6600"/>
    <w:rsid w:val="004C7347"/>
    <w:rsid w:val="004C7657"/>
    <w:rsid w:val="004C7690"/>
    <w:rsid w:val="004D05C9"/>
    <w:rsid w:val="004D13AF"/>
    <w:rsid w:val="004D1A04"/>
    <w:rsid w:val="004D295E"/>
    <w:rsid w:val="004D3A28"/>
    <w:rsid w:val="004D3B4E"/>
    <w:rsid w:val="004D3B54"/>
    <w:rsid w:val="004D4282"/>
    <w:rsid w:val="004D432F"/>
    <w:rsid w:val="004D4342"/>
    <w:rsid w:val="004D6500"/>
    <w:rsid w:val="004D7DE9"/>
    <w:rsid w:val="004E0670"/>
    <w:rsid w:val="004E06FF"/>
    <w:rsid w:val="004E104F"/>
    <w:rsid w:val="004E116B"/>
    <w:rsid w:val="004E1421"/>
    <w:rsid w:val="004E1794"/>
    <w:rsid w:val="004E187B"/>
    <w:rsid w:val="004E1D18"/>
    <w:rsid w:val="004E4039"/>
    <w:rsid w:val="004E4FB0"/>
    <w:rsid w:val="004E55B2"/>
    <w:rsid w:val="004E6D3F"/>
    <w:rsid w:val="004E7012"/>
    <w:rsid w:val="004E7750"/>
    <w:rsid w:val="004E7BB7"/>
    <w:rsid w:val="004E7E6E"/>
    <w:rsid w:val="004F0863"/>
    <w:rsid w:val="004F132B"/>
    <w:rsid w:val="004F1A11"/>
    <w:rsid w:val="004F1D0A"/>
    <w:rsid w:val="004F1E60"/>
    <w:rsid w:val="004F31CB"/>
    <w:rsid w:val="004F3929"/>
    <w:rsid w:val="004F3C39"/>
    <w:rsid w:val="004F4338"/>
    <w:rsid w:val="004F4FE9"/>
    <w:rsid w:val="004F5037"/>
    <w:rsid w:val="004F5E43"/>
    <w:rsid w:val="004F5ECC"/>
    <w:rsid w:val="004F6004"/>
    <w:rsid w:val="004F6635"/>
    <w:rsid w:val="004F68C8"/>
    <w:rsid w:val="004F6A91"/>
    <w:rsid w:val="00500486"/>
    <w:rsid w:val="00500571"/>
    <w:rsid w:val="00501923"/>
    <w:rsid w:val="00502855"/>
    <w:rsid w:val="00502C26"/>
    <w:rsid w:val="00502FFB"/>
    <w:rsid w:val="00503486"/>
    <w:rsid w:val="00503A00"/>
    <w:rsid w:val="00503D30"/>
    <w:rsid w:val="0050445F"/>
    <w:rsid w:val="0050495C"/>
    <w:rsid w:val="00504CE9"/>
    <w:rsid w:val="00504DA2"/>
    <w:rsid w:val="005057D5"/>
    <w:rsid w:val="00505C3D"/>
    <w:rsid w:val="00506A9F"/>
    <w:rsid w:val="00506D66"/>
    <w:rsid w:val="00506EF4"/>
    <w:rsid w:val="0050735D"/>
    <w:rsid w:val="00507531"/>
    <w:rsid w:val="005103AD"/>
    <w:rsid w:val="00511512"/>
    <w:rsid w:val="0051222D"/>
    <w:rsid w:val="00513981"/>
    <w:rsid w:val="005145D9"/>
    <w:rsid w:val="00514DDF"/>
    <w:rsid w:val="00515124"/>
    <w:rsid w:val="00515CF7"/>
    <w:rsid w:val="005162F6"/>
    <w:rsid w:val="0051650F"/>
    <w:rsid w:val="00516753"/>
    <w:rsid w:val="00516A44"/>
    <w:rsid w:val="00516B89"/>
    <w:rsid w:val="00516F6C"/>
    <w:rsid w:val="00517363"/>
    <w:rsid w:val="00517E3E"/>
    <w:rsid w:val="00521054"/>
    <w:rsid w:val="0052166E"/>
    <w:rsid w:val="00521B67"/>
    <w:rsid w:val="0052290B"/>
    <w:rsid w:val="00523076"/>
    <w:rsid w:val="005231D5"/>
    <w:rsid w:val="00524485"/>
    <w:rsid w:val="00524548"/>
    <w:rsid w:val="005251C6"/>
    <w:rsid w:val="005252F4"/>
    <w:rsid w:val="005265C5"/>
    <w:rsid w:val="00527F2F"/>
    <w:rsid w:val="0053001B"/>
    <w:rsid w:val="00530EEF"/>
    <w:rsid w:val="005313C2"/>
    <w:rsid w:val="005314A3"/>
    <w:rsid w:val="00531F69"/>
    <w:rsid w:val="005323FE"/>
    <w:rsid w:val="00533848"/>
    <w:rsid w:val="00533E8D"/>
    <w:rsid w:val="00535E7F"/>
    <w:rsid w:val="00535F37"/>
    <w:rsid w:val="0053618C"/>
    <w:rsid w:val="005364F6"/>
    <w:rsid w:val="00536795"/>
    <w:rsid w:val="00536A94"/>
    <w:rsid w:val="00536C23"/>
    <w:rsid w:val="00536C5B"/>
    <w:rsid w:val="00537031"/>
    <w:rsid w:val="00537333"/>
    <w:rsid w:val="0053734D"/>
    <w:rsid w:val="00537759"/>
    <w:rsid w:val="00537A6D"/>
    <w:rsid w:val="00537CAE"/>
    <w:rsid w:val="00540877"/>
    <w:rsid w:val="00540D4D"/>
    <w:rsid w:val="00542544"/>
    <w:rsid w:val="00542837"/>
    <w:rsid w:val="0054374F"/>
    <w:rsid w:val="005443A2"/>
    <w:rsid w:val="0054462F"/>
    <w:rsid w:val="00545F02"/>
    <w:rsid w:val="005461C7"/>
    <w:rsid w:val="0054686D"/>
    <w:rsid w:val="00547621"/>
    <w:rsid w:val="00550BB4"/>
    <w:rsid w:val="00551116"/>
    <w:rsid w:val="0055128D"/>
    <w:rsid w:val="0055131C"/>
    <w:rsid w:val="005518F6"/>
    <w:rsid w:val="0055230A"/>
    <w:rsid w:val="00552A3A"/>
    <w:rsid w:val="005534BA"/>
    <w:rsid w:val="005536A8"/>
    <w:rsid w:val="00553D52"/>
    <w:rsid w:val="00554A1A"/>
    <w:rsid w:val="005563F6"/>
    <w:rsid w:val="005565EC"/>
    <w:rsid w:val="00556DB7"/>
    <w:rsid w:val="00557422"/>
    <w:rsid w:val="00557B38"/>
    <w:rsid w:val="0056011B"/>
    <w:rsid w:val="00560916"/>
    <w:rsid w:val="00560940"/>
    <w:rsid w:val="00560C23"/>
    <w:rsid w:val="0056160D"/>
    <w:rsid w:val="00562285"/>
    <w:rsid w:val="0056274C"/>
    <w:rsid w:val="0056298B"/>
    <w:rsid w:val="00562D4C"/>
    <w:rsid w:val="00563EEA"/>
    <w:rsid w:val="0056458D"/>
    <w:rsid w:val="00564C7E"/>
    <w:rsid w:val="0056577B"/>
    <w:rsid w:val="005658BD"/>
    <w:rsid w:val="00565D00"/>
    <w:rsid w:val="00565DD7"/>
    <w:rsid w:val="00565F61"/>
    <w:rsid w:val="005669FD"/>
    <w:rsid w:val="00566B5F"/>
    <w:rsid w:val="005670BD"/>
    <w:rsid w:val="005675BC"/>
    <w:rsid w:val="00567A3B"/>
    <w:rsid w:val="00567D17"/>
    <w:rsid w:val="00571A03"/>
    <w:rsid w:val="00571F17"/>
    <w:rsid w:val="0057205F"/>
    <w:rsid w:val="00572688"/>
    <w:rsid w:val="005730D3"/>
    <w:rsid w:val="005734B2"/>
    <w:rsid w:val="00573570"/>
    <w:rsid w:val="00573B30"/>
    <w:rsid w:val="00573EF3"/>
    <w:rsid w:val="00574B45"/>
    <w:rsid w:val="00575828"/>
    <w:rsid w:val="00575BAE"/>
    <w:rsid w:val="00575D3F"/>
    <w:rsid w:val="00575F38"/>
    <w:rsid w:val="005762AE"/>
    <w:rsid w:val="0057760A"/>
    <w:rsid w:val="00577728"/>
    <w:rsid w:val="005820E7"/>
    <w:rsid w:val="0058262E"/>
    <w:rsid w:val="005836BC"/>
    <w:rsid w:val="00583A69"/>
    <w:rsid w:val="00583AA9"/>
    <w:rsid w:val="00583DCB"/>
    <w:rsid w:val="0058417F"/>
    <w:rsid w:val="005843BB"/>
    <w:rsid w:val="0058512C"/>
    <w:rsid w:val="00586065"/>
    <w:rsid w:val="0058637E"/>
    <w:rsid w:val="005869BC"/>
    <w:rsid w:val="00586A1B"/>
    <w:rsid w:val="00586C31"/>
    <w:rsid w:val="0059040D"/>
    <w:rsid w:val="0059173B"/>
    <w:rsid w:val="00591F21"/>
    <w:rsid w:val="005924F8"/>
    <w:rsid w:val="0059266B"/>
    <w:rsid w:val="00592F2A"/>
    <w:rsid w:val="00593587"/>
    <w:rsid w:val="00593931"/>
    <w:rsid w:val="0059427F"/>
    <w:rsid w:val="00594369"/>
    <w:rsid w:val="0059605E"/>
    <w:rsid w:val="005963D9"/>
    <w:rsid w:val="00596798"/>
    <w:rsid w:val="00596B5A"/>
    <w:rsid w:val="00596DBE"/>
    <w:rsid w:val="00596DFA"/>
    <w:rsid w:val="00596E67"/>
    <w:rsid w:val="0059700A"/>
    <w:rsid w:val="005970D7"/>
    <w:rsid w:val="00597750"/>
    <w:rsid w:val="005A0568"/>
    <w:rsid w:val="005A0993"/>
    <w:rsid w:val="005A1089"/>
    <w:rsid w:val="005A1AFD"/>
    <w:rsid w:val="005A1BD5"/>
    <w:rsid w:val="005A1E03"/>
    <w:rsid w:val="005A2C38"/>
    <w:rsid w:val="005A3955"/>
    <w:rsid w:val="005A4458"/>
    <w:rsid w:val="005A447E"/>
    <w:rsid w:val="005A4577"/>
    <w:rsid w:val="005A4ADE"/>
    <w:rsid w:val="005A57E8"/>
    <w:rsid w:val="005A59AD"/>
    <w:rsid w:val="005A7701"/>
    <w:rsid w:val="005A7903"/>
    <w:rsid w:val="005A7A1B"/>
    <w:rsid w:val="005B0441"/>
    <w:rsid w:val="005B1695"/>
    <w:rsid w:val="005B1E6D"/>
    <w:rsid w:val="005B2FE0"/>
    <w:rsid w:val="005B3340"/>
    <w:rsid w:val="005B4BE1"/>
    <w:rsid w:val="005B4F02"/>
    <w:rsid w:val="005B5219"/>
    <w:rsid w:val="005B53B1"/>
    <w:rsid w:val="005B58EA"/>
    <w:rsid w:val="005B5CE1"/>
    <w:rsid w:val="005B5CF8"/>
    <w:rsid w:val="005B5DDD"/>
    <w:rsid w:val="005B5FF1"/>
    <w:rsid w:val="005B606E"/>
    <w:rsid w:val="005B6528"/>
    <w:rsid w:val="005B6B60"/>
    <w:rsid w:val="005B6E7A"/>
    <w:rsid w:val="005B6ECD"/>
    <w:rsid w:val="005B762D"/>
    <w:rsid w:val="005B7A96"/>
    <w:rsid w:val="005B7FCE"/>
    <w:rsid w:val="005C012E"/>
    <w:rsid w:val="005C19AD"/>
    <w:rsid w:val="005C1B49"/>
    <w:rsid w:val="005C1C18"/>
    <w:rsid w:val="005C1C73"/>
    <w:rsid w:val="005C1F61"/>
    <w:rsid w:val="005C247A"/>
    <w:rsid w:val="005C2B0C"/>
    <w:rsid w:val="005C2C38"/>
    <w:rsid w:val="005C2D99"/>
    <w:rsid w:val="005C3493"/>
    <w:rsid w:val="005C3E7E"/>
    <w:rsid w:val="005C4380"/>
    <w:rsid w:val="005C4D0E"/>
    <w:rsid w:val="005C4DFD"/>
    <w:rsid w:val="005C5869"/>
    <w:rsid w:val="005C5DE5"/>
    <w:rsid w:val="005C5F73"/>
    <w:rsid w:val="005C5FEF"/>
    <w:rsid w:val="005C6014"/>
    <w:rsid w:val="005C6644"/>
    <w:rsid w:val="005C678E"/>
    <w:rsid w:val="005C690F"/>
    <w:rsid w:val="005C7C8A"/>
    <w:rsid w:val="005D04B7"/>
    <w:rsid w:val="005D093B"/>
    <w:rsid w:val="005D098B"/>
    <w:rsid w:val="005D150F"/>
    <w:rsid w:val="005D19A3"/>
    <w:rsid w:val="005D1FF1"/>
    <w:rsid w:val="005D211C"/>
    <w:rsid w:val="005D2238"/>
    <w:rsid w:val="005D23C7"/>
    <w:rsid w:val="005D29B2"/>
    <w:rsid w:val="005D30A6"/>
    <w:rsid w:val="005D3107"/>
    <w:rsid w:val="005D3353"/>
    <w:rsid w:val="005D3719"/>
    <w:rsid w:val="005D3BEB"/>
    <w:rsid w:val="005D46B7"/>
    <w:rsid w:val="005D4C8A"/>
    <w:rsid w:val="005D518A"/>
    <w:rsid w:val="005D53FF"/>
    <w:rsid w:val="005D7151"/>
    <w:rsid w:val="005D72B0"/>
    <w:rsid w:val="005D72FA"/>
    <w:rsid w:val="005D7B0C"/>
    <w:rsid w:val="005D7E0B"/>
    <w:rsid w:val="005E03DD"/>
    <w:rsid w:val="005E10A0"/>
    <w:rsid w:val="005E1346"/>
    <w:rsid w:val="005E2F8A"/>
    <w:rsid w:val="005E336F"/>
    <w:rsid w:val="005E3AFF"/>
    <w:rsid w:val="005E3B6F"/>
    <w:rsid w:val="005E3F6F"/>
    <w:rsid w:val="005E4CA8"/>
    <w:rsid w:val="005E5759"/>
    <w:rsid w:val="005E5F15"/>
    <w:rsid w:val="005E6381"/>
    <w:rsid w:val="005E6D9F"/>
    <w:rsid w:val="005E6E4B"/>
    <w:rsid w:val="005E7A01"/>
    <w:rsid w:val="005E7EE7"/>
    <w:rsid w:val="005F0005"/>
    <w:rsid w:val="005F0CD6"/>
    <w:rsid w:val="005F0E0B"/>
    <w:rsid w:val="005F1088"/>
    <w:rsid w:val="005F2EAF"/>
    <w:rsid w:val="005F3945"/>
    <w:rsid w:val="005F3CE7"/>
    <w:rsid w:val="005F3E5A"/>
    <w:rsid w:val="005F693F"/>
    <w:rsid w:val="005F6A43"/>
    <w:rsid w:val="005F7441"/>
    <w:rsid w:val="006003F8"/>
    <w:rsid w:val="00600C8B"/>
    <w:rsid w:val="00601076"/>
    <w:rsid w:val="0060108F"/>
    <w:rsid w:val="006019CD"/>
    <w:rsid w:val="00601E40"/>
    <w:rsid w:val="00603A43"/>
    <w:rsid w:val="006056E9"/>
    <w:rsid w:val="00606024"/>
    <w:rsid w:val="00606346"/>
    <w:rsid w:val="00606740"/>
    <w:rsid w:val="00606867"/>
    <w:rsid w:val="006068C4"/>
    <w:rsid w:val="0060771D"/>
    <w:rsid w:val="00607AA0"/>
    <w:rsid w:val="00607B4B"/>
    <w:rsid w:val="006106DE"/>
    <w:rsid w:val="006108F0"/>
    <w:rsid w:val="00610914"/>
    <w:rsid w:val="00610C00"/>
    <w:rsid w:val="00610F6E"/>
    <w:rsid w:val="00611E11"/>
    <w:rsid w:val="006122C4"/>
    <w:rsid w:val="0061233B"/>
    <w:rsid w:val="00612FB0"/>
    <w:rsid w:val="0061333B"/>
    <w:rsid w:val="00613414"/>
    <w:rsid w:val="00613A57"/>
    <w:rsid w:val="00614338"/>
    <w:rsid w:val="006152BF"/>
    <w:rsid w:val="00615720"/>
    <w:rsid w:val="006157F8"/>
    <w:rsid w:val="00615F7C"/>
    <w:rsid w:val="006167BF"/>
    <w:rsid w:val="00616980"/>
    <w:rsid w:val="006170D0"/>
    <w:rsid w:val="0061746C"/>
    <w:rsid w:val="00620927"/>
    <w:rsid w:val="00621F0E"/>
    <w:rsid w:val="00621F7B"/>
    <w:rsid w:val="00622712"/>
    <w:rsid w:val="0062272D"/>
    <w:rsid w:val="0062283C"/>
    <w:rsid w:val="00622AC7"/>
    <w:rsid w:val="00622ADF"/>
    <w:rsid w:val="00623386"/>
    <w:rsid w:val="00623407"/>
    <w:rsid w:val="00623673"/>
    <w:rsid w:val="00625F0F"/>
    <w:rsid w:val="00630420"/>
    <w:rsid w:val="006316B9"/>
    <w:rsid w:val="0063279D"/>
    <w:rsid w:val="00632A22"/>
    <w:rsid w:val="006333FE"/>
    <w:rsid w:val="00633A0E"/>
    <w:rsid w:val="00633F0A"/>
    <w:rsid w:val="00633FB3"/>
    <w:rsid w:val="006346A5"/>
    <w:rsid w:val="00634FBF"/>
    <w:rsid w:val="00635553"/>
    <w:rsid w:val="00636775"/>
    <w:rsid w:val="00637A08"/>
    <w:rsid w:val="006406B4"/>
    <w:rsid w:val="00640BE9"/>
    <w:rsid w:val="00640C43"/>
    <w:rsid w:val="00640E96"/>
    <w:rsid w:val="00641378"/>
    <w:rsid w:val="00641FCF"/>
    <w:rsid w:val="00642DB5"/>
    <w:rsid w:val="006434D5"/>
    <w:rsid w:val="006434E5"/>
    <w:rsid w:val="006438F6"/>
    <w:rsid w:val="00645707"/>
    <w:rsid w:val="0064572B"/>
    <w:rsid w:val="00646FD9"/>
    <w:rsid w:val="00647AE6"/>
    <w:rsid w:val="00647B4A"/>
    <w:rsid w:val="00647ECB"/>
    <w:rsid w:val="00650847"/>
    <w:rsid w:val="006512FE"/>
    <w:rsid w:val="0065220C"/>
    <w:rsid w:val="006523F2"/>
    <w:rsid w:val="0065275B"/>
    <w:rsid w:val="0065279A"/>
    <w:rsid w:val="00652895"/>
    <w:rsid w:val="00655F0A"/>
    <w:rsid w:val="00656EAD"/>
    <w:rsid w:val="00657578"/>
    <w:rsid w:val="00657BB7"/>
    <w:rsid w:val="00661377"/>
    <w:rsid w:val="00661631"/>
    <w:rsid w:val="00661653"/>
    <w:rsid w:val="0066204E"/>
    <w:rsid w:val="00662D7E"/>
    <w:rsid w:val="00663107"/>
    <w:rsid w:val="006633C8"/>
    <w:rsid w:val="006635F3"/>
    <w:rsid w:val="00663C91"/>
    <w:rsid w:val="00664375"/>
    <w:rsid w:val="00664E2A"/>
    <w:rsid w:val="00664FC9"/>
    <w:rsid w:val="00666045"/>
    <w:rsid w:val="00666A2B"/>
    <w:rsid w:val="00666C87"/>
    <w:rsid w:val="00666D7B"/>
    <w:rsid w:val="00667064"/>
    <w:rsid w:val="006676ED"/>
    <w:rsid w:val="00667D15"/>
    <w:rsid w:val="006708A7"/>
    <w:rsid w:val="00671085"/>
    <w:rsid w:val="006733BA"/>
    <w:rsid w:val="00673EF1"/>
    <w:rsid w:val="00674632"/>
    <w:rsid w:val="0067653E"/>
    <w:rsid w:val="00676746"/>
    <w:rsid w:val="006771EA"/>
    <w:rsid w:val="0067786F"/>
    <w:rsid w:val="00680246"/>
    <w:rsid w:val="006806F8"/>
    <w:rsid w:val="006825E9"/>
    <w:rsid w:val="006830EB"/>
    <w:rsid w:val="006836D5"/>
    <w:rsid w:val="00683BE6"/>
    <w:rsid w:val="00683DDE"/>
    <w:rsid w:val="00685F80"/>
    <w:rsid w:val="0068666F"/>
    <w:rsid w:val="0068668E"/>
    <w:rsid w:val="006866E0"/>
    <w:rsid w:val="006874F9"/>
    <w:rsid w:val="00687990"/>
    <w:rsid w:val="00687E7B"/>
    <w:rsid w:val="006908CB"/>
    <w:rsid w:val="00690FC8"/>
    <w:rsid w:val="006913FA"/>
    <w:rsid w:val="00691A4B"/>
    <w:rsid w:val="00691A61"/>
    <w:rsid w:val="006929A3"/>
    <w:rsid w:val="0069314E"/>
    <w:rsid w:val="006932EF"/>
    <w:rsid w:val="00693480"/>
    <w:rsid w:val="0069360B"/>
    <w:rsid w:val="00693A61"/>
    <w:rsid w:val="00694139"/>
    <w:rsid w:val="00694283"/>
    <w:rsid w:val="006945B9"/>
    <w:rsid w:val="00694F4B"/>
    <w:rsid w:val="00695970"/>
    <w:rsid w:val="00696D7F"/>
    <w:rsid w:val="00697009"/>
    <w:rsid w:val="0069746D"/>
    <w:rsid w:val="00697563"/>
    <w:rsid w:val="00697781"/>
    <w:rsid w:val="006978EF"/>
    <w:rsid w:val="006A0398"/>
    <w:rsid w:val="006A05A3"/>
    <w:rsid w:val="006A2217"/>
    <w:rsid w:val="006A221B"/>
    <w:rsid w:val="006A2741"/>
    <w:rsid w:val="006A2D2D"/>
    <w:rsid w:val="006A3070"/>
    <w:rsid w:val="006A3AB2"/>
    <w:rsid w:val="006A3AE7"/>
    <w:rsid w:val="006A3B43"/>
    <w:rsid w:val="006A444E"/>
    <w:rsid w:val="006A4EF2"/>
    <w:rsid w:val="006A50EC"/>
    <w:rsid w:val="006A62A4"/>
    <w:rsid w:val="006A7548"/>
    <w:rsid w:val="006B1711"/>
    <w:rsid w:val="006B1B3D"/>
    <w:rsid w:val="006B1B67"/>
    <w:rsid w:val="006B1C8C"/>
    <w:rsid w:val="006B1CCA"/>
    <w:rsid w:val="006B2000"/>
    <w:rsid w:val="006B21D6"/>
    <w:rsid w:val="006B24A5"/>
    <w:rsid w:val="006B2581"/>
    <w:rsid w:val="006B2719"/>
    <w:rsid w:val="006B2928"/>
    <w:rsid w:val="006B3DE3"/>
    <w:rsid w:val="006B43A2"/>
    <w:rsid w:val="006B456E"/>
    <w:rsid w:val="006B560B"/>
    <w:rsid w:val="006B5B33"/>
    <w:rsid w:val="006B74A3"/>
    <w:rsid w:val="006B756C"/>
    <w:rsid w:val="006B77BB"/>
    <w:rsid w:val="006B7839"/>
    <w:rsid w:val="006B7EBB"/>
    <w:rsid w:val="006C104A"/>
    <w:rsid w:val="006C20C4"/>
    <w:rsid w:val="006C26A3"/>
    <w:rsid w:val="006C31BD"/>
    <w:rsid w:val="006C3807"/>
    <w:rsid w:val="006C3B59"/>
    <w:rsid w:val="006C4E03"/>
    <w:rsid w:val="006C5A68"/>
    <w:rsid w:val="006C5C1E"/>
    <w:rsid w:val="006C5C72"/>
    <w:rsid w:val="006C6200"/>
    <w:rsid w:val="006C6651"/>
    <w:rsid w:val="006C77FB"/>
    <w:rsid w:val="006C788C"/>
    <w:rsid w:val="006C7966"/>
    <w:rsid w:val="006D00E2"/>
    <w:rsid w:val="006D0431"/>
    <w:rsid w:val="006D16D9"/>
    <w:rsid w:val="006D25A6"/>
    <w:rsid w:val="006D2CE5"/>
    <w:rsid w:val="006D312A"/>
    <w:rsid w:val="006D31C2"/>
    <w:rsid w:val="006D3326"/>
    <w:rsid w:val="006D3650"/>
    <w:rsid w:val="006D371E"/>
    <w:rsid w:val="006D3B08"/>
    <w:rsid w:val="006D3ED3"/>
    <w:rsid w:val="006D43CD"/>
    <w:rsid w:val="006D4446"/>
    <w:rsid w:val="006D4D78"/>
    <w:rsid w:val="006D517F"/>
    <w:rsid w:val="006D5EC7"/>
    <w:rsid w:val="006D6337"/>
    <w:rsid w:val="006D6B6C"/>
    <w:rsid w:val="006D6FD4"/>
    <w:rsid w:val="006D7AE9"/>
    <w:rsid w:val="006E11B2"/>
    <w:rsid w:val="006E12BF"/>
    <w:rsid w:val="006E154B"/>
    <w:rsid w:val="006E1752"/>
    <w:rsid w:val="006E1BC9"/>
    <w:rsid w:val="006E21BD"/>
    <w:rsid w:val="006E2615"/>
    <w:rsid w:val="006E3885"/>
    <w:rsid w:val="006E3C13"/>
    <w:rsid w:val="006E3CDD"/>
    <w:rsid w:val="006E4492"/>
    <w:rsid w:val="006E570F"/>
    <w:rsid w:val="006E5995"/>
    <w:rsid w:val="006E5E5C"/>
    <w:rsid w:val="006E606F"/>
    <w:rsid w:val="006E6979"/>
    <w:rsid w:val="006F0455"/>
    <w:rsid w:val="006F058E"/>
    <w:rsid w:val="006F08E2"/>
    <w:rsid w:val="006F0BB1"/>
    <w:rsid w:val="006F177B"/>
    <w:rsid w:val="006F19E9"/>
    <w:rsid w:val="006F2009"/>
    <w:rsid w:val="006F2149"/>
    <w:rsid w:val="006F2674"/>
    <w:rsid w:val="006F2BD6"/>
    <w:rsid w:val="006F395A"/>
    <w:rsid w:val="006F3BAC"/>
    <w:rsid w:val="006F41F2"/>
    <w:rsid w:val="006F468A"/>
    <w:rsid w:val="006F4EF9"/>
    <w:rsid w:val="006F5241"/>
    <w:rsid w:val="006F6464"/>
    <w:rsid w:val="006F6A15"/>
    <w:rsid w:val="006F70BF"/>
    <w:rsid w:val="006F7E2E"/>
    <w:rsid w:val="00700C5B"/>
    <w:rsid w:val="00700F5C"/>
    <w:rsid w:val="0070109C"/>
    <w:rsid w:val="007011B0"/>
    <w:rsid w:val="007014A7"/>
    <w:rsid w:val="00701EF4"/>
    <w:rsid w:val="00701F44"/>
    <w:rsid w:val="0070214E"/>
    <w:rsid w:val="0070327A"/>
    <w:rsid w:val="00703658"/>
    <w:rsid w:val="00703685"/>
    <w:rsid w:val="00703F57"/>
    <w:rsid w:val="0070438C"/>
    <w:rsid w:val="007051F4"/>
    <w:rsid w:val="007054D8"/>
    <w:rsid w:val="00706215"/>
    <w:rsid w:val="00706315"/>
    <w:rsid w:val="00706496"/>
    <w:rsid w:val="00706A76"/>
    <w:rsid w:val="00706AD9"/>
    <w:rsid w:val="007109DA"/>
    <w:rsid w:val="00710D1B"/>
    <w:rsid w:val="00711976"/>
    <w:rsid w:val="00712243"/>
    <w:rsid w:val="0071252C"/>
    <w:rsid w:val="00712A78"/>
    <w:rsid w:val="00712A7B"/>
    <w:rsid w:val="00713130"/>
    <w:rsid w:val="0071317A"/>
    <w:rsid w:val="007134D0"/>
    <w:rsid w:val="00713F43"/>
    <w:rsid w:val="00715E9F"/>
    <w:rsid w:val="00716452"/>
    <w:rsid w:val="00716F9F"/>
    <w:rsid w:val="0071715E"/>
    <w:rsid w:val="00717BE2"/>
    <w:rsid w:val="00717D9A"/>
    <w:rsid w:val="00720415"/>
    <w:rsid w:val="00720575"/>
    <w:rsid w:val="0072121F"/>
    <w:rsid w:val="00721727"/>
    <w:rsid w:val="0072204B"/>
    <w:rsid w:val="00723C65"/>
    <w:rsid w:val="007252CD"/>
    <w:rsid w:val="00725548"/>
    <w:rsid w:val="00725F85"/>
    <w:rsid w:val="00725FF1"/>
    <w:rsid w:val="007267C7"/>
    <w:rsid w:val="007269EF"/>
    <w:rsid w:val="00726DD0"/>
    <w:rsid w:val="00726E79"/>
    <w:rsid w:val="007273F6"/>
    <w:rsid w:val="0072744C"/>
    <w:rsid w:val="007277EF"/>
    <w:rsid w:val="00730411"/>
    <w:rsid w:val="00730494"/>
    <w:rsid w:val="0073050B"/>
    <w:rsid w:val="0073119D"/>
    <w:rsid w:val="007316E4"/>
    <w:rsid w:val="00731853"/>
    <w:rsid w:val="0073187D"/>
    <w:rsid w:val="00731E2C"/>
    <w:rsid w:val="00731FEC"/>
    <w:rsid w:val="00732363"/>
    <w:rsid w:val="00732716"/>
    <w:rsid w:val="007333CB"/>
    <w:rsid w:val="0073369A"/>
    <w:rsid w:val="007344E3"/>
    <w:rsid w:val="007363A9"/>
    <w:rsid w:val="007366EF"/>
    <w:rsid w:val="00737B24"/>
    <w:rsid w:val="00740367"/>
    <w:rsid w:val="00742502"/>
    <w:rsid w:val="00742546"/>
    <w:rsid w:val="007429BB"/>
    <w:rsid w:val="00743AFD"/>
    <w:rsid w:val="00743B9B"/>
    <w:rsid w:val="00743E71"/>
    <w:rsid w:val="007440EB"/>
    <w:rsid w:val="007448F9"/>
    <w:rsid w:val="00744A9F"/>
    <w:rsid w:val="00744D00"/>
    <w:rsid w:val="0074592C"/>
    <w:rsid w:val="00745D02"/>
    <w:rsid w:val="007460C8"/>
    <w:rsid w:val="0075004C"/>
    <w:rsid w:val="0075011C"/>
    <w:rsid w:val="00751260"/>
    <w:rsid w:val="00751870"/>
    <w:rsid w:val="00751ACF"/>
    <w:rsid w:val="007529AC"/>
    <w:rsid w:val="00753EAE"/>
    <w:rsid w:val="00754820"/>
    <w:rsid w:val="00754BDF"/>
    <w:rsid w:val="007555A4"/>
    <w:rsid w:val="00755B79"/>
    <w:rsid w:val="0075697E"/>
    <w:rsid w:val="00756E9C"/>
    <w:rsid w:val="007605AC"/>
    <w:rsid w:val="00761D41"/>
    <w:rsid w:val="00761D95"/>
    <w:rsid w:val="00762812"/>
    <w:rsid w:val="007629E1"/>
    <w:rsid w:val="007630BE"/>
    <w:rsid w:val="007634B4"/>
    <w:rsid w:val="00763744"/>
    <w:rsid w:val="00764350"/>
    <w:rsid w:val="00764433"/>
    <w:rsid w:val="00765AEF"/>
    <w:rsid w:val="0076636E"/>
    <w:rsid w:val="007669EC"/>
    <w:rsid w:val="007673D5"/>
    <w:rsid w:val="007677DC"/>
    <w:rsid w:val="007707ED"/>
    <w:rsid w:val="007711FF"/>
    <w:rsid w:val="00771428"/>
    <w:rsid w:val="00772768"/>
    <w:rsid w:val="00772916"/>
    <w:rsid w:val="007736B6"/>
    <w:rsid w:val="00773733"/>
    <w:rsid w:val="00773C94"/>
    <w:rsid w:val="007742C4"/>
    <w:rsid w:val="00774826"/>
    <w:rsid w:val="00774B67"/>
    <w:rsid w:val="00774E36"/>
    <w:rsid w:val="00775A5B"/>
    <w:rsid w:val="00776982"/>
    <w:rsid w:val="00776F2C"/>
    <w:rsid w:val="0077758E"/>
    <w:rsid w:val="0077784E"/>
    <w:rsid w:val="0077793F"/>
    <w:rsid w:val="00782608"/>
    <w:rsid w:val="00782737"/>
    <w:rsid w:val="00782DC7"/>
    <w:rsid w:val="0078369B"/>
    <w:rsid w:val="00783964"/>
    <w:rsid w:val="00783A39"/>
    <w:rsid w:val="007846D3"/>
    <w:rsid w:val="00784E1E"/>
    <w:rsid w:val="007855AE"/>
    <w:rsid w:val="007857C5"/>
    <w:rsid w:val="007864CF"/>
    <w:rsid w:val="0078697E"/>
    <w:rsid w:val="007869F8"/>
    <w:rsid w:val="00786BCE"/>
    <w:rsid w:val="00786F5D"/>
    <w:rsid w:val="007878CD"/>
    <w:rsid w:val="00787AC4"/>
    <w:rsid w:val="00787D8C"/>
    <w:rsid w:val="0079036E"/>
    <w:rsid w:val="00791714"/>
    <w:rsid w:val="00792244"/>
    <w:rsid w:val="007925C4"/>
    <w:rsid w:val="007931DE"/>
    <w:rsid w:val="007933E9"/>
    <w:rsid w:val="00793E98"/>
    <w:rsid w:val="007941D2"/>
    <w:rsid w:val="00794255"/>
    <w:rsid w:val="00794276"/>
    <w:rsid w:val="00794537"/>
    <w:rsid w:val="007946C1"/>
    <w:rsid w:val="00794A68"/>
    <w:rsid w:val="00794A7D"/>
    <w:rsid w:val="00794AE7"/>
    <w:rsid w:val="00794C0B"/>
    <w:rsid w:val="007964D9"/>
    <w:rsid w:val="007969FF"/>
    <w:rsid w:val="00796C50"/>
    <w:rsid w:val="00796CB8"/>
    <w:rsid w:val="00797280"/>
    <w:rsid w:val="007A0665"/>
    <w:rsid w:val="007A074C"/>
    <w:rsid w:val="007A104C"/>
    <w:rsid w:val="007A120B"/>
    <w:rsid w:val="007A138A"/>
    <w:rsid w:val="007A1493"/>
    <w:rsid w:val="007A21A3"/>
    <w:rsid w:val="007A32B5"/>
    <w:rsid w:val="007A3391"/>
    <w:rsid w:val="007A3432"/>
    <w:rsid w:val="007A3859"/>
    <w:rsid w:val="007A4990"/>
    <w:rsid w:val="007A5145"/>
    <w:rsid w:val="007A5D49"/>
    <w:rsid w:val="007A63BD"/>
    <w:rsid w:val="007A6E46"/>
    <w:rsid w:val="007A74DB"/>
    <w:rsid w:val="007B072D"/>
    <w:rsid w:val="007B0B90"/>
    <w:rsid w:val="007B1282"/>
    <w:rsid w:val="007B1BDC"/>
    <w:rsid w:val="007B2110"/>
    <w:rsid w:val="007B2472"/>
    <w:rsid w:val="007B2A8B"/>
    <w:rsid w:val="007B38B7"/>
    <w:rsid w:val="007B3B7A"/>
    <w:rsid w:val="007B4748"/>
    <w:rsid w:val="007B49FA"/>
    <w:rsid w:val="007B4DD0"/>
    <w:rsid w:val="007B528F"/>
    <w:rsid w:val="007B52C1"/>
    <w:rsid w:val="007B5948"/>
    <w:rsid w:val="007B599D"/>
    <w:rsid w:val="007B628E"/>
    <w:rsid w:val="007B6E11"/>
    <w:rsid w:val="007B796D"/>
    <w:rsid w:val="007C0020"/>
    <w:rsid w:val="007C0CB7"/>
    <w:rsid w:val="007C177C"/>
    <w:rsid w:val="007C191A"/>
    <w:rsid w:val="007C27BA"/>
    <w:rsid w:val="007C32B3"/>
    <w:rsid w:val="007C3C4C"/>
    <w:rsid w:val="007C48A3"/>
    <w:rsid w:val="007C4BE8"/>
    <w:rsid w:val="007C51B3"/>
    <w:rsid w:val="007C5240"/>
    <w:rsid w:val="007C5460"/>
    <w:rsid w:val="007C69E4"/>
    <w:rsid w:val="007C6BFB"/>
    <w:rsid w:val="007D0D90"/>
    <w:rsid w:val="007D171F"/>
    <w:rsid w:val="007D29C2"/>
    <w:rsid w:val="007D46E7"/>
    <w:rsid w:val="007D50D1"/>
    <w:rsid w:val="007D556B"/>
    <w:rsid w:val="007D5BDA"/>
    <w:rsid w:val="007D5E50"/>
    <w:rsid w:val="007D61D8"/>
    <w:rsid w:val="007D62E8"/>
    <w:rsid w:val="007D732C"/>
    <w:rsid w:val="007D76E1"/>
    <w:rsid w:val="007D77D9"/>
    <w:rsid w:val="007D7F06"/>
    <w:rsid w:val="007E0BCE"/>
    <w:rsid w:val="007E20FE"/>
    <w:rsid w:val="007E26A5"/>
    <w:rsid w:val="007E3336"/>
    <w:rsid w:val="007E3B86"/>
    <w:rsid w:val="007E3E73"/>
    <w:rsid w:val="007E40C1"/>
    <w:rsid w:val="007E57F8"/>
    <w:rsid w:val="007E5BA7"/>
    <w:rsid w:val="007E6949"/>
    <w:rsid w:val="007E6D35"/>
    <w:rsid w:val="007E6DA9"/>
    <w:rsid w:val="007E7454"/>
    <w:rsid w:val="007E7A98"/>
    <w:rsid w:val="007F0E46"/>
    <w:rsid w:val="007F1A99"/>
    <w:rsid w:val="007F1B11"/>
    <w:rsid w:val="007F1C82"/>
    <w:rsid w:val="007F290D"/>
    <w:rsid w:val="007F2E7F"/>
    <w:rsid w:val="007F4178"/>
    <w:rsid w:val="007F4991"/>
    <w:rsid w:val="007F5522"/>
    <w:rsid w:val="007F7233"/>
    <w:rsid w:val="007F7572"/>
    <w:rsid w:val="007F7BBF"/>
    <w:rsid w:val="007F7C4F"/>
    <w:rsid w:val="0080006D"/>
    <w:rsid w:val="008008AF"/>
    <w:rsid w:val="00800E80"/>
    <w:rsid w:val="00802F9C"/>
    <w:rsid w:val="00803585"/>
    <w:rsid w:val="008048DC"/>
    <w:rsid w:val="008050A0"/>
    <w:rsid w:val="00805263"/>
    <w:rsid w:val="008052F9"/>
    <w:rsid w:val="00805BFB"/>
    <w:rsid w:val="00806899"/>
    <w:rsid w:val="00807476"/>
    <w:rsid w:val="008077CB"/>
    <w:rsid w:val="00810294"/>
    <w:rsid w:val="00810FE1"/>
    <w:rsid w:val="00811004"/>
    <w:rsid w:val="008113D7"/>
    <w:rsid w:val="00811A57"/>
    <w:rsid w:val="008122D6"/>
    <w:rsid w:val="008125CF"/>
    <w:rsid w:val="00812653"/>
    <w:rsid w:val="008127C6"/>
    <w:rsid w:val="00813769"/>
    <w:rsid w:val="00813E27"/>
    <w:rsid w:val="00813EA0"/>
    <w:rsid w:val="0081424C"/>
    <w:rsid w:val="00814B0C"/>
    <w:rsid w:val="00815BD1"/>
    <w:rsid w:val="00816536"/>
    <w:rsid w:val="00816A32"/>
    <w:rsid w:val="00816F3E"/>
    <w:rsid w:val="00817371"/>
    <w:rsid w:val="00820D0F"/>
    <w:rsid w:val="008213E3"/>
    <w:rsid w:val="008221AF"/>
    <w:rsid w:val="00822737"/>
    <w:rsid w:val="008238DB"/>
    <w:rsid w:val="00823AF4"/>
    <w:rsid w:val="0082418A"/>
    <w:rsid w:val="00825408"/>
    <w:rsid w:val="008259CD"/>
    <w:rsid w:val="00826EB4"/>
    <w:rsid w:val="00827170"/>
    <w:rsid w:val="00827214"/>
    <w:rsid w:val="00827CB7"/>
    <w:rsid w:val="00827D3B"/>
    <w:rsid w:val="00827F57"/>
    <w:rsid w:val="00830C0D"/>
    <w:rsid w:val="0083248B"/>
    <w:rsid w:val="008326B6"/>
    <w:rsid w:val="00832796"/>
    <w:rsid w:val="00832889"/>
    <w:rsid w:val="008328E6"/>
    <w:rsid w:val="00832F06"/>
    <w:rsid w:val="0083315E"/>
    <w:rsid w:val="00833A08"/>
    <w:rsid w:val="00833A59"/>
    <w:rsid w:val="00833C78"/>
    <w:rsid w:val="00833E25"/>
    <w:rsid w:val="00834A44"/>
    <w:rsid w:val="008351BC"/>
    <w:rsid w:val="00835B94"/>
    <w:rsid w:val="00836462"/>
    <w:rsid w:val="00836565"/>
    <w:rsid w:val="00837176"/>
    <w:rsid w:val="00837AF3"/>
    <w:rsid w:val="00841D68"/>
    <w:rsid w:val="00841F0E"/>
    <w:rsid w:val="008426A5"/>
    <w:rsid w:val="0084270C"/>
    <w:rsid w:val="00842A3A"/>
    <w:rsid w:val="00842FC2"/>
    <w:rsid w:val="008434D2"/>
    <w:rsid w:val="00844011"/>
    <w:rsid w:val="008446A0"/>
    <w:rsid w:val="00844888"/>
    <w:rsid w:val="00845407"/>
    <w:rsid w:val="008458CD"/>
    <w:rsid w:val="008461CE"/>
    <w:rsid w:val="008463BA"/>
    <w:rsid w:val="00846A86"/>
    <w:rsid w:val="008509AD"/>
    <w:rsid w:val="008509C4"/>
    <w:rsid w:val="00851107"/>
    <w:rsid w:val="00851285"/>
    <w:rsid w:val="0085165D"/>
    <w:rsid w:val="008516E7"/>
    <w:rsid w:val="008521B3"/>
    <w:rsid w:val="008522D4"/>
    <w:rsid w:val="00852DED"/>
    <w:rsid w:val="00853CE7"/>
    <w:rsid w:val="008543B0"/>
    <w:rsid w:val="00854750"/>
    <w:rsid w:val="0085483B"/>
    <w:rsid w:val="00855503"/>
    <w:rsid w:val="00855A75"/>
    <w:rsid w:val="00855ABD"/>
    <w:rsid w:val="008568F6"/>
    <w:rsid w:val="00856F9C"/>
    <w:rsid w:val="0086031F"/>
    <w:rsid w:val="00860528"/>
    <w:rsid w:val="00860D8A"/>
    <w:rsid w:val="00861A5C"/>
    <w:rsid w:val="00861C3D"/>
    <w:rsid w:val="00861E5A"/>
    <w:rsid w:val="008638E5"/>
    <w:rsid w:val="00863B6D"/>
    <w:rsid w:val="00864211"/>
    <w:rsid w:val="00864738"/>
    <w:rsid w:val="0086569F"/>
    <w:rsid w:val="00865AB4"/>
    <w:rsid w:val="00865BE6"/>
    <w:rsid w:val="00865D1B"/>
    <w:rsid w:val="00866C7F"/>
    <w:rsid w:val="0086780E"/>
    <w:rsid w:val="00867981"/>
    <w:rsid w:val="00867E6D"/>
    <w:rsid w:val="008702BF"/>
    <w:rsid w:val="008708C8"/>
    <w:rsid w:val="00871A9B"/>
    <w:rsid w:val="00872136"/>
    <w:rsid w:val="00872CA2"/>
    <w:rsid w:val="00872F4F"/>
    <w:rsid w:val="00874732"/>
    <w:rsid w:val="008768CC"/>
    <w:rsid w:val="00876AD2"/>
    <w:rsid w:val="0087729B"/>
    <w:rsid w:val="0087731F"/>
    <w:rsid w:val="008773FC"/>
    <w:rsid w:val="008808BC"/>
    <w:rsid w:val="00880F36"/>
    <w:rsid w:val="008811FD"/>
    <w:rsid w:val="0088173C"/>
    <w:rsid w:val="00881B82"/>
    <w:rsid w:val="00881F13"/>
    <w:rsid w:val="008831FA"/>
    <w:rsid w:val="008833BE"/>
    <w:rsid w:val="00883429"/>
    <w:rsid w:val="00883F6C"/>
    <w:rsid w:val="00884647"/>
    <w:rsid w:val="008856AA"/>
    <w:rsid w:val="008856EF"/>
    <w:rsid w:val="00885A63"/>
    <w:rsid w:val="00885CFB"/>
    <w:rsid w:val="008863A8"/>
    <w:rsid w:val="00886579"/>
    <w:rsid w:val="00886FAA"/>
    <w:rsid w:val="008873BD"/>
    <w:rsid w:val="00887866"/>
    <w:rsid w:val="00887DB0"/>
    <w:rsid w:val="00887F60"/>
    <w:rsid w:val="00890166"/>
    <w:rsid w:val="008902A8"/>
    <w:rsid w:val="00891046"/>
    <w:rsid w:val="00891A4B"/>
    <w:rsid w:val="00891F73"/>
    <w:rsid w:val="00892397"/>
    <w:rsid w:val="00893BF5"/>
    <w:rsid w:val="00893FC3"/>
    <w:rsid w:val="008942D8"/>
    <w:rsid w:val="00895110"/>
    <w:rsid w:val="0089594C"/>
    <w:rsid w:val="00895D8C"/>
    <w:rsid w:val="00896A50"/>
    <w:rsid w:val="00896E38"/>
    <w:rsid w:val="008971F9"/>
    <w:rsid w:val="00897599"/>
    <w:rsid w:val="00897755"/>
    <w:rsid w:val="00897AB9"/>
    <w:rsid w:val="00897FDE"/>
    <w:rsid w:val="008A0463"/>
    <w:rsid w:val="008A2B39"/>
    <w:rsid w:val="008A3460"/>
    <w:rsid w:val="008A37F8"/>
    <w:rsid w:val="008A38BD"/>
    <w:rsid w:val="008A4157"/>
    <w:rsid w:val="008A47D6"/>
    <w:rsid w:val="008A4DA6"/>
    <w:rsid w:val="008A5A1D"/>
    <w:rsid w:val="008A6B77"/>
    <w:rsid w:val="008A7880"/>
    <w:rsid w:val="008A7DDF"/>
    <w:rsid w:val="008A7F89"/>
    <w:rsid w:val="008B086F"/>
    <w:rsid w:val="008B0F32"/>
    <w:rsid w:val="008B1764"/>
    <w:rsid w:val="008B2C4E"/>
    <w:rsid w:val="008B339C"/>
    <w:rsid w:val="008B347C"/>
    <w:rsid w:val="008B3611"/>
    <w:rsid w:val="008B3BBD"/>
    <w:rsid w:val="008B4464"/>
    <w:rsid w:val="008B5E48"/>
    <w:rsid w:val="008B6CAF"/>
    <w:rsid w:val="008B76B5"/>
    <w:rsid w:val="008C0B2B"/>
    <w:rsid w:val="008C111D"/>
    <w:rsid w:val="008C128E"/>
    <w:rsid w:val="008C1846"/>
    <w:rsid w:val="008C1F02"/>
    <w:rsid w:val="008C25A1"/>
    <w:rsid w:val="008C3D64"/>
    <w:rsid w:val="008C3E7A"/>
    <w:rsid w:val="008C4411"/>
    <w:rsid w:val="008C52E7"/>
    <w:rsid w:val="008C7389"/>
    <w:rsid w:val="008C73F6"/>
    <w:rsid w:val="008C74C6"/>
    <w:rsid w:val="008C7A18"/>
    <w:rsid w:val="008C7C2F"/>
    <w:rsid w:val="008C7D29"/>
    <w:rsid w:val="008D0661"/>
    <w:rsid w:val="008D0664"/>
    <w:rsid w:val="008D06FB"/>
    <w:rsid w:val="008D11B7"/>
    <w:rsid w:val="008D1F5D"/>
    <w:rsid w:val="008D21B8"/>
    <w:rsid w:val="008D344B"/>
    <w:rsid w:val="008D3BD6"/>
    <w:rsid w:val="008D3C60"/>
    <w:rsid w:val="008D5586"/>
    <w:rsid w:val="008D5AE3"/>
    <w:rsid w:val="008D5CF2"/>
    <w:rsid w:val="008D67F1"/>
    <w:rsid w:val="008D7893"/>
    <w:rsid w:val="008E01EB"/>
    <w:rsid w:val="008E0EBA"/>
    <w:rsid w:val="008E12EF"/>
    <w:rsid w:val="008E1566"/>
    <w:rsid w:val="008E2EBC"/>
    <w:rsid w:val="008E3BCE"/>
    <w:rsid w:val="008E3D3F"/>
    <w:rsid w:val="008E4965"/>
    <w:rsid w:val="008E5035"/>
    <w:rsid w:val="008E57FA"/>
    <w:rsid w:val="008E6345"/>
    <w:rsid w:val="008E72B8"/>
    <w:rsid w:val="008E7822"/>
    <w:rsid w:val="008F0069"/>
    <w:rsid w:val="008F0420"/>
    <w:rsid w:val="008F07B0"/>
    <w:rsid w:val="008F0B82"/>
    <w:rsid w:val="008F123E"/>
    <w:rsid w:val="008F12A8"/>
    <w:rsid w:val="008F1A5E"/>
    <w:rsid w:val="008F292D"/>
    <w:rsid w:val="008F2A8C"/>
    <w:rsid w:val="008F2C2F"/>
    <w:rsid w:val="008F453F"/>
    <w:rsid w:val="008F4794"/>
    <w:rsid w:val="008F5AF3"/>
    <w:rsid w:val="008F5FB8"/>
    <w:rsid w:val="008F6322"/>
    <w:rsid w:val="008F6421"/>
    <w:rsid w:val="008F6CBD"/>
    <w:rsid w:val="008F6E48"/>
    <w:rsid w:val="008F7477"/>
    <w:rsid w:val="008F7FCE"/>
    <w:rsid w:val="009009AF"/>
    <w:rsid w:val="00900A7F"/>
    <w:rsid w:val="00900AE2"/>
    <w:rsid w:val="00900DDC"/>
    <w:rsid w:val="00900EB7"/>
    <w:rsid w:val="009015E6"/>
    <w:rsid w:val="00901AF8"/>
    <w:rsid w:val="00902B00"/>
    <w:rsid w:val="00902E87"/>
    <w:rsid w:val="009033B6"/>
    <w:rsid w:val="009033F6"/>
    <w:rsid w:val="009037BB"/>
    <w:rsid w:val="00903925"/>
    <w:rsid w:val="0090459E"/>
    <w:rsid w:val="00904F17"/>
    <w:rsid w:val="00905AC6"/>
    <w:rsid w:val="009061B6"/>
    <w:rsid w:val="00906BE9"/>
    <w:rsid w:val="00907504"/>
    <w:rsid w:val="00907E2B"/>
    <w:rsid w:val="009105B2"/>
    <w:rsid w:val="00910B6E"/>
    <w:rsid w:val="00911B51"/>
    <w:rsid w:val="00911CDC"/>
    <w:rsid w:val="00912727"/>
    <w:rsid w:val="00912A12"/>
    <w:rsid w:val="00913A1F"/>
    <w:rsid w:val="00913C06"/>
    <w:rsid w:val="00913F35"/>
    <w:rsid w:val="00914C0D"/>
    <w:rsid w:val="009154DD"/>
    <w:rsid w:val="0091640F"/>
    <w:rsid w:val="0091665E"/>
    <w:rsid w:val="0091674D"/>
    <w:rsid w:val="00917D3E"/>
    <w:rsid w:val="0092057F"/>
    <w:rsid w:val="00921273"/>
    <w:rsid w:val="00922039"/>
    <w:rsid w:val="00923A79"/>
    <w:rsid w:val="00923DA4"/>
    <w:rsid w:val="00924761"/>
    <w:rsid w:val="00924BBB"/>
    <w:rsid w:val="00926718"/>
    <w:rsid w:val="00926BE6"/>
    <w:rsid w:val="00927274"/>
    <w:rsid w:val="00927583"/>
    <w:rsid w:val="00932604"/>
    <w:rsid w:val="00932904"/>
    <w:rsid w:val="0093303E"/>
    <w:rsid w:val="009343A6"/>
    <w:rsid w:val="0093461F"/>
    <w:rsid w:val="00934B7E"/>
    <w:rsid w:val="009361B0"/>
    <w:rsid w:val="009366B6"/>
    <w:rsid w:val="00937493"/>
    <w:rsid w:val="00937EC0"/>
    <w:rsid w:val="00940313"/>
    <w:rsid w:val="0094186B"/>
    <w:rsid w:val="00941C0F"/>
    <w:rsid w:val="00941F44"/>
    <w:rsid w:val="00942249"/>
    <w:rsid w:val="009423C3"/>
    <w:rsid w:val="00942C47"/>
    <w:rsid w:val="00942DCA"/>
    <w:rsid w:val="00943E99"/>
    <w:rsid w:val="009446E9"/>
    <w:rsid w:val="00944BBA"/>
    <w:rsid w:val="00944E7D"/>
    <w:rsid w:val="00945C84"/>
    <w:rsid w:val="009469A5"/>
    <w:rsid w:val="00946CF6"/>
    <w:rsid w:val="0094787C"/>
    <w:rsid w:val="009478A9"/>
    <w:rsid w:val="0095080F"/>
    <w:rsid w:val="00950C6B"/>
    <w:rsid w:val="00950D80"/>
    <w:rsid w:val="0095109D"/>
    <w:rsid w:val="0095156E"/>
    <w:rsid w:val="00952246"/>
    <w:rsid w:val="00952D64"/>
    <w:rsid w:val="00953799"/>
    <w:rsid w:val="0095384D"/>
    <w:rsid w:val="00953D7C"/>
    <w:rsid w:val="00953FC8"/>
    <w:rsid w:val="009542D3"/>
    <w:rsid w:val="009545AC"/>
    <w:rsid w:val="009545F9"/>
    <w:rsid w:val="009547B3"/>
    <w:rsid w:val="0095508F"/>
    <w:rsid w:val="00955D0D"/>
    <w:rsid w:val="009561DB"/>
    <w:rsid w:val="0095671B"/>
    <w:rsid w:val="0095697D"/>
    <w:rsid w:val="009574B9"/>
    <w:rsid w:val="009578A6"/>
    <w:rsid w:val="00960080"/>
    <w:rsid w:val="009601F1"/>
    <w:rsid w:val="00961EB9"/>
    <w:rsid w:val="00963163"/>
    <w:rsid w:val="00963C2F"/>
    <w:rsid w:val="00963EE2"/>
    <w:rsid w:val="00964089"/>
    <w:rsid w:val="00964E16"/>
    <w:rsid w:val="00965A60"/>
    <w:rsid w:val="00965A99"/>
    <w:rsid w:val="0096645C"/>
    <w:rsid w:val="00966C5F"/>
    <w:rsid w:val="00966CB6"/>
    <w:rsid w:val="00967647"/>
    <w:rsid w:val="00967821"/>
    <w:rsid w:val="009710C0"/>
    <w:rsid w:val="009735F4"/>
    <w:rsid w:val="009736B4"/>
    <w:rsid w:val="009737B9"/>
    <w:rsid w:val="00973A60"/>
    <w:rsid w:val="00973E6F"/>
    <w:rsid w:val="00974AB6"/>
    <w:rsid w:val="00975059"/>
    <w:rsid w:val="009755D3"/>
    <w:rsid w:val="00975D02"/>
    <w:rsid w:val="00976368"/>
    <w:rsid w:val="00976DBF"/>
    <w:rsid w:val="00977758"/>
    <w:rsid w:val="00977951"/>
    <w:rsid w:val="009809EB"/>
    <w:rsid w:val="009811C9"/>
    <w:rsid w:val="00981453"/>
    <w:rsid w:val="00981531"/>
    <w:rsid w:val="0098172D"/>
    <w:rsid w:val="00981BB6"/>
    <w:rsid w:val="00981DCD"/>
    <w:rsid w:val="00981F92"/>
    <w:rsid w:val="00983840"/>
    <w:rsid w:val="00984184"/>
    <w:rsid w:val="00984358"/>
    <w:rsid w:val="009852D7"/>
    <w:rsid w:val="009854DD"/>
    <w:rsid w:val="009856CB"/>
    <w:rsid w:val="00985AA3"/>
    <w:rsid w:val="00985B29"/>
    <w:rsid w:val="00985B6A"/>
    <w:rsid w:val="00985E96"/>
    <w:rsid w:val="00985FBB"/>
    <w:rsid w:val="00986007"/>
    <w:rsid w:val="00986215"/>
    <w:rsid w:val="00986D44"/>
    <w:rsid w:val="00987EEA"/>
    <w:rsid w:val="00990A5A"/>
    <w:rsid w:val="00990C81"/>
    <w:rsid w:val="0099295D"/>
    <w:rsid w:val="00992BE7"/>
    <w:rsid w:val="0099369C"/>
    <w:rsid w:val="00993DE7"/>
    <w:rsid w:val="00993E98"/>
    <w:rsid w:val="0099418B"/>
    <w:rsid w:val="00994535"/>
    <w:rsid w:val="009948AB"/>
    <w:rsid w:val="00995332"/>
    <w:rsid w:val="00995453"/>
    <w:rsid w:val="009955A2"/>
    <w:rsid w:val="00995E98"/>
    <w:rsid w:val="00996314"/>
    <w:rsid w:val="0099661A"/>
    <w:rsid w:val="0099681C"/>
    <w:rsid w:val="00996862"/>
    <w:rsid w:val="00996FEA"/>
    <w:rsid w:val="00997BFE"/>
    <w:rsid w:val="009A0541"/>
    <w:rsid w:val="009A0C24"/>
    <w:rsid w:val="009A1EA0"/>
    <w:rsid w:val="009A29A1"/>
    <w:rsid w:val="009A2BC9"/>
    <w:rsid w:val="009A31D6"/>
    <w:rsid w:val="009A3547"/>
    <w:rsid w:val="009A4180"/>
    <w:rsid w:val="009A43A9"/>
    <w:rsid w:val="009A4856"/>
    <w:rsid w:val="009A52C9"/>
    <w:rsid w:val="009A52DD"/>
    <w:rsid w:val="009A582B"/>
    <w:rsid w:val="009A5AC6"/>
    <w:rsid w:val="009A5FD7"/>
    <w:rsid w:val="009A5FE1"/>
    <w:rsid w:val="009A66E1"/>
    <w:rsid w:val="009A6CE1"/>
    <w:rsid w:val="009A6E42"/>
    <w:rsid w:val="009A71A1"/>
    <w:rsid w:val="009B05A6"/>
    <w:rsid w:val="009B0B60"/>
    <w:rsid w:val="009B0BC4"/>
    <w:rsid w:val="009B0EB8"/>
    <w:rsid w:val="009B15FD"/>
    <w:rsid w:val="009B175C"/>
    <w:rsid w:val="009B17EE"/>
    <w:rsid w:val="009B1F1B"/>
    <w:rsid w:val="009B2FB9"/>
    <w:rsid w:val="009B303B"/>
    <w:rsid w:val="009B3CFB"/>
    <w:rsid w:val="009B3D57"/>
    <w:rsid w:val="009B45F2"/>
    <w:rsid w:val="009B489A"/>
    <w:rsid w:val="009B4D88"/>
    <w:rsid w:val="009B51DD"/>
    <w:rsid w:val="009B7941"/>
    <w:rsid w:val="009C17E5"/>
    <w:rsid w:val="009C19DD"/>
    <w:rsid w:val="009C23E4"/>
    <w:rsid w:val="009C2573"/>
    <w:rsid w:val="009C2F28"/>
    <w:rsid w:val="009C319B"/>
    <w:rsid w:val="009C414C"/>
    <w:rsid w:val="009C6761"/>
    <w:rsid w:val="009C6820"/>
    <w:rsid w:val="009C71B0"/>
    <w:rsid w:val="009C7317"/>
    <w:rsid w:val="009D010C"/>
    <w:rsid w:val="009D05A0"/>
    <w:rsid w:val="009D065B"/>
    <w:rsid w:val="009D0BB3"/>
    <w:rsid w:val="009D0FAB"/>
    <w:rsid w:val="009D25D7"/>
    <w:rsid w:val="009D3440"/>
    <w:rsid w:val="009D3FB7"/>
    <w:rsid w:val="009D4409"/>
    <w:rsid w:val="009D4AC4"/>
    <w:rsid w:val="009D543C"/>
    <w:rsid w:val="009D758B"/>
    <w:rsid w:val="009D7899"/>
    <w:rsid w:val="009D7C4B"/>
    <w:rsid w:val="009D7F22"/>
    <w:rsid w:val="009E0760"/>
    <w:rsid w:val="009E0871"/>
    <w:rsid w:val="009E13A0"/>
    <w:rsid w:val="009E19F4"/>
    <w:rsid w:val="009E1F8A"/>
    <w:rsid w:val="009E2592"/>
    <w:rsid w:val="009E27B1"/>
    <w:rsid w:val="009E3571"/>
    <w:rsid w:val="009E36A4"/>
    <w:rsid w:val="009E39BF"/>
    <w:rsid w:val="009E3FC6"/>
    <w:rsid w:val="009E4098"/>
    <w:rsid w:val="009E541D"/>
    <w:rsid w:val="009E7059"/>
    <w:rsid w:val="009E7821"/>
    <w:rsid w:val="009F0083"/>
    <w:rsid w:val="009F06AF"/>
    <w:rsid w:val="009F0BD4"/>
    <w:rsid w:val="009F0E0F"/>
    <w:rsid w:val="009F1502"/>
    <w:rsid w:val="009F1B08"/>
    <w:rsid w:val="009F1EEF"/>
    <w:rsid w:val="009F46F1"/>
    <w:rsid w:val="009F5B64"/>
    <w:rsid w:val="009F5BC2"/>
    <w:rsid w:val="009F5DF1"/>
    <w:rsid w:val="009F60CA"/>
    <w:rsid w:val="009F614F"/>
    <w:rsid w:val="009F6647"/>
    <w:rsid w:val="009F740E"/>
    <w:rsid w:val="009F76D9"/>
    <w:rsid w:val="009F7BFF"/>
    <w:rsid w:val="009F7C30"/>
    <w:rsid w:val="009F7FC7"/>
    <w:rsid w:val="00A00B1A"/>
    <w:rsid w:val="00A013F9"/>
    <w:rsid w:val="00A01692"/>
    <w:rsid w:val="00A0196B"/>
    <w:rsid w:val="00A02187"/>
    <w:rsid w:val="00A025AA"/>
    <w:rsid w:val="00A02ACA"/>
    <w:rsid w:val="00A03332"/>
    <w:rsid w:val="00A0336D"/>
    <w:rsid w:val="00A03A09"/>
    <w:rsid w:val="00A03D85"/>
    <w:rsid w:val="00A04680"/>
    <w:rsid w:val="00A04CC2"/>
    <w:rsid w:val="00A04E41"/>
    <w:rsid w:val="00A05A81"/>
    <w:rsid w:val="00A0629E"/>
    <w:rsid w:val="00A06A03"/>
    <w:rsid w:val="00A06A99"/>
    <w:rsid w:val="00A06CE5"/>
    <w:rsid w:val="00A07527"/>
    <w:rsid w:val="00A077E8"/>
    <w:rsid w:val="00A102F0"/>
    <w:rsid w:val="00A1053B"/>
    <w:rsid w:val="00A10787"/>
    <w:rsid w:val="00A10A9B"/>
    <w:rsid w:val="00A10BBE"/>
    <w:rsid w:val="00A11AF8"/>
    <w:rsid w:val="00A12244"/>
    <w:rsid w:val="00A1319D"/>
    <w:rsid w:val="00A13D17"/>
    <w:rsid w:val="00A13FA1"/>
    <w:rsid w:val="00A14231"/>
    <w:rsid w:val="00A1486D"/>
    <w:rsid w:val="00A14EFC"/>
    <w:rsid w:val="00A15E0F"/>
    <w:rsid w:val="00A1601B"/>
    <w:rsid w:val="00A1663D"/>
    <w:rsid w:val="00A16748"/>
    <w:rsid w:val="00A175CB"/>
    <w:rsid w:val="00A20220"/>
    <w:rsid w:val="00A20BE0"/>
    <w:rsid w:val="00A21003"/>
    <w:rsid w:val="00A21543"/>
    <w:rsid w:val="00A21701"/>
    <w:rsid w:val="00A217D4"/>
    <w:rsid w:val="00A21984"/>
    <w:rsid w:val="00A21A95"/>
    <w:rsid w:val="00A21B4F"/>
    <w:rsid w:val="00A240D5"/>
    <w:rsid w:val="00A24B5B"/>
    <w:rsid w:val="00A24FBB"/>
    <w:rsid w:val="00A25364"/>
    <w:rsid w:val="00A2597A"/>
    <w:rsid w:val="00A25B7D"/>
    <w:rsid w:val="00A25C4C"/>
    <w:rsid w:val="00A262E8"/>
    <w:rsid w:val="00A26942"/>
    <w:rsid w:val="00A26A8D"/>
    <w:rsid w:val="00A276C3"/>
    <w:rsid w:val="00A27A96"/>
    <w:rsid w:val="00A31002"/>
    <w:rsid w:val="00A3167C"/>
    <w:rsid w:val="00A318EC"/>
    <w:rsid w:val="00A31A66"/>
    <w:rsid w:val="00A32411"/>
    <w:rsid w:val="00A32443"/>
    <w:rsid w:val="00A344FA"/>
    <w:rsid w:val="00A34800"/>
    <w:rsid w:val="00A3539F"/>
    <w:rsid w:val="00A35FCB"/>
    <w:rsid w:val="00A3643E"/>
    <w:rsid w:val="00A3659D"/>
    <w:rsid w:val="00A365B8"/>
    <w:rsid w:val="00A366A4"/>
    <w:rsid w:val="00A37527"/>
    <w:rsid w:val="00A37789"/>
    <w:rsid w:val="00A40283"/>
    <w:rsid w:val="00A40836"/>
    <w:rsid w:val="00A41341"/>
    <w:rsid w:val="00A41B86"/>
    <w:rsid w:val="00A423E9"/>
    <w:rsid w:val="00A4292B"/>
    <w:rsid w:val="00A42A14"/>
    <w:rsid w:val="00A44A7A"/>
    <w:rsid w:val="00A44FB5"/>
    <w:rsid w:val="00A45577"/>
    <w:rsid w:val="00A45C29"/>
    <w:rsid w:val="00A45EB1"/>
    <w:rsid w:val="00A47416"/>
    <w:rsid w:val="00A47D87"/>
    <w:rsid w:val="00A47F04"/>
    <w:rsid w:val="00A47F31"/>
    <w:rsid w:val="00A50251"/>
    <w:rsid w:val="00A503FF"/>
    <w:rsid w:val="00A50D3B"/>
    <w:rsid w:val="00A52C2B"/>
    <w:rsid w:val="00A52D79"/>
    <w:rsid w:val="00A53BD2"/>
    <w:rsid w:val="00A53DD1"/>
    <w:rsid w:val="00A5566F"/>
    <w:rsid w:val="00A55ED4"/>
    <w:rsid w:val="00A56E4C"/>
    <w:rsid w:val="00A57387"/>
    <w:rsid w:val="00A575B7"/>
    <w:rsid w:val="00A57932"/>
    <w:rsid w:val="00A57D64"/>
    <w:rsid w:val="00A57FE1"/>
    <w:rsid w:val="00A615BD"/>
    <w:rsid w:val="00A624B2"/>
    <w:rsid w:val="00A626C7"/>
    <w:rsid w:val="00A638FC"/>
    <w:rsid w:val="00A644CF"/>
    <w:rsid w:val="00A6457C"/>
    <w:rsid w:val="00A65E4B"/>
    <w:rsid w:val="00A666AC"/>
    <w:rsid w:val="00A67884"/>
    <w:rsid w:val="00A70A73"/>
    <w:rsid w:val="00A70AEC"/>
    <w:rsid w:val="00A70B77"/>
    <w:rsid w:val="00A710FA"/>
    <w:rsid w:val="00A7139F"/>
    <w:rsid w:val="00A71AB7"/>
    <w:rsid w:val="00A72965"/>
    <w:rsid w:val="00A72B4D"/>
    <w:rsid w:val="00A73648"/>
    <w:rsid w:val="00A738FA"/>
    <w:rsid w:val="00A7515E"/>
    <w:rsid w:val="00A752BA"/>
    <w:rsid w:val="00A757EC"/>
    <w:rsid w:val="00A75A0E"/>
    <w:rsid w:val="00A7723D"/>
    <w:rsid w:val="00A8212F"/>
    <w:rsid w:val="00A82419"/>
    <w:rsid w:val="00A8243C"/>
    <w:rsid w:val="00A82741"/>
    <w:rsid w:val="00A8346D"/>
    <w:rsid w:val="00A837B7"/>
    <w:rsid w:val="00A83989"/>
    <w:rsid w:val="00A83BD1"/>
    <w:rsid w:val="00A8457B"/>
    <w:rsid w:val="00A84616"/>
    <w:rsid w:val="00A84FC2"/>
    <w:rsid w:val="00A853C2"/>
    <w:rsid w:val="00A85901"/>
    <w:rsid w:val="00A86009"/>
    <w:rsid w:val="00A8622A"/>
    <w:rsid w:val="00A869F0"/>
    <w:rsid w:val="00A87956"/>
    <w:rsid w:val="00A879A3"/>
    <w:rsid w:val="00A87B41"/>
    <w:rsid w:val="00A87C75"/>
    <w:rsid w:val="00A87C9C"/>
    <w:rsid w:val="00A90366"/>
    <w:rsid w:val="00A90417"/>
    <w:rsid w:val="00A91130"/>
    <w:rsid w:val="00A912E6"/>
    <w:rsid w:val="00A9164E"/>
    <w:rsid w:val="00A91AA0"/>
    <w:rsid w:val="00A92024"/>
    <w:rsid w:val="00A92798"/>
    <w:rsid w:val="00A929EE"/>
    <w:rsid w:val="00A935F4"/>
    <w:rsid w:val="00A93E0E"/>
    <w:rsid w:val="00A94313"/>
    <w:rsid w:val="00A94367"/>
    <w:rsid w:val="00A94732"/>
    <w:rsid w:val="00A94974"/>
    <w:rsid w:val="00A9564F"/>
    <w:rsid w:val="00A95F94"/>
    <w:rsid w:val="00A962BE"/>
    <w:rsid w:val="00A977F0"/>
    <w:rsid w:val="00A97960"/>
    <w:rsid w:val="00A97BD1"/>
    <w:rsid w:val="00A97C3B"/>
    <w:rsid w:val="00AA166B"/>
    <w:rsid w:val="00AA21BE"/>
    <w:rsid w:val="00AA30F6"/>
    <w:rsid w:val="00AA328A"/>
    <w:rsid w:val="00AA3328"/>
    <w:rsid w:val="00AA39C4"/>
    <w:rsid w:val="00AA3D44"/>
    <w:rsid w:val="00AA3F6C"/>
    <w:rsid w:val="00AA4BDB"/>
    <w:rsid w:val="00AA4CCF"/>
    <w:rsid w:val="00AA535D"/>
    <w:rsid w:val="00AA56AB"/>
    <w:rsid w:val="00AA5CF4"/>
    <w:rsid w:val="00AA6114"/>
    <w:rsid w:val="00AA61B6"/>
    <w:rsid w:val="00AA6647"/>
    <w:rsid w:val="00AA69F8"/>
    <w:rsid w:val="00AA709C"/>
    <w:rsid w:val="00AA76E7"/>
    <w:rsid w:val="00AA7871"/>
    <w:rsid w:val="00AA7A98"/>
    <w:rsid w:val="00AA7C2C"/>
    <w:rsid w:val="00AA7F7D"/>
    <w:rsid w:val="00AB05C0"/>
    <w:rsid w:val="00AB0BEB"/>
    <w:rsid w:val="00AB0D8E"/>
    <w:rsid w:val="00AB10D5"/>
    <w:rsid w:val="00AB21E7"/>
    <w:rsid w:val="00AB297A"/>
    <w:rsid w:val="00AB34A5"/>
    <w:rsid w:val="00AB354E"/>
    <w:rsid w:val="00AB36F5"/>
    <w:rsid w:val="00AB4781"/>
    <w:rsid w:val="00AB47D7"/>
    <w:rsid w:val="00AB5353"/>
    <w:rsid w:val="00AB5540"/>
    <w:rsid w:val="00AB6120"/>
    <w:rsid w:val="00AB6263"/>
    <w:rsid w:val="00AB6780"/>
    <w:rsid w:val="00AB6B0A"/>
    <w:rsid w:val="00AC0463"/>
    <w:rsid w:val="00AC0C1F"/>
    <w:rsid w:val="00AC152E"/>
    <w:rsid w:val="00AC15FF"/>
    <w:rsid w:val="00AC22C8"/>
    <w:rsid w:val="00AC26A2"/>
    <w:rsid w:val="00AC27A9"/>
    <w:rsid w:val="00AC3479"/>
    <w:rsid w:val="00AC4FDB"/>
    <w:rsid w:val="00AC541D"/>
    <w:rsid w:val="00AC5B95"/>
    <w:rsid w:val="00AC6044"/>
    <w:rsid w:val="00AC62B3"/>
    <w:rsid w:val="00AC6639"/>
    <w:rsid w:val="00AC6695"/>
    <w:rsid w:val="00AC7362"/>
    <w:rsid w:val="00AC7AF4"/>
    <w:rsid w:val="00AD0090"/>
    <w:rsid w:val="00AD0DCF"/>
    <w:rsid w:val="00AD150F"/>
    <w:rsid w:val="00AD27E7"/>
    <w:rsid w:val="00AD2EC7"/>
    <w:rsid w:val="00AD4229"/>
    <w:rsid w:val="00AD4406"/>
    <w:rsid w:val="00AD4434"/>
    <w:rsid w:val="00AD4E39"/>
    <w:rsid w:val="00AD58D9"/>
    <w:rsid w:val="00AD5F59"/>
    <w:rsid w:val="00AD69BC"/>
    <w:rsid w:val="00AE0535"/>
    <w:rsid w:val="00AE062D"/>
    <w:rsid w:val="00AE13DB"/>
    <w:rsid w:val="00AE1665"/>
    <w:rsid w:val="00AE22AB"/>
    <w:rsid w:val="00AE23C3"/>
    <w:rsid w:val="00AE3750"/>
    <w:rsid w:val="00AE3E02"/>
    <w:rsid w:val="00AE3F36"/>
    <w:rsid w:val="00AE47F6"/>
    <w:rsid w:val="00AE53B6"/>
    <w:rsid w:val="00AE5895"/>
    <w:rsid w:val="00AE6367"/>
    <w:rsid w:val="00AE64AD"/>
    <w:rsid w:val="00AE6578"/>
    <w:rsid w:val="00AE6BE4"/>
    <w:rsid w:val="00AE6DD4"/>
    <w:rsid w:val="00AF0CE9"/>
    <w:rsid w:val="00AF1D3F"/>
    <w:rsid w:val="00AF25A7"/>
    <w:rsid w:val="00AF37CA"/>
    <w:rsid w:val="00AF42E0"/>
    <w:rsid w:val="00AF45D3"/>
    <w:rsid w:val="00AF4F5F"/>
    <w:rsid w:val="00AF51C1"/>
    <w:rsid w:val="00AF60D1"/>
    <w:rsid w:val="00AF6849"/>
    <w:rsid w:val="00AF7845"/>
    <w:rsid w:val="00B0060B"/>
    <w:rsid w:val="00B022E1"/>
    <w:rsid w:val="00B02355"/>
    <w:rsid w:val="00B03A33"/>
    <w:rsid w:val="00B043D2"/>
    <w:rsid w:val="00B044AF"/>
    <w:rsid w:val="00B056AF"/>
    <w:rsid w:val="00B05801"/>
    <w:rsid w:val="00B0595F"/>
    <w:rsid w:val="00B06A44"/>
    <w:rsid w:val="00B06F40"/>
    <w:rsid w:val="00B07184"/>
    <w:rsid w:val="00B075A0"/>
    <w:rsid w:val="00B10824"/>
    <w:rsid w:val="00B10883"/>
    <w:rsid w:val="00B10A91"/>
    <w:rsid w:val="00B10D58"/>
    <w:rsid w:val="00B10FEC"/>
    <w:rsid w:val="00B119B0"/>
    <w:rsid w:val="00B11EB9"/>
    <w:rsid w:val="00B122E9"/>
    <w:rsid w:val="00B125C2"/>
    <w:rsid w:val="00B126B6"/>
    <w:rsid w:val="00B12AC5"/>
    <w:rsid w:val="00B13144"/>
    <w:rsid w:val="00B14282"/>
    <w:rsid w:val="00B1459D"/>
    <w:rsid w:val="00B14A6C"/>
    <w:rsid w:val="00B15951"/>
    <w:rsid w:val="00B1615F"/>
    <w:rsid w:val="00B16498"/>
    <w:rsid w:val="00B16B2A"/>
    <w:rsid w:val="00B171A8"/>
    <w:rsid w:val="00B2059D"/>
    <w:rsid w:val="00B20AB7"/>
    <w:rsid w:val="00B20BC1"/>
    <w:rsid w:val="00B20FD8"/>
    <w:rsid w:val="00B2111B"/>
    <w:rsid w:val="00B21988"/>
    <w:rsid w:val="00B22D29"/>
    <w:rsid w:val="00B23A08"/>
    <w:rsid w:val="00B23AE1"/>
    <w:rsid w:val="00B242E0"/>
    <w:rsid w:val="00B249E6"/>
    <w:rsid w:val="00B24C26"/>
    <w:rsid w:val="00B25FCC"/>
    <w:rsid w:val="00B260B8"/>
    <w:rsid w:val="00B269BC"/>
    <w:rsid w:val="00B30518"/>
    <w:rsid w:val="00B30619"/>
    <w:rsid w:val="00B31371"/>
    <w:rsid w:val="00B31BDE"/>
    <w:rsid w:val="00B31FB4"/>
    <w:rsid w:val="00B32998"/>
    <w:rsid w:val="00B32C8D"/>
    <w:rsid w:val="00B334F3"/>
    <w:rsid w:val="00B33BE5"/>
    <w:rsid w:val="00B33D1C"/>
    <w:rsid w:val="00B34292"/>
    <w:rsid w:val="00B3495E"/>
    <w:rsid w:val="00B34F93"/>
    <w:rsid w:val="00B35026"/>
    <w:rsid w:val="00B35039"/>
    <w:rsid w:val="00B358C4"/>
    <w:rsid w:val="00B359BC"/>
    <w:rsid w:val="00B360D8"/>
    <w:rsid w:val="00B36C1E"/>
    <w:rsid w:val="00B37DA8"/>
    <w:rsid w:val="00B4042A"/>
    <w:rsid w:val="00B40C09"/>
    <w:rsid w:val="00B40D90"/>
    <w:rsid w:val="00B40EBA"/>
    <w:rsid w:val="00B42859"/>
    <w:rsid w:val="00B42B5E"/>
    <w:rsid w:val="00B437A0"/>
    <w:rsid w:val="00B4382F"/>
    <w:rsid w:val="00B43848"/>
    <w:rsid w:val="00B43BB6"/>
    <w:rsid w:val="00B4401C"/>
    <w:rsid w:val="00B442B2"/>
    <w:rsid w:val="00B449DC"/>
    <w:rsid w:val="00B45D9F"/>
    <w:rsid w:val="00B4650A"/>
    <w:rsid w:val="00B46545"/>
    <w:rsid w:val="00B468FD"/>
    <w:rsid w:val="00B46A99"/>
    <w:rsid w:val="00B472DC"/>
    <w:rsid w:val="00B4735C"/>
    <w:rsid w:val="00B50352"/>
    <w:rsid w:val="00B5038E"/>
    <w:rsid w:val="00B505F4"/>
    <w:rsid w:val="00B50825"/>
    <w:rsid w:val="00B50989"/>
    <w:rsid w:val="00B50D58"/>
    <w:rsid w:val="00B50D84"/>
    <w:rsid w:val="00B51027"/>
    <w:rsid w:val="00B5260B"/>
    <w:rsid w:val="00B529F5"/>
    <w:rsid w:val="00B52A58"/>
    <w:rsid w:val="00B52BC5"/>
    <w:rsid w:val="00B54488"/>
    <w:rsid w:val="00B553C1"/>
    <w:rsid w:val="00B5570E"/>
    <w:rsid w:val="00B559A7"/>
    <w:rsid w:val="00B561DD"/>
    <w:rsid w:val="00B573D0"/>
    <w:rsid w:val="00B5768F"/>
    <w:rsid w:val="00B60125"/>
    <w:rsid w:val="00B607A7"/>
    <w:rsid w:val="00B60956"/>
    <w:rsid w:val="00B60A17"/>
    <w:rsid w:val="00B61186"/>
    <w:rsid w:val="00B61EB5"/>
    <w:rsid w:val="00B6218D"/>
    <w:rsid w:val="00B63538"/>
    <w:rsid w:val="00B64CB6"/>
    <w:rsid w:val="00B65101"/>
    <w:rsid w:val="00B6542D"/>
    <w:rsid w:val="00B65894"/>
    <w:rsid w:val="00B66B7A"/>
    <w:rsid w:val="00B67EA7"/>
    <w:rsid w:val="00B700AF"/>
    <w:rsid w:val="00B70306"/>
    <w:rsid w:val="00B7167F"/>
    <w:rsid w:val="00B71D95"/>
    <w:rsid w:val="00B740C6"/>
    <w:rsid w:val="00B741A7"/>
    <w:rsid w:val="00B744A8"/>
    <w:rsid w:val="00B746F6"/>
    <w:rsid w:val="00B759C2"/>
    <w:rsid w:val="00B75A2C"/>
    <w:rsid w:val="00B75B58"/>
    <w:rsid w:val="00B76133"/>
    <w:rsid w:val="00B76C14"/>
    <w:rsid w:val="00B76C9F"/>
    <w:rsid w:val="00B76D7A"/>
    <w:rsid w:val="00B8003F"/>
    <w:rsid w:val="00B80811"/>
    <w:rsid w:val="00B80F11"/>
    <w:rsid w:val="00B81BF3"/>
    <w:rsid w:val="00B83454"/>
    <w:rsid w:val="00B84DA8"/>
    <w:rsid w:val="00B84F3D"/>
    <w:rsid w:val="00B856B2"/>
    <w:rsid w:val="00B85723"/>
    <w:rsid w:val="00B86FC8"/>
    <w:rsid w:val="00B87382"/>
    <w:rsid w:val="00B87A97"/>
    <w:rsid w:val="00B90062"/>
    <w:rsid w:val="00B90C81"/>
    <w:rsid w:val="00B9359A"/>
    <w:rsid w:val="00B94428"/>
    <w:rsid w:val="00B94D60"/>
    <w:rsid w:val="00B95449"/>
    <w:rsid w:val="00B95BFC"/>
    <w:rsid w:val="00B95DA3"/>
    <w:rsid w:val="00B96238"/>
    <w:rsid w:val="00B96BBC"/>
    <w:rsid w:val="00B970C7"/>
    <w:rsid w:val="00B977F5"/>
    <w:rsid w:val="00BA0552"/>
    <w:rsid w:val="00BA0958"/>
    <w:rsid w:val="00BA0AAF"/>
    <w:rsid w:val="00BA2690"/>
    <w:rsid w:val="00BA28F2"/>
    <w:rsid w:val="00BA2902"/>
    <w:rsid w:val="00BA298B"/>
    <w:rsid w:val="00BA2F50"/>
    <w:rsid w:val="00BA322A"/>
    <w:rsid w:val="00BA522C"/>
    <w:rsid w:val="00BA6111"/>
    <w:rsid w:val="00BA67EC"/>
    <w:rsid w:val="00BA6A02"/>
    <w:rsid w:val="00BA6AA0"/>
    <w:rsid w:val="00BA6FF0"/>
    <w:rsid w:val="00BA704D"/>
    <w:rsid w:val="00BA7DC0"/>
    <w:rsid w:val="00BB0F05"/>
    <w:rsid w:val="00BB10B8"/>
    <w:rsid w:val="00BB1C6C"/>
    <w:rsid w:val="00BB252E"/>
    <w:rsid w:val="00BB2C4F"/>
    <w:rsid w:val="00BB2E96"/>
    <w:rsid w:val="00BB414E"/>
    <w:rsid w:val="00BB4C66"/>
    <w:rsid w:val="00BB4C6E"/>
    <w:rsid w:val="00BB4F73"/>
    <w:rsid w:val="00BB5680"/>
    <w:rsid w:val="00BB5CDD"/>
    <w:rsid w:val="00BC0A92"/>
    <w:rsid w:val="00BC1A1E"/>
    <w:rsid w:val="00BC1B80"/>
    <w:rsid w:val="00BC1C8D"/>
    <w:rsid w:val="00BC1D8F"/>
    <w:rsid w:val="00BC1DF8"/>
    <w:rsid w:val="00BC2BCA"/>
    <w:rsid w:val="00BC2FE0"/>
    <w:rsid w:val="00BC2FF3"/>
    <w:rsid w:val="00BC5405"/>
    <w:rsid w:val="00BC6485"/>
    <w:rsid w:val="00BC6621"/>
    <w:rsid w:val="00BC6B85"/>
    <w:rsid w:val="00BC6BC3"/>
    <w:rsid w:val="00BC6DFE"/>
    <w:rsid w:val="00BC6FA7"/>
    <w:rsid w:val="00BC77C9"/>
    <w:rsid w:val="00BC79B6"/>
    <w:rsid w:val="00BC7D97"/>
    <w:rsid w:val="00BD0142"/>
    <w:rsid w:val="00BD04EE"/>
    <w:rsid w:val="00BD051F"/>
    <w:rsid w:val="00BD0C17"/>
    <w:rsid w:val="00BD1432"/>
    <w:rsid w:val="00BD1B2C"/>
    <w:rsid w:val="00BD1C3E"/>
    <w:rsid w:val="00BD1C9F"/>
    <w:rsid w:val="00BD1D65"/>
    <w:rsid w:val="00BD1DD0"/>
    <w:rsid w:val="00BD1F96"/>
    <w:rsid w:val="00BD1FF9"/>
    <w:rsid w:val="00BD32D5"/>
    <w:rsid w:val="00BD3326"/>
    <w:rsid w:val="00BD3C6B"/>
    <w:rsid w:val="00BD4248"/>
    <w:rsid w:val="00BD4C30"/>
    <w:rsid w:val="00BD528B"/>
    <w:rsid w:val="00BD6EBC"/>
    <w:rsid w:val="00BD7137"/>
    <w:rsid w:val="00BD7ABF"/>
    <w:rsid w:val="00BD7C54"/>
    <w:rsid w:val="00BE0875"/>
    <w:rsid w:val="00BE1325"/>
    <w:rsid w:val="00BE15D9"/>
    <w:rsid w:val="00BE162C"/>
    <w:rsid w:val="00BE1DB0"/>
    <w:rsid w:val="00BE1DF3"/>
    <w:rsid w:val="00BE24C6"/>
    <w:rsid w:val="00BE2BCA"/>
    <w:rsid w:val="00BE3734"/>
    <w:rsid w:val="00BE3AAB"/>
    <w:rsid w:val="00BE3F22"/>
    <w:rsid w:val="00BE419E"/>
    <w:rsid w:val="00BE4861"/>
    <w:rsid w:val="00BE49AC"/>
    <w:rsid w:val="00BE5180"/>
    <w:rsid w:val="00BE5408"/>
    <w:rsid w:val="00BE5995"/>
    <w:rsid w:val="00BE5AFE"/>
    <w:rsid w:val="00BE5FA2"/>
    <w:rsid w:val="00BE68D0"/>
    <w:rsid w:val="00BE7232"/>
    <w:rsid w:val="00BE7240"/>
    <w:rsid w:val="00BE7C05"/>
    <w:rsid w:val="00BF1053"/>
    <w:rsid w:val="00BF1430"/>
    <w:rsid w:val="00BF16B4"/>
    <w:rsid w:val="00BF2577"/>
    <w:rsid w:val="00BF31AA"/>
    <w:rsid w:val="00BF5479"/>
    <w:rsid w:val="00BF610D"/>
    <w:rsid w:val="00BF63EE"/>
    <w:rsid w:val="00BF7025"/>
    <w:rsid w:val="00C0065D"/>
    <w:rsid w:val="00C00C12"/>
    <w:rsid w:val="00C011B9"/>
    <w:rsid w:val="00C017C6"/>
    <w:rsid w:val="00C02CC4"/>
    <w:rsid w:val="00C033CA"/>
    <w:rsid w:val="00C0358A"/>
    <w:rsid w:val="00C03B97"/>
    <w:rsid w:val="00C0467C"/>
    <w:rsid w:val="00C05253"/>
    <w:rsid w:val="00C06117"/>
    <w:rsid w:val="00C06540"/>
    <w:rsid w:val="00C06F51"/>
    <w:rsid w:val="00C07774"/>
    <w:rsid w:val="00C077F3"/>
    <w:rsid w:val="00C07C89"/>
    <w:rsid w:val="00C07E5C"/>
    <w:rsid w:val="00C1024C"/>
    <w:rsid w:val="00C10953"/>
    <w:rsid w:val="00C10AD6"/>
    <w:rsid w:val="00C1122D"/>
    <w:rsid w:val="00C121BC"/>
    <w:rsid w:val="00C12D80"/>
    <w:rsid w:val="00C15141"/>
    <w:rsid w:val="00C15B81"/>
    <w:rsid w:val="00C15BF1"/>
    <w:rsid w:val="00C15F47"/>
    <w:rsid w:val="00C168BC"/>
    <w:rsid w:val="00C169E2"/>
    <w:rsid w:val="00C2054C"/>
    <w:rsid w:val="00C209CB"/>
    <w:rsid w:val="00C20C11"/>
    <w:rsid w:val="00C21336"/>
    <w:rsid w:val="00C2137E"/>
    <w:rsid w:val="00C2189C"/>
    <w:rsid w:val="00C222DB"/>
    <w:rsid w:val="00C227D6"/>
    <w:rsid w:val="00C22C6F"/>
    <w:rsid w:val="00C2387A"/>
    <w:rsid w:val="00C23E40"/>
    <w:rsid w:val="00C23FAE"/>
    <w:rsid w:val="00C24BC4"/>
    <w:rsid w:val="00C24F07"/>
    <w:rsid w:val="00C25898"/>
    <w:rsid w:val="00C25BD9"/>
    <w:rsid w:val="00C2786F"/>
    <w:rsid w:val="00C30781"/>
    <w:rsid w:val="00C30AF1"/>
    <w:rsid w:val="00C30D2C"/>
    <w:rsid w:val="00C32FF0"/>
    <w:rsid w:val="00C337DC"/>
    <w:rsid w:val="00C3386B"/>
    <w:rsid w:val="00C33BF9"/>
    <w:rsid w:val="00C346D7"/>
    <w:rsid w:val="00C35287"/>
    <w:rsid w:val="00C35329"/>
    <w:rsid w:val="00C3571E"/>
    <w:rsid w:val="00C35AAB"/>
    <w:rsid w:val="00C36368"/>
    <w:rsid w:val="00C36A2C"/>
    <w:rsid w:val="00C36AFB"/>
    <w:rsid w:val="00C37465"/>
    <w:rsid w:val="00C37474"/>
    <w:rsid w:val="00C37B24"/>
    <w:rsid w:val="00C40D04"/>
    <w:rsid w:val="00C41970"/>
    <w:rsid w:val="00C41D2B"/>
    <w:rsid w:val="00C425A9"/>
    <w:rsid w:val="00C4302B"/>
    <w:rsid w:val="00C43093"/>
    <w:rsid w:val="00C433FE"/>
    <w:rsid w:val="00C438E4"/>
    <w:rsid w:val="00C446BE"/>
    <w:rsid w:val="00C4481B"/>
    <w:rsid w:val="00C448B6"/>
    <w:rsid w:val="00C4496B"/>
    <w:rsid w:val="00C44EBC"/>
    <w:rsid w:val="00C45454"/>
    <w:rsid w:val="00C4562E"/>
    <w:rsid w:val="00C46215"/>
    <w:rsid w:val="00C475E3"/>
    <w:rsid w:val="00C47851"/>
    <w:rsid w:val="00C5069A"/>
    <w:rsid w:val="00C50829"/>
    <w:rsid w:val="00C50FEA"/>
    <w:rsid w:val="00C5179F"/>
    <w:rsid w:val="00C51D4E"/>
    <w:rsid w:val="00C52C7E"/>
    <w:rsid w:val="00C52F03"/>
    <w:rsid w:val="00C5344F"/>
    <w:rsid w:val="00C53621"/>
    <w:rsid w:val="00C53867"/>
    <w:rsid w:val="00C53E57"/>
    <w:rsid w:val="00C55782"/>
    <w:rsid w:val="00C557DB"/>
    <w:rsid w:val="00C5591A"/>
    <w:rsid w:val="00C5621A"/>
    <w:rsid w:val="00C56F90"/>
    <w:rsid w:val="00C5781C"/>
    <w:rsid w:val="00C57E7D"/>
    <w:rsid w:val="00C60762"/>
    <w:rsid w:val="00C609E3"/>
    <w:rsid w:val="00C60D65"/>
    <w:rsid w:val="00C616C1"/>
    <w:rsid w:val="00C61B08"/>
    <w:rsid w:val="00C61F33"/>
    <w:rsid w:val="00C61F75"/>
    <w:rsid w:val="00C61FC0"/>
    <w:rsid w:val="00C6256B"/>
    <w:rsid w:val="00C6288B"/>
    <w:rsid w:val="00C63AD4"/>
    <w:rsid w:val="00C63FDC"/>
    <w:rsid w:val="00C64333"/>
    <w:rsid w:val="00C64885"/>
    <w:rsid w:val="00C64B6A"/>
    <w:rsid w:val="00C65B89"/>
    <w:rsid w:val="00C65D61"/>
    <w:rsid w:val="00C660CB"/>
    <w:rsid w:val="00C67C5D"/>
    <w:rsid w:val="00C67DE0"/>
    <w:rsid w:val="00C7090B"/>
    <w:rsid w:val="00C71BC5"/>
    <w:rsid w:val="00C7271F"/>
    <w:rsid w:val="00C728CA"/>
    <w:rsid w:val="00C73903"/>
    <w:rsid w:val="00C739C3"/>
    <w:rsid w:val="00C73D00"/>
    <w:rsid w:val="00C73D1A"/>
    <w:rsid w:val="00C73D28"/>
    <w:rsid w:val="00C741E9"/>
    <w:rsid w:val="00C7433B"/>
    <w:rsid w:val="00C749CE"/>
    <w:rsid w:val="00C74B8A"/>
    <w:rsid w:val="00C74F71"/>
    <w:rsid w:val="00C7500A"/>
    <w:rsid w:val="00C7625F"/>
    <w:rsid w:val="00C76CF9"/>
    <w:rsid w:val="00C77231"/>
    <w:rsid w:val="00C77F1F"/>
    <w:rsid w:val="00C8014D"/>
    <w:rsid w:val="00C80215"/>
    <w:rsid w:val="00C80227"/>
    <w:rsid w:val="00C80305"/>
    <w:rsid w:val="00C80406"/>
    <w:rsid w:val="00C8057D"/>
    <w:rsid w:val="00C8101E"/>
    <w:rsid w:val="00C829BC"/>
    <w:rsid w:val="00C82C0A"/>
    <w:rsid w:val="00C83BB7"/>
    <w:rsid w:val="00C84C8D"/>
    <w:rsid w:val="00C84F42"/>
    <w:rsid w:val="00C8597A"/>
    <w:rsid w:val="00C868F6"/>
    <w:rsid w:val="00C86F86"/>
    <w:rsid w:val="00C8771F"/>
    <w:rsid w:val="00C87B69"/>
    <w:rsid w:val="00C87EE4"/>
    <w:rsid w:val="00C90B7D"/>
    <w:rsid w:val="00C90BE4"/>
    <w:rsid w:val="00C90F2E"/>
    <w:rsid w:val="00C90FA6"/>
    <w:rsid w:val="00C91100"/>
    <w:rsid w:val="00C919BD"/>
    <w:rsid w:val="00C91D13"/>
    <w:rsid w:val="00C929D1"/>
    <w:rsid w:val="00C95663"/>
    <w:rsid w:val="00C95DD0"/>
    <w:rsid w:val="00C95E8D"/>
    <w:rsid w:val="00C9689A"/>
    <w:rsid w:val="00C96E06"/>
    <w:rsid w:val="00C97104"/>
    <w:rsid w:val="00CA002F"/>
    <w:rsid w:val="00CA0B9E"/>
    <w:rsid w:val="00CA0F6F"/>
    <w:rsid w:val="00CA18D1"/>
    <w:rsid w:val="00CA2448"/>
    <w:rsid w:val="00CA2688"/>
    <w:rsid w:val="00CA2EFE"/>
    <w:rsid w:val="00CA48C4"/>
    <w:rsid w:val="00CA4B65"/>
    <w:rsid w:val="00CA5FD3"/>
    <w:rsid w:val="00CA613F"/>
    <w:rsid w:val="00CA6182"/>
    <w:rsid w:val="00CA61B5"/>
    <w:rsid w:val="00CA67CF"/>
    <w:rsid w:val="00CA7831"/>
    <w:rsid w:val="00CA7836"/>
    <w:rsid w:val="00CB0737"/>
    <w:rsid w:val="00CB15EB"/>
    <w:rsid w:val="00CB1F6C"/>
    <w:rsid w:val="00CB3BC7"/>
    <w:rsid w:val="00CB42EB"/>
    <w:rsid w:val="00CB46A2"/>
    <w:rsid w:val="00CB47EA"/>
    <w:rsid w:val="00CB673F"/>
    <w:rsid w:val="00CB69D2"/>
    <w:rsid w:val="00CB6AD6"/>
    <w:rsid w:val="00CB6B05"/>
    <w:rsid w:val="00CB71FD"/>
    <w:rsid w:val="00CB7435"/>
    <w:rsid w:val="00CB7697"/>
    <w:rsid w:val="00CB7970"/>
    <w:rsid w:val="00CB7EA7"/>
    <w:rsid w:val="00CC0487"/>
    <w:rsid w:val="00CC0A24"/>
    <w:rsid w:val="00CC2A4A"/>
    <w:rsid w:val="00CC4324"/>
    <w:rsid w:val="00CC4723"/>
    <w:rsid w:val="00CC4B88"/>
    <w:rsid w:val="00CC4D53"/>
    <w:rsid w:val="00CC51BB"/>
    <w:rsid w:val="00CC5AEE"/>
    <w:rsid w:val="00CC6303"/>
    <w:rsid w:val="00CC662D"/>
    <w:rsid w:val="00CC6850"/>
    <w:rsid w:val="00CC6AC8"/>
    <w:rsid w:val="00CC6F04"/>
    <w:rsid w:val="00CC7EB2"/>
    <w:rsid w:val="00CD2704"/>
    <w:rsid w:val="00CD2FCF"/>
    <w:rsid w:val="00CD31E0"/>
    <w:rsid w:val="00CD38B9"/>
    <w:rsid w:val="00CD4DCD"/>
    <w:rsid w:val="00CD5972"/>
    <w:rsid w:val="00CD5BD4"/>
    <w:rsid w:val="00CD5D3E"/>
    <w:rsid w:val="00CD5E82"/>
    <w:rsid w:val="00CD615F"/>
    <w:rsid w:val="00CD675C"/>
    <w:rsid w:val="00CD6CE9"/>
    <w:rsid w:val="00CD6D89"/>
    <w:rsid w:val="00CD6E92"/>
    <w:rsid w:val="00CE046E"/>
    <w:rsid w:val="00CE09A9"/>
    <w:rsid w:val="00CE0A69"/>
    <w:rsid w:val="00CE0EF6"/>
    <w:rsid w:val="00CE0FCC"/>
    <w:rsid w:val="00CE1059"/>
    <w:rsid w:val="00CE3028"/>
    <w:rsid w:val="00CE305C"/>
    <w:rsid w:val="00CE3675"/>
    <w:rsid w:val="00CE3D13"/>
    <w:rsid w:val="00CE40C2"/>
    <w:rsid w:val="00CE452C"/>
    <w:rsid w:val="00CE4950"/>
    <w:rsid w:val="00CE495F"/>
    <w:rsid w:val="00CE4E3D"/>
    <w:rsid w:val="00CE5534"/>
    <w:rsid w:val="00CE6D0F"/>
    <w:rsid w:val="00CE7F6D"/>
    <w:rsid w:val="00CF0376"/>
    <w:rsid w:val="00CF21CE"/>
    <w:rsid w:val="00CF22F9"/>
    <w:rsid w:val="00CF36F5"/>
    <w:rsid w:val="00CF4109"/>
    <w:rsid w:val="00CF4166"/>
    <w:rsid w:val="00CF5BA3"/>
    <w:rsid w:val="00CF5DEE"/>
    <w:rsid w:val="00CF5E86"/>
    <w:rsid w:val="00CF5E96"/>
    <w:rsid w:val="00CF61A7"/>
    <w:rsid w:val="00CF67CC"/>
    <w:rsid w:val="00CF7117"/>
    <w:rsid w:val="00CF78F2"/>
    <w:rsid w:val="00CF7CAF"/>
    <w:rsid w:val="00D00133"/>
    <w:rsid w:val="00D00207"/>
    <w:rsid w:val="00D0060E"/>
    <w:rsid w:val="00D0190F"/>
    <w:rsid w:val="00D02852"/>
    <w:rsid w:val="00D039EA"/>
    <w:rsid w:val="00D03F5D"/>
    <w:rsid w:val="00D05DC1"/>
    <w:rsid w:val="00D06590"/>
    <w:rsid w:val="00D067D5"/>
    <w:rsid w:val="00D068AA"/>
    <w:rsid w:val="00D06E22"/>
    <w:rsid w:val="00D06EEC"/>
    <w:rsid w:val="00D06F2F"/>
    <w:rsid w:val="00D073B4"/>
    <w:rsid w:val="00D07D22"/>
    <w:rsid w:val="00D10576"/>
    <w:rsid w:val="00D1078B"/>
    <w:rsid w:val="00D1085D"/>
    <w:rsid w:val="00D110F9"/>
    <w:rsid w:val="00D118DE"/>
    <w:rsid w:val="00D127A8"/>
    <w:rsid w:val="00D12871"/>
    <w:rsid w:val="00D12C0B"/>
    <w:rsid w:val="00D12C98"/>
    <w:rsid w:val="00D12FE3"/>
    <w:rsid w:val="00D13534"/>
    <w:rsid w:val="00D13643"/>
    <w:rsid w:val="00D143E1"/>
    <w:rsid w:val="00D143E4"/>
    <w:rsid w:val="00D1535E"/>
    <w:rsid w:val="00D1579C"/>
    <w:rsid w:val="00D15B7C"/>
    <w:rsid w:val="00D16C55"/>
    <w:rsid w:val="00D16C99"/>
    <w:rsid w:val="00D16F91"/>
    <w:rsid w:val="00D17AE6"/>
    <w:rsid w:val="00D17D8F"/>
    <w:rsid w:val="00D2016C"/>
    <w:rsid w:val="00D202E4"/>
    <w:rsid w:val="00D205FE"/>
    <w:rsid w:val="00D20C8D"/>
    <w:rsid w:val="00D21302"/>
    <w:rsid w:val="00D224D5"/>
    <w:rsid w:val="00D2290B"/>
    <w:rsid w:val="00D23844"/>
    <w:rsid w:val="00D23C5D"/>
    <w:rsid w:val="00D25333"/>
    <w:rsid w:val="00D26E74"/>
    <w:rsid w:val="00D27523"/>
    <w:rsid w:val="00D27620"/>
    <w:rsid w:val="00D27AB2"/>
    <w:rsid w:val="00D30386"/>
    <w:rsid w:val="00D3083A"/>
    <w:rsid w:val="00D30D98"/>
    <w:rsid w:val="00D31341"/>
    <w:rsid w:val="00D313D0"/>
    <w:rsid w:val="00D313FF"/>
    <w:rsid w:val="00D322BE"/>
    <w:rsid w:val="00D32588"/>
    <w:rsid w:val="00D33E0F"/>
    <w:rsid w:val="00D345A3"/>
    <w:rsid w:val="00D3494A"/>
    <w:rsid w:val="00D35043"/>
    <w:rsid w:val="00D362C2"/>
    <w:rsid w:val="00D3773D"/>
    <w:rsid w:val="00D37906"/>
    <w:rsid w:val="00D40277"/>
    <w:rsid w:val="00D402F1"/>
    <w:rsid w:val="00D42470"/>
    <w:rsid w:val="00D43932"/>
    <w:rsid w:val="00D44091"/>
    <w:rsid w:val="00D45E1C"/>
    <w:rsid w:val="00D4632C"/>
    <w:rsid w:val="00D46BA2"/>
    <w:rsid w:val="00D46EF7"/>
    <w:rsid w:val="00D4779F"/>
    <w:rsid w:val="00D47975"/>
    <w:rsid w:val="00D47A4A"/>
    <w:rsid w:val="00D47BE8"/>
    <w:rsid w:val="00D47D3F"/>
    <w:rsid w:val="00D513FF"/>
    <w:rsid w:val="00D5166D"/>
    <w:rsid w:val="00D51690"/>
    <w:rsid w:val="00D51C74"/>
    <w:rsid w:val="00D52BE7"/>
    <w:rsid w:val="00D5328C"/>
    <w:rsid w:val="00D536D1"/>
    <w:rsid w:val="00D53F13"/>
    <w:rsid w:val="00D53F48"/>
    <w:rsid w:val="00D54039"/>
    <w:rsid w:val="00D54364"/>
    <w:rsid w:val="00D543AF"/>
    <w:rsid w:val="00D5456E"/>
    <w:rsid w:val="00D5462D"/>
    <w:rsid w:val="00D55275"/>
    <w:rsid w:val="00D573AF"/>
    <w:rsid w:val="00D5761D"/>
    <w:rsid w:val="00D57D97"/>
    <w:rsid w:val="00D57E70"/>
    <w:rsid w:val="00D60001"/>
    <w:rsid w:val="00D60BEE"/>
    <w:rsid w:val="00D615A8"/>
    <w:rsid w:val="00D61C39"/>
    <w:rsid w:val="00D6215E"/>
    <w:rsid w:val="00D62564"/>
    <w:rsid w:val="00D627DA"/>
    <w:rsid w:val="00D629FE"/>
    <w:rsid w:val="00D62D6D"/>
    <w:rsid w:val="00D631DE"/>
    <w:rsid w:val="00D642E7"/>
    <w:rsid w:val="00D646D5"/>
    <w:rsid w:val="00D646FD"/>
    <w:rsid w:val="00D65320"/>
    <w:rsid w:val="00D66015"/>
    <w:rsid w:val="00D66659"/>
    <w:rsid w:val="00D667CC"/>
    <w:rsid w:val="00D669F2"/>
    <w:rsid w:val="00D66B4E"/>
    <w:rsid w:val="00D66BC7"/>
    <w:rsid w:val="00D66F7B"/>
    <w:rsid w:val="00D67097"/>
    <w:rsid w:val="00D67CA7"/>
    <w:rsid w:val="00D67F3B"/>
    <w:rsid w:val="00D7361F"/>
    <w:rsid w:val="00D74AE8"/>
    <w:rsid w:val="00D74FF4"/>
    <w:rsid w:val="00D75D53"/>
    <w:rsid w:val="00D76095"/>
    <w:rsid w:val="00D7621A"/>
    <w:rsid w:val="00D7631F"/>
    <w:rsid w:val="00D76938"/>
    <w:rsid w:val="00D77D01"/>
    <w:rsid w:val="00D77D05"/>
    <w:rsid w:val="00D8066F"/>
    <w:rsid w:val="00D80C3A"/>
    <w:rsid w:val="00D81101"/>
    <w:rsid w:val="00D82397"/>
    <w:rsid w:val="00D82C5F"/>
    <w:rsid w:val="00D82FAF"/>
    <w:rsid w:val="00D830C5"/>
    <w:rsid w:val="00D83874"/>
    <w:rsid w:val="00D83DF7"/>
    <w:rsid w:val="00D844B6"/>
    <w:rsid w:val="00D84661"/>
    <w:rsid w:val="00D848B1"/>
    <w:rsid w:val="00D848F8"/>
    <w:rsid w:val="00D84FBA"/>
    <w:rsid w:val="00D869B4"/>
    <w:rsid w:val="00D87028"/>
    <w:rsid w:val="00D873E8"/>
    <w:rsid w:val="00D87B28"/>
    <w:rsid w:val="00D919BE"/>
    <w:rsid w:val="00D91FED"/>
    <w:rsid w:val="00D9205F"/>
    <w:rsid w:val="00D9220A"/>
    <w:rsid w:val="00D93917"/>
    <w:rsid w:val="00D95CD3"/>
    <w:rsid w:val="00D95D69"/>
    <w:rsid w:val="00D96D0B"/>
    <w:rsid w:val="00D96E59"/>
    <w:rsid w:val="00D97272"/>
    <w:rsid w:val="00D97EE6"/>
    <w:rsid w:val="00DA0394"/>
    <w:rsid w:val="00DA0858"/>
    <w:rsid w:val="00DA10CA"/>
    <w:rsid w:val="00DA11A4"/>
    <w:rsid w:val="00DA1665"/>
    <w:rsid w:val="00DA2058"/>
    <w:rsid w:val="00DA2603"/>
    <w:rsid w:val="00DA441E"/>
    <w:rsid w:val="00DA51AF"/>
    <w:rsid w:val="00DA5D61"/>
    <w:rsid w:val="00DA6087"/>
    <w:rsid w:val="00DA6250"/>
    <w:rsid w:val="00DA640F"/>
    <w:rsid w:val="00DA69F5"/>
    <w:rsid w:val="00DA6D3B"/>
    <w:rsid w:val="00DA7295"/>
    <w:rsid w:val="00DA77B8"/>
    <w:rsid w:val="00DA7C76"/>
    <w:rsid w:val="00DB134D"/>
    <w:rsid w:val="00DB2627"/>
    <w:rsid w:val="00DB2838"/>
    <w:rsid w:val="00DB2A79"/>
    <w:rsid w:val="00DB2FAE"/>
    <w:rsid w:val="00DB37B3"/>
    <w:rsid w:val="00DB3E4B"/>
    <w:rsid w:val="00DB47B3"/>
    <w:rsid w:val="00DB5337"/>
    <w:rsid w:val="00DB5EC6"/>
    <w:rsid w:val="00DB663A"/>
    <w:rsid w:val="00DB6D96"/>
    <w:rsid w:val="00DB721F"/>
    <w:rsid w:val="00DB7323"/>
    <w:rsid w:val="00DB79AF"/>
    <w:rsid w:val="00DB7B97"/>
    <w:rsid w:val="00DC0842"/>
    <w:rsid w:val="00DC08E6"/>
    <w:rsid w:val="00DC10CD"/>
    <w:rsid w:val="00DC1AFB"/>
    <w:rsid w:val="00DC1CCB"/>
    <w:rsid w:val="00DC23E2"/>
    <w:rsid w:val="00DC297F"/>
    <w:rsid w:val="00DC321B"/>
    <w:rsid w:val="00DC354D"/>
    <w:rsid w:val="00DC3E46"/>
    <w:rsid w:val="00DC3ECC"/>
    <w:rsid w:val="00DC4AA4"/>
    <w:rsid w:val="00DC5811"/>
    <w:rsid w:val="00DC5AF6"/>
    <w:rsid w:val="00DC6BDB"/>
    <w:rsid w:val="00DD0075"/>
    <w:rsid w:val="00DD0326"/>
    <w:rsid w:val="00DD0531"/>
    <w:rsid w:val="00DD0AE6"/>
    <w:rsid w:val="00DD242F"/>
    <w:rsid w:val="00DD26E2"/>
    <w:rsid w:val="00DD2957"/>
    <w:rsid w:val="00DD34BE"/>
    <w:rsid w:val="00DD380F"/>
    <w:rsid w:val="00DD3D66"/>
    <w:rsid w:val="00DD43DF"/>
    <w:rsid w:val="00DD4736"/>
    <w:rsid w:val="00DD509A"/>
    <w:rsid w:val="00DD52A7"/>
    <w:rsid w:val="00DD5555"/>
    <w:rsid w:val="00DD5720"/>
    <w:rsid w:val="00DD5EF4"/>
    <w:rsid w:val="00DD5F8B"/>
    <w:rsid w:val="00DD6DF9"/>
    <w:rsid w:val="00DD7C63"/>
    <w:rsid w:val="00DE01D6"/>
    <w:rsid w:val="00DE02D3"/>
    <w:rsid w:val="00DE02F2"/>
    <w:rsid w:val="00DE0F8F"/>
    <w:rsid w:val="00DE160D"/>
    <w:rsid w:val="00DE184C"/>
    <w:rsid w:val="00DE19D0"/>
    <w:rsid w:val="00DE1DF9"/>
    <w:rsid w:val="00DE31B6"/>
    <w:rsid w:val="00DE3AE9"/>
    <w:rsid w:val="00DE3D56"/>
    <w:rsid w:val="00DE4EBB"/>
    <w:rsid w:val="00DE56D7"/>
    <w:rsid w:val="00DE5B0C"/>
    <w:rsid w:val="00DE5C80"/>
    <w:rsid w:val="00DE6569"/>
    <w:rsid w:val="00DE69AF"/>
    <w:rsid w:val="00DE6EC2"/>
    <w:rsid w:val="00DE7D1D"/>
    <w:rsid w:val="00DF027B"/>
    <w:rsid w:val="00DF06DE"/>
    <w:rsid w:val="00DF0AC4"/>
    <w:rsid w:val="00DF2440"/>
    <w:rsid w:val="00DF26BC"/>
    <w:rsid w:val="00DF26F6"/>
    <w:rsid w:val="00DF290F"/>
    <w:rsid w:val="00DF296E"/>
    <w:rsid w:val="00DF3283"/>
    <w:rsid w:val="00DF472D"/>
    <w:rsid w:val="00DF4BFF"/>
    <w:rsid w:val="00DF4DB6"/>
    <w:rsid w:val="00DF4F95"/>
    <w:rsid w:val="00DF4FE6"/>
    <w:rsid w:val="00DF5EEB"/>
    <w:rsid w:val="00DF63A5"/>
    <w:rsid w:val="00DF6B6A"/>
    <w:rsid w:val="00DF7262"/>
    <w:rsid w:val="00DF751F"/>
    <w:rsid w:val="00E00125"/>
    <w:rsid w:val="00E0067F"/>
    <w:rsid w:val="00E00FC6"/>
    <w:rsid w:val="00E013B9"/>
    <w:rsid w:val="00E01E90"/>
    <w:rsid w:val="00E024ED"/>
    <w:rsid w:val="00E03208"/>
    <w:rsid w:val="00E03272"/>
    <w:rsid w:val="00E03882"/>
    <w:rsid w:val="00E0468A"/>
    <w:rsid w:val="00E05434"/>
    <w:rsid w:val="00E05A1F"/>
    <w:rsid w:val="00E05A2D"/>
    <w:rsid w:val="00E06008"/>
    <w:rsid w:val="00E06508"/>
    <w:rsid w:val="00E0695A"/>
    <w:rsid w:val="00E06C7F"/>
    <w:rsid w:val="00E07585"/>
    <w:rsid w:val="00E077EA"/>
    <w:rsid w:val="00E105A1"/>
    <w:rsid w:val="00E10C31"/>
    <w:rsid w:val="00E12458"/>
    <w:rsid w:val="00E12960"/>
    <w:rsid w:val="00E13411"/>
    <w:rsid w:val="00E13964"/>
    <w:rsid w:val="00E15951"/>
    <w:rsid w:val="00E15960"/>
    <w:rsid w:val="00E15C0C"/>
    <w:rsid w:val="00E16A53"/>
    <w:rsid w:val="00E17B0C"/>
    <w:rsid w:val="00E202CC"/>
    <w:rsid w:val="00E20E60"/>
    <w:rsid w:val="00E21F2A"/>
    <w:rsid w:val="00E23CB2"/>
    <w:rsid w:val="00E23CCD"/>
    <w:rsid w:val="00E245D1"/>
    <w:rsid w:val="00E25326"/>
    <w:rsid w:val="00E2607A"/>
    <w:rsid w:val="00E263F4"/>
    <w:rsid w:val="00E26436"/>
    <w:rsid w:val="00E27263"/>
    <w:rsid w:val="00E27287"/>
    <w:rsid w:val="00E3030C"/>
    <w:rsid w:val="00E31368"/>
    <w:rsid w:val="00E31F1E"/>
    <w:rsid w:val="00E32D4B"/>
    <w:rsid w:val="00E334F0"/>
    <w:rsid w:val="00E343F9"/>
    <w:rsid w:val="00E34551"/>
    <w:rsid w:val="00E345B3"/>
    <w:rsid w:val="00E35286"/>
    <w:rsid w:val="00E35864"/>
    <w:rsid w:val="00E35A07"/>
    <w:rsid w:val="00E35CE5"/>
    <w:rsid w:val="00E365EE"/>
    <w:rsid w:val="00E374B8"/>
    <w:rsid w:val="00E40584"/>
    <w:rsid w:val="00E40CAA"/>
    <w:rsid w:val="00E42237"/>
    <w:rsid w:val="00E42B1E"/>
    <w:rsid w:val="00E43156"/>
    <w:rsid w:val="00E437DF"/>
    <w:rsid w:val="00E438B7"/>
    <w:rsid w:val="00E438C2"/>
    <w:rsid w:val="00E43C7E"/>
    <w:rsid w:val="00E44991"/>
    <w:rsid w:val="00E451BB"/>
    <w:rsid w:val="00E45962"/>
    <w:rsid w:val="00E46188"/>
    <w:rsid w:val="00E463B8"/>
    <w:rsid w:val="00E465F1"/>
    <w:rsid w:val="00E46D83"/>
    <w:rsid w:val="00E46F9A"/>
    <w:rsid w:val="00E471EA"/>
    <w:rsid w:val="00E47E85"/>
    <w:rsid w:val="00E50465"/>
    <w:rsid w:val="00E50571"/>
    <w:rsid w:val="00E50955"/>
    <w:rsid w:val="00E50B5A"/>
    <w:rsid w:val="00E51071"/>
    <w:rsid w:val="00E51592"/>
    <w:rsid w:val="00E5194C"/>
    <w:rsid w:val="00E52EB7"/>
    <w:rsid w:val="00E547BD"/>
    <w:rsid w:val="00E54E7C"/>
    <w:rsid w:val="00E5581C"/>
    <w:rsid w:val="00E56A87"/>
    <w:rsid w:val="00E56C31"/>
    <w:rsid w:val="00E6066F"/>
    <w:rsid w:val="00E60CCB"/>
    <w:rsid w:val="00E61B55"/>
    <w:rsid w:val="00E62633"/>
    <w:rsid w:val="00E62707"/>
    <w:rsid w:val="00E62CC9"/>
    <w:rsid w:val="00E63D6D"/>
    <w:rsid w:val="00E63ED5"/>
    <w:rsid w:val="00E64384"/>
    <w:rsid w:val="00E64547"/>
    <w:rsid w:val="00E64704"/>
    <w:rsid w:val="00E647EC"/>
    <w:rsid w:val="00E64B55"/>
    <w:rsid w:val="00E6503F"/>
    <w:rsid w:val="00E65693"/>
    <w:rsid w:val="00E65E66"/>
    <w:rsid w:val="00E65ED6"/>
    <w:rsid w:val="00E66320"/>
    <w:rsid w:val="00E66BA9"/>
    <w:rsid w:val="00E66DB0"/>
    <w:rsid w:val="00E66F1F"/>
    <w:rsid w:val="00E6731F"/>
    <w:rsid w:val="00E6787B"/>
    <w:rsid w:val="00E67C3C"/>
    <w:rsid w:val="00E67FFE"/>
    <w:rsid w:val="00E70602"/>
    <w:rsid w:val="00E71420"/>
    <w:rsid w:val="00E724B2"/>
    <w:rsid w:val="00E730E4"/>
    <w:rsid w:val="00E73AD8"/>
    <w:rsid w:val="00E74D6B"/>
    <w:rsid w:val="00E75799"/>
    <w:rsid w:val="00E757AB"/>
    <w:rsid w:val="00E75CF5"/>
    <w:rsid w:val="00E76283"/>
    <w:rsid w:val="00E769D2"/>
    <w:rsid w:val="00E77894"/>
    <w:rsid w:val="00E81005"/>
    <w:rsid w:val="00E814D8"/>
    <w:rsid w:val="00E81CDA"/>
    <w:rsid w:val="00E82C89"/>
    <w:rsid w:val="00E83757"/>
    <w:rsid w:val="00E8394C"/>
    <w:rsid w:val="00E83A9F"/>
    <w:rsid w:val="00E83EC5"/>
    <w:rsid w:val="00E84084"/>
    <w:rsid w:val="00E845DC"/>
    <w:rsid w:val="00E84E57"/>
    <w:rsid w:val="00E8516E"/>
    <w:rsid w:val="00E85A90"/>
    <w:rsid w:val="00E86723"/>
    <w:rsid w:val="00E86A81"/>
    <w:rsid w:val="00E92270"/>
    <w:rsid w:val="00E9282E"/>
    <w:rsid w:val="00E929C6"/>
    <w:rsid w:val="00E92D6E"/>
    <w:rsid w:val="00E9316D"/>
    <w:rsid w:val="00E93197"/>
    <w:rsid w:val="00E95BF4"/>
    <w:rsid w:val="00E9628C"/>
    <w:rsid w:val="00E97705"/>
    <w:rsid w:val="00E97BDD"/>
    <w:rsid w:val="00EA0F9A"/>
    <w:rsid w:val="00EA11C5"/>
    <w:rsid w:val="00EA26D0"/>
    <w:rsid w:val="00EA277D"/>
    <w:rsid w:val="00EA2A47"/>
    <w:rsid w:val="00EA2BFD"/>
    <w:rsid w:val="00EA2C1C"/>
    <w:rsid w:val="00EA364D"/>
    <w:rsid w:val="00EA36DB"/>
    <w:rsid w:val="00EA3E5F"/>
    <w:rsid w:val="00EA4355"/>
    <w:rsid w:val="00EA51D6"/>
    <w:rsid w:val="00EA5774"/>
    <w:rsid w:val="00EA5B3D"/>
    <w:rsid w:val="00EA5E61"/>
    <w:rsid w:val="00EA6376"/>
    <w:rsid w:val="00EA6388"/>
    <w:rsid w:val="00EA63F4"/>
    <w:rsid w:val="00EA772F"/>
    <w:rsid w:val="00EB1C86"/>
    <w:rsid w:val="00EB218F"/>
    <w:rsid w:val="00EB2425"/>
    <w:rsid w:val="00EB35DF"/>
    <w:rsid w:val="00EB41D5"/>
    <w:rsid w:val="00EB4AEA"/>
    <w:rsid w:val="00EB50F3"/>
    <w:rsid w:val="00EB5C8B"/>
    <w:rsid w:val="00EB6332"/>
    <w:rsid w:val="00EB6723"/>
    <w:rsid w:val="00EB6928"/>
    <w:rsid w:val="00EB709A"/>
    <w:rsid w:val="00EB7228"/>
    <w:rsid w:val="00EB79E7"/>
    <w:rsid w:val="00EC107D"/>
    <w:rsid w:val="00EC13C9"/>
    <w:rsid w:val="00EC162D"/>
    <w:rsid w:val="00EC1B63"/>
    <w:rsid w:val="00EC1C1D"/>
    <w:rsid w:val="00EC20BA"/>
    <w:rsid w:val="00EC2283"/>
    <w:rsid w:val="00EC28C9"/>
    <w:rsid w:val="00EC2EE7"/>
    <w:rsid w:val="00EC374C"/>
    <w:rsid w:val="00EC3FCA"/>
    <w:rsid w:val="00EC4FBB"/>
    <w:rsid w:val="00EC51AC"/>
    <w:rsid w:val="00EC52C6"/>
    <w:rsid w:val="00EC6836"/>
    <w:rsid w:val="00EC6B65"/>
    <w:rsid w:val="00EC78CA"/>
    <w:rsid w:val="00ED0661"/>
    <w:rsid w:val="00ED0C02"/>
    <w:rsid w:val="00ED0E02"/>
    <w:rsid w:val="00ED1019"/>
    <w:rsid w:val="00ED1467"/>
    <w:rsid w:val="00ED1BEF"/>
    <w:rsid w:val="00ED27F1"/>
    <w:rsid w:val="00ED2863"/>
    <w:rsid w:val="00ED2B3B"/>
    <w:rsid w:val="00ED2EB9"/>
    <w:rsid w:val="00ED3779"/>
    <w:rsid w:val="00ED3DBC"/>
    <w:rsid w:val="00ED4631"/>
    <w:rsid w:val="00ED4BB3"/>
    <w:rsid w:val="00ED5356"/>
    <w:rsid w:val="00ED5901"/>
    <w:rsid w:val="00ED5F51"/>
    <w:rsid w:val="00ED60BB"/>
    <w:rsid w:val="00ED656B"/>
    <w:rsid w:val="00ED6859"/>
    <w:rsid w:val="00ED6B2A"/>
    <w:rsid w:val="00ED7120"/>
    <w:rsid w:val="00ED72F8"/>
    <w:rsid w:val="00ED786A"/>
    <w:rsid w:val="00EE0767"/>
    <w:rsid w:val="00EE11F1"/>
    <w:rsid w:val="00EE1895"/>
    <w:rsid w:val="00EE1F89"/>
    <w:rsid w:val="00EE209E"/>
    <w:rsid w:val="00EE2357"/>
    <w:rsid w:val="00EE2BBA"/>
    <w:rsid w:val="00EE35B5"/>
    <w:rsid w:val="00EE4808"/>
    <w:rsid w:val="00EE49B7"/>
    <w:rsid w:val="00EE4B31"/>
    <w:rsid w:val="00EE50BA"/>
    <w:rsid w:val="00EE5250"/>
    <w:rsid w:val="00EE5DE1"/>
    <w:rsid w:val="00EE7D3A"/>
    <w:rsid w:val="00EF04E4"/>
    <w:rsid w:val="00EF0516"/>
    <w:rsid w:val="00EF0549"/>
    <w:rsid w:val="00EF09D5"/>
    <w:rsid w:val="00EF1374"/>
    <w:rsid w:val="00EF3759"/>
    <w:rsid w:val="00EF4A87"/>
    <w:rsid w:val="00EF52A9"/>
    <w:rsid w:val="00EF748F"/>
    <w:rsid w:val="00F00576"/>
    <w:rsid w:val="00F005F4"/>
    <w:rsid w:val="00F009C6"/>
    <w:rsid w:val="00F00C7B"/>
    <w:rsid w:val="00F00FFB"/>
    <w:rsid w:val="00F0117F"/>
    <w:rsid w:val="00F0131E"/>
    <w:rsid w:val="00F014DD"/>
    <w:rsid w:val="00F01769"/>
    <w:rsid w:val="00F018D4"/>
    <w:rsid w:val="00F02518"/>
    <w:rsid w:val="00F0268E"/>
    <w:rsid w:val="00F02C6A"/>
    <w:rsid w:val="00F04EAF"/>
    <w:rsid w:val="00F05742"/>
    <w:rsid w:val="00F05D6A"/>
    <w:rsid w:val="00F065BC"/>
    <w:rsid w:val="00F105FF"/>
    <w:rsid w:val="00F10774"/>
    <w:rsid w:val="00F121DF"/>
    <w:rsid w:val="00F12DA5"/>
    <w:rsid w:val="00F13843"/>
    <w:rsid w:val="00F13A40"/>
    <w:rsid w:val="00F14139"/>
    <w:rsid w:val="00F147B5"/>
    <w:rsid w:val="00F14BFC"/>
    <w:rsid w:val="00F14DF4"/>
    <w:rsid w:val="00F168C8"/>
    <w:rsid w:val="00F1768E"/>
    <w:rsid w:val="00F212AD"/>
    <w:rsid w:val="00F21A60"/>
    <w:rsid w:val="00F21CC9"/>
    <w:rsid w:val="00F22259"/>
    <w:rsid w:val="00F238AF"/>
    <w:rsid w:val="00F23B98"/>
    <w:rsid w:val="00F24575"/>
    <w:rsid w:val="00F24687"/>
    <w:rsid w:val="00F24AB3"/>
    <w:rsid w:val="00F253C9"/>
    <w:rsid w:val="00F268B8"/>
    <w:rsid w:val="00F26A37"/>
    <w:rsid w:val="00F273FF"/>
    <w:rsid w:val="00F2747C"/>
    <w:rsid w:val="00F27855"/>
    <w:rsid w:val="00F27911"/>
    <w:rsid w:val="00F27B9C"/>
    <w:rsid w:val="00F30E49"/>
    <w:rsid w:val="00F310A4"/>
    <w:rsid w:val="00F32CF2"/>
    <w:rsid w:val="00F33309"/>
    <w:rsid w:val="00F33395"/>
    <w:rsid w:val="00F33C1C"/>
    <w:rsid w:val="00F33CB9"/>
    <w:rsid w:val="00F3456A"/>
    <w:rsid w:val="00F3476A"/>
    <w:rsid w:val="00F34AC8"/>
    <w:rsid w:val="00F34E92"/>
    <w:rsid w:val="00F35523"/>
    <w:rsid w:val="00F35A9B"/>
    <w:rsid w:val="00F36765"/>
    <w:rsid w:val="00F36D67"/>
    <w:rsid w:val="00F371B9"/>
    <w:rsid w:val="00F37816"/>
    <w:rsid w:val="00F40292"/>
    <w:rsid w:val="00F40630"/>
    <w:rsid w:val="00F4077E"/>
    <w:rsid w:val="00F408C6"/>
    <w:rsid w:val="00F4133F"/>
    <w:rsid w:val="00F41547"/>
    <w:rsid w:val="00F41792"/>
    <w:rsid w:val="00F418A6"/>
    <w:rsid w:val="00F41BD2"/>
    <w:rsid w:val="00F42C2F"/>
    <w:rsid w:val="00F42C59"/>
    <w:rsid w:val="00F4370F"/>
    <w:rsid w:val="00F43A48"/>
    <w:rsid w:val="00F43C8A"/>
    <w:rsid w:val="00F44AF7"/>
    <w:rsid w:val="00F44B57"/>
    <w:rsid w:val="00F45639"/>
    <w:rsid w:val="00F45BF0"/>
    <w:rsid w:val="00F45FB4"/>
    <w:rsid w:val="00F463E2"/>
    <w:rsid w:val="00F46CB8"/>
    <w:rsid w:val="00F46F2A"/>
    <w:rsid w:val="00F510B6"/>
    <w:rsid w:val="00F5118D"/>
    <w:rsid w:val="00F51494"/>
    <w:rsid w:val="00F51E4C"/>
    <w:rsid w:val="00F51EAB"/>
    <w:rsid w:val="00F520AC"/>
    <w:rsid w:val="00F52105"/>
    <w:rsid w:val="00F5210F"/>
    <w:rsid w:val="00F52147"/>
    <w:rsid w:val="00F52362"/>
    <w:rsid w:val="00F52F22"/>
    <w:rsid w:val="00F5331B"/>
    <w:rsid w:val="00F53791"/>
    <w:rsid w:val="00F53BE0"/>
    <w:rsid w:val="00F54021"/>
    <w:rsid w:val="00F55A55"/>
    <w:rsid w:val="00F55EAB"/>
    <w:rsid w:val="00F56129"/>
    <w:rsid w:val="00F56CC7"/>
    <w:rsid w:val="00F56E72"/>
    <w:rsid w:val="00F57173"/>
    <w:rsid w:val="00F571DA"/>
    <w:rsid w:val="00F57F0C"/>
    <w:rsid w:val="00F602C1"/>
    <w:rsid w:val="00F6132C"/>
    <w:rsid w:val="00F6291B"/>
    <w:rsid w:val="00F63917"/>
    <w:rsid w:val="00F63A81"/>
    <w:rsid w:val="00F63BBB"/>
    <w:rsid w:val="00F6483F"/>
    <w:rsid w:val="00F65272"/>
    <w:rsid w:val="00F65588"/>
    <w:rsid w:val="00F658E8"/>
    <w:rsid w:val="00F658E9"/>
    <w:rsid w:val="00F660E1"/>
    <w:rsid w:val="00F667A3"/>
    <w:rsid w:val="00F66D12"/>
    <w:rsid w:val="00F66FE9"/>
    <w:rsid w:val="00F67A95"/>
    <w:rsid w:val="00F67F53"/>
    <w:rsid w:val="00F701F9"/>
    <w:rsid w:val="00F703CE"/>
    <w:rsid w:val="00F70471"/>
    <w:rsid w:val="00F70B4C"/>
    <w:rsid w:val="00F70CE5"/>
    <w:rsid w:val="00F70F58"/>
    <w:rsid w:val="00F7128F"/>
    <w:rsid w:val="00F71F57"/>
    <w:rsid w:val="00F7248D"/>
    <w:rsid w:val="00F72C93"/>
    <w:rsid w:val="00F7311E"/>
    <w:rsid w:val="00F73130"/>
    <w:rsid w:val="00F73B9C"/>
    <w:rsid w:val="00F74551"/>
    <w:rsid w:val="00F755E6"/>
    <w:rsid w:val="00F75CE9"/>
    <w:rsid w:val="00F76E2C"/>
    <w:rsid w:val="00F77149"/>
    <w:rsid w:val="00F779DF"/>
    <w:rsid w:val="00F77C96"/>
    <w:rsid w:val="00F80F91"/>
    <w:rsid w:val="00F8176D"/>
    <w:rsid w:val="00F81F0F"/>
    <w:rsid w:val="00F82C88"/>
    <w:rsid w:val="00F831D2"/>
    <w:rsid w:val="00F83CB4"/>
    <w:rsid w:val="00F85ADD"/>
    <w:rsid w:val="00F862C1"/>
    <w:rsid w:val="00F86D58"/>
    <w:rsid w:val="00F86F34"/>
    <w:rsid w:val="00F87AEF"/>
    <w:rsid w:val="00F9030F"/>
    <w:rsid w:val="00F9049B"/>
    <w:rsid w:val="00F90D26"/>
    <w:rsid w:val="00F92723"/>
    <w:rsid w:val="00F927B6"/>
    <w:rsid w:val="00F92FE5"/>
    <w:rsid w:val="00F9337F"/>
    <w:rsid w:val="00F93598"/>
    <w:rsid w:val="00F94461"/>
    <w:rsid w:val="00F945F9"/>
    <w:rsid w:val="00F94BA7"/>
    <w:rsid w:val="00F952DD"/>
    <w:rsid w:val="00F96D7E"/>
    <w:rsid w:val="00F96D99"/>
    <w:rsid w:val="00F976BC"/>
    <w:rsid w:val="00F97D2B"/>
    <w:rsid w:val="00FA0642"/>
    <w:rsid w:val="00FA1823"/>
    <w:rsid w:val="00FA1C88"/>
    <w:rsid w:val="00FA1E7B"/>
    <w:rsid w:val="00FA2985"/>
    <w:rsid w:val="00FA2CE2"/>
    <w:rsid w:val="00FA31BF"/>
    <w:rsid w:val="00FA3836"/>
    <w:rsid w:val="00FA441C"/>
    <w:rsid w:val="00FA49A2"/>
    <w:rsid w:val="00FA4D41"/>
    <w:rsid w:val="00FA524F"/>
    <w:rsid w:val="00FA538A"/>
    <w:rsid w:val="00FA57D4"/>
    <w:rsid w:val="00FA5A4A"/>
    <w:rsid w:val="00FA663F"/>
    <w:rsid w:val="00FA7684"/>
    <w:rsid w:val="00FB00DC"/>
    <w:rsid w:val="00FB01D1"/>
    <w:rsid w:val="00FB061F"/>
    <w:rsid w:val="00FB0852"/>
    <w:rsid w:val="00FB0DAA"/>
    <w:rsid w:val="00FB0DCD"/>
    <w:rsid w:val="00FB10F1"/>
    <w:rsid w:val="00FB1AED"/>
    <w:rsid w:val="00FB2823"/>
    <w:rsid w:val="00FB2A16"/>
    <w:rsid w:val="00FB2BC4"/>
    <w:rsid w:val="00FB4530"/>
    <w:rsid w:val="00FB4612"/>
    <w:rsid w:val="00FB5861"/>
    <w:rsid w:val="00FB5BDC"/>
    <w:rsid w:val="00FB6229"/>
    <w:rsid w:val="00FB6758"/>
    <w:rsid w:val="00FB69E1"/>
    <w:rsid w:val="00FB73EC"/>
    <w:rsid w:val="00FB76D5"/>
    <w:rsid w:val="00FC0203"/>
    <w:rsid w:val="00FC06DA"/>
    <w:rsid w:val="00FC15FD"/>
    <w:rsid w:val="00FC24E3"/>
    <w:rsid w:val="00FC27B8"/>
    <w:rsid w:val="00FC28A6"/>
    <w:rsid w:val="00FC2B20"/>
    <w:rsid w:val="00FC4809"/>
    <w:rsid w:val="00FC4B82"/>
    <w:rsid w:val="00FC4D26"/>
    <w:rsid w:val="00FC4D8A"/>
    <w:rsid w:val="00FC50E4"/>
    <w:rsid w:val="00FC5326"/>
    <w:rsid w:val="00FC54F4"/>
    <w:rsid w:val="00FC5508"/>
    <w:rsid w:val="00FC5D9C"/>
    <w:rsid w:val="00FC663B"/>
    <w:rsid w:val="00FC692C"/>
    <w:rsid w:val="00FC6C2D"/>
    <w:rsid w:val="00FC709D"/>
    <w:rsid w:val="00FD0111"/>
    <w:rsid w:val="00FD0794"/>
    <w:rsid w:val="00FD098D"/>
    <w:rsid w:val="00FD09F0"/>
    <w:rsid w:val="00FD0AB4"/>
    <w:rsid w:val="00FD0DD9"/>
    <w:rsid w:val="00FD179A"/>
    <w:rsid w:val="00FD1B53"/>
    <w:rsid w:val="00FD2862"/>
    <w:rsid w:val="00FD28BA"/>
    <w:rsid w:val="00FD29CC"/>
    <w:rsid w:val="00FD2B70"/>
    <w:rsid w:val="00FD35F3"/>
    <w:rsid w:val="00FD390B"/>
    <w:rsid w:val="00FD4BD7"/>
    <w:rsid w:val="00FD4E67"/>
    <w:rsid w:val="00FD53CC"/>
    <w:rsid w:val="00FD57F4"/>
    <w:rsid w:val="00FD6505"/>
    <w:rsid w:val="00FD7091"/>
    <w:rsid w:val="00FD7511"/>
    <w:rsid w:val="00FD7637"/>
    <w:rsid w:val="00FE08A3"/>
    <w:rsid w:val="00FE111E"/>
    <w:rsid w:val="00FE14B1"/>
    <w:rsid w:val="00FE228F"/>
    <w:rsid w:val="00FE277D"/>
    <w:rsid w:val="00FE280B"/>
    <w:rsid w:val="00FE2AAB"/>
    <w:rsid w:val="00FE34FE"/>
    <w:rsid w:val="00FE37F1"/>
    <w:rsid w:val="00FE44E1"/>
    <w:rsid w:val="00FE4E42"/>
    <w:rsid w:val="00FE52F4"/>
    <w:rsid w:val="00FE535A"/>
    <w:rsid w:val="00FE58B4"/>
    <w:rsid w:val="00FE7AE1"/>
    <w:rsid w:val="00FF06A9"/>
    <w:rsid w:val="00FF0808"/>
    <w:rsid w:val="00FF0AF2"/>
    <w:rsid w:val="00FF1FEB"/>
    <w:rsid w:val="00FF3E7E"/>
    <w:rsid w:val="00FF536B"/>
    <w:rsid w:val="00FF6199"/>
    <w:rsid w:val="00FF6347"/>
    <w:rsid w:val="00FF799E"/>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E3EFE-BF2E-4069-9780-D2DE8D7D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83B"/>
    <w:pPr>
      <w:spacing w:after="160" w:line="259" w:lineRule="auto"/>
    </w:pPr>
    <w:rPr>
      <w:lang w:val="en-GB"/>
    </w:rPr>
  </w:style>
  <w:style w:type="paragraph" w:styleId="Heading1">
    <w:name w:val="heading 1"/>
    <w:basedOn w:val="Normal"/>
    <w:next w:val="Normal"/>
    <w:link w:val="Heading1Char"/>
    <w:uiPriority w:val="9"/>
    <w:qFormat/>
    <w:rsid w:val="00D47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B1BF4"/>
    <w:pPr>
      <w:spacing w:before="100" w:beforeAutospacing="1" w:after="100" w:afterAutospacing="1" w:line="240" w:lineRule="auto"/>
      <w:outlineLvl w:val="2"/>
    </w:pPr>
    <w:rPr>
      <w:rFonts w:ascii="Arial" w:eastAsia="SimSun" w:hAnsi="Arial" w:cs="Arial"/>
      <w:b/>
      <w:bCs/>
      <w:sz w:val="24"/>
      <w:szCs w:val="24"/>
      <w:lang w:val="en-US" w:eastAsia="zh-CN"/>
    </w:rPr>
  </w:style>
  <w:style w:type="paragraph" w:styleId="Heading4">
    <w:name w:val="heading 4"/>
    <w:basedOn w:val="Normal"/>
    <w:next w:val="Normal"/>
    <w:link w:val="Heading4Char"/>
    <w:uiPriority w:val="9"/>
    <w:unhideWhenUsed/>
    <w:qFormat/>
    <w:rsid w:val="00B044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03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683B"/>
    <w:pPr>
      <w:spacing w:after="0" w:line="240" w:lineRule="auto"/>
    </w:pPr>
    <w:rPr>
      <w:sz w:val="20"/>
      <w:szCs w:val="20"/>
    </w:rPr>
  </w:style>
  <w:style w:type="character" w:customStyle="1" w:styleId="FootnoteTextChar">
    <w:name w:val="Footnote Text Char"/>
    <w:basedOn w:val="DefaultParagraphFont"/>
    <w:link w:val="FootnoteText"/>
    <w:uiPriority w:val="99"/>
    <w:rsid w:val="0049683B"/>
    <w:rPr>
      <w:sz w:val="20"/>
      <w:szCs w:val="20"/>
      <w:lang w:val="en-GB"/>
    </w:rPr>
  </w:style>
  <w:style w:type="character" w:styleId="FootnoteReference">
    <w:name w:val="footnote reference"/>
    <w:basedOn w:val="DefaultParagraphFont"/>
    <w:uiPriority w:val="99"/>
    <w:semiHidden/>
    <w:unhideWhenUsed/>
    <w:rsid w:val="0049683B"/>
    <w:rPr>
      <w:vertAlign w:val="superscript"/>
    </w:rPr>
  </w:style>
  <w:style w:type="paragraph" w:styleId="ListParagraph">
    <w:name w:val="List Paragraph"/>
    <w:basedOn w:val="Normal"/>
    <w:uiPriority w:val="34"/>
    <w:qFormat/>
    <w:rsid w:val="0049683B"/>
    <w:pPr>
      <w:spacing w:after="200" w:line="276" w:lineRule="auto"/>
      <w:ind w:left="720"/>
      <w:contextualSpacing/>
    </w:pPr>
    <w:rPr>
      <w:lang w:val="en-US"/>
    </w:rPr>
  </w:style>
  <w:style w:type="paragraph" w:styleId="Footer">
    <w:name w:val="footer"/>
    <w:basedOn w:val="Normal"/>
    <w:link w:val="FooterChar"/>
    <w:uiPriority w:val="99"/>
    <w:unhideWhenUsed/>
    <w:rsid w:val="0049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83B"/>
    <w:rPr>
      <w:lang w:val="en-GB"/>
    </w:rPr>
  </w:style>
  <w:style w:type="character" w:styleId="Hyperlink">
    <w:name w:val="Hyperlink"/>
    <w:basedOn w:val="DefaultParagraphFont"/>
    <w:uiPriority w:val="99"/>
    <w:unhideWhenUsed/>
    <w:rsid w:val="00A3659D"/>
    <w:rPr>
      <w:color w:val="0000FF" w:themeColor="hyperlink"/>
      <w:u w:val="single"/>
    </w:rPr>
  </w:style>
  <w:style w:type="character" w:customStyle="1" w:styleId="sb8d990e2">
    <w:name w:val="sb8d990e2"/>
    <w:basedOn w:val="DefaultParagraphFont"/>
    <w:rsid w:val="00D66BC7"/>
  </w:style>
  <w:style w:type="paragraph" w:styleId="Header">
    <w:name w:val="header"/>
    <w:basedOn w:val="Normal"/>
    <w:link w:val="HeaderChar"/>
    <w:uiPriority w:val="99"/>
    <w:unhideWhenUsed/>
    <w:rsid w:val="006A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5A3"/>
    <w:rPr>
      <w:lang w:val="en-GB"/>
    </w:rPr>
  </w:style>
  <w:style w:type="character" w:customStyle="1" w:styleId="Heading3Char">
    <w:name w:val="Heading 3 Char"/>
    <w:basedOn w:val="DefaultParagraphFont"/>
    <w:link w:val="Heading3"/>
    <w:uiPriority w:val="99"/>
    <w:rsid w:val="003B1BF4"/>
    <w:rPr>
      <w:rFonts w:ascii="Arial" w:eastAsia="SimSun" w:hAnsi="Arial" w:cs="Arial"/>
      <w:b/>
      <w:bCs/>
      <w:sz w:val="24"/>
      <w:szCs w:val="24"/>
      <w:lang w:eastAsia="zh-CN"/>
    </w:rPr>
  </w:style>
  <w:style w:type="paragraph" w:styleId="NoSpacing">
    <w:name w:val="No Spacing"/>
    <w:link w:val="NoSpacingChar"/>
    <w:uiPriority w:val="1"/>
    <w:qFormat/>
    <w:rsid w:val="00F9337F"/>
    <w:pPr>
      <w:spacing w:after="0" w:line="240" w:lineRule="auto"/>
    </w:pPr>
    <w:rPr>
      <w:rFonts w:eastAsiaTheme="minorEastAsia"/>
    </w:rPr>
  </w:style>
  <w:style w:type="character" w:customStyle="1" w:styleId="NoSpacingChar">
    <w:name w:val="No Spacing Char"/>
    <w:basedOn w:val="DefaultParagraphFont"/>
    <w:link w:val="NoSpacing"/>
    <w:uiPriority w:val="1"/>
    <w:rsid w:val="00F9337F"/>
    <w:rPr>
      <w:rFonts w:eastAsiaTheme="minorEastAsia"/>
    </w:rPr>
  </w:style>
  <w:style w:type="paragraph" w:styleId="BalloonText">
    <w:name w:val="Balloon Text"/>
    <w:basedOn w:val="Normal"/>
    <w:link w:val="BalloonTextChar"/>
    <w:uiPriority w:val="99"/>
    <w:semiHidden/>
    <w:unhideWhenUsed/>
    <w:rsid w:val="00874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732"/>
    <w:rPr>
      <w:rFonts w:ascii="Tahoma" w:hAnsi="Tahoma" w:cs="Tahoma"/>
      <w:sz w:val="16"/>
      <w:szCs w:val="16"/>
      <w:lang w:val="en-GB"/>
    </w:rPr>
  </w:style>
  <w:style w:type="paragraph" w:styleId="Title">
    <w:name w:val="Title"/>
    <w:basedOn w:val="Normal"/>
    <w:next w:val="Normal"/>
    <w:link w:val="TitleChar"/>
    <w:uiPriority w:val="10"/>
    <w:qFormat/>
    <w:rsid w:val="005E6381"/>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5E638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5E6381"/>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5E6381"/>
    <w:rPr>
      <w:rFonts w:eastAsiaTheme="minorEastAsia" w:cs="Times New Roman"/>
      <w:color w:val="5A5A5A" w:themeColor="text1" w:themeTint="A5"/>
      <w:spacing w:val="15"/>
    </w:rPr>
  </w:style>
  <w:style w:type="character" w:customStyle="1" w:styleId="apple-converted-space">
    <w:name w:val="apple-converted-space"/>
    <w:basedOn w:val="DefaultParagraphFont"/>
    <w:rsid w:val="004D6500"/>
  </w:style>
  <w:style w:type="character" w:styleId="HTMLCite">
    <w:name w:val="HTML Cite"/>
    <w:basedOn w:val="DefaultParagraphFont"/>
    <w:uiPriority w:val="99"/>
    <w:semiHidden/>
    <w:unhideWhenUsed/>
    <w:rsid w:val="001F195C"/>
    <w:rPr>
      <w:i/>
      <w:iCs/>
    </w:rPr>
  </w:style>
  <w:style w:type="character" w:customStyle="1" w:styleId="Heading1Char">
    <w:name w:val="Heading 1 Char"/>
    <w:basedOn w:val="DefaultParagraphFont"/>
    <w:link w:val="Heading1"/>
    <w:uiPriority w:val="9"/>
    <w:rsid w:val="00D47BE8"/>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B044AF"/>
    <w:pPr>
      <w:spacing w:line="276" w:lineRule="auto"/>
      <w:outlineLvl w:val="9"/>
    </w:pPr>
    <w:rPr>
      <w:lang w:val="en-US" w:eastAsia="ja-JP"/>
    </w:rPr>
  </w:style>
  <w:style w:type="paragraph" w:styleId="TOC1">
    <w:name w:val="toc 1"/>
    <w:basedOn w:val="Normal"/>
    <w:next w:val="Normal"/>
    <w:autoRedefine/>
    <w:uiPriority w:val="39"/>
    <w:unhideWhenUsed/>
    <w:qFormat/>
    <w:rsid w:val="00963C2F"/>
    <w:pPr>
      <w:tabs>
        <w:tab w:val="right" w:leader="dot" w:pos="8296"/>
      </w:tabs>
      <w:spacing w:after="100"/>
    </w:pPr>
    <w:rPr>
      <w:b/>
      <w:noProof/>
    </w:rPr>
  </w:style>
  <w:style w:type="character" w:customStyle="1" w:styleId="Heading4Char">
    <w:name w:val="Heading 4 Char"/>
    <w:basedOn w:val="DefaultParagraphFont"/>
    <w:link w:val="Heading4"/>
    <w:uiPriority w:val="9"/>
    <w:rsid w:val="00B044AF"/>
    <w:rPr>
      <w:rFonts w:asciiTheme="majorHAnsi" w:eastAsiaTheme="majorEastAsia" w:hAnsiTheme="majorHAnsi" w:cstheme="majorBidi"/>
      <w:b/>
      <w:bCs/>
      <w:i/>
      <w:iCs/>
      <w:color w:val="4F81BD" w:themeColor="accent1"/>
      <w:lang w:val="en-GB"/>
    </w:rPr>
  </w:style>
  <w:style w:type="paragraph" w:styleId="TOC2">
    <w:name w:val="toc 2"/>
    <w:basedOn w:val="Normal"/>
    <w:next w:val="Normal"/>
    <w:autoRedefine/>
    <w:uiPriority w:val="39"/>
    <w:semiHidden/>
    <w:unhideWhenUsed/>
    <w:qFormat/>
    <w:rsid w:val="002F0293"/>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2F0293"/>
    <w:pPr>
      <w:spacing w:after="100" w:line="276" w:lineRule="auto"/>
      <w:ind w:left="440"/>
    </w:pPr>
    <w:rPr>
      <w:rFonts w:eastAsiaTheme="minorEastAsia"/>
      <w:lang w:val="en-US" w:eastAsia="ja-JP"/>
    </w:rPr>
  </w:style>
  <w:style w:type="paragraph" w:styleId="TOC4">
    <w:name w:val="toc 4"/>
    <w:basedOn w:val="Normal"/>
    <w:next w:val="Normal"/>
    <w:autoRedefine/>
    <w:uiPriority w:val="39"/>
    <w:unhideWhenUsed/>
    <w:rsid w:val="0009449C"/>
    <w:pPr>
      <w:spacing w:after="100"/>
      <w:ind w:left="660"/>
    </w:pPr>
  </w:style>
  <w:style w:type="character" w:customStyle="1" w:styleId="Heading5Char">
    <w:name w:val="Heading 5 Char"/>
    <w:basedOn w:val="DefaultParagraphFont"/>
    <w:link w:val="Heading5"/>
    <w:uiPriority w:val="9"/>
    <w:rsid w:val="00A90366"/>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985966">
      <w:bodyDiv w:val="1"/>
      <w:marLeft w:val="0"/>
      <w:marRight w:val="0"/>
      <w:marTop w:val="0"/>
      <w:marBottom w:val="0"/>
      <w:divBdr>
        <w:top w:val="none" w:sz="0" w:space="0" w:color="auto"/>
        <w:left w:val="none" w:sz="0" w:space="0" w:color="auto"/>
        <w:bottom w:val="none" w:sz="0" w:space="0" w:color="auto"/>
        <w:right w:val="none" w:sz="0" w:space="0" w:color="auto"/>
      </w:divBdr>
      <w:divsChild>
        <w:div w:id="1181318393">
          <w:marLeft w:val="0"/>
          <w:marRight w:val="0"/>
          <w:marTop w:val="0"/>
          <w:marBottom w:val="0"/>
          <w:divBdr>
            <w:top w:val="none" w:sz="0" w:space="0" w:color="auto"/>
            <w:left w:val="none" w:sz="0" w:space="0" w:color="auto"/>
            <w:bottom w:val="none" w:sz="0" w:space="0" w:color="auto"/>
            <w:right w:val="none" w:sz="0" w:space="0" w:color="auto"/>
          </w:divBdr>
        </w:div>
        <w:div w:id="14309302">
          <w:marLeft w:val="0"/>
          <w:marRight w:val="0"/>
          <w:marTop w:val="0"/>
          <w:marBottom w:val="0"/>
          <w:divBdr>
            <w:top w:val="none" w:sz="0" w:space="0" w:color="auto"/>
            <w:left w:val="none" w:sz="0" w:space="0" w:color="auto"/>
            <w:bottom w:val="none" w:sz="0" w:space="0" w:color="auto"/>
            <w:right w:val="none" w:sz="0" w:space="0" w:color="auto"/>
          </w:divBdr>
        </w:div>
        <w:div w:id="335504252">
          <w:marLeft w:val="0"/>
          <w:marRight w:val="0"/>
          <w:marTop w:val="0"/>
          <w:marBottom w:val="0"/>
          <w:divBdr>
            <w:top w:val="none" w:sz="0" w:space="0" w:color="auto"/>
            <w:left w:val="none" w:sz="0" w:space="0" w:color="auto"/>
            <w:bottom w:val="none" w:sz="0" w:space="0" w:color="auto"/>
            <w:right w:val="none" w:sz="0" w:space="0" w:color="auto"/>
          </w:divBdr>
        </w:div>
        <w:div w:id="839781814">
          <w:marLeft w:val="0"/>
          <w:marRight w:val="0"/>
          <w:marTop w:val="0"/>
          <w:marBottom w:val="0"/>
          <w:divBdr>
            <w:top w:val="none" w:sz="0" w:space="0" w:color="auto"/>
            <w:left w:val="none" w:sz="0" w:space="0" w:color="auto"/>
            <w:bottom w:val="none" w:sz="0" w:space="0" w:color="auto"/>
            <w:right w:val="none" w:sz="0" w:space="0" w:color="auto"/>
          </w:divBdr>
        </w:div>
        <w:div w:id="2139569596">
          <w:marLeft w:val="0"/>
          <w:marRight w:val="0"/>
          <w:marTop w:val="0"/>
          <w:marBottom w:val="0"/>
          <w:divBdr>
            <w:top w:val="none" w:sz="0" w:space="0" w:color="auto"/>
            <w:left w:val="none" w:sz="0" w:space="0" w:color="auto"/>
            <w:bottom w:val="none" w:sz="0" w:space="0" w:color="auto"/>
            <w:right w:val="none" w:sz="0" w:space="0" w:color="auto"/>
          </w:divBdr>
        </w:div>
        <w:div w:id="1764301204">
          <w:marLeft w:val="0"/>
          <w:marRight w:val="0"/>
          <w:marTop w:val="0"/>
          <w:marBottom w:val="0"/>
          <w:divBdr>
            <w:top w:val="none" w:sz="0" w:space="0" w:color="auto"/>
            <w:left w:val="none" w:sz="0" w:space="0" w:color="auto"/>
            <w:bottom w:val="none" w:sz="0" w:space="0" w:color="auto"/>
            <w:right w:val="none" w:sz="0" w:space="0" w:color="auto"/>
          </w:divBdr>
        </w:div>
        <w:div w:id="130123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187015/GoodLaw_report_8April_AP.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speeches/what-does-a-one-nation-justice-policy-look-lik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pc.gov.au/calc/docs/Loophole_papers/Appiah_Nov201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LLM Advanced Legislative Studies (ALS)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EE3F53-A21A-426B-83BE-74F596DF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14574</Words>
  <Characters>83077</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2014/2015</Company>
  <LinksUpToDate>false</LinksUpToDate>
  <CharactersWithSpaces>97457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Bond</dc:creator>
  <cp:lastModifiedBy>Ivan Leonidov</cp:lastModifiedBy>
  <cp:revision>2</cp:revision>
  <cp:lastPrinted>2015-08-17T16:50:00Z</cp:lastPrinted>
  <dcterms:created xsi:type="dcterms:W3CDTF">2016-03-09T10:13:00Z</dcterms:created>
  <dcterms:modified xsi:type="dcterms:W3CDTF">2016-03-09T10:13:00Z</dcterms:modified>
</cp:coreProperties>
</file>