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1F3" w:rsidRDefault="00FE11F3" w:rsidP="00535421">
      <w:pPr>
        <w:spacing w:before="240" w:after="240"/>
        <w:jc w:val="center"/>
      </w:pPr>
      <w:bookmarkStart w:id="0" w:name="_GoBack"/>
      <w:bookmarkEnd w:id="0"/>
    </w:p>
    <w:p w:rsidR="00FE11F3" w:rsidRDefault="00FE11F3" w:rsidP="00535421">
      <w:pPr>
        <w:spacing w:before="240" w:after="240"/>
        <w:jc w:val="center"/>
      </w:pPr>
    </w:p>
    <w:p w:rsidR="00535421" w:rsidRDefault="00535421" w:rsidP="00535421">
      <w:pPr>
        <w:spacing w:before="240" w:after="240"/>
        <w:jc w:val="center"/>
      </w:pPr>
    </w:p>
    <w:p w:rsidR="00447DFD" w:rsidRPr="00447DFD" w:rsidRDefault="005A6154" w:rsidP="00A51967">
      <w:pPr>
        <w:jc w:val="center"/>
        <w:rPr>
          <w:b/>
          <w:i/>
          <w:sz w:val="28"/>
        </w:rPr>
      </w:pPr>
      <w:r>
        <w:rPr>
          <w:b/>
          <w:sz w:val="28"/>
        </w:rPr>
        <w:t>Of what q</w:t>
      </w:r>
      <w:r w:rsidR="00447DFD">
        <w:rPr>
          <w:b/>
          <w:sz w:val="28"/>
        </w:rPr>
        <w:t xml:space="preserve">uality are the </w:t>
      </w:r>
      <w:r w:rsidR="00447DFD" w:rsidRPr="00447DFD">
        <w:rPr>
          <w:b/>
          <w:i/>
          <w:sz w:val="28"/>
        </w:rPr>
        <w:t xml:space="preserve">Queen’s Regulations and Orders </w:t>
      </w:r>
    </w:p>
    <w:p w:rsidR="00535421" w:rsidRPr="00FE11F3" w:rsidRDefault="00447DFD" w:rsidP="00A51967">
      <w:pPr>
        <w:jc w:val="center"/>
        <w:rPr>
          <w:b/>
          <w:sz w:val="28"/>
        </w:rPr>
      </w:pPr>
      <w:r w:rsidRPr="00447DFD">
        <w:rPr>
          <w:b/>
          <w:i/>
          <w:sz w:val="28"/>
        </w:rPr>
        <w:t>for the Canadian Forces</w:t>
      </w:r>
      <w:r>
        <w:rPr>
          <w:b/>
          <w:sz w:val="28"/>
        </w:rPr>
        <w:t>?</w:t>
      </w:r>
    </w:p>
    <w:p w:rsidR="00535421" w:rsidRDefault="00535421" w:rsidP="00535421"/>
    <w:p w:rsidR="004441A6" w:rsidRDefault="004441A6" w:rsidP="00535421"/>
    <w:p w:rsidR="004441A6" w:rsidRDefault="004441A6" w:rsidP="00535421"/>
    <w:p w:rsidR="00535421" w:rsidRDefault="00535421" w:rsidP="00535421"/>
    <w:p w:rsidR="00535421" w:rsidRDefault="00535421" w:rsidP="00535421"/>
    <w:p w:rsidR="006067C6" w:rsidRDefault="006067C6" w:rsidP="006067C6">
      <w:pPr>
        <w:jc w:val="center"/>
      </w:pPr>
      <w:r>
        <w:t>Advanced Legislative Studies</w:t>
      </w:r>
    </w:p>
    <w:p w:rsidR="00535421" w:rsidRDefault="00535421" w:rsidP="00535421">
      <w:pPr>
        <w:jc w:val="center"/>
      </w:pPr>
    </w:p>
    <w:p w:rsidR="00535421" w:rsidRDefault="006067C6" w:rsidP="00535421">
      <w:pPr>
        <w:jc w:val="center"/>
      </w:pPr>
      <w:r>
        <w:t>DISSERTATION</w:t>
      </w:r>
    </w:p>
    <w:p w:rsidR="006067C6" w:rsidRDefault="006067C6" w:rsidP="00535421">
      <w:pPr>
        <w:jc w:val="center"/>
      </w:pPr>
    </w:p>
    <w:p w:rsidR="006067C6" w:rsidRDefault="006067C6" w:rsidP="00535421">
      <w:pPr>
        <w:jc w:val="center"/>
      </w:pPr>
    </w:p>
    <w:p w:rsidR="00535421" w:rsidRDefault="00535421" w:rsidP="00535421">
      <w:pPr>
        <w:jc w:val="center"/>
      </w:pPr>
    </w:p>
    <w:p w:rsidR="00535421" w:rsidRDefault="00535421" w:rsidP="00535421">
      <w:pPr>
        <w:jc w:val="center"/>
      </w:pPr>
      <w:r>
        <w:t>SUBMITTED BY</w:t>
      </w:r>
    </w:p>
    <w:p w:rsidR="00535421" w:rsidRDefault="00535421" w:rsidP="00535421">
      <w:pPr>
        <w:jc w:val="center"/>
      </w:pPr>
    </w:p>
    <w:p w:rsidR="00FE11F3" w:rsidRDefault="00535421" w:rsidP="00535421">
      <w:pPr>
        <w:jc w:val="center"/>
      </w:pPr>
      <w:r>
        <w:t>Student #</w:t>
      </w:r>
      <w:r w:rsidR="00FA01F6">
        <w:t xml:space="preserve"> 1440527</w:t>
      </w:r>
    </w:p>
    <w:p w:rsidR="00FE11F3" w:rsidRDefault="00FE11F3" w:rsidP="00535421">
      <w:pPr>
        <w:jc w:val="center"/>
      </w:pPr>
    </w:p>
    <w:p w:rsidR="00535421" w:rsidRDefault="00535421" w:rsidP="00535421">
      <w:pPr>
        <w:jc w:val="center"/>
      </w:pPr>
    </w:p>
    <w:p w:rsidR="00A43996" w:rsidRDefault="00447DFD" w:rsidP="00535421">
      <w:pPr>
        <w:jc w:val="center"/>
      </w:pPr>
      <w:r>
        <w:t>01 September</w:t>
      </w:r>
      <w:r w:rsidR="008313E6">
        <w:t xml:space="preserve"> 2015</w:t>
      </w:r>
    </w:p>
    <w:p w:rsidR="00A43996" w:rsidRDefault="00A43996" w:rsidP="00535421">
      <w:pPr>
        <w:jc w:val="center"/>
      </w:pPr>
    </w:p>
    <w:p w:rsidR="00535421" w:rsidRDefault="00535421" w:rsidP="00535421">
      <w:pPr>
        <w:jc w:val="center"/>
      </w:pPr>
    </w:p>
    <w:p w:rsidR="009B265E" w:rsidRPr="00FE11F3" w:rsidRDefault="00535421" w:rsidP="00FE11F3">
      <w:pPr>
        <w:spacing w:after="240" w:line="480" w:lineRule="auto"/>
        <w:rPr>
          <w:b/>
        </w:rPr>
      </w:pPr>
      <w:r>
        <w:br w:type="page"/>
      </w:r>
      <w:r w:rsidR="00A56AA6" w:rsidRPr="00FE11F3">
        <w:rPr>
          <w:b/>
        </w:rPr>
        <w:lastRenderedPageBreak/>
        <w:t>1.</w:t>
      </w:r>
      <w:r w:rsidR="00245A45" w:rsidRPr="00FE11F3">
        <w:rPr>
          <w:b/>
        </w:rPr>
        <w:tab/>
      </w:r>
      <w:r w:rsidR="00A56AA6" w:rsidRPr="00FE11F3">
        <w:rPr>
          <w:b/>
        </w:rPr>
        <w:t>Introduction</w:t>
      </w:r>
    </w:p>
    <w:p w:rsidR="00FC5848" w:rsidRDefault="00465BBF" w:rsidP="00FC5848">
      <w:pPr>
        <w:tabs>
          <w:tab w:val="left" w:pos="567"/>
          <w:tab w:val="left" w:pos="1134"/>
        </w:tabs>
        <w:spacing w:after="240" w:line="480" w:lineRule="auto"/>
        <w:ind w:right="658"/>
      </w:pPr>
      <w:r>
        <w:tab/>
      </w:r>
      <w:r w:rsidR="008079EA">
        <w:t xml:space="preserve">In modern societies, </w:t>
      </w:r>
      <w:r w:rsidR="00A50F57">
        <w:t>delegated legislation</w:t>
      </w:r>
      <w:r w:rsidR="009E1650">
        <w:t xml:space="preserve"> </w:t>
      </w:r>
      <w:r w:rsidR="001D2B64">
        <w:t xml:space="preserve">predominates the legislative landscape and </w:t>
      </w:r>
      <w:r w:rsidR="00EE4809">
        <w:t xml:space="preserve">can be </w:t>
      </w:r>
      <w:r w:rsidR="009E1650">
        <w:t>found in various forms including regulations,</w:t>
      </w:r>
      <w:r w:rsidR="00EE4809">
        <w:t xml:space="preserve"> orders, tariffs, and ordinances</w:t>
      </w:r>
      <w:r w:rsidR="005F0640">
        <w:t>.</w:t>
      </w:r>
      <w:r w:rsidR="00997CB9" w:rsidRPr="00997CB9">
        <w:rPr>
          <w:rStyle w:val="FootnoteReference"/>
        </w:rPr>
        <w:t xml:space="preserve"> </w:t>
      </w:r>
      <w:r w:rsidR="00997CB9">
        <w:rPr>
          <w:rStyle w:val="FootnoteReference"/>
        </w:rPr>
        <w:footnoteReference w:id="1"/>
      </w:r>
      <w:r w:rsidR="00997CB9">
        <w:t xml:space="preserve"> </w:t>
      </w:r>
      <w:r w:rsidR="005F0640">
        <w:t>A</w:t>
      </w:r>
      <w:r w:rsidR="008079EA">
        <w:t>s legislatures la</w:t>
      </w:r>
      <w:r w:rsidR="005F0640">
        <w:t>ck the time and expertise needed</w:t>
      </w:r>
      <w:r w:rsidR="008079EA">
        <w:t xml:space="preserve"> to enact all the legislation </w:t>
      </w:r>
      <w:r w:rsidR="00FF0F15">
        <w:t>r</w:t>
      </w:r>
      <w:r w:rsidR="00997CB9">
        <w:t xml:space="preserve">equired to address the </w:t>
      </w:r>
      <w:r w:rsidR="00FF0F15">
        <w:t xml:space="preserve">needs of the state </w:t>
      </w:r>
      <w:r w:rsidR="00F5461C">
        <w:t>and</w:t>
      </w:r>
      <w:r w:rsidR="00FF0F15">
        <w:t xml:space="preserve"> its citizens</w:t>
      </w:r>
      <w:r w:rsidR="00997CB9">
        <w:t xml:space="preserve">, they </w:t>
      </w:r>
      <w:r w:rsidR="00C1777E">
        <w:t>turn to delegating</w:t>
      </w:r>
      <w:r w:rsidR="00FF0F15">
        <w:t xml:space="preserve"> </w:t>
      </w:r>
      <w:r w:rsidR="002F36C5">
        <w:t xml:space="preserve">significant </w:t>
      </w:r>
      <w:r w:rsidR="00FF0F15">
        <w:t>portions of thei</w:t>
      </w:r>
      <w:r w:rsidR="00A93046">
        <w:t>r legislation making authority</w:t>
      </w:r>
      <w:r w:rsidR="007115D3">
        <w:t xml:space="preserve"> to third parties</w:t>
      </w:r>
      <w:r w:rsidR="009E1650">
        <w:t>,</w:t>
      </w:r>
      <w:r w:rsidR="007115D3">
        <w:t xml:space="preserve"> such as the cabinet, a minister or an administrative agency</w:t>
      </w:r>
      <w:r w:rsidR="009E1650">
        <w:t>.</w:t>
      </w:r>
      <w:r w:rsidR="00997CB9">
        <w:rPr>
          <w:rStyle w:val="FootnoteReference"/>
        </w:rPr>
        <w:footnoteReference w:id="2"/>
      </w:r>
      <w:r w:rsidR="00A93046">
        <w:t xml:space="preserve"> </w:t>
      </w:r>
      <w:r w:rsidR="009E1650">
        <w:t xml:space="preserve">Ranging in content from </w:t>
      </w:r>
      <w:r w:rsidR="005763E5">
        <w:t xml:space="preserve">highly </w:t>
      </w:r>
      <w:r w:rsidR="009E1650">
        <w:t>technical administrative detail</w:t>
      </w:r>
      <w:r w:rsidR="005763E5">
        <w:t xml:space="preserve"> to the establishment of general policy</w:t>
      </w:r>
      <w:r w:rsidR="00F5334D">
        <w:t>,</w:t>
      </w:r>
      <w:r w:rsidR="005763E5">
        <w:t xml:space="preserve"> </w:t>
      </w:r>
      <w:r w:rsidR="00231AA4">
        <w:t xml:space="preserve">delegated legislation </w:t>
      </w:r>
      <w:r w:rsidR="00F5461C">
        <w:t xml:space="preserve">provides an attractive alternative to primary legislation by offering </w:t>
      </w:r>
      <w:r w:rsidR="00F55D3C">
        <w:t>greater administrative efficiency and flexibility</w:t>
      </w:r>
      <w:r w:rsidR="00FD7A93">
        <w:t>,</w:t>
      </w:r>
      <w:r w:rsidR="00231AA4">
        <w:t xml:space="preserve"> </w:t>
      </w:r>
      <w:r w:rsidR="00F55D3C">
        <w:t xml:space="preserve">and </w:t>
      </w:r>
      <w:r w:rsidR="00FD7A93">
        <w:t xml:space="preserve">it </w:t>
      </w:r>
      <w:r w:rsidR="005763E5">
        <w:t>easily eclipse</w:t>
      </w:r>
      <w:r w:rsidR="00F55D3C">
        <w:t>s</w:t>
      </w:r>
      <w:r w:rsidR="005763E5">
        <w:t xml:space="preserve"> the volume of </w:t>
      </w:r>
      <w:r w:rsidR="0076063F">
        <w:t>primary legislation produced</w:t>
      </w:r>
      <w:r w:rsidR="00F55D3C">
        <w:t xml:space="preserve"> by </w:t>
      </w:r>
      <w:r w:rsidR="005763E5">
        <w:t>state</w:t>
      </w:r>
      <w:r w:rsidR="00F55D3C">
        <w:t>s</w:t>
      </w:r>
      <w:r w:rsidR="00FF0F15">
        <w:t>.</w:t>
      </w:r>
      <w:r w:rsidR="00FF0F15">
        <w:rPr>
          <w:rStyle w:val="FootnoteReference"/>
        </w:rPr>
        <w:footnoteReference w:id="3"/>
      </w:r>
      <w:r w:rsidR="00F55D3C">
        <w:t xml:space="preserve"> </w:t>
      </w:r>
      <w:r w:rsidR="00231AA4">
        <w:t>At</w:t>
      </w:r>
      <w:r w:rsidR="00EE3D52">
        <w:t xml:space="preserve"> the same </w:t>
      </w:r>
      <w:r w:rsidR="00231AA4">
        <w:t>time</w:t>
      </w:r>
      <w:r w:rsidR="00C1777E">
        <w:t xml:space="preserve">, delegated legislation </w:t>
      </w:r>
      <w:r w:rsidR="00812108">
        <w:t xml:space="preserve">attracts criticism </w:t>
      </w:r>
      <w:r w:rsidR="00231AA4">
        <w:t>as a perceived</w:t>
      </w:r>
      <w:r w:rsidR="00EE3D52">
        <w:t xml:space="preserve"> erosion of the </w:t>
      </w:r>
      <w:r w:rsidR="006827E0">
        <w:t xml:space="preserve">constitutional values </w:t>
      </w:r>
      <w:r w:rsidR="00EE3D52">
        <w:t xml:space="preserve">of </w:t>
      </w:r>
      <w:r w:rsidR="006827E0">
        <w:t>repre</w:t>
      </w:r>
      <w:r w:rsidR="00EE3D52">
        <w:t xml:space="preserve">sentative democracy </w:t>
      </w:r>
      <w:r w:rsidR="00F5461C">
        <w:t>and</w:t>
      </w:r>
      <w:r w:rsidR="00812108">
        <w:t xml:space="preserve"> </w:t>
      </w:r>
      <w:r w:rsidR="00C1777E">
        <w:t>provokes</w:t>
      </w:r>
      <w:r w:rsidR="00EE3D52">
        <w:t xml:space="preserve"> </w:t>
      </w:r>
      <w:r w:rsidR="00812108">
        <w:t xml:space="preserve">much </w:t>
      </w:r>
      <w:r w:rsidR="00EE3D52">
        <w:t>concern over</w:t>
      </w:r>
      <w:r w:rsidR="00812108">
        <w:t xml:space="preserve"> its</w:t>
      </w:r>
      <w:r w:rsidR="00F5461C">
        <w:t xml:space="preserve"> potential for abuse</w:t>
      </w:r>
      <w:r w:rsidR="00812108">
        <w:t xml:space="preserve">, </w:t>
      </w:r>
      <w:r w:rsidR="00C1777E">
        <w:t>its</w:t>
      </w:r>
      <w:r w:rsidR="00D56D04">
        <w:t xml:space="preserve"> possible use </w:t>
      </w:r>
      <w:r w:rsidR="00DB6498">
        <w:t xml:space="preserve">to implement significant or controversial change without due parliamentary debate or </w:t>
      </w:r>
      <w:r w:rsidR="00D56D04">
        <w:t xml:space="preserve">public </w:t>
      </w:r>
      <w:r w:rsidR="00EE3D52">
        <w:t>notice</w:t>
      </w:r>
      <w:r w:rsidR="00DB6498">
        <w:t xml:space="preserve">, and </w:t>
      </w:r>
      <w:r w:rsidR="00231AA4">
        <w:t>the possibility that over</w:t>
      </w:r>
      <w:r w:rsidR="00CD095B">
        <w:t>regulation will bring economic ills</w:t>
      </w:r>
      <w:r w:rsidR="00DB6498">
        <w:t>.</w:t>
      </w:r>
      <w:r w:rsidR="00DB6498">
        <w:rPr>
          <w:rStyle w:val="FootnoteReference"/>
        </w:rPr>
        <w:footnoteReference w:id="4"/>
      </w:r>
      <w:r w:rsidR="00A43996">
        <w:t xml:space="preserve"> </w:t>
      </w:r>
    </w:p>
    <w:p w:rsidR="008F7592" w:rsidRDefault="00CD095B" w:rsidP="00FC5848">
      <w:pPr>
        <w:tabs>
          <w:tab w:val="left" w:pos="567"/>
          <w:tab w:val="left" w:pos="1134"/>
        </w:tabs>
        <w:spacing w:after="240" w:line="480" w:lineRule="auto"/>
        <w:ind w:right="658"/>
      </w:pPr>
      <w:r>
        <w:lastRenderedPageBreak/>
        <w:tab/>
        <w:t xml:space="preserve">In Canada, </w:t>
      </w:r>
      <w:r w:rsidR="00EA73F4">
        <w:t xml:space="preserve">the </w:t>
      </w:r>
      <w:r w:rsidR="00231AA4">
        <w:t xml:space="preserve">legislatures </w:t>
      </w:r>
      <w:r w:rsidR="00C1777E">
        <w:t xml:space="preserve">at both </w:t>
      </w:r>
      <w:r w:rsidR="00812108">
        <w:t>the federal and provincial l</w:t>
      </w:r>
      <w:r w:rsidR="00C1777E">
        <w:t xml:space="preserve">evels </w:t>
      </w:r>
      <w:r w:rsidR="00231AA4">
        <w:t xml:space="preserve">enjoy </w:t>
      </w:r>
      <w:r>
        <w:t xml:space="preserve">a </w:t>
      </w:r>
      <w:r w:rsidR="00EA73F4">
        <w:t>largely unlimited ability to delegate their legislative authority on an institutional basis,</w:t>
      </w:r>
      <w:r w:rsidR="00EA73F4">
        <w:rPr>
          <w:rStyle w:val="FootnoteReference"/>
        </w:rPr>
        <w:footnoteReference w:id="5"/>
      </w:r>
      <w:r w:rsidR="00EA73F4">
        <w:t xml:space="preserve"> and </w:t>
      </w:r>
      <w:r w:rsidR="00DE3011">
        <w:t xml:space="preserve">in so doing, </w:t>
      </w:r>
      <w:r w:rsidR="00812108">
        <w:t xml:space="preserve">they have broad discretion </w:t>
      </w:r>
      <w:r w:rsidR="00DE3011">
        <w:t>to g</w:t>
      </w:r>
      <w:r w:rsidR="00FD7A93">
        <w:t xml:space="preserve">ive delegated authorities a law </w:t>
      </w:r>
      <w:r w:rsidR="00DE3011">
        <w:t xml:space="preserve">making power that has the </w:t>
      </w:r>
      <w:r w:rsidR="00A93046">
        <w:t xml:space="preserve">same binding nature as that </w:t>
      </w:r>
      <w:r w:rsidR="000E16C7">
        <w:t>exercised by the legislature</w:t>
      </w:r>
      <w:r w:rsidR="00C1777E">
        <w:t xml:space="preserve"> itself</w:t>
      </w:r>
      <w:r w:rsidR="000E16C7">
        <w:t>.</w:t>
      </w:r>
      <w:r w:rsidR="007321CF">
        <w:rPr>
          <w:rStyle w:val="FootnoteReference"/>
        </w:rPr>
        <w:footnoteReference w:id="6"/>
      </w:r>
      <w:r w:rsidR="007321CF">
        <w:t xml:space="preserve"> </w:t>
      </w:r>
      <w:r w:rsidR="008C6FF1">
        <w:t>In an effort to manage the proliferation of delegated legislation</w:t>
      </w:r>
      <w:r w:rsidR="00812108">
        <w:t xml:space="preserve">, </w:t>
      </w:r>
      <w:r w:rsidR="008F7592">
        <w:t>in particular regulations</w:t>
      </w:r>
      <w:r w:rsidR="00812108">
        <w:t>,</w:t>
      </w:r>
      <w:r w:rsidR="00F71410">
        <w:t xml:space="preserve"> </w:t>
      </w:r>
      <w:r w:rsidR="00EF3515">
        <w:t>and</w:t>
      </w:r>
      <w:r w:rsidR="00812108">
        <w:t xml:space="preserve"> </w:t>
      </w:r>
      <w:r w:rsidR="008F7592">
        <w:t>to e</w:t>
      </w:r>
      <w:r w:rsidR="00812108">
        <w:t xml:space="preserve">nsure that the instruments issued </w:t>
      </w:r>
      <w:r w:rsidR="00C1777E">
        <w:t>are authorized, accessible to the public, respect the standards for drafting and presentation</w:t>
      </w:r>
      <w:r w:rsidR="008C6FF1">
        <w:t xml:space="preserve">, </w:t>
      </w:r>
      <w:r w:rsidR="00EF3515">
        <w:t xml:space="preserve">and </w:t>
      </w:r>
      <w:r w:rsidR="00C1777E">
        <w:t xml:space="preserve">align with the Government’s core regulatory policies and values, </w:t>
      </w:r>
      <w:r w:rsidR="008C6FF1">
        <w:t xml:space="preserve">Canada </w:t>
      </w:r>
      <w:r w:rsidR="00C1777E">
        <w:t>employs</w:t>
      </w:r>
      <w:r w:rsidR="008C6FF1">
        <w:t xml:space="preserve"> </w:t>
      </w:r>
      <w:r w:rsidR="00FD7A93">
        <w:t xml:space="preserve">at the federal level </w:t>
      </w:r>
      <w:r w:rsidR="008C6FF1">
        <w:t>a ‘macro-regulatory Go</w:t>
      </w:r>
      <w:r w:rsidR="00DE3011">
        <w:t>vernance regime’ that comprises</w:t>
      </w:r>
      <w:r w:rsidR="008C6FF1">
        <w:t xml:space="preserve"> both legal and </w:t>
      </w:r>
      <w:r w:rsidR="00DE3011">
        <w:t>administrative</w:t>
      </w:r>
      <w:r w:rsidR="008C6FF1">
        <w:t xml:space="preserve"> </w:t>
      </w:r>
      <w:r w:rsidR="00F71410">
        <w:t>components</w:t>
      </w:r>
      <w:r w:rsidR="00827E32">
        <w:t>.</w:t>
      </w:r>
      <w:r w:rsidR="008C6FF1">
        <w:rPr>
          <w:rStyle w:val="FootnoteReference"/>
        </w:rPr>
        <w:footnoteReference w:id="7"/>
      </w:r>
      <w:r w:rsidR="00827E32">
        <w:t xml:space="preserve"> </w:t>
      </w:r>
      <w:r w:rsidR="00800BEF">
        <w:t xml:space="preserve">The legal </w:t>
      </w:r>
      <w:r w:rsidR="00F71410">
        <w:t>components</w:t>
      </w:r>
      <w:r w:rsidR="00800BEF">
        <w:t xml:space="preserve"> </w:t>
      </w:r>
      <w:r w:rsidR="00F71410">
        <w:t xml:space="preserve">come from </w:t>
      </w:r>
      <w:r w:rsidR="00800BEF">
        <w:t xml:space="preserve">the </w:t>
      </w:r>
      <w:r w:rsidR="00800BEF" w:rsidRPr="0035475E">
        <w:rPr>
          <w:i/>
        </w:rPr>
        <w:t>Statutory Instruments Act</w:t>
      </w:r>
      <w:r w:rsidR="00800BEF">
        <w:rPr>
          <w:i/>
        </w:rPr>
        <w:t xml:space="preserve"> </w:t>
      </w:r>
      <w:r w:rsidR="00800BEF" w:rsidRPr="005D53B3">
        <w:t>(the SIA),</w:t>
      </w:r>
      <w:r w:rsidR="00800BEF">
        <w:t xml:space="preserve"> which</w:t>
      </w:r>
      <w:r w:rsidR="00FA7346">
        <w:t xml:space="preserve"> defines what is a ‘regulation’</w:t>
      </w:r>
      <w:r w:rsidR="00EF3515">
        <w:t>,</w:t>
      </w:r>
      <w:r w:rsidR="00800BEF">
        <w:t xml:space="preserve"> establishes the mandatory process</w:t>
      </w:r>
      <w:r w:rsidR="00F71410">
        <w:t>es of examination, registration</w:t>
      </w:r>
      <w:r w:rsidR="00800BEF">
        <w:t xml:space="preserve"> </w:t>
      </w:r>
      <w:r w:rsidR="00FA7346">
        <w:t>and</w:t>
      </w:r>
      <w:r w:rsidR="00F71410">
        <w:t xml:space="preserve"> publication for all regulations</w:t>
      </w:r>
      <w:r w:rsidR="00EF3515">
        <w:t>, and provides for p</w:t>
      </w:r>
      <w:r w:rsidR="00B770D1">
        <w:t xml:space="preserve">arliamentary oversight by means of </w:t>
      </w:r>
      <w:r w:rsidR="00F71410">
        <w:t xml:space="preserve">an </w:t>
      </w:r>
      <w:r w:rsidR="00F71410" w:rsidRPr="0074624F">
        <w:rPr>
          <w:i/>
        </w:rPr>
        <w:t>ex post</w:t>
      </w:r>
      <w:r w:rsidR="00F71410">
        <w:rPr>
          <w:i/>
        </w:rPr>
        <w:t xml:space="preserve"> facto</w:t>
      </w:r>
      <w:r w:rsidR="00F71410">
        <w:t xml:space="preserve"> Parliamentary </w:t>
      </w:r>
      <w:r w:rsidR="00B770D1">
        <w:t>review</w:t>
      </w:r>
      <w:r w:rsidR="00800BEF">
        <w:t>.</w:t>
      </w:r>
      <w:r w:rsidR="00800BEF">
        <w:rPr>
          <w:rStyle w:val="FootnoteReference"/>
        </w:rPr>
        <w:footnoteReference w:id="8"/>
      </w:r>
      <w:r w:rsidR="00800BEF">
        <w:t xml:space="preserve"> </w:t>
      </w:r>
      <w:r w:rsidR="00FA7346">
        <w:t xml:space="preserve">The administrative </w:t>
      </w:r>
      <w:r w:rsidR="00F71410">
        <w:t>components</w:t>
      </w:r>
      <w:r w:rsidR="00800BEF">
        <w:t xml:space="preserve"> </w:t>
      </w:r>
      <w:r w:rsidR="00F71410">
        <w:t xml:space="preserve">of the regime </w:t>
      </w:r>
      <w:r w:rsidR="004F4421">
        <w:t xml:space="preserve">are layered over the legal </w:t>
      </w:r>
      <w:r w:rsidR="00F71410">
        <w:t>framework</w:t>
      </w:r>
      <w:r w:rsidR="00B771F0">
        <w:t xml:space="preserve"> </w:t>
      </w:r>
      <w:r w:rsidR="004F4421">
        <w:t xml:space="preserve">to create </w:t>
      </w:r>
      <w:r w:rsidR="000F50E5">
        <w:t>a</w:t>
      </w:r>
      <w:r w:rsidR="00F71410">
        <w:t xml:space="preserve"> detaile</w:t>
      </w:r>
      <w:r w:rsidR="00FD7A93">
        <w:t>d regulatory development process that</w:t>
      </w:r>
      <w:r w:rsidR="00EF3515">
        <w:t xml:space="preserve"> is </w:t>
      </w:r>
      <w:r w:rsidR="00495A22">
        <w:t xml:space="preserve">meant to apply to all </w:t>
      </w:r>
      <w:r w:rsidR="00495A22">
        <w:lastRenderedPageBreak/>
        <w:t xml:space="preserve">regulations developed for </w:t>
      </w:r>
      <w:r w:rsidR="00B771F0">
        <w:t>Governor in Council</w:t>
      </w:r>
      <w:r w:rsidR="00E46E8E">
        <w:rPr>
          <w:rStyle w:val="FootnoteReference"/>
        </w:rPr>
        <w:footnoteReference w:id="9"/>
      </w:r>
      <w:r w:rsidR="00495A22">
        <w:t xml:space="preserve"> approval, which comprise the majority of regulations made at the federal level</w:t>
      </w:r>
      <w:r w:rsidR="00B771F0">
        <w:t>.</w:t>
      </w:r>
      <w:r w:rsidR="00B771F0">
        <w:rPr>
          <w:rStyle w:val="FootnoteReference"/>
        </w:rPr>
        <w:footnoteReference w:id="10"/>
      </w:r>
      <w:r w:rsidR="00B771F0">
        <w:t xml:space="preserve"> </w:t>
      </w:r>
    </w:p>
    <w:p w:rsidR="00476452" w:rsidRDefault="008F7592" w:rsidP="00FC5848">
      <w:pPr>
        <w:tabs>
          <w:tab w:val="left" w:pos="567"/>
          <w:tab w:val="left" w:pos="1134"/>
        </w:tabs>
        <w:spacing w:after="240" w:line="480" w:lineRule="auto"/>
        <w:ind w:right="658"/>
      </w:pPr>
      <w:r>
        <w:tab/>
      </w:r>
      <w:r w:rsidR="00EF3515">
        <w:t>T</w:t>
      </w:r>
      <w:r w:rsidR="001E58B7">
        <w:t xml:space="preserve">he vast majority of federal </w:t>
      </w:r>
      <w:r w:rsidR="00FC5848">
        <w:t>regulations</w:t>
      </w:r>
      <w:r w:rsidR="001E58B7">
        <w:t xml:space="preserve"> in Canada</w:t>
      </w:r>
      <w:r w:rsidR="00EF3515">
        <w:t xml:space="preserve"> </w:t>
      </w:r>
      <w:r w:rsidR="00FC5848">
        <w:t xml:space="preserve">are subject to </w:t>
      </w:r>
      <w:r w:rsidR="00FD7A93">
        <w:t xml:space="preserve">either </w:t>
      </w:r>
      <w:r w:rsidR="00EF3515">
        <w:t>the complete regime or the legal component only</w:t>
      </w:r>
      <w:r w:rsidR="001E58B7">
        <w:t xml:space="preserve">, but there are some regulations that </w:t>
      </w:r>
      <w:r w:rsidR="000F50E5">
        <w:t xml:space="preserve">for </w:t>
      </w:r>
      <w:r w:rsidR="00EF3515">
        <w:t xml:space="preserve">varying </w:t>
      </w:r>
      <w:r w:rsidR="000F50E5">
        <w:t>reasons fall outside</w:t>
      </w:r>
      <w:r w:rsidR="00EF3515">
        <w:t xml:space="preserve"> of both </w:t>
      </w:r>
      <w:r w:rsidR="00EE4809">
        <w:t xml:space="preserve">- </w:t>
      </w:r>
      <w:r w:rsidR="00EF3515">
        <w:t>either entirely or in part</w:t>
      </w:r>
      <w:r w:rsidR="001E58B7">
        <w:t xml:space="preserve">. </w:t>
      </w:r>
      <w:r w:rsidR="002E08C4">
        <w:t xml:space="preserve">The </w:t>
      </w:r>
      <w:r w:rsidR="00677905">
        <w:t xml:space="preserve">principal body of regulations for </w:t>
      </w:r>
      <w:r w:rsidR="009A418F">
        <w:t xml:space="preserve">the </w:t>
      </w:r>
      <w:r w:rsidR="00907824">
        <w:t>Canadian Armed Forces</w:t>
      </w:r>
      <w:r w:rsidR="00BD6EE8">
        <w:t xml:space="preserve"> (the CAF)</w:t>
      </w:r>
      <w:r w:rsidR="00EF3515">
        <w:t xml:space="preserve">, which </w:t>
      </w:r>
      <w:r w:rsidR="000F50E5">
        <w:t xml:space="preserve">regulate </w:t>
      </w:r>
      <w:r w:rsidR="00FD7A93">
        <w:t xml:space="preserve">a broad scope of matters including </w:t>
      </w:r>
      <w:r w:rsidR="008D5489">
        <w:t xml:space="preserve">the </w:t>
      </w:r>
      <w:r w:rsidR="00677905">
        <w:t>organization, t</w:t>
      </w:r>
      <w:r w:rsidR="008D5489">
        <w:t xml:space="preserve">raining, discipline, efficiency and </w:t>
      </w:r>
      <w:r w:rsidR="00677905">
        <w:t>administration</w:t>
      </w:r>
      <w:r w:rsidR="008D5489">
        <w:t xml:space="preserve"> of the CAF</w:t>
      </w:r>
      <w:r w:rsidR="00EF3515">
        <w:t>,</w:t>
      </w:r>
      <w:r w:rsidR="008D5489" w:rsidRPr="008D5489">
        <w:t xml:space="preserve"> </w:t>
      </w:r>
      <w:r w:rsidR="008D5489">
        <w:t>are in this anomalous position</w:t>
      </w:r>
      <w:r w:rsidR="00677905">
        <w:t>.</w:t>
      </w:r>
      <w:r w:rsidR="00677905">
        <w:rPr>
          <w:rStyle w:val="FootnoteReference"/>
        </w:rPr>
        <w:footnoteReference w:id="11"/>
      </w:r>
      <w:r w:rsidR="008D5489">
        <w:t xml:space="preserve"> </w:t>
      </w:r>
      <w:r w:rsidR="00FC5848">
        <w:t xml:space="preserve">These regulations are </w:t>
      </w:r>
      <w:r w:rsidR="008D5489">
        <w:t xml:space="preserve">made under the authority of section 12 of the </w:t>
      </w:r>
      <w:r w:rsidR="008D5489" w:rsidRPr="00907824">
        <w:rPr>
          <w:i/>
        </w:rPr>
        <w:t>National Defence Act</w:t>
      </w:r>
      <w:r w:rsidR="008D5489">
        <w:rPr>
          <w:i/>
        </w:rPr>
        <w:t xml:space="preserve"> </w:t>
      </w:r>
      <w:r w:rsidR="008D5489">
        <w:t>(the NDA</w:t>
      </w:r>
      <w:r w:rsidR="008D5489" w:rsidRPr="00017AAC">
        <w:t>)</w:t>
      </w:r>
      <w:r w:rsidR="00FC5848">
        <w:t xml:space="preserve">, which </w:t>
      </w:r>
      <w:r w:rsidR="00EF3515">
        <w:t xml:space="preserve">is a federal statute that </w:t>
      </w:r>
      <w:r w:rsidR="00317CF8">
        <w:t>go</w:t>
      </w:r>
      <w:r w:rsidR="008D5489">
        <w:t>verns most matters pertaining to national defence in Canada</w:t>
      </w:r>
      <w:r w:rsidR="00FC5848">
        <w:t>,</w:t>
      </w:r>
      <w:r w:rsidR="000F50E5">
        <w:t xml:space="preserve"> and </w:t>
      </w:r>
      <w:r w:rsidR="00317CF8">
        <w:t xml:space="preserve">in </w:t>
      </w:r>
      <w:r w:rsidR="000F50E5">
        <w:t>s</w:t>
      </w:r>
      <w:r w:rsidR="007E6F8C">
        <w:t>ection 12</w:t>
      </w:r>
      <w:r w:rsidR="00FC5848">
        <w:t>,</w:t>
      </w:r>
      <w:r w:rsidR="007E6F8C">
        <w:t xml:space="preserve"> </w:t>
      </w:r>
      <w:r w:rsidR="00FC5848">
        <w:t xml:space="preserve">it </w:t>
      </w:r>
      <w:r w:rsidR="007E6F8C">
        <w:t xml:space="preserve">grants </w:t>
      </w:r>
      <w:r w:rsidR="00FC5848">
        <w:t xml:space="preserve">the authority to make regulations </w:t>
      </w:r>
      <w:r w:rsidR="007E6F8C">
        <w:t>to the Governor in Council</w:t>
      </w:r>
      <w:r w:rsidR="007E3D00">
        <w:t>,</w:t>
      </w:r>
      <w:r w:rsidR="007E6F8C">
        <w:t xml:space="preserve"> the Minister</w:t>
      </w:r>
      <w:r w:rsidR="009C096C">
        <w:t xml:space="preserve"> of National Defence</w:t>
      </w:r>
      <w:r w:rsidR="00500BA8">
        <w:t xml:space="preserve"> (the Minister)</w:t>
      </w:r>
      <w:r w:rsidR="007E6F8C">
        <w:t xml:space="preserve"> and the Tre</w:t>
      </w:r>
      <w:r w:rsidR="009C096C">
        <w:t>asury Board</w:t>
      </w:r>
      <w:r w:rsidR="00FC5848">
        <w:t>.</w:t>
      </w:r>
      <w:r w:rsidR="009B6615">
        <w:rPr>
          <w:rStyle w:val="FootnoteReference"/>
        </w:rPr>
        <w:footnoteReference w:id="12"/>
      </w:r>
      <w:r w:rsidR="007E6F8C">
        <w:t xml:space="preserve"> </w:t>
      </w:r>
      <w:r w:rsidR="00F6352A">
        <w:t xml:space="preserve">The regulations made under these authorities </w:t>
      </w:r>
      <w:r w:rsidR="007E6F8C">
        <w:t>a</w:t>
      </w:r>
      <w:r w:rsidR="00D20A77">
        <w:t xml:space="preserve">re published </w:t>
      </w:r>
      <w:r w:rsidR="00EC6D96">
        <w:t xml:space="preserve">together </w:t>
      </w:r>
      <w:r w:rsidR="00D20A77">
        <w:t xml:space="preserve">in </w:t>
      </w:r>
      <w:r w:rsidR="009C096C">
        <w:t xml:space="preserve">a consolidated format </w:t>
      </w:r>
      <w:r w:rsidR="007E6F8C">
        <w:t xml:space="preserve">entitled </w:t>
      </w:r>
      <w:r w:rsidR="00D20A77" w:rsidRPr="00CB5460">
        <w:rPr>
          <w:i/>
        </w:rPr>
        <w:t>The Queen’s Regulations and Orders for the Canadian Forces</w:t>
      </w:r>
      <w:r w:rsidR="009C096C">
        <w:rPr>
          <w:i/>
        </w:rPr>
        <w:t>,</w:t>
      </w:r>
      <w:r w:rsidR="00D20A77">
        <w:rPr>
          <w:rStyle w:val="FootnoteReference"/>
        </w:rPr>
        <w:footnoteReference w:id="13"/>
      </w:r>
      <w:r w:rsidR="009C096C">
        <w:rPr>
          <w:i/>
        </w:rPr>
        <w:t xml:space="preserve"> </w:t>
      </w:r>
      <w:r w:rsidR="00F6352A">
        <w:t>which is</w:t>
      </w:r>
      <w:r w:rsidR="009C096C">
        <w:rPr>
          <w:i/>
        </w:rPr>
        <w:t xml:space="preserve"> </w:t>
      </w:r>
      <w:r w:rsidR="00D20A77">
        <w:t xml:space="preserve">collectively referred to as the QR&amp;O. </w:t>
      </w:r>
      <w:r w:rsidR="00E43312">
        <w:t xml:space="preserve">The QR&amp;O </w:t>
      </w:r>
      <w:r w:rsidR="00E81314">
        <w:t xml:space="preserve">regulations </w:t>
      </w:r>
      <w:r w:rsidR="001148D3">
        <w:t xml:space="preserve">are </w:t>
      </w:r>
      <w:r w:rsidR="005A3DB2">
        <w:t xml:space="preserve">anomalous, first, because </w:t>
      </w:r>
      <w:r w:rsidR="00E43312">
        <w:t xml:space="preserve">have been exempted from the </w:t>
      </w:r>
      <w:r w:rsidR="00E81314">
        <w:t xml:space="preserve">legal requirements of </w:t>
      </w:r>
      <w:r w:rsidR="00E43312">
        <w:t xml:space="preserve">examination, registration, </w:t>
      </w:r>
      <w:r w:rsidR="00E43312">
        <w:lastRenderedPageBreak/>
        <w:t>an</w:t>
      </w:r>
      <w:r w:rsidR="00A41B7F">
        <w:t xml:space="preserve">d publication </w:t>
      </w:r>
      <w:r w:rsidR="00E81314">
        <w:t>as defined under</w:t>
      </w:r>
      <w:r w:rsidR="00A41B7F">
        <w:t xml:space="preserve"> the SIA</w:t>
      </w:r>
      <w:r w:rsidR="005A3DB2">
        <w:rPr>
          <w:i/>
        </w:rPr>
        <w:t xml:space="preserve"> </w:t>
      </w:r>
      <w:r w:rsidR="005A3DB2">
        <w:t>due t</w:t>
      </w:r>
      <w:r w:rsidR="00EC6D96">
        <w:t>o the number of regulations</w:t>
      </w:r>
      <w:r w:rsidR="005A3DB2">
        <w:t xml:space="preserve"> they comprise.</w:t>
      </w:r>
      <w:r w:rsidR="009C096C" w:rsidRPr="001B5EDE">
        <w:rPr>
          <w:rStyle w:val="FootnoteReference"/>
        </w:rPr>
        <w:footnoteReference w:id="14"/>
      </w:r>
      <w:r w:rsidR="005A3DB2">
        <w:t xml:space="preserve"> </w:t>
      </w:r>
      <w:r w:rsidR="00F6352A">
        <w:t>Furthermore, while</w:t>
      </w:r>
      <w:r w:rsidR="00E81314">
        <w:t xml:space="preserve"> </w:t>
      </w:r>
      <w:r w:rsidR="00F6352A">
        <w:t xml:space="preserve">the </w:t>
      </w:r>
      <w:r w:rsidR="00E81314">
        <w:t xml:space="preserve">administrative </w:t>
      </w:r>
      <w:r w:rsidR="00FD7A93">
        <w:t xml:space="preserve">components of </w:t>
      </w:r>
      <w:r w:rsidR="00E81314">
        <w:t xml:space="preserve">the </w:t>
      </w:r>
      <w:r w:rsidR="009C096C">
        <w:t xml:space="preserve">federal regulatory development process apply </w:t>
      </w:r>
      <w:r w:rsidR="00EE4809">
        <w:t>to proposed</w:t>
      </w:r>
      <w:r w:rsidR="00E81314">
        <w:t xml:space="preserve"> QR&amp;O regulations </w:t>
      </w:r>
      <w:r w:rsidR="00FD7A93">
        <w:t xml:space="preserve">that require </w:t>
      </w:r>
      <w:r w:rsidR="003415BA">
        <w:t>Governor in Council</w:t>
      </w:r>
      <w:r w:rsidR="00FD7A93">
        <w:t xml:space="preserve"> approval, the applicable administrative requirements</w:t>
      </w:r>
      <w:r w:rsidR="00E81314" w:rsidRPr="00E81314">
        <w:t xml:space="preserve"> are only</w:t>
      </w:r>
      <w:r w:rsidR="00E81314">
        <w:t xml:space="preserve"> </w:t>
      </w:r>
      <w:r w:rsidR="00F6352A">
        <w:t>partially applied</w:t>
      </w:r>
      <w:r w:rsidR="00EE4D77">
        <w:t xml:space="preserve"> to </w:t>
      </w:r>
      <w:r w:rsidR="00EC6D96">
        <w:t>those regulations</w:t>
      </w:r>
      <w:r w:rsidR="00E81314">
        <w:t>.</w:t>
      </w:r>
      <w:r w:rsidR="00A37919" w:rsidRPr="00A37919">
        <w:rPr>
          <w:rStyle w:val="FootnoteReference"/>
        </w:rPr>
        <w:footnoteReference w:id="15"/>
      </w:r>
      <w:r w:rsidR="00A37919" w:rsidRPr="00A37919">
        <w:t xml:space="preserve"> </w:t>
      </w:r>
      <w:r w:rsidR="00E47054">
        <w:t xml:space="preserve">As a consequence, </w:t>
      </w:r>
      <w:r w:rsidR="003C0137">
        <w:t xml:space="preserve">QR&amp;O </w:t>
      </w:r>
      <w:r w:rsidR="001E67FF">
        <w:t>regulation</w:t>
      </w:r>
      <w:r w:rsidR="00E47054">
        <w:t>s</w:t>
      </w:r>
      <w:r w:rsidR="001E67FF">
        <w:t xml:space="preserve"> are</w:t>
      </w:r>
      <w:r w:rsidR="00EE4D77">
        <w:t xml:space="preserve"> made at the extreme periphery, </w:t>
      </w:r>
      <w:r w:rsidR="001E67FF">
        <w:t>and in some cases largely outside</w:t>
      </w:r>
      <w:r w:rsidR="00EE4D77">
        <w:t>,</w:t>
      </w:r>
      <w:r w:rsidR="001E67FF">
        <w:t xml:space="preserve"> of the very regime that is meant to </w:t>
      </w:r>
      <w:r w:rsidR="00476452">
        <w:t>ensure</w:t>
      </w:r>
      <w:r w:rsidR="00B4439F">
        <w:t xml:space="preserve"> </w:t>
      </w:r>
      <w:r w:rsidR="00920BF4">
        <w:t xml:space="preserve">legal and process </w:t>
      </w:r>
      <w:r w:rsidR="00B4439F">
        <w:t>s</w:t>
      </w:r>
      <w:r w:rsidR="00E47054">
        <w:t>tandard</w:t>
      </w:r>
      <w:r w:rsidR="00476452">
        <w:t>s</w:t>
      </w:r>
      <w:r w:rsidR="00E47054">
        <w:t xml:space="preserve"> for federal regulations</w:t>
      </w:r>
      <w:r w:rsidR="00476452">
        <w:t>;</w:t>
      </w:r>
      <w:r w:rsidR="00CE00E0">
        <w:rPr>
          <w:rStyle w:val="FootnoteReference"/>
        </w:rPr>
        <w:footnoteReference w:id="16"/>
      </w:r>
      <w:r w:rsidR="00E47054">
        <w:t xml:space="preserve"> </w:t>
      </w:r>
      <w:r w:rsidR="00476452">
        <w:t xml:space="preserve">this reality </w:t>
      </w:r>
      <w:r w:rsidR="00E47054">
        <w:t xml:space="preserve">prompts inevitable questions regarding the </w:t>
      </w:r>
      <w:r w:rsidR="00476452">
        <w:t>legislative quality of</w:t>
      </w:r>
      <w:r>
        <w:t xml:space="preserve"> </w:t>
      </w:r>
      <w:r w:rsidR="00E47054">
        <w:t xml:space="preserve">QR&amp;O regulations. </w:t>
      </w:r>
    </w:p>
    <w:p w:rsidR="003D534D" w:rsidRDefault="00CE00E0" w:rsidP="002C7948">
      <w:pPr>
        <w:spacing w:after="240" w:line="480" w:lineRule="auto"/>
        <w:ind w:firstLine="720"/>
      </w:pPr>
      <w:r>
        <w:t xml:space="preserve">The object of this </w:t>
      </w:r>
      <w:r w:rsidR="008F08C2">
        <w:t>dissertation</w:t>
      </w:r>
      <w:r>
        <w:t xml:space="preserve"> is to </w:t>
      </w:r>
      <w:r w:rsidR="003D534D">
        <w:t>examine the QR&amp;O regulations as a body of law for the purpose of ass</w:t>
      </w:r>
      <w:r w:rsidR="002C7948">
        <w:t xml:space="preserve">essing its quality; </w:t>
      </w:r>
      <w:r w:rsidR="00EE4809">
        <w:t>there are, however, numerous bases by which the quality of legislation can be assessed</w:t>
      </w:r>
      <w:r w:rsidR="008F08C2">
        <w:t>. Whi</w:t>
      </w:r>
      <w:r w:rsidR="00EE4809">
        <w:t>le the achievement of quality of</w:t>
      </w:r>
      <w:r w:rsidR="00310D03">
        <w:t xml:space="preserve"> legislation is </w:t>
      </w:r>
      <w:r w:rsidR="008F08C2">
        <w:t xml:space="preserve">highly pursued, </w:t>
      </w:r>
      <w:r w:rsidR="00310D03">
        <w:t>it is a concept that lacks a standardized meaning, and as a consequence, it means different things to different people.</w:t>
      </w:r>
      <w:r w:rsidR="00310D03">
        <w:rPr>
          <w:rStyle w:val="FootnoteReference"/>
        </w:rPr>
        <w:footnoteReference w:id="17"/>
      </w:r>
      <w:r w:rsidR="00310D03">
        <w:t xml:space="preserve"> </w:t>
      </w:r>
      <w:r w:rsidR="008F08C2">
        <w:t>One we</w:t>
      </w:r>
      <w:r w:rsidR="00310D03">
        <w:t xml:space="preserve">ll accepted conception </w:t>
      </w:r>
      <w:r w:rsidR="007E561E">
        <w:t xml:space="preserve">is that quality </w:t>
      </w:r>
      <w:r w:rsidR="00310D03">
        <w:t>r</w:t>
      </w:r>
      <w:r w:rsidR="007E561E">
        <w:t xml:space="preserve">equires legislative products </w:t>
      </w:r>
      <w:r w:rsidR="00310D03">
        <w:t xml:space="preserve">be drafted with sufficient clarity, precision and </w:t>
      </w:r>
      <w:r w:rsidR="002C7948">
        <w:t>unambiguity so that the</w:t>
      </w:r>
      <w:r w:rsidR="00310D03">
        <w:t xml:space="preserve"> message will be understood by the intended audience and effectively accomplish its </w:t>
      </w:r>
      <w:r w:rsidR="002C7948">
        <w:t>intended</w:t>
      </w:r>
      <w:r w:rsidR="00310D03">
        <w:t xml:space="preserve"> policy purpose.</w:t>
      </w:r>
      <w:r w:rsidR="00310D03">
        <w:rPr>
          <w:rStyle w:val="FootnoteReference"/>
        </w:rPr>
        <w:footnoteReference w:id="18"/>
      </w:r>
      <w:r w:rsidR="00FA7237" w:rsidRPr="00FA7237">
        <w:rPr>
          <w:rStyle w:val="FootnoteReference"/>
        </w:rPr>
        <w:t xml:space="preserve"> </w:t>
      </w:r>
      <w:r w:rsidR="000D731B">
        <w:t xml:space="preserve"> </w:t>
      </w:r>
      <w:r w:rsidR="00310D03">
        <w:t xml:space="preserve">Another accepted conception is based on the legal nature of </w:t>
      </w:r>
      <w:r w:rsidR="00310D03">
        <w:lastRenderedPageBreak/>
        <w:t>legislation and the quality of the legal process used in its making</w:t>
      </w:r>
      <w:r w:rsidR="00310D03" w:rsidRPr="003E5E64">
        <w:t>.</w:t>
      </w:r>
      <w:r w:rsidR="00310D03" w:rsidRPr="00A372BE">
        <w:rPr>
          <w:rStyle w:val="FootnoteReference"/>
        </w:rPr>
        <w:footnoteReference w:id="19"/>
      </w:r>
      <w:r w:rsidR="007E561E">
        <w:t xml:space="preserve"> For some</w:t>
      </w:r>
      <w:r w:rsidR="00EE4809">
        <w:t>,</w:t>
      </w:r>
      <w:r w:rsidR="007E561E">
        <w:t xml:space="preserve"> quality is a multifaceted notion that brings a diversity of e</w:t>
      </w:r>
      <w:r w:rsidR="00FA7237">
        <w:t xml:space="preserve">lements into consideration and includes an instrument’s </w:t>
      </w:r>
      <w:r w:rsidR="007E561E">
        <w:t>contents, its effectiveness, its legal framework and the process through which it was made.</w:t>
      </w:r>
      <w:r w:rsidR="007E561E">
        <w:rPr>
          <w:rStyle w:val="FootnoteReference"/>
        </w:rPr>
        <w:footnoteReference w:id="20"/>
      </w:r>
      <w:r w:rsidR="00FA7237">
        <w:t xml:space="preserve"> Within this context, Flückiger makes the concept more corporeal by schematically identifying the principal types of criteria used to define the term – factual, drafting-related and</w:t>
      </w:r>
      <w:r w:rsidR="00FA7237" w:rsidRPr="00FC2BED">
        <w:t xml:space="preserve"> </w:t>
      </w:r>
      <w:r w:rsidR="00FA7237">
        <w:t>legal, and then uses European Community law to define the substantive meaning attached to each criteria type.</w:t>
      </w:r>
      <w:r w:rsidR="00FA7237">
        <w:rPr>
          <w:rStyle w:val="FootnoteReference"/>
        </w:rPr>
        <w:footnoteReference w:id="21"/>
      </w:r>
      <w:r w:rsidR="002C7948">
        <w:t xml:space="preserve">  T</w:t>
      </w:r>
      <w:r w:rsidR="00793BD6">
        <w:t xml:space="preserve">he present </w:t>
      </w:r>
      <w:r w:rsidR="00382416">
        <w:t xml:space="preserve">assessment </w:t>
      </w:r>
      <w:r w:rsidR="002C7948">
        <w:t xml:space="preserve">of the QR&amp;O regulations will </w:t>
      </w:r>
      <w:r w:rsidR="00382416">
        <w:t xml:space="preserve">be conducted </w:t>
      </w:r>
      <w:r w:rsidR="00EE4809">
        <w:t>using</w:t>
      </w:r>
      <w:r w:rsidR="00FA7F66">
        <w:t xml:space="preserve"> </w:t>
      </w:r>
      <w:r w:rsidR="000C24D8">
        <w:t>the four l</w:t>
      </w:r>
      <w:r w:rsidR="00382416">
        <w:t xml:space="preserve">egal criteria for quality </w:t>
      </w:r>
      <w:r w:rsidR="00793BD6">
        <w:t>i</w:t>
      </w:r>
      <w:r w:rsidR="00382416">
        <w:t>dentified by Flückiger</w:t>
      </w:r>
      <w:r w:rsidR="000C24D8">
        <w:t xml:space="preserve">, which are </w:t>
      </w:r>
      <w:r w:rsidR="00382416">
        <w:t>democratic legitimacy, subsidiary and proportionality, legal security, and the transparency of the legislative process</w:t>
      </w:r>
      <w:r w:rsidR="00EE4809">
        <w:t>, as the metric</w:t>
      </w:r>
      <w:r w:rsidR="0025569F">
        <w:t>.</w:t>
      </w:r>
      <w:r w:rsidR="00476452">
        <w:rPr>
          <w:rStyle w:val="FootnoteReference"/>
        </w:rPr>
        <w:footnoteReference w:id="22"/>
      </w:r>
      <w:r w:rsidR="00382416">
        <w:t xml:space="preserve"> </w:t>
      </w:r>
      <w:r w:rsidR="0025569F">
        <w:t xml:space="preserve">These criteria consider </w:t>
      </w:r>
      <w:r w:rsidR="00476452">
        <w:t xml:space="preserve">elements relating to </w:t>
      </w:r>
      <w:r w:rsidR="0025569F">
        <w:t xml:space="preserve">the legal </w:t>
      </w:r>
      <w:r w:rsidR="00725EDD">
        <w:t xml:space="preserve">context and </w:t>
      </w:r>
      <w:r w:rsidR="0025569F">
        <w:t xml:space="preserve">framework of legislation as well as the process by which </w:t>
      </w:r>
      <w:r w:rsidR="00FA7F66">
        <w:t xml:space="preserve">it </w:t>
      </w:r>
      <w:r w:rsidR="0025569F">
        <w:t xml:space="preserve">is made, </w:t>
      </w:r>
      <w:r w:rsidR="00382416">
        <w:t xml:space="preserve">and it is the </w:t>
      </w:r>
      <w:r w:rsidR="000C24D8">
        <w:t xml:space="preserve">hypothesis </w:t>
      </w:r>
      <w:r w:rsidR="00382416">
        <w:t xml:space="preserve">of this </w:t>
      </w:r>
      <w:r w:rsidR="000C24D8">
        <w:t xml:space="preserve">dissertation </w:t>
      </w:r>
      <w:r w:rsidR="00382416">
        <w:t xml:space="preserve">that </w:t>
      </w:r>
      <w:r w:rsidR="000C24D8">
        <w:t xml:space="preserve">when assessed against these criteria </w:t>
      </w:r>
      <w:r w:rsidR="00700746">
        <w:t xml:space="preserve">the QR&amp;O regulations </w:t>
      </w:r>
      <w:r w:rsidR="000C24D8">
        <w:t xml:space="preserve">are of weak legislative quality. </w:t>
      </w:r>
      <w:r w:rsidR="00744187">
        <w:t xml:space="preserve">This </w:t>
      </w:r>
      <w:r w:rsidR="000C24D8">
        <w:t xml:space="preserve">dissertation </w:t>
      </w:r>
      <w:r w:rsidR="00744187">
        <w:t xml:space="preserve">will begin </w:t>
      </w:r>
      <w:r w:rsidR="00725EDD">
        <w:t xml:space="preserve">by providing </w:t>
      </w:r>
      <w:r w:rsidR="00744187">
        <w:t xml:space="preserve">contextual information </w:t>
      </w:r>
      <w:r w:rsidR="00FA7F66">
        <w:t>regarding the QR&amp;O regulations and their development process. In the following part</w:t>
      </w:r>
      <w:r w:rsidR="00EE4809">
        <w:t>,</w:t>
      </w:r>
      <w:r w:rsidR="00FA7F66">
        <w:t xml:space="preserve"> each of the four </w:t>
      </w:r>
      <w:r w:rsidR="00923F2C">
        <w:t xml:space="preserve">legal criteria </w:t>
      </w:r>
      <w:r w:rsidR="00FA7F66">
        <w:t xml:space="preserve">will be defined </w:t>
      </w:r>
      <w:r w:rsidR="00923F2C">
        <w:t>and</w:t>
      </w:r>
      <w:r w:rsidR="000C24D8">
        <w:t>,</w:t>
      </w:r>
      <w:r w:rsidR="00923F2C">
        <w:t xml:space="preserve"> </w:t>
      </w:r>
      <w:r w:rsidR="00725EDD">
        <w:t>in turn</w:t>
      </w:r>
      <w:r w:rsidR="000C24D8">
        <w:t>,</w:t>
      </w:r>
      <w:r w:rsidR="00725EDD">
        <w:t xml:space="preserve"> </w:t>
      </w:r>
      <w:r w:rsidR="00923F2C">
        <w:t>use</w:t>
      </w:r>
      <w:r w:rsidR="00FA7F66">
        <w:t>d t</w:t>
      </w:r>
      <w:r w:rsidR="00923F2C">
        <w:t xml:space="preserve">o </w:t>
      </w:r>
      <w:r w:rsidR="00725EDD">
        <w:t>analyze</w:t>
      </w:r>
      <w:r w:rsidR="007A2D4E">
        <w:t xml:space="preserve"> the QR&amp;O regulations</w:t>
      </w:r>
      <w:r w:rsidR="00EE4809">
        <w:t xml:space="preserve">, and in the </w:t>
      </w:r>
      <w:r w:rsidR="006E1151">
        <w:t>final part</w:t>
      </w:r>
      <w:r w:rsidR="004E445E">
        <w:t>,</w:t>
      </w:r>
      <w:r w:rsidR="00923F2C">
        <w:t xml:space="preserve"> the </w:t>
      </w:r>
      <w:r w:rsidR="00EE4809">
        <w:t xml:space="preserve">specific deficiencies </w:t>
      </w:r>
      <w:r w:rsidR="004E445E">
        <w:t xml:space="preserve">to which the QR&amp;O’s weak ‘legal’ quality can be attributed </w:t>
      </w:r>
      <w:r w:rsidR="00923F2C">
        <w:t xml:space="preserve">will be discussed along with </w:t>
      </w:r>
      <w:r w:rsidR="006E1151">
        <w:t>certain</w:t>
      </w:r>
      <w:r w:rsidR="00700746">
        <w:t xml:space="preserve"> </w:t>
      </w:r>
      <w:r w:rsidR="00923F2C">
        <w:t>options</w:t>
      </w:r>
      <w:r w:rsidR="0025569F">
        <w:t xml:space="preserve"> </w:t>
      </w:r>
      <w:r w:rsidR="00793BD6">
        <w:t xml:space="preserve">for addressing </w:t>
      </w:r>
      <w:r w:rsidR="00247F97">
        <w:t xml:space="preserve">each </w:t>
      </w:r>
      <w:r w:rsidR="00793BD6">
        <w:t xml:space="preserve">within </w:t>
      </w:r>
      <w:r w:rsidR="004E445E">
        <w:t xml:space="preserve">QR&amp;O’s </w:t>
      </w:r>
      <w:r w:rsidR="00793BD6">
        <w:t>existing legal framework</w:t>
      </w:r>
      <w:r w:rsidR="007A2D4E">
        <w:t xml:space="preserve">.  </w:t>
      </w:r>
      <w:r w:rsidR="003D534D">
        <w:tab/>
      </w:r>
    </w:p>
    <w:p w:rsidR="006E53E7" w:rsidRPr="006E53E7" w:rsidRDefault="00DE5ED1" w:rsidP="003E32F4">
      <w:pPr>
        <w:tabs>
          <w:tab w:val="left" w:pos="567"/>
          <w:tab w:val="left" w:pos="1134"/>
        </w:tabs>
        <w:spacing w:after="240" w:line="480" w:lineRule="auto"/>
        <w:ind w:right="-48"/>
        <w:rPr>
          <w:b/>
        </w:rPr>
      </w:pPr>
      <w:r>
        <w:rPr>
          <w:b/>
        </w:rPr>
        <w:lastRenderedPageBreak/>
        <w:t>2</w:t>
      </w:r>
      <w:r w:rsidR="001D20F1">
        <w:rPr>
          <w:b/>
        </w:rPr>
        <w:t>.</w:t>
      </w:r>
      <w:r w:rsidR="001D20F1">
        <w:rPr>
          <w:b/>
        </w:rPr>
        <w:tab/>
      </w:r>
      <w:r w:rsidR="006E53E7">
        <w:rPr>
          <w:b/>
        </w:rPr>
        <w:t>T</w:t>
      </w:r>
      <w:r w:rsidR="00CC556D">
        <w:rPr>
          <w:b/>
        </w:rPr>
        <w:t xml:space="preserve">he </w:t>
      </w:r>
      <w:r w:rsidR="006E53E7">
        <w:rPr>
          <w:b/>
          <w:i/>
        </w:rPr>
        <w:t xml:space="preserve">Queen’s Regulations and Orders for the Canadian Forces </w:t>
      </w:r>
      <w:r w:rsidR="006E53E7">
        <w:rPr>
          <w:b/>
        </w:rPr>
        <w:t>(the QR&amp;O)</w:t>
      </w:r>
    </w:p>
    <w:p w:rsidR="00CC556D" w:rsidRPr="00842E44" w:rsidRDefault="006E53E7" w:rsidP="00344C70">
      <w:pPr>
        <w:spacing w:after="240" w:line="480" w:lineRule="auto"/>
        <w:rPr>
          <w:b/>
          <w:i/>
        </w:rPr>
      </w:pPr>
      <w:r w:rsidRPr="00842E44">
        <w:rPr>
          <w:b/>
          <w:i/>
        </w:rPr>
        <w:t>2.1</w:t>
      </w:r>
      <w:r w:rsidRPr="00842E44">
        <w:rPr>
          <w:b/>
          <w:i/>
        </w:rPr>
        <w:tab/>
        <w:t>What are the QR&amp;O?</w:t>
      </w:r>
    </w:p>
    <w:p w:rsidR="00D20A77" w:rsidRDefault="007A2D7B" w:rsidP="003E32F4">
      <w:pPr>
        <w:tabs>
          <w:tab w:val="left" w:pos="567"/>
          <w:tab w:val="left" w:pos="1134"/>
        </w:tabs>
        <w:spacing w:after="240" w:line="480" w:lineRule="auto"/>
        <w:ind w:right="-48"/>
      </w:pPr>
      <w:r>
        <w:tab/>
      </w:r>
      <w:r w:rsidR="00344C70">
        <w:t xml:space="preserve">The QR&amp;O </w:t>
      </w:r>
      <w:r>
        <w:t xml:space="preserve">are relatively unique in the context of legislative publications as they function as a </w:t>
      </w:r>
      <w:r w:rsidR="00344C70">
        <w:t xml:space="preserve">compendium of </w:t>
      </w:r>
      <w:r w:rsidR="002233DE">
        <w:t xml:space="preserve">not only </w:t>
      </w:r>
      <w:r>
        <w:t xml:space="preserve">all </w:t>
      </w:r>
      <w:r w:rsidR="00344C70">
        <w:t xml:space="preserve">the regulations made </w:t>
      </w:r>
      <w:r w:rsidR="00A86B26">
        <w:t xml:space="preserve">under </w:t>
      </w:r>
      <w:r w:rsidR="00344C70">
        <w:t>section 12 of the NDA by eac</w:t>
      </w:r>
      <w:r w:rsidR="000D5E0D">
        <w:t>h of the delegated authorities</w:t>
      </w:r>
      <w:r w:rsidR="00596085">
        <w:t xml:space="preserve">, but they </w:t>
      </w:r>
      <w:r w:rsidR="000D5E0D">
        <w:t xml:space="preserve">also include </w:t>
      </w:r>
      <w:r w:rsidR="00344C70">
        <w:t>certain order</w:t>
      </w:r>
      <w:r>
        <w:t xml:space="preserve">s issued by the </w:t>
      </w:r>
      <w:r w:rsidR="00344C70">
        <w:t>Chief of the Defence Staff</w:t>
      </w:r>
      <w:r w:rsidR="005644B0">
        <w:t xml:space="preserve"> </w:t>
      </w:r>
      <w:r>
        <w:t>in the discharge of his duties under the NDA or in explan</w:t>
      </w:r>
      <w:r w:rsidR="005644B0">
        <w:t>a</w:t>
      </w:r>
      <w:r>
        <w:t>tion or implementation of regulation</w:t>
      </w:r>
      <w:r w:rsidR="005644B0">
        <w:t>s</w:t>
      </w:r>
      <w:r w:rsidR="005644B0">
        <w:rPr>
          <w:rStyle w:val="FootnoteReference"/>
        </w:rPr>
        <w:footnoteReference w:id="23"/>
      </w:r>
      <w:r w:rsidR="005644B0">
        <w:t xml:space="preserve"> </w:t>
      </w:r>
      <w:r w:rsidR="00967F6B">
        <w:t xml:space="preserve">as well as </w:t>
      </w:r>
      <w:r w:rsidR="005644B0">
        <w:t>explanatory notes.</w:t>
      </w:r>
      <w:r w:rsidR="005644B0">
        <w:rPr>
          <w:rStyle w:val="FootnoteReference"/>
        </w:rPr>
        <w:footnoteReference w:id="24"/>
      </w:r>
      <w:r w:rsidR="005644B0">
        <w:t xml:space="preserve"> </w:t>
      </w:r>
      <w:r w:rsidR="00C20BFF">
        <w:t xml:space="preserve">The QR&amp;O evolved from the </w:t>
      </w:r>
      <w:r w:rsidR="00C20BFF" w:rsidRPr="006B3B8B">
        <w:rPr>
          <w:i/>
        </w:rPr>
        <w:t>King’s Regulations and Orders</w:t>
      </w:r>
      <w:r w:rsidR="00C20BFF">
        <w:rPr>
          <w:i/>
        </w:rPr>
        <w:t>,</w:t>
      </w:r>
      <w:r w:rsidR="00C20BFF">
        <w:t xml:space="preserve"> which were published in 1951 with separate publications for each the Air Force, Army, and Navy</w:t>
      </w:r>
      <w:r w:rsidR="00E4312D">
        <w:t>,</w:t>
      </w:r>
      <w:r w:rsidR="00C20BFF">
        <w:rPr>
          <w:rStyle w:val="FootnoteReference"/>
        </w:rPr>
        <w:footnoteReference w:id="25"/>
      </w:r>
      <w:r w:rsidR="00C20BFF">
        <w:t xml:space="preserve"> </w:t>
      </w:r>
      <w:r w:rsidR="00E4312D">
        <w:t xml:space="preserve">and </w:t>
      </w:r>
      <w:r w:rsidR="00C20BFF">
        <w:t>in 1965</w:t>
      </w:r>
      <w:r w:rsidR="00C20BFF" w:rsidRPr="009B6615">
        <w:t xml:space="preserve"> </w:t>
      </w:r>
      <w:r w:rsidR="00C20BFF">
        <w:t xml:space="preserve">the publications </w:t>
      </w:r>
      <w:r w:rsidR="00C20BFF" w:rsidRPr="009B6615">
        <w:t>were consolidated and given their present title</w:t>
      </w:r>
      <w:r w:rsidR="00C20BFF">
        <w:t>.</w:t>
      </w:r>
      <w:r w:rsidR="00C20BFF" w:rsidRPr="009B6615">
        <w:rPr>
          <w:rStyle w:val="FootnoteReference"/>
        </w:rPr>
        <w:footnoteReference w:id="26"/>
      </w:r>
      <w:r w:rsidR="00C20BFF" w:rsidRPr="00D20A77">
        <w:t xml:space="preserve"> </w:t>
      </w:r>
      <w:r w:rsidR="001B10CD">
        <w:t>The QR&amp;O span a wide range of su</w:t>
      </w:r>
      <w:r w:rsidR="000D5E0D">
        <w:t>bject</w:t>
      </w:r>
      <w:r w:rsidR="00DA4026">
        <w:t>s</w:t>
      </w:r>
      <w:r w:rsidR="000D5E0D">
        <w:t xml:space="preserve"> within three main areas - </w:t>
      </w:r>
      <w:r w:rsidR="001B10CD">
        <w:t>adminis</w:t>
      </w:r>
      <w:r w:rsidR="000D5E0D">
        <w:t>tration, discipline and finance -</w:t>
      </w:r>
      <w:r w:rsidR="00E4312D">
        <w:t xml:space="preserve"> and</w:t>
      </w:r>
      <w:r w:rsidR="001B10CD">
        <w:t xml:space="preserve"> are organized into chapt</w:t>
      </w:r>
      <w:r w:rsidR="000F778E">
        <w:t>ers based on subject matter. The</w:t>
      </w:r>
      <w:r w:rsidR="005644B0">
        <w:t xml:space="preserve"> regulations and orders relevant to each subject</w:t>
      </w:r>
      <w:r w:rsidR="001B10CD">
        <w:t xml:space="preserve"> matter</w:t>
      </w:r>
      <w:r w:rsidR="005644B0">
        <w:t xml:space="preserve"> are assembled</w:t>
      </w:r>
      <w:r w:rsidR="001B10CD">
        <w:t xml:space="preserve"> together</w:t>
      </w:r>
      <w:r w:rsidR="005644B0">
        <w:t xml:space="preserve">, and a notation is added immediately following each </w:t>
      </w:r>
      <w:r w:rsidR="000F778E">
        <w:t>to indicate</w:t>
      </w:r>
      <w:r w:rsidR="005601F6">
        <w:t xml:space="preserve"> the authority </w:t>
      </w:r>
      <w:r w:rsidR="00596085">
        <w:t>by which they were made</w:t>
      </w:r>
      <w:r w:rsidR="000F778E">
        <w:t>, f</w:t>
      </w:r>
      <w:r w:rsidR="00D54F2B">
        <w:t>or example, Governor in Council QR&amp;O are followed by (G) and Chief of the Defence Staff orders are followed by (C).</w:t>
      </w:r>
      <w:r w:rsidR="00D54F2B">
        <w:rPr>
          <w:rStyle w:val="FootnoteReference"/>
        </w:rPr>
        <w:footnoteReference w:id="27"/>
      </w:r>
      <w:r w:rsidR="00D54F2B">
        <w:t xml:space="preserve"> </w:t>
      </w:r>
      <w:r w:rsidR="00967F6B">
        <w:t xml:space="preserve">While the application of the QR&amp;O is largely limited to the members of the CAF, they also apply to any person who is not a member but is subject to the </w:t>
      </w:r>
      <w:r w:rsidR="00967F6B">
        <w:rPr>
          <w:i/>
        </w:rPr>
        <w:t>Code of Service Discipline.</w:t>
      </w:r>
      <w:r w:rsidR="00967F6B">
        <w:rPr>
          <w:rStyle w:val="FootnoteReference"/>
          <w:i/>
        </w:rPr>
        <w:footnoteReference w:id="28"/>
      </w:r>
      <w:r w:rsidR="00967F6B">
        <w:rPr>
          <w:i/>
        </w:rPr>
        <w:t xml:space="preserve"> </w:t>
      </w:r>
      <w:r w:rsidR="00C20BFF">
        <w:t>Throughout this dissertation, unless otherwise indicated, references to the QR&amp;O will be references to the QR&amp;O regulations.</w:t>
      </w:r>
    </w:p>
    <w:p w:rsidR="0039000D" w:rsidRPr="00842E44" w:rsidRDefault="00344C70" w:rsidP="00344C70">
      <w:pPr>
        <w:spacing w:after="240" w:line="480" w:lineRule="auto"/>
        <w:rPr>
          <w:b/>
          <w:i/>
        </w:rPr>
      </w:pPr>
      <w:r w:rsidRPr="00842E44">
        <w:rPr>
          <w:b/>
          <w:i/>
        </w:rPr>
        <w:lastRenderedPageBreak/>
        <w:t>2.2</w:t>
      </w:r>
      <w:r w:rsidRPr="00842E44">
        <w:rPr>
          <w:b/>
          <w:i/>
        </w:rPr>
        <w:tab/>
        <w:t xml:space="preserve">What is the QR&amp;O regulatory development process? </w:t>
      </w:r>
    </w:p>
    <w:p w:rsidR="00AB089E" w:rsidRDefault="009629C0" w:rsidP="003E32F4">
      <w:pPr>
        <w:tabs>
          <w:tab w:val="left" w:pos="567"/>
          <w:tab w:val="left" w:pos="1134"/>
        </w:tabs>
        <w:spacing w:after="240" w:line="480" w:lineRule="auto"/>
        <w:ind w:right="-48"/>
      </w:pPr>
      <w:r>
        <w:tab/>
        <w:t xml:space="preserve">The </w:t>
      </w:r>
      <w:r w:rsidR="0021018D">
        <w:t xml:space="preserve">development </w:t>
      </w:r>
      <w:r>
        <w:t xml:space="preserve">process </w:t>
      </w:r>
      <w:r w:rsidR="0021018D">
        <w:t xml:space="preserve">through which the </w:t>
      </w:r>
      <w:r>
        <w:t>QR&amp;O</w:t>
      </w:r>
      <w:r w:rsidR="00373B0F">
        <w:t xml:space="preserve"> </w:t>
      </w:r>
      <w:r w:rsidR="00374F14">
        <w:t>ar</w:t>
      </w:r>
      <w:r w:rsidR="00E603A7">
        <w:t xml:space="preserve">e made is highly relevant to the present </w:t>
      </w:r>
      <w:r w:rsidR="00374F14">
        <w:t xml:space="preserve">assessment of QR&amp;O quality </w:t>
      </w:r>
      <w:r w:rsidR="00E603A7">
        <w:t xml:space="preserve">based on </w:t>
      </w:r>
      <w:r w:rsidR="00374F14">
        <w:t>the identified legal criteria</w:t>
      </w:r>
      <w:r w:rsidR="0021018D">
        <w:t>,</w:t>
      </w:r>
      <w:r w:rsidR="0008367D">
        <w:t xml:space="preserve"> and for these purposes</w:t>
      </w:r>
      <w:r w:rsidR="0021018D">
        <w:t>,</w:t>
      </w:r>
      <w:r w:rsidR="0008367D">
        <w:t xml:space="preserve"> the most efficient way to explain </w:t>
      </w:r>
      <w:r w:rsidR="00E603A7">
        <w:t>that</w:t>
      </w:r>
      <w:r w:rsidR="0008367D">
        <w:t xml:space="preserve"> process is </w:t>
      </w:r>
      <w:r w:rsidR="00373B0F">
        <w:t xml:space="preserve">to begin </w:t>
      </w:r>
      <w:r w:rsidR="0008367D">
        <w:t xml:space="preserve">by showing what it is not. </w:t>
      </w:r>
      <w:r w:rsidR="00576FDE" w:rsidRPr="00576FDE">
        <w:t xml:space="preserve">As indicated </w:t>
      </w:r>
      <w:r w:rsidR="007C4D34">
        <w:t>previously</w:t>
      </w:r>
      <w:r w:rsidR="00576FDE">
        <w:t xml:space="preserve">, the </w:t>
      </w:r>
      <w:r w:rsidR="00792280">
        <w:t xml:space="preserve">current </w:t>
      </w:r>
      <w:r w:rsidR="007C4D34">
        <w:t xml:space="preserve">federal </w:t>
      </w:r>
      <w:r w:rsidR="00792280">
        <w:t xml:space="preserve">regulation development process </w:t>
      </w:r>
      <w:r w:rsidR="0021018D">
        <w:t>comprises an</w:t>
      </w:r>
      <w:r w:rsidR="007C4D34">
        <w:t xml:space="preserve"> administrative component</w:t>
      </w:r>
      <w:r w:rsidR="0021018D">
        <w:t xml:space="preserve"> that a</w:t>
      </w:r>
      <w:r w:rsidR="00373B0F">
        <w:t>pplies</w:t>
      </w:r>
      <w:r w:rsidR="00792280">
        <w:t xml:space="preserve"> only to proposed Governor in Council regulations</w:t>
      </w:r>
      <w:r w:rsidR="0021018D">
        <w:t>,</w:t>
      </w:r>
      <w:r w:rsidR="00792280">
        <w:rPr>
          <w:rStyle w:val="FootnoteReference"/>
        </w:rPr>
        <w:footnoteReference w:id="29"/>
      </w:r>
      <w:r w:rsidR="00792280">
        <w:t xml:space="preserve"> </w:t>
      </w:r>
      <w:r w:rsidR="0021018D">
        <w:t xml:space="preserve">which </w:t>
      </w:r>
      <w:r w:rsidR="00792280">
        <w:t>is layered over the legal component</w:t>
      </w:r>
      <w:r w:rsidR="0021018D">
        <w:t xml:space="preserve"> that,</w:t>
      </w:r>
      <w:r w:rsidR="00373B0F">
        <w:t xml:space="preserve"> </w:t>
      </w:r>
      <w:r w:rsidR="0021018D">
        <w:t>subject to exemption</w:t>
      </w:r>
      <w:r w:rsidR="00B069D0">
        <w:t>,</w:t>
      </w:r>
      <w:r w:rsidR="0021018D">
        <w:t xml:space="preserve"> </w:t>
      </w:r>
      <w:r w:rsidR="00373B0F">
        <w:t>applies to all</w:t>
      </w:r>
      <w:r w:rsidR="00792280">
        <w:t xml:space="preserve"> federal regulations.</w:t>
      </w:r>
      <w:r w:rsidR="00792280">
        <w:rPr>
          <w:rStyle w:val="FootnoteReference"/>
        </w:rPr>
        <w:footnoteReference w:id="30"/>
      </w:r>
      <w:r w:rsidR="00792280">
        <w:t xml:space="preserve"> </w:t>
      </w:r>
      <w:r w:rsidR="007C4D34">
        <w:t>The thirteen steps of this process are out</w:t>
      </w:r>
      <w:r w:rsidR="00207C79">
        <w:t xml:space="preserve">lined below with the </w:t>
      </w:r>
      <w:r w:rsidR="00373B0F">
        <w:t xml:space="preserve">mandatory legal </w:t>
      </w:r>
      <w:r w:rsidR="00207C79">
        <w:t>steps in the process indicated by u</w:t>
      </w:r>
      <w:r w:rsidR="00373B0F">
        <w:t>nderlin</w:t>
      </w:r>
      <w:r w:rsidR="00207C79">
        <w:t>ing</w:t>
      </w:r>
      <w:r w:rsidR="00792280">
        <w:t xml:space="preserve">: </w:t>
      </w:r>
    </w:p>
    <w:p w:rsidR="00D21BF1" w:rsidRPr="00FB3FE7" w:rsidRDefault="00AB089E" w:rsidP="001A0B90">
      <w:pPr>
        <w:tabs>
          <w:tab w:val="left" w:pos="567"/>
          <w:tab w:val="left" w:pos="1134"/>
        </w:tabs>
        <w:spacing w:after="120" w:line="360" w:lineRule="auto"/>
        <w:ind w:left="567" w:right="-45"/>
      </w:pPr>
      <w:r w:rsidRPr="00FB3FE7">
        <w:t>i.</w:t>
      </w:r>
      <w:r w:rsidRPr="00FB3FE7">
        <w:tab/>
      </w:r>
      <w:r w:rsidR="00D21BF1" w:rsidRPr="00FB3FE7">
        <w:t>Planning</w:t>
      </w:r>
      <w:r w:rsidR="007C4D34" w:rsidRPr="00FB3FE7">
        <w:t xml:space="preserve"> – </w:t>
      </w:r>
      <w:r w:rsidR="00897FCE" w:rsidRPr="00FB3FE7">
        <w:t xml:space="preserve">departmental officials </w:t>
      </w:r>
      <w:r w:rsidR="00792280" w:rsidRPr="00FB3FE7">
        <w:t xml:space="preserve">consult with </w:t>
      </w:r>
      <w:r w:rsidR="00F20194" w:rsidRPr="00FB3FE7">
        <w:t xml:space="preserve">the </w:t>
      </w:r>
      <w:r w:rsidR="00792280" w:rsidRPr="00FB3FE7">
        <w:t xml:space="preserve">Regulatory Affairs Section of the Treasury Board </w:t>
      </w:r>
      <w:r w:rsidR="007C4D34" w:rsidRPr="00FB3FE7">
        <w:t xml:space="preserve">of Canada </w:t>
      </w:r>
      <w:r w:rsidR="00792280" w:rsidRPr="00FB3FE7">
        <w:t>Secretariat</w:t>
      </w:r>
      <w:r w:rsidR="00845AB7" w:rsidRPr="00FB3FE7">
        <w:rPr>
          <w:rStyle w:val="FootnoteReference"/>
        </w:rPr>
        <w:footnoteReference w:id="31"/>
      </w:r>
      <w:r w:rsidR="00792280" w:rsidRPr="00FB3FE7">
        <w:t xml:space="preserve"> </w:t>
      </w:r>
      <w:r w:rsidR="00845AB7" w:rsidRPr="00FB3FE7">
        <w:t>(</w:t>
      </w:r>
      <w:r w:rsidR="00251556" w:rsidRPr="00FB3FE7">
        <w:t>TBS-</w:t>
      </w:r>
      <w:r w:rsidR="00845AB7" w:rsidRPr="00FB3FE7">
        <w:t xml:space="preserve">RAS) </w:t>
      </w:r>
      <w:r w:rsidR="00792280" w:rsidRPr="00FB3FE7">
        <w:t xml:space="preserve">to </w:t>
      </w:r>
      <w:r w:rsidR="00672CEC" w:rsidRPr="00FB3FE7">
        <w:t xml:space="preserve">develop </w:t>
      </w:r>
      <w:r w:rsidR="00F20194" w:rsidRPr="00FB3FE7">
        <w:t xml:space="preserve">the </w:t>
      </w:r>
      <w:r w:rsidR="00672CEC" w:rsidRPr="00FB3FE7">
        <w:t>regulatory proposal, consid</w:t>
      </w:r>
      <w:r w:rsidR="007C4D34" w:rsidRPr="00FB3FE7">
        <w:t xml:space="preserve">er regulatory options and complete </w:t>
      </w:r>
      <w:r w:rsidR="00E603A7" w:rsidRPr="00FB3FE7">
        <w:t>a</w:t>
      </w:r>
      <w:r w:rsidR="00FB3FE7" w:rsidRPr="00FB3FE7">
        <w:t xml:space="preserve"> </w:t>
      </w:r>
      <w:r w:rsidR="007C4D34" w:rsidRPr="00FB3FE7">
        <w:t>triage process to assess</w:t>
      </w:r>
      <w:r w:rsidR="00AD7260" w:rsidRPr="00FB3FE7">
        <w:t xml:space="preserve"> </w:t>
      </w:r>
      <w:r w:rsidR="00E603A7" w:rsidRPr="00FB3FE7">
        <w:t xml:space="preserve">the proposal’s </w:t>
      </w:r>
      <w:r w:rsidR="00AD7260" w:rsidRPr="00FB3FE7">
        <w:t>impact</w:t>
      </w:r>
      <w:r w:rsidR="00FB5A64" w:rsidRPr="00FB3FE7">
        <w:t>.</w:t>
      </w:r>
    </w:p>
    <w:p w:rsidR="00D21BF1" w:rsidRPr="00FB3FE7" w:rsidRDefault="00D21BF1" w:rsidP="001A0B90">
      <w:pPr>
        <w:tabs>
          <w:tab w:val="left" w:pos="567"/>
          <w:tab w:val="left" w:pos="1134"/>
        </w:tabs>
        <w:spacing w:after="120" w:line="360" w:lineRule="auto"/>
        <w:ind w:left="567" w:right="-45"/>
      </w:pPr>
      <w:r w:rsidRPr="00FB3FE7">
        <w:t>ii.</w:t>
      </w:r>
      <w:r w:rsidRPr="00FB3FE7">
        <w:tab/>
        <w:t>Analysis</w:t>
      </w:r>
      <w:r w:rsidR="00897FCE" w:rsidRPr="00FB3FE7">
        <w:t xml:space="preserve"> – department officials conduct consultations w</w:t>
      </w:r>
      <w:r w:rsidR="00792280" w:rsidRPr="00FB3FE7">
        <w:t>ith issue-specific stakeholders</w:t>
      </w:r>
      <w:r w:rsidR="00897FCE" w:rsidRPr="00FB3FE7">
        <w:t xml:space="preserve"> and prepare the </w:t>
      </w:r>
      <w:r w:rsidR="00792280" w:rsidRPr="00FB3FE7">
        <w:t>Regulatory Impact Assessment Statement (RIAS)</w:t>
      </w:r>
      <w:r w:rsidR="00B069D0" w:rsidRPr="00FB3FE7">
        <w:t>,</w:t>
      </w:r>
      <w:r w:rsidR="00F20194" w:rsidRPr="00FB3FE7">
        <w:rPr>
          <w:rStyle w:val="FootnoteReference"/>
        </w:rPr>
        <w:footnoteReference w:id="32"/>
      </w:r>
      <w:r w:rsidR="00B069D0" w:rsidRPr="00FB3FE7">
        <w:t xml:space="preserve"> which requires</w:t>
      </w:r>
      <w:r w:rsidR="006A48B2" w:rsidRPr="00FB3FE7">
        <w:t xml:space="preserve"> </w:t>
      </w:r>
      <w:r w:rsidR="00251556" w:rsidRPr="00FB3FE7">
        <w:t>TBS-RAS</w:t>
      </w:r>
      <w:r w:rsidR="00FB5A64" w:rsidRPr="00FB3FE7">
        <w:t xml:space="preserve"> approval.</w:t>
      </w:r>
    </w:p>
    <w:p w:rsidR="00D21BF1" w:rsidRPr="00FB3FE7" w:rsidRDefault="00D21BF1" w:rsidP="001A0B90">
      <w:pPr>
        <w:tabs>
          <w:tab w:val="left" w:pos="567"/>
          <w:tab w:val="left" w:pos="1134"/>
        </w:tabs>
        <w:spacing w:after="120" w:line="360" w:lineRule="auto"/>
        <w:ind w:left="567" w:right="-45"/>
      </w:pPr>
      <w:r w:rsidRPr="00FB3FE7">
        <w:t>iii.</w:t>
      </w:r>
      <w:r w:rsidRPr="00FB3FE7">
        <w:tab/>
        <w:t>Drafting</w:t>
      </w:r>
      <w:r w:rsidR="00897FCE" w:rsidRPr="00FB3FE7">
        <w:t xml:space="preserve"> – departmental officials will draft </w:t>
      </w:r>
      <w:r w:rsidR="00B069D0" w:rsidRPr="00FB3FE7">
        <w:t xml:space="preserve">the </w:t>
      </w:r>
      <w:r w:rsidR="00897FCE" w:rsidRPr="00FB3FE7">
        <w:t>propose</w:t>
      </w:r>
      <w:r w:rsidR="00942963" w:rsidRPr="00FB3FE7">
        <w:t>d regulation with</w:t>
      </w:r>
      <w:r w:rsidR="00274BA1" w:rsidRPr="00FB3FE7">
        <w:t xml:space="preserve"> </w:t>
      </w:r>
      <w:r w:rsidR="00942963" w:rsidRPr="00FB3FE7">
        <w:t xml:space="preserve">the </w:t>
      </w:r>
      <w:r w:rsidR="00F20194" w:rsidRPr="00FB3FE7">
        <w:t>assistance</w:t>
      </w:r>
      <w:r w:rsidR="006E70A4" w:rsidRPr="00FB3FE7">
        <w:t xml:space="preserve"> </w:t>
      </w:r>
      <w:r w:rsidR="00942963" w:rsidRPr="00FB3FE7">
        <w:t>of Department of Justice Le</w:t>
      </w:r>
      <w:r w:rsidR="00F20194" w:rsidRPr="00FB3FE7">
        <w:t>g</w:t>
      </w:r>
      <w:r w:rsidR="00942963" w:rsidRPr="00FB3FE7">
        <w:t>islative</w:t>
      </w:r>
      <w:r w:rsidR="00274BA1" w:rsidRPr="00FB3FE7">
        <w:t xml:space="preserve"> Counsel</w:t>
      </w:r>
      <w:r w:rsidR="00FB5A64" w:rsidRPr="00FB3FE7">
        <w:t>.</w:t>
      </w:r>
    </w:p>
    <w:p w:rsidR="00D21BF1" w:rsidRPr="00FB3FE7" w:rsidRDefault="00D21BF1" w:rsidP="001A0B90">
      <w:pPr>
        <w:tabs>
          <w:tab w:val="left" w:pos="567"/>
          <w:tab w:val="left" w:pos="1134"/>
        </w:tabs>
        <w:spacing w:after="120" w:line="360" w:lineRule="auto"/>
        <w:ind w:left="567" w:right="-45"/>
      </w:pPr>
      <w:r w:rsidRPr="00FB3FE7">
        <w:rPr>
          <w:u w:val="single"/>
        </w:rPr>
        <w:t>iv.</w:t>
      </w:r>
      <w:r w:rsidRPr="00FB3FE7">
        <w:rPr>
          <w:u w:val="single"/>
        </w:rPr>
        <w:tab/>
        <w:t xml:space="preserve">Department of Justice </w:t>
      </w:r>
      <w:r w:rsidR="000A3951" w:rsidRPr="00FB3FE7">
        <w:rPr>
          <w:u w:val="single"/>
        </w:rPr>
        <w:t>Examination</w:t>
      </w:r>
      <w:r w:rsidR="007C4D34" w:rsidRPr="00FB3FE7">
        <w:t xml:space="preserve"> – </w:t>
      </w:r>
      <w:r w:rsidR="00B069D0" w:rsidRPr="00FB3FE7">
        <w:t xml:space="preserve">the </w:t>
      </w:r>
      <w:r w:rsidR="00D9090D" w:rsidRPr="00FB3FE7">
        <w:t>proposed</w:t>
      </w:r>
      <w:r w:rsidR="00274BA1" w:rsidRPr="00FB3FE7">
        <w:t xml:space="preserve"> regulation </w:t>
      </w:r>
      <w:r w:rsidR="007C4D34" w:rsidRPr="00FB3FE7">
        <w:t xml:space="preserve">is </w:t>
      </w:r>
      <w:r w:rsidR="00B575B3" w:rsidRPr="00FB3FE7">
        <w:t>submitted for review</w:t>
      </w:r>
      <w:r w:rsidR="00B069D0" w:rsidRPr="00FB3FE7">
        <w:t xml:space="preserve"> to ensure </w:t>
      </w:r>
      <w:r w:rsidR="00274BA1" w:rsidRPr="00FB3FE7">
        <w:t xml:space="preserve">it is authorized by </w:t>
      </w:r>
      <w:r w:rsidR="00942963" w:rsidRPr="00FB3FE7">
        <w:t xml:space="preserve">the </w:t>
      </w:r>
      <w:r w:rsidR="00274BA1" w:rsidRPr="00FB3FE7">
        <w:t xml:space="preserve">enabling act, it does not constitute an unusual or unexpected use of the authority, </w:t>
      </w:r>
      <w:r w:rsidR="006630C3" w:rsidRPr="00FB3FE7">
        <w:t>it does not unduly tres</w:t>
      </w:r>
      <w:r w:rsidR="00CC556D" w:rsidRPr="00FB3FE7">
        <w:t>pass</w:t>
      </w:r>
      <w:r w:rsidR="006630C3" w:rsidRPr="00FB3FE7">
        <w:t xml:space="preserve"> on rights and freedoms, </w:t>
      </w:r>
      <w:r w:rsidR="00274BA1" w:rsidRPr="00FB3FE7">
        <w:t xml:space="preserve">it is </w:t>
      </w:r>
      <w:r w:rsidR="00274BA1" w:rsidRPr="00FB3FE7">
        <w:lastRenderedPageBreak/>
        <w:t xml:space="preserve">not inconsistent with the </w:t>
      </w:r>
      <w:r w:rsidR="006630C3" w:rsidRPr="00FB3FE7">
        <w:rPr>
          <w:i/>
        </w:rPr>
        <w:t>Canadian Charter of Rights and Freedoms</w:t>
      </w:r>
      <w:r w:rsidR="00274BA1" w:rsidRPr="00FB3FE7">
        <w:rPr>
          <w:rStyle w:val="FootnoteReference"/>
        </w:rPr>
        <w:footnoteReference w:id="33"/>
      </w:r>
      <w:r w:rsidR="00274BA1" w:rsidRPr="00FB3FE7">
        <w:t xml:space="preserve"> </w:t>
      </w:r>
      <w:r w:rsidR="00CC556D" w:rsidRPr="00FB3FE7">
        <w:t>or</w:t>
      </w:r>
      <w:r w:rsidR="006630C3" w:rsidRPr="00FB3FE7">
        <w:t xml:space="preserve"> the </w:t>
      </w:r>
      <w:r w:rsidR="006630C3" w:rsidRPr="00FB3FE7">
        <w:rPr>
          <w:i/>
        </w:rPr>
        <w:t>Canadian Bill of Rights</w:t>
      </w:r>
      <w:r w:rsidR="006630C3" w:rsidRPr="00FB3FE7">
        <w:rPr>
          <w:rStyle w:val="FootnoteReference"/>
        </w:rPr>
        <w:footnoteReference w:id="34"/>
      </w:r>
      <w:r w:rsidR="00274BA1" w:rsidRPr="00FB3FE7">
        <w:t xml:space="preserve">, </w:t>
      </w:r>
      <w:r w:rsidR="006630C3" w:rsidRPr="00FB3FE7">
        <w:t xml:space="preserve">and </w:t>
      </w:r>
      <w:r w:rsidR="00274BA1" w:rsidRPr="00FB3FE7">
        <w:t>it conf</w:t>
      </w:r>
      <w:r w:rsidR="006630C3" w:rsidRPr="00FB3FE7">
        <w:t xml:space="preserve">orms with drafting </w:t>
      </w:r>
      <w:r w:rsidR="00FB5A64" w:rsidRPr="00FB3FE7">
        <w:t>standards.</w:t>
      </w:r>
    </w:p>
    <w:p w:rsidR="00D21BF1" w:rsidRPr="00FB3FE7" w:rsidRDefault="00D21BF1" w:rsidP="001A0B90">
      <w:pPr>
        <w:tabs>
          <w:tab w:val="left" w:pos="567"/>
          <w:tab w:val="left" w:pos="1134"/>
        </w:tabs>
        <w:spacing w:after="120" w:line="360" w:lineRule="auto"/>
        <w:ind w:left="567" w:right="-45"/>
      </w:pPr>
      <w:r w:rsidRPr="00FB3FE7">
        <w:t>v.</w:t>
      </w:r>
      <w:r w:rsidRPr="00FB3FE7">
        <w:tab/>
        <w:t>Sponsoring Minister</w:t>
      </w:r>
      <w:r w:rsidR="00A848CF" w:rsidRPr="00FB3FE7">
        <w:t>’s</w:t>
      </w:r>
      <w:r w:rsidRPr="00FB3FE7">
        <w:t xml:space="preserve"> Sign-off</w:t>
      </w:r>
      <w:r w:rsidR="00274BA1" w:rsidRPr="00FB3FE7">
        <w:t xml:space="preserve"> – </w:t>
      </w:r>
      <w:r w:rsidR="00D9090D" w:rsidRPr="00FB3FE7">
        <w:t>ministerial</w:t>
      </w:r>
      <w:r w:rsidR="00FB5A64" w:rsidRPr="00FB3FE7">
        <w:t xml:space="preserve"> support of proposed regulation.</w:t>
      </w:r>
    </w:p>
    <w:p w:rsidR="00D21BF1" w:rsidRPr="00FB3FE7" w:rsidRDefault="00D21BF1" w:rsidP="001A0B90">
      <w:pPr>
        <w:tabs>
          <w:tab w:val="left" w:pos="567"/>
          <w:tab w:val="left" w:pos="1134"/>
        </w:tabs>
        <w:spacing w:after="120" w:line="360" w:lineRule="auto"/>
        <w:ind w:left="567" w:right="-45"/>
      </w:pPr>
      <w:r w:rsidRPr="00FB3FE7">
        <w:t>vi.</w:t>
      </w:r>
      <w:r w:rsidRPr="00FB3FE7">
        <w:tab/>
        <w:t xml:space="preserve">Review </w:t>
      </w:r>
      <w:r w:rsidR="00F20194" w:rsidRPr="00FB3FE7">
        <w:t>and Approval for Pre-publication</w:t>
      </w:r>
      <w:r w:rsidR="00E33B24" w:rsidRPr="00FB3FE7">
        <w:t xml:space="preserve"> – proposed regulation, RIAS and all supporting documents </w:t>
      </w:r>
      <w:r w:rsidR="00F20194" w:rsidRPr="00FB3FE7">
        <w:t xml:space="preserve">reviewed </w:t>
      </w:r>
      <w:r w:rsidR="00D9090D" w:rsidRPr="00FB3FE7">
        <w:t>for</w:t>
      </w:r>
      <w:r w:rsidR="00F20194" w:rsidRPr="00FB3FE7">
        <w:t xml:space="preserve"> </w:t>
      </w:r>
      <w:r w:rsidR="00251556" w:rsidRPr="00FB3FE7">
        <w:t xml:space="preserve">TBS-RAS </w:t>
      </w:r>
      <w:r w:rsidR="00D9090D" w:rsidRPr="00FB3FE7">
        <w:t xml:space="preserve">support </w:t>
      </w:r>
      <w:r w:rsidR="00F20194" w:rsidRPr="00FB3FE7">
        <w:t>and submitted for approval</w:t>
      </w:r>
      <w:r w:rsidR="00FB5A64" w:rsidRPr="00FB3FE7">
        <w:t>,</w:t>
      </w:r>
    </w:p>
    <w:p w:rsidR="00A848CF" w:rsidRPr="00FB3FE7" w:rsidRDefault="00A848CF" w:rsidP="001A0B90">
      <w:pPr>
        <w:tabs>
          <w:tab w:val="left" w:pos="567"/>
          <w:tab w:val="left" w:pos="1134"/>
        </w:tabs>
        <w:spacing w:after="120" w:line="360" w:lineRule="auto"/>
        <w:ind w:left="567" w:right="-45"/>
      </w:pPr>
      <w:r w:rsidRPr="00FB3FE7">
        <w:t>vii.</w:t>
      </w:r>
      <w:r w:rsidRPr="00FB3FE7">
        <w:tab/>
        <w:t>Prepublication</w:t>
      </w:r>
      <w:r w:rsidR="00D9090D" w:rsidRPr="00FB3FE7">
        <w:t xml:space="preserve"> – p</w:t>
      </w:r>
      <w:r w:rsidR="00E33B24" w:rsidRPr="00FB3FE7">
        <w:t xml:space="preserve">roposed regulations and RIAS published in the </w:t>
      </w:r>
      <w:r w:rsidR="00E33B24" w:rsidRPr="00FB3FE7">
        <w:rPr>
          <w:i/>
        </w:rPr>
        <w:t>Canada Gazette</w:t>
      </w:r>
      <w:r w:rsidR="00BC3CBB" w:rsidRPr="00FB3FE7">
        <w:rPr>
          <w:rStyle w:val="FootnoteReference"/>
        </w:rPr>
        <w:footnoteReference w:id="35"/>
      </w:r>
      <w:r w:rsidR="00E33B24" w:rsidRPr="00FB3FE7">
        <w:t xml:space="preserve">, normally for </w:t>
      </w:r>
      <w:r w:rsidR="006A48B2" w:rsidRPr="00FB3FE7">
        <w:t>a 30-day period</w:t>
      </w:r>
      <w:r w:rsidR="00FB5A64" w:rsidRPr="00FB3FE7">
        <w:t>.</w:t>
      </w:r>
    </w:p>
    <w:p w:rsidR="00A848CF" w:rsidRPr="00FB3FE7" w:rsidRDefault="00A848CF" w:rsidP="001A0B90">
      <w:pPr>
        <w:tabs>
          <w:tab w:val="left" w:pos="567"/>
          <w:tab w:val="left" w:pos="1134"/>
        </w:tabs>
        <w:spacing w:after="120" w:line="360" w:lineRule="auto"/>
        <w:ind w:left="567" w:right="-45"/>
      </w:pPr>
      <w:r w:rsidRPr="00FB3FE7">
        <w:t>viii.</w:t>
      </w:r>
      <w:r w:rsidRPr="00FB3FE7">
        <w:tab/>
        <w:t>Regulatory Proposal Update</w:t>
      </w:r>
      <w:r w:rsidR="00E33B24" w:rsidRPr="00FB3FE7">
        <w:t xml:space="preserve"> – departmental officials co</w:t>
      </w:r>
      <w:r w:rsidR="001829EA" w:rsidRPr="00FB3FE7">
        <w:t>nsider any comments received and</w:t>
      </w:r>
      <w:r w:rsidR="00E33B24" w:rsidRPr="00FB3FE7">
        <w:t xml:space="preserve"> make </w:t>
      </w:r>
      <w:r w:rsidR="00D9090D" w:rsidRPr="00FB3FE7">
        <w:t>required</w:t>
      </w:r>
      <w:r w:rsidR="001829EA" w:rsidRPr="00FB3FE7">
        <w:t xml:space="preserve"> changes to the proposed regulations and RIAS</w:t>
      </w:r>
      <w:r w:rsidR="00FB5A64" w:rsidRPr="00FB3FE7">
        <w:t>.</w:t>
      </w:r>
    </w:p>
    <w:p w:rsidR="00A848CF" w:rsidRPr="00FB3FE7" w:rsidRDefault="00A848CF" w:rsidP="001A0B90">
      <w:pPr>
        <w:tabs>
          <w:tab w:val="left" w:pos="567"/>
          <w:tab w:val="left" w:pos="1134"/>
        </w:tabs>
        <w:spacing w:after="120" w:line="360" w:lineRule="auto"/>
        <w:ind w:left="567" w:right="-45"/>
      </w:pPr>
      <w:r w:rsidRPr="00FB3FE7">
        <w:t>ix.</w:t>
      </w:r>
      <w:r w:rsidRPr="00FB3FE7">
        <w:tab/>
        <w:t xml:space="preserve">Second Department of Justice </w:t>
      </w:r>
      <w:r w:rsidR="000A3951" w:rsidRPr="00FB3FE7">
        <w:t>Examination</w:t>
      </w:r>
      <w:r w:rsidR="001829EA" w:rsidRPr="00FB3FE7">
        <w:t xml:space="preserve"> – required </w:t>
      </w:r>
      <w:r w:rsidR="00FB5A64" w:rsidRPr="00FB3FE7">
        <w:t xml:space="preserve">if proposed regulations </w:t>
      </w:r>
      <w:r w:rsidR="00FB3FE7" w:rsidRPr="00FB3FE7">
        <w:t xml:space="preserve">have been </w:t>
      </w:r>
      <w:r w:rsidR="00FB5A64" w:rsidRPr="00FB3FE7">
        <w:t>changed.</w:t>
      </w:r>
    </w:p>
    <w:p w:rsidR="00A848CF" w:rsidRPr="00FB3FE7" w:rsidRDefault="00A848CF" w:rsidP="001A0B90">
      <w:pPr>
        <w:tabs>
          <w:tab w:val="left" w:pos="567"/>
          <w:tab w:val="left" w:pos="1134"/>
        </w:tabs>
        <w:spacing w:after="120" w:line="360" w:lineRule="auto"/>
        <w:ind w:left="567" w:right="-45"/>
      </w:pPr>
      <w:r w:rsidRPr="00FB3FE7">
        <w:t>x.</w:t>
      </w:r>
      <w:r w:rsidRPr="00FB3FE7">
        <w:tab/>
        <w:t>Sponsoring Minister’s Final Sign-off</w:t>
      </w:r>
      <w:r w:rsidR="001829EA" w:rsidRPr="00FB3FE7">
        <w:t xml:space="preserve"> – </w:t>
      </w:r>
      <w:r w:rsidR="00D9090D" w:rsidRPr="00FB3FE7">
        <w:t>ministerial support of proposed regulation</w:t>
      </w:r>
      <w:r w:rsidR="00FB5A64" w:rsidRPr="00FB3FE7">
        <w:t>.</w:t>
      </w:r>
    </w:p>
    <w:p w:rsidR="00A848CF" w:rsidRPr="00FB3FE7" w:rsidRDefault="00A848CF" w:rsidP="001A0B90">
      <w:pPr>
        <w:tabs>
          <w:tab w:val="left" w:pos="567"/>
          <w:tab w:val="left" w:pos="1134"/>
        </w:tabs>
        <w:spacing w:after="120" w:line="360" w:lineRule="auto"/>
        <w:ind w:left="567" w:right="-45"/>
      </w:pPr>
      <w:r w:rsidRPr="00FB3FE7">
        <w:t>xi.</w:t>
      </w:r>
      <w:r w:rsidRPr="00FB3FE7">
        <w:tab/>
      </w:r>
      <w:r w:rsidRPr="00FB3FE7">
        <w:rPr>
          <w:u w:val="single"/>
        </w:rPr>
        <w:t xml:space="preserve">Final Regulatory </w:t>
      </w:r>
      <w:r w:rsidR="00341CE5" w:rsidRPr="00FB3FE7">
        <w:rPr>
          <w:u w:val="single"/>
        </w:rPr>
        <w:t xml:space="preserve">Review and </w:t>
      </w:r>
      <w:r w:rsidRPr="00FB3FE7">
        <w:rPr>
          <w:u w:val="single"/>
        </w:rPr>
        <w:t>Approval</w:t>
      </w:r>
      <w:r w:rsidR="00251556" w:rsidRPr="00FB3FE7">
        <w:t xml:space="preserve"> –prop</w:t>
      </w:r>
      <w:r w:rsidR="00D9090D" w:rsidRPr="00FB3FE7">
        <w:t>osed regulation and all supporting</w:t>
      </w:r>
      <w:r w:rsidR="00251556" w:rsidRPr="00FB3FE7">
        <w:t xml:space="preserve"> documents are reviewed </w:t>
      </w:r>
      <w:r w:rsidR="00D9090D" w:rsidRPr="00FB3FE7">
        <w:t xml:space="preserve">for </w:t>
      </w:r>
      <w:r w:rsidR="00251556" w:rsidRPr="00FB3FE7">
        <w:t xml:space="preserve">TBS-RAS </w:t>
      </w:r>
      <w:r w:rsidR="00D9090D" w:rsidRPr="00FB3FE7">
        <w:t xml:space="preserve">support </w:t>
      </w:r>
      <w:r w:rsidR="00251556" w:rsidRPr="00FB3FE7">
        <w:t>and submitted for approval</w:t>
      </w:r>
      <w:r w:rsidR="00FB5A64" w:rsidRPr="00FB3FE7">
        <w:t>.</w:t>
      </w:r>
    </w:p>
    <w:p w:rsidR="00A848CF" w:rsidRPr="00FB3FE7" w:rsidRDefault="00A848CF" w:rsidP="001A0B90">
      <w:pPr>
        <w:tabs>
          <w:tab w:val="left" w:pos="567"/>
          <w:tab w:val="left" w:pos="1134"/>
        </w:tabs>
        <w:spacing w:after="120" w:line="360" w:lineRule="auto"/>
        <w:ind w:left="567" w:right="-45"/>
      </w:pPr>
      <w:r w:rsidRPr="00FB3FE7">
        <w:t>xii.</w:t>
      </w:r>
      <w:r w:rsidRPr="00FB3FE7">
        <w:tab/>
      </w:r>
      <w:r w:rsidRPr="00FB3FE7">
        <w:rPr>
          <w:u w:val="single"/>
        </w:rPr>
        <w:t>Registration and Publication</w:t>
      </w:r>
      <w:r w:rsidR="00845AB7" w:rsidRPr="00FB3FE7">
        <w:rPr>
          <w:u w:val="single"/>
        </w:rPr>
        <w:t xml:space="preserve"> in </w:t>
      </w:r>
      <w:r w:rsidR="008F7592">
        <w:rPr>
          <w:u w:val="single"/>
        </w:rPr>
        <w:t xml:space="preserve">the </w:t>
      </w:r>
      <w:r w:rsidR="00845AB7" w:rsidRPr="00FB3FE7">
        <w:rPr>
          <w:i/>
          <w:u w:val="single"/>
        </w:rPr>
        <w:t>Canada Gazette</w:t>
      </w:r>
      <w:r w:rsidR="00D9090D" w:rsidRPr="00FB3FE7">
        <w:t xml:space="preserve"> – r</w:t>
      </w:r>
      <w:r w:rsidR="001829EA" w:rsidRPr="00FB3FE7">
        <w:t xml:space="preserve">egistration </w:t>
      </w:r>
      <w:r w:rsidR="00845AB7" w:rsidRPr="00FB3FE7">
        <w:t>occur</w:t>
      </w:r>
      <w:r w:rsidR="00D9090D" w:rsidRPr="00FB3FE7">
        <w:t>s</w:t>
      </w:r>
      <w:r w:rsidR="001829EA" w:rsidRPr="00FB3FE7">
        <w:t xml:space="preserve"> within 7 days of approval and publication </w:t>
      </w:r>
      <w:r w:rsidR="00233429" w:rsidRPr="00FB3FE7">
        <w:t>withi</w:t>
      </w:r>
      <w:r w:rsidR="00FB5A64" w:rsidRPr="00FB3FE7">
        <w:t>n 23 days of registration.</w:t>
      </w:r>
    </w:p>
    <w:p w:rsidR="000126D3" w:rsidRPr="001A0B90" w:rsidRDefault="00A848CF" w:rsidP="001A0B90">
      <w:pPr>
        <w:tabs>
          <w:tab w:val="left" w:pos="567"/>
          <w:tab w:val="left" w:pos="1134"/>
        </w:tabs>
        <w:spacing w:after="240" w:line="360" w:lineRule="auto"/>
        <w:ind w:left="567" w:right="-45"/>
        <w:rPr>
          <w:sz w:val="23"/>
        </w:rPr>
      </w:pPr>
      <w:r w:rsidRPr="00FB3FE7">
        <w:t>xiii.</w:t>
      </w:r>
      <w:r w:rsidRPr="00FB3FE7">
        <w:tab/>
      </w:r>
      <w:r w:rsidRPr="00FB3FE7">
        <w:rPr>
          <w:u w:val="single"/>
        </w:rPr>
        <w:t xml:space="preserve">Scrutiny by the </w:t>
      </w:r>
      <w:r w:rsidR="00C733B0" w:rsidRPr="00FB3FE7">
        <w:rPr>
          <w:u w:val="single"/>
        </w:rPr>
        <w:t xml:space="preserve">Standing </w:t>
      </w:r>
      <w:r w:rsidRPr="00FB3FE7">
        <w:rPr>
          <w:u w:val="single"/>
        </w:rPr>
        <w:t>Joint Committee for the Scrutiny of Regulations</w:t>
      </w:r>
      <w:r w:rsidR="00C733B0" w:rsidRPr="00FB3FE7">
        <w:t xml:space="preserve"> –</w:t>
      </w:r>
      <w:r w:rsidR="00A81B42" w:rsidRPr="00FB3FE7">
        <w:t xml:space="preserve"> </w:t>
      </w:r>
      <w:r w:rsidR="00D9090D" w:rsidRPr="00FB3FE7">
        <w:t>the committee has mandate to</w:t>
      </w:r>
      <w:r w:rsidR="00C733B0" w:rsidRPr="00FB3FE7">
        <w:t xml:space="preserve"> scrutinize any regulation </w:t>
      </w:r>
      <w:r w:rsidR="00A81B42" w:rsidRPr="00FB3FE7">
        <w:t xml:space="preserve">made </w:t>
      </w:r>
      <w:r w:rsidR="004656C4" w:rsidRPr="00FB3FE7">
        <w:t>after 31</w:t>
      </w:r>
      <w:r w:rsidR="00A81B42" w:rsidRPr="00FB3FE7">
        <w:t xml:space="preserve"> </w:t>
      </w:r>
      <w:r w:rsidR="002A1EE7" w:rsidRPr="00FB3FE7">
        <w:t>December</w:t>
      </w:r>
      <w:r w:rsidR="00A81B42" w:rsidRPr="00FB3FE7">
        <w:t xml:space="preserve"> 197</w:t>
      </w:r>
      <w:r w:rsidR="00C733B0" w:rsidRPr="00FB3FE7">
        <w:t>1</w:t>
      </w:r>
      <w:r w:rsidR="00A81B42" w:rsidRPr="00FB3FE7">
        <w:t>.</w:t>
      </w:r>
      <w:r w:rsidR="00C57A34" w:rsidRPr="00FB3FE7">
        <w:rPr>
          <w:rStyle w:val="FootnoteReference"/>
        </w:rPr>
        <w:footnoteReference w:id="36"/>
      </w:r>
    </w:p>
    <w:p w:rsidR="009B01C7" w:rsidRDefault="009B01C7" w:rsidP="00CB455E">
      <w:pPr>
        <w:tabs>
          <w:tab w:val="left" w:pos="567"/>
          <w:tab w:val="left" w:pos="1134"/>
        </w:tabs>
        <w:spacing w:after="240" w:line="480" w:lineRule="auto"/>
        <w:ind w:right="-48"/>
      </w:pPr>
      <w:r>
        <w:t xml:space="preserve">While this process </w:t>
      </w:r>
      <w:r w:rsidR="00167258">
        <w:t xml:space="preserve">is meant to apply to all </w:t>
      </w:r>
      <w:r>
        <w:t xml:space="preserve">proposed Governor in Council </w:t>
      </w:r>
      <w:r w:rsidR="00167258">
        <w:t xml:space="preserve">regulations, including Governor in Council </w:t>
      </w:r>
      <w:r>
        <w:t xml:space="preserve">QR&amp;O, </w:t>
      </w:r>
      <w:r w:rsidR="00167258">
        <w:t xml:space="preserve">owing to the </w:t>
      </w:r>
      <w:r w:rsidR="008F7592">
        <w:t xml:space="preserve">applicable </w:t>
      </w:r>
      <w:r>
        <w:t>exemptions</w:t>
      </w:r>
      <w:r w:rsidR="008F7592">
        <w:t>, the manner</w:t>
      </w:r>
      <w:r w:rsidR="00BE261C">
        <w:t xml:space="preserve"> by which the administrative requirements are applied to t</w:t>
      </w:r>
      <w:r w:rsidR="00167258">
        <w:t xml:space="preserve">he QR&amp;O </w:t>
      </w:r>
      <w:r>
        <w:t xml:space="preserve">and </w:t>
      </w:r>
      <w:r w:rsidR="00167258">
        <w:t xml:space="preserve">the </w:t>
      </w:r>
      <w:r>
        <w:t>practice</w:t>
      </w:r>
      <w:r w:rsidR="00167258">
        <w:t xml:space="preserve">s followed by </w:t>
      </w:r>
      <w:r w:rsidR="00427645">
        <w:t>certain</w:t>
      </w:r>
      <w:r w:rsidR="00167258">
        <w:t xml:space="preserve"> actors in the process</w:t>
      </w:r>
      <w:r>
        <w:t xml:space="preserve">, only the following five steps are </w:t>
      </w:r>
      <w:r w:rsidR="00167258">
        <w:t>applied to Governor in Council QR&amp;O</w:t>
      </w:r>
      <w:r w:rsidR="00427645">
        <w:t>, and some of the</w:t>
      </w:r>
      <w:r>
        <w:t xml:space="preserve">se steps have been </w:t>
      </w:r>
      <w:r w:rsidR="00167258">
        <w:t xml:space="preserve">further </w:t>
      </w:r>
      <w:r>
        <w:t xml:space="preserve">abbreviated: (i) planning (triage process </w:t>
      </w:r>
      <w:r>
        <w:lastRenderedPageBreak/>
        <w:t>only); (ii) analysis (TBS-RAS approval of RIAS only); (</w:t>
      </w:r>
      <w:r w:rsidRPr="003D19D5">
        <w:t>iii) drafting</w:t>
      </w:r>
      <w:r>
        <w:t>; (x) Minister’s final sign-off, and (xi) Final Review by TBS-RAS and Governor in Counsel Approval.</w:t>
      </w:r>
      <w:r>
        <w:rPr>
          <w:rStyle w:val="FootnoteReference"/>
        </w:rPr>
        <w:footnoteReference w:id="37"/>
      </w:r>
      <w:r>
        <w:t xml:space="preserve"> </w:t>
      </w:r>
    </w:p>
    <w:p w:rsidR="00061176" w:rsidRDefault="009B01C7" w:rsidP="00A260D9">
      <w:pPr>
        <w:tabs>
          <w:tab w:val="left" w:pos="567"/>
          <w:tab w:val="left" w:pos="1134"/>
        </w:tabs>
        <w:spacing w:after="240" w:line="480" w:lineRule="auto"/>
        <w:ind w:right="-48"/>
      </w:pPr>
      <w:r>
        <w:tab/>
      </w:r>
      <w:r w:rsidR="003350AE">
        <w:t>For</w:t>
      </w:r>
      <w:r w:rsidR="009740BB">
        <w:t xml:space="preserve"> </w:t>
      </w:r>
      <w:r>
        <w:t>all</w:t>
      </w:r>
      <w:r w:rsidR="003350AE">
        <w:t xml:space="preserve"> </w:t>
      </w:r>
      <w:r w:rsidR="009740BB">
        <w:t>QR&amp;O</w:t>
      </w:r>
      <w:r w:rsidR="003350AE">
        <w:t>, regulatory</w:t>
      </w:r>
      <w:r w:rsidR="009740BB">
        <w:t xml:space="preserve"> development is undertaken by the CAF </w:t>
      </w:r>
      <w:r w:rsidR="00B069D0">
        <w:t xml:space="preserve">or departmental </w:t>
      </w:r>
      <w:r w:rsidR="009740BB">
        <w:t>organization</w:t>
      </w:r>
      <w:r w:rsidR="003350AE">
        <w:t xml:space="preserve"> responsible for the relevant </w:t>
      </w:r>
      <w:r w:rsidR="009740BB">
        <w:t>subject matter.</w:t>
      </w:r>
      <w:r w:rsidR="009740BB">
        <w:rPr>
          <w:rStyle w:val="FootnoteReference"/>
        </w:rPr>
        <w:footnoteReference w:id="38"/>
      </w:r>
      <w:r w:rsidR="009740BB">
        <w:t xml:space="preserve"> For example, the </w:t>
      </w:r>
      <w:r w:rsidR="001805F9">
        <w:t xml:space="preserve">Office of the </w:t>
      </w:r>
      <w:r w:rsidR="009740BB">
        <w:t>Judge Advoc</w:t>
      </w:r>
      <w:r w:rsidR="001805F9">
        <w:t>ate General has the responsibility for leading policy and QR&amp;O</w:t>
      </w:r>
      <w:r w:rsidR="009740BB">
        <w:t xml:space="preserve"> </w:t>
      </w:r>
      <w:r w:rsidR="001805F9">
        <w:t xml:space="preserve">development in relation to </w:t>
      </w:r>
      <w:r w:rsidR="009740BB">
        <w:t xml:space="preserve">the military justice system and the </w:t>
      </w:r>
      <w:r w:rsidR="009740BB">
        <w:rPr>
          <w:i/>
        </w:rPr>
        <w:t>Code of Service Discipline</w:t>
      </w:r>
      <w:r w:rsidR="007B0E6A">
        <w:t>.</w:t>
      </w:r>
      <w:r w:rsidR="009740BB" w:rsidRPr="00987175">
        <w:rPr>
          <w:rStyle w:val="FootnoteReference"/>
        </w:rPr>
        <w:footnoteReference w:id="39"/>
      </w:r>
      <w:r w:rsidR="009740BB" w:rsidRPr="008E79B1">
        <w:t xml:space="preserve"> </w:t>
      </w:r>
      <w:r w:rsidR="006A48B2">
        <w:t xml:space="preserve">The impetus for a regulatory change can arise from </w:t>
      </w:r>
      <w:r w:rsidR="00210E23">
        <w:t xml:space="preserve">an </w:t>
      </w:r>
      <w:r w:rsidR="006A48B2">
        <w:t>extern</w:t>
      </w:r>
      <w:r w:rsidR="00B069D0">
        <w:t>al source, such as an</w:t>
      </w:r>
      <w:r w:rsidR="006A48B2">
        <w:t xml:space="preserve"> amendment</w:t>
      </w:r>
      <w:r w:rsidR="00A411E0">
        <w:t xml:space="preserve"> to the NDA or another statute or </w:t>
      </w:r>
      <w:r w:rsidR="001805F9">
        <w:t xml:space="preserve">from </w:t>
      </w:r>
      <w:r w:rsidR="00B069D0">
        <w:t xml:space="preserve">a recommendation </w:t>
      </w:r>
      <w:r w:rsidR="001805F9">
        <w:t xml:space="preserve">made by </w:t>
      </w:r>
      <w:r w:rsidR="006A48B2">
        <w:t>an external review authority</w:t>
      </w:r>
      <w:r w:rsidR="00A411E0">
        <w:t xml:space="preserve">, or </w:t>
      </w:r>
      <w:r w:rsidR="00B069D0">
        <w:t xml:space="preserve">it can </w:t>
      </w:r>
      <w:r w:rsidR="00A411E0">
        <w:t xml:space="preserve">be internally driven; in either case it is </w:t>
      </w:r>
      <w:r w:rsidR="009740BB">
        <w:t xml:space="preserve">the staff of </w:t>
      </w:r>
      <w:r w:rsidR="007B0E6A">
        <w:t>the responsible</w:t>
      </w:r>
      <w:r w:rsidR="003350AE">
        <w:t xml:space="preserve"> </w:t>
      </w:r>
      <w:r w:rsidR="00AE4C8D">
        <w:t xml:space="preserve">organization </w:t>
      </w:r>
      <w:r w:rsidR="00B069D0">
        <w:t xml:space="preserve">who </w:t>
      </w:r>
      <w:r w:rsidR="009740BB">
        <w:t>conduct</w:t>
      </w:r>
      <w:r w:rsidR="00B069D0">
        <w:t>s</w:t>
      </w:r>
      <w:r w:rsidR="009740BB">
        <w:t xml:space="preserve"> the necessary analysi</w:t>
      </w:r>
      <w:r w:rsidR="00253EB6">
        <w:t>s, obtain</w:t>
      </w:r>
      <w:r w:rsidR="00B069D0">
        <w:t>s</w:t>
      </w:r>
      <w:r w:rsidR="00253EB6">
        <w:t xml:space="preserve"> the necessary</w:t>
      </w:r>
      <w:r w:rsidR="009740BB">
        <w:t xml:space="preserve"> approvals </w:t>
      </w:r>
      <w:r w:rsidR="00253EB6">
        <w:t xml:space="preserve">from CAF and departmental authorities </w:t>
      </w:r>
      <w:r w:rsidR="009740BB">
        <w:t xml:space="preserve">and </w:t>
      </w:r>
      <w:r w:rsidR="003350AE">
        <w:t>develop</w:t>
      </w:r>
      <w:r w:rsidR="00B069D0">
        <w:t>s</w:t>
      </w:r>
      <w:r w:rsidR="003350AE">
        <w:t xml:space="preserve"> the regulatory proposal</w:t>
      </w:r>
      <w:r w:rsidR="00210E23">
        <w:t>,</w:t>
      </w:r>
      <w:r w:rsidR="009740BB">
        <w:t xml:space="preserve"> which </w:t>
      </w:r>
      <w:r w:rsidR="00210E23">
        <w:t>is</w:t>
      </w:r>
      <w:r w:rsidR="009740BB">
        <w:t xml:space="preserve"> drafted with the involvement of </w:t>
      </w:r>
      <w:r w:rsidR="00061176">
        <w:t xml:space="preserve">Department of </w:t>
      </w:r>
      <w:r w:rsidR="009740BB">
        <w:t>Justice Legislative Counsel</w:t>
      </w:r>
      <w:r w:rsidR="003350AE">
        <w:t>.</w:t>
      </w:r>
      <w:r w:rsidR="00B5603B">
        <w:rPr>
          <w:rStyle w:val="FootnoteReference"/>
        </w:rPr>
        <w:footnoteReference w:id="40"/>
      </w:r>
      <w:r w:rsidR="00AD7260">
        <w:t xml:space="preserve"> </w:t>
      </w:r>
      <w:r w:rsidR="00A411E0">
        <w:t>Although</w:t>
      </w:r>
      <w:r w:rsidR="007B0E6A">
        <w:t xml:space="preserve"> </w:t>
      </w:r>
      <w:r w:rsidR="00B069D0">
        <w:t xml:space="preserve">the </w:t>
      </w:r>
      <w:r w:rsidR="007B0E6A">
        <w:t>QR&amp;O are exempt from the formal examination requirement</w:t>
      </w:r>
      <w:r w:rsidR="00A411E0">
        <w:t xml:space="preserve"> (step iv)</w:t>
      </w:r>
      <w:r w:rsidR="00210E23">
        <w:t xml:space="preserve"> under the SIA</w:t>
      </w:r>
      <w:r w:rsidR="005C168E">
        <w:t>,</w:t>
      </w:r>
      <w:r w:rsidR="00A411E0">
        <w:rPr>
          <w:rStyle w:val="FootnoteReference"/>
        </w:rPr>
        <w:footnoteReference w:id="41"/>
      </w:r>
      <w:r w:rsidR="00B069D0">
        <w:t xml:space="preserve"> </w:t>
      </w:r>
      <w:r w:rsidR="00061176">
        <w:t xml:space="preserve">during the drafting process, </w:t>
      </w:r>
      <w:r w:rsidR="003D19D5">
        <w:t>J</w:t>
      </w:r>
      <w:r w:rsidR="005C168E">
        <w:t>ustice Legislative Counsel</w:t>
      </w:r>
      <w:r w:rsidR="00B069D0">
        <w:t xml:space="preserve"> </w:t>
      </w:r>
      <w:r w:rsidR="005C168E">
        <w:t>will assess</w:t>
      </w:r>
      <w:r w:rsidR="003D19D5">
        <w:t xml:space="preserve"> the proposed regulation </w:t>
      </w:r>
      <w:r w:rsidR="00AD7260">
        <w:t xml:space="preserve">against the examination criteria </w:t>
      </w:r>
      <w:r w:rsidR="00061176">
        <w:t xml:space="preserve">specified for step iv </w:t>
      </w:r>
      <w:r w:rsidR="00A411E0">
        <w:t>and</w:t>
      </w:r>
      <w:r w:rsidR="00B069D0">
        <w:t>,</w:t>
      </w:r>
      <w:r w:rsidR="00A411E0">
        <w:t xml:space="preserve"> when satisfied</w:t>
      </w:r>
      <w:r w:rsidR="00B069D0">
        <w:t>,</w:t>
      </w:r>
      <w:r w:rsidR="00A411E0">
        <w:t xml:space="preserve"> will </w:t>
      </w:r>
      <w:r w:rsidR="00AD7260">
        <w:t xml:space="preserve">certify the final product </w:t>
      </w:r>
      <w:r w:rsidR="00A411E0">
        <w:t>for</w:t>
      </w:r>
      <w:r w:rsidR="003D19D5">
        <w:t xml:space="preserve"> ‘form and legality’.</w:t>
      </w:r>
      <w:r w:rsidR="003D19D5">
        <w:rPr>
          <w:rStyle w:val="FootnoteReference"/>
        </w:rPr>
        <w:footnoteReference w:id="42"/>
      </w:r>
      <w:r w:rsidR="003D19D5">
        <w:t xml:space="preserve"> </w:t>
      </w:r>
    </w:p>
    <w:p w:rsidR="00061176" w:rsidRDefault="00061176" w:rsidP="00A260D9">
      <w:pPr>
        <w:tabs>
          <w:tab w:val="left" w:pos="567"/>
          <w:tab w:val="left" w:pos="1134"/>
        </w:tabs>
        <w:spacing w:after="240" w:line="480" w:lineRule="auto"/>
        <w:ind w:right="-48"/>
      </w:pPr>
      <w:r>
        <w:tab/>
      </w:r>
      <w:r w:rsidR="004E1E7D">
        <w:t xml:space="preserve">In the case of </w:t>
      </w:r>
      <w:r w:rsidR="00A411E0">
        <w:t xml:space="preserve">Governor in Council </w:t>
      </w:r>
      <w:r w:rsidR="00AD7260">
        <w:t>QR&amp;O</w:t>
      </w:r>
      <w:r w:rsidR="00AE4C8D">
        <w:t xml:space="preserve">, </w:t>
      </w:r>
      <w:r w:rsidR="003350AE">
        <w:t xml:space="preserve">the responsible organization </w:t>
      </w:r>
      <w:r w:rsidR="00350887">
        <w:t>will</w:t>
      </w:r>
      <w:r w:rsidR="000C6BEB">
        <w:t xml:space="preserve"> </w:t>
      </w:r>
      <w:r w:rsidR="00AE4C8D">
        <w:t>consult with TBS</w:t>
      </w:r>
      <w:r w:rsidR="003350AE">
        <w:t xml:space="preserve">-RAS </w:t>
      </w:r>
      <w:r w:rsidR="00F26168">
        <w:t>to complete</w:t>
      </w:r>
      <w:r w:rsidR="00AE4C8D">
        <w:t xml:space="preserve"> the triage</w:t>
      </w:r>
      <w:r w:rsidR="00350887">
        <w:t xml:space="preserve"> process</w:t>
      </w:r>
      <w:r w:rsidR="00B5603B">
        <w:t xml:space="preserve">, which is used to </w:t>
      </w:r>
      <w:r w:rsidR="00350887">
        <w:t xml:space="preserve">assess </w:t>
      </w:r>
      <w:r w:rsidR="00F26168">
        <w:t xml:space="preserve">a </w:t>
      </w:r>
      <w:r w:rsidR="00B5603B">
        <w:t>p</w:t>
      </w:r>
      <w:r w:rsidR="000C6BEB">
        <w:t>roposal’s impact and</w:t>
      </w:r>
      <w:r w:rsidR="00B5603B">
        <w:t xml:space="preserve"> </w:t>
      </w:r>
      <w:r w:rsidR="00350887">
        <w:t xml:space="preserve">determine </w:t>
      </w:r>
      <w:r w:rsidR="00AE4C8D">
        <w:t xml:space="preserve">the type of RIAS </w:t>
      </w:r>
      <w:r w:rsidR="00B5603B">
        <w:t xml:space="preserve">required, </w:t>
      </w:r>
      <w:r w:rsidR="00AE4C8D">
        <w:t xml:space="preserve">and </w:t>
      </w:r>
      <w:r w:rsidR="00A411E0">
        <w:t>to obtain</w:t>
      </w:r>
      <w:r w:rsidR="00AE4C8D">
        <w:t xml:space="preserve"> </w:t>
      </w:r>
      <w:r w:rsidR="000C6BEB">
        <w:t xml:space="preserve">TBS-RAS approval of the completed </w:t>
      </w:r>
      <w:r w:rsidR="00AE4C8D">
        <w:t>RIAS</w:t>
      </w:r>
      <w:r w:rsidR="000C6BEB">
        <w:t>.</w:t>
      </w:r>
      <w:r w:rsidR="00B5603B">
        <w:rPr>
          <w:rStyle w:val="FootnoteReference"/>
        </w:rPr>
        <w:footnoteReference w:id="43"/>
      </w:r>
      <w:r w:rsidR="00AD7260">
        <w:t xml:space="preserve"> The TBS–RAS is not, however, involved </w:t>
      </w:r>
      <w:r w:rsidR="00405753">
        <w:t xml:space="preserve">with </w:t>
      </w:r>
      <w:r w:rsidR="00AD7260">
        <w:t>developing the substance of</w:t>
      </w:r>
      <w:r w:rsidR="00405753">
        <w:t xml:space="preserve"> QR&amp;O </w:t>
      </w:r>
      <w:r w:rsidR="00667125">
        <w:t>proposal</w:t>
      </w:r>
      <w:r w:rsidR="00405753">
        <w:t xml:space="preserve">s. </w:t>
      </w:r>
      <w:r w:rsidR="00350887">
        <w:t xml:space="preserve">With the </w:t>
      </w:r>
      <w:r w:rsidR="000C6BEB">
        <w:t>Minister</w:t>
      </w:r>
      <w:r w:rsidR="00350887">
        <w:t xml:space="preserve">’s approval of the </w:t>
      </w:r>
      <w:r w:rsidR="000C6BEB">
        <w:t>proposed regulation</w:t>
      </w:r>
      <w:r w:rsidR="00350887">
        <w:t>, the regulation</w:t>
      </w:r>
      <w:r w:rsidR="000C6BEB">
        <w:t xml:space="preserve"> </w:t>
      </w:r>
      <w:r w:rsidR="00350887">
        <w:t xml:space="preserve">is </w:t>
      </w:r>
      <w:r w:rsidR="00350887">
        <w:lastRenderedPageBreak/>
        <w:t>submitted with the approved R</w:t>
      </w:r>
      <w:r w:rsidR="000C6BEB">
        <w:t>IAS for final TBS-RAS review and support and Governor in Council approval</w:t>
      </w:r>
      <w:r w:rsidR="009740BB">
        <w:t>.</w:t>
      </w:r>
      <w:r w:rsidR="009740BB">
        <w:rPr>
          <w:rStyle w:val="FootnoteReference"/>
        </w:rPr>
        <w:footnoteReference w:id="44"/>
      </w:r>
      <w:r w:rsidR="009740BB" w:rsidRPr="00EC6B0A">
        <w:t xml:space="preserve"> </w:t>
      </w:r>
      <w:r w:rsidR="00B5603B">
        <w:t xml:space="preserve"> </w:t>
      </w:r>
      <w:r w:rsidR="00F26168">
        <w:t xml:space="preserve">Unlike Governor in Council QR&amp;O, proposed </w:t>
      </w:r>
      <w:r w:rsidR="00A3748B">
        <w:t xml:space="preserve">Treasury Board and Minister </w:t>
      </w:r>
      <w:r w:rsidR="00C95D4A">
        <w:t>QR&amp;O</w:t>
      </w:r>
      <w:r w:rsidR="004E7829">
        <w:t xml:space="preserve"> </w:t>
      </w:r>
      <w:r w:rsidR="00F26168">
        <w:t>do not require a RIAS, and they fo</w:t>
      </w:r>
      <w:r w:rsidR="00210E23">
        <w:t>llow and even shorter processes;</w:t>
      </w:r>
      <w:r w:rsidR="00F26168">
        <w:t xml:space="preserve"> </w:t>
      </w:r>
      <w:r w:rsidR="00500BA8">
        <w:t xml:space="preserve">Treasury Board </w:t>
      </w:r>
      <w:r w:rsidR="00F26168">
        <w:t xml:space="preserve">QR&amp;O </w:t>
      </w:r>
      <w:r w:rsidR="00085CAD">
        <w:t>require only</w:t>
      </w:r>
      <w:r w:rsidR="00A3748B">
        <w:t xml:space="preserve"> three steps</w:t>
      </w:r>
      <w:r w:rsidR="00667125">
        <w:t xml:space="preserve">: </w:t>
      </w:r>
      <w:r w:rsidR="004E7829" w:rsidRPr="003D19D5">
        <w:t>(iii) drafting</w:t>
      </w:r>
      <w:r w:rsidR="00A3748B">
        <w:t xml:space="preserve"> - includes Justice certification</w:t>
      </w:r>
      <w:r w:rsidR="004E7829" w:rsidRPr="003D19D5">
        <w:t>;</w:t>
      </w:r>
      <w:r w:rsidR="004E7829">
        <w:t xml:space="preserve"> (x) Minister’s final sign-off: and (xi) Final Review </w:t>
      </w:r>
      <w:r w:rsidR="003D19D5">
        <w:t>by T</w:t>
      </w:r>
      <w:r w:rsidR="00500BA8">
        <w:t xml:space="preserve">BS-RAS </w:t>
      </w:r>
      <w:r w:rsidR="00667125">
        <w:t xml:space="preserve">and </w:t>
      </w:r>
      <w:r w:rsidR="00A3748B">
        <w:t xml:space="preserve">Treasury Board </w:t>
      </w:r>
      <w:r w:rsidR="00085CAD">
        <w:t>Approval, while</w:t>
      </w:r>
      <w:r w:rsidR="0030292C">
        <w:t xml:space="preserve"> Minister</w:t>
      </w:r>
      <w:r w:rsidR="003D19D5">
        <w:t xml:space="preserve"> </w:t>
      </w:r>
      <w:r w:rsidR="00085CAD">
        <w:t>QR&amp;O</w:t>
      </w:r>
      <w:r w:rsidR="003D19D5">
        <w:t xml:space="preserve"> </w:t>
      </w:r>
      <w:r w:rsidR="00085CAD">
        <w:t xml:space="preserve">require </w:t>
      </w:r>
      <w:r w:rsidR="0030292C">
        <w:t xml:space="preserve">two </w:t>
      </w:r>
      <w:r w:rsidR="004E7829">
        <w:t>steps</w:t>
      </w:r>
      <w:r w:rsidR="00085CAD">
        <w:t>:</w:t>
      </w:r>
      <w:r w:rsidR="004E7829">
        <w:t xml:space="preserve"> </w:t>
      </w:r>
      <w:r w:rsidR="004E7829" w:rsidRPr="00D92EFE">
        <w:t>(iii) drafting</w:t>
      </w:r>
      <w:r w:rsidR="004E7829">
        <w:t xml:space="preserve"> </w:t>
      </w:r>
      <w:r w:rsidR="0030292C">
        <w:t>- includes Justice certification;</w:t>
      </w:r>
      <w:r w:rsidR="00D92EFE">
        <w:t xml:space="preserve"> </w:t>
      </w:r>
      <w:r w:rsidR="004E7829">
        <w:t xml:space="preserve">and (x) Minister’s </w:t>
      </w:r>
      <w:r w:rsidR="0030292C">
        <w:t>approval</w:t>
      </w:r>
      <w:r w:rsidR="003D19D5">
        <w:t>.</w:t>
      </w:r>
      <w:r w:rsidR="004E7829">
        <w:rPr>
          <w:rStyle w:val="FootnoteReference"/>
        </w:rPr>
        <w:footnoteReference w:id="45"/>
      </w:r>
      <w:r w:rsidR="004E7829">
        <w:t xml:space="preserve"> </w:t>
      </w:r>
    </w:p>
    <w:p w:rsidR="003E5E64" w:rsidRPr="00E07F82" w:rsidRDefault="00E07F82" w:rsidP="00A260D9">
      <w:pPr>
        <w:tabs>
          <w:tab w:val="left" w:pos="567"/>
          <w:tab w:val="left" w:pos="1134"/>
        </w:tabs>
        <w:spacing w:after="240" w:line="480" w:lineRule="auto"/>
        <w:ind w:right="-48"/>
      </w:pPr>
      <w:r>
        <w:tab/>
        <w:t xml:space="preserve">While the QR&amp;O are exempt from the normal promulgation and publication requirements </w:t>
      </w:r>
      <w:r w:rsidR="00E15389">
        <w:t>applicable to federal regulations and</w:t>
      </w:r>
      <w:r w:rsidR="00DF61BD">
        <w:t>,</w:t>
      </w:r>
      <w:r w:rsidR="00E15389">
        <w:t xml:space="preserve"> as a result</w:t>
      </w:r>
      <w:r w:rsidR="00DF61BD">
        <w:t>,</w:t>
      </w:r>
      <w:r w:rsidR="00E15389">
        <w:t xml:space="preserve"> are not published in the </w:t>
      </w:r>
      <w:r>
        <w:rPr>
          <w:i/>
        </w:rPr>
        <w:t>Canada Gazette</w:t>
      </w:r>
      <w:r w:rsidR="00E15389">
        <w:rPr>
          <w:i/>
        </w:rPr>
        <w:t>,</w:t>
      </w:r>
      <w:r w:rsidR="00E15389">
        <w:rPr>
          <w:rStyle w:val="FootnoteReference"/>
          <w:i/>
        </w:rPr>
        <w:footnoteReference w:id="46"/>
      </w:r>
      <w:r w:rsidR="00A47DD7">
        <w:t xml:space="preserve"> they follow </w:t>
      </w:r>
      <w:r w:rsidR="00E15389">
        <w:t>separate notification and publication requirements established under the authority of the NDA.</w:t>
      </w:r>
      <w:r w:rsidR="00E15389">
        <w:rPr>
          <w:rStyle w:val="FootnoteReference"/>
        </w:rPr>
        <w:footnoteReference w:id="47"/>
      </w:r>
      <w:r w:rsidR="00E15389">
        <w:t xml:space="preserve">  Accordingly, the </w:t>
      </w:r>
      <w:r>
        <w:t xml:space="preserve">official version </w:t>
      </w:r>
      <w:r w:rsidR="00E15389">
        <w:t xml:space="preserve">of the QR&amp;O </w:t>
      </w:r>
      <w:r>
        <w:t>is published on the Defence website</w:t>
      </w:r>
      <w:r w:rsidR="00E15389">
        <w:t xml:space="preserve"> and is publically accessible</w:t>
      </w:r>
      <w:r>
        <w:t>.</w:t>
      </w:r>
      <w:r w:rsidR="00E15389">
        <w:rPr>
          <w:rStyle w:val="FootnoteReference"/>
        </w:rPr>
        <w:footnoteReference w:id="48"/>
      </w:r>
    </w:p>
    <w:p w:rsidR="00C31374" w:rsidRPr="00D92EFE" w:rsidRDefault="00A260D9" w:rsidP="00D92EFE">
      <w:pPr>
        <w:spacing w:after="240" w:line="480" w:lineRule="auto"/>
      </w:pPr>
      <w:r>
        <w:rPr>
          <w:b/>
        </w:rPr>
        <w:t>3</w:t>
      </w:r>
      <w:r w:rsidR="00C31374">
        <w:rPr>
          <w:b/>
        </w:rPr>
        <w:t>.</w:t>
      </w:r>
      <w:r w:rsidR="007D1F53" w:rsidRPr="00C31374">
        <w:rPr>
          <w:b/>
        </w:rPr>
        <w:t xml:space="preserve">  </w:t>
      </w:r>
      <w:r w:rsidR="007D1F53" w:rsidRPr="00C31374">
        <w:rPr>
          <w:b/>
        </w:rPr>
        <w:tab/>
      </w:r>
      <w:r w:rsidR="00447DFD" w:rsidRPr="00C31374">
        <w:rPr>
          <w:b/>
        </w:rPr>
        <w:t>Legal Criteria</w:t>
      </w:r>
      <w:r w:rsidR="007D1F53" w:rsidRPr="00C31374">
        <w:rPr>
          <w:b/>
        </w:rPr>
        <w:t xml:space="preserve"> – </w:t>
      </w:r>
      <w:r w:rsidR="00447DFD" w:rsidRPr="00C31374">
        <w:rPr>
          <w:b/>
        </w:rPr>
        <w:t>Analysis</w:t>
      </w:r>
      <w:r w:rsidR="00A869F4" w:rsidRPr="00C31374">
        <w:rPr>
          <w:b/>
        </w:rPr>
        <w:t xml:space="preserve"> </w:t>
      </w:r>
    </w:p>
    <w:p w:rsidR="007E0A74" w:rsidRPr="00C97F0D" w:rsidRDefault="00A260D9" w:rsidP="00F54C65">
      <w:pPr>
        <w:spacing w:after="240" w:line="480" w:lineRule="auto"/>
        <w:rPr>
          <w:b/>
          <w:i/>
        </w:rPr>
      </w:pPr>
      <w:r>
        <w:rPr>
          <w:b/>
          <w:i/>
        </w:rPr>
        <w:t>3</w:t>
      </w:r>
      <w:r w:rsidR="00C31374" w:rsidRPr="00670CEA">
        <w:rPr>
          <w:b/>
          <w:i/>
        </w:rPr>
        <w:t>.1</w:t>
      </w:r>
      <w:r w:rsidR="00C31374" w:rsidRPr="00670CEA">
        <w:rPr>
          <w:b/>
          <w:i/>
        </w:rPr>
        <w:tab/>
        <w:t>First Criteri</w:t>
      </w:r>
      <w:r w:rsidR="008F7592">
        <w:rPr>
          <w:b/>
          <w:i/>
        </w:rPr>
        <w:t>on</w:t>
      </w:r>
      <w:r w:rsidR="00C31374" w:rsidRPr="00670CEA">
        <w:rPr>
          <w:b/>
          <w:i/>
        </w:rPr>
        <w:t xml:space="preserve"> –</w:t>
      </w:r>
      <w:r w:rsidR="00907824" w:rsidRPr="00670CEA">
        <w:rPr>
          <w:b/>
          <w:i/>
        </w:rPr>
        <w:t xml:space="preserve"> Democratic</w:t>
      </w:r>
      <w:r w:rsidR="00C31374" w:rsidRPr="00670CEA">
        <w:rPr>
          <w:b/>
          <w:i/>
        </w:rPr>
        <w:t xml:space="preserve"> Legitimacy</w:t>
      </w:r>
    </w:p>
    <w:p w:rsidR="00FB0FCA" w:rsidRPr="007E0A74" w:rsidRDefault="00415DF8" w:rsidP="007E0A74">
      <w:pPr>
        <w:spacing w:after="240" w:line="480" w:lineRule="auto"/>
        <w:ind w:firstLine="720"/>
      </w:pPr>
      <w:r>
        <w:t xml:space="preserve">In </w:t>
      </w:r>
      <w:r w:rsidR="007E0A74">
        <w:t xml:space="preserve">general terms, </w:t>
      </w:r>
      <w:r w:rsidR="00612022">
        <w:t>power can be legitimate if three conditions are met</w:t>
      </w:r>
      <w:r w:rsidR="007E0A74">
        <w:t xml:space="preserve">: </w:t>
      </w:r>
      <w:r w:rsidR="00E763B4">
        <w:t>(1)</w:t>
      </w:r>
      <w:r w:rsidR="00612022">
        <w:t xml:space="preserve"> </w:t>
      </w:r>
      <w:r w:rsidR="003A1EB7">
        <w:t>power is acquired a</w:t>
      </w:r>
      <w:r w:rsidR="007E0A74">
        <w:t>n</w:t>
      </w:r>
      <w:r w:rsidR="003A1EB7">
        <w:t>d</w:t>
      </w:r>
      <w:r w:rsidR="007E0A74">
        <w:t xml:space="preserve"> exercised i</w:t>
      </w:r>
      <w:r w:rsidR="00612022">
        <w:t xml:space="preserve">n a manner that accords with </w:t>
      </w:r>
      <w:r w:rsidR="007E0A74">
        <w:t xml:space="preserve">established rules; </w:t>
      </w:r>
      <w:r w:rsidR="00E763B4">
        <w:t>(2)</w:t>
      </w:r>
      <w:r w:rsidR="007E0A74">
        <w:t xml:space="preserve">, the rules conform </w:t>
      </w:r>
      <w:r w:rsidR="00727C83">
        <w:t>with the beliefs of both the dominant and subordinate</w:t>
      </w:r>
      <w:r w:rsidR="007E0A74">
        <w:t xml:space="preserve"> </w:t>
      </w:r>
      <w:r w:rsidR="00727C83">
        <w:t xml:space="preserve">regarding </w:t>
      </w:r>
      <w:r w:rsidR="007E0A74">
        <w:t>the rightful source of authority</w:t>
      </w:r>
      <w:r w:rsidR="00727C83">
        <w:t xml:space="preserve">; </w:t>
      </w:r>
      <w:r w:rsidR="00E763B4">
        <w:t>and (3)</w:t>
      </w:r>
      <w:r w:rsidR="00727C83">
        <w:t xml:space="preserve"> there is a demonstrable expression of consent on the part of the subordinate to the power relation.</w:t>
      </w:r>
      <w:r w:rsidR="00727C83">
        <w:rPr>
          <w:rStyle w:val="FootnoteReference"/>
        </w:rPr>
        <w:footnoteReference w:id="49"/>
      </w:r>
      <w:r w:rsidR="007E0A74">
        <w:t xml:space="preserve"> </w:t>
      </w:r>
      <w:r w:rsidR="0019719A">
        <w:t>Consi</w:t>
      </w:r>
      <w:r w:rsidR="00303FC6">
        <w:t>dered within the specific contex</w:t>
      </w:r>
      <w:r w:rsidR="0019719A">
        <w:t xml:space="preserve">t </w:t>
      </w:r>
      <w:r w:rsidR="00010EDF">
        <w:t xml:space="preserve">of </w:t>
      </w:r>
      <w:r w:rsidR="00303FC6">
        <w:t>r</w:t>
      </w:r>
      <w:r w:rsidR="00B70031">
        <w:t>epresentative democracy</w:t>
      </w:r>
      <w:r w:rsidR="003E7BFC">
        <w:t xml:space="preserve">, legitimation </w:t>
      </w:r>
      <w:r w:rsidR="00303FC6">
        <w:t xml:space="preserve">requires that </w:t>
      </w:r>
      <w:r w:rsidR="00E763B4">
        <w:t>(1) citizens have</w:t>
      </w:r>
      <w:r w:rsidR="003E7BFC">
        <w:t xml:space="preserve"> </w:t>
      </w:r>
      <w:r w:rsidR="003A06AD">
        <w:t xml:space="preserve">the right and possibility </w:t>
      </w:r>
      <w:r w:rsidR="004B75F4">
        <w:t>to participate</w:t>
      </w:r>
      <w:r w:rsidR="003A06AD">
        <w:t xml:space="preserve">, </w:t>
      </w:r>
      <w:r w:rsidR="00987175">
        <w:t xml:space="preserve">including </w:t>
      </w:r>
      <w:r w:rsidR="003A06AD">
        <w:lastRenderedPageBreak/>
        <w:t>the right to elect their representatives and express the</w:t>
      </w:r>
      <w:r w:rsidR="00AE5E41">
        <w:t xml:space="preserve">ir popular will; </w:t>
      </w:r>
      <w:r w:rsidR="00612022">
        <w:t>(2)</w:t>
      </w:r>
      <w:r w:rsidR="00973029">
        <w:t xml:space="preserve"> </w:t>
      </w:r>
      <w:r w:rsidR="00AE5E41">
        <w:t xml:space="preserve">the </w:t>
      </w:r>
      <w:r w:rsidR="003A06AD">
        <w:t>procedure</w:t>
      </w:r>
      <w:r w:rsidR="004B75F4">
        <w:t xml:space="preserve">s </w:t>
      </w:r>
      <w:r w:rsidR="00612022">
        <w:t>of election and government are</w:t>
      </w:r>
      <w:r w:rsidR="003A06AD">
        <w:t xml:space="preserve"> transparent and in accordance with the rule of law</w:t>
      </w:r>
      <w:r w:rsidR="00973029">
        <w:t>, and representatives are accountable</w:t>
      </w:r>
      <w:r w:rsidR="003A06AD">
        <w:t xml:space="preserve">; and </w:t>
      </w:r>
      <w:r w:rsidR="009C6BCD">
        <w:t xml:space="preserve">(3) </w:t>
      </w:r>
      <w:r w:rsidR="00973029">
        <w:t xml:space="preserve">the </w:t>
      </w:r>
      <w:r w:rsidR="003A06AD">
        <w:t>decisio</w:t>
      </w:r>
      <w:r w:rsidR="004B75F4">
        <w:t xml:space="preserve">ns of the representatives </w:t>
      </w:r>
      <w:r w:rsidR="009C6BCD">
        <w:t>are able to</w:t>
      </w:r>
      <w:r w:rsidR="003A06AD">
        <w:t xml:space="preserve"> satisfy the majority of the represented.</w:t>
      </w:r>
      <w:r w:rsidR="003A06AD">
        <w:rPr>
          <w:rStyle w:val="FootnoteReference"/>
        </w:rPr>
        <w:footnoteReference w:id="50"/>
      </w:r>
      <w:r w:rsidR="00612022">
        <w:t xml:space="preserve"> </w:t>
      </w:r>
      <w:r w:rsidR="00010EDF">
        <w:t>The</w:t>
      </w:r>
      <w:r w:rsidR="00987175">
        <w:t xml:space="preserve"> </w:t>
      </w:r>
      <w:r w:rsidR="00010EDF">
        <w:t xml:space="preserve">citizen is </w:t>
      </w:r>
      <w:r w:rsidR="00C60D91">
        <w:t>the primary source for democratic legitimation, and it</w:t>
      </w:r>
      <w:r w:rsidR="00612022">
        <w:t xml:space="preserve"> </w:t>
      </w:r>
      <w:r w:rsidR="00987175">
        <w:t>is th</w:t>
      </w:r>
      <w:r w:rsidR="00670CEA">
        <w:t>r</w:t>
      </w:r>
      <w:r w:rsidR="00987175">
        <w:t xml:space="preserve">ough </w:t>
      </w:r>
      <w:r w:rsidR="00010EDF">
        <w:t>the expression of consent by the</w:t>
      </w:r>
      <w:r w:rsidR="00670CEA">
        <w:t>ir</w:t>
      </w:r>
      <w:r w:rsidR="00010EDF">
        <w:t xml:space="preserve"> elected r</w:t>
      </w:r>
      <w:r w:rsidR="00987175">
        <w:t>epresentatives in the legislature that legislative norms are validated and legitimized</w:t>
      </w:r>
      <w:r w:rsidR="00C875E3">
        <w:t>.</w:t>
      </w:r>
      <w:r w:rsidR="004B75F4">
        <w:rPr>
          <w:rStyle w:val="FootnoteReference"/>
        </w:rPr>
        <w:footnoteReference w:id="51"/>
      </w:r>
      <w:r w:rsidR="00E134BB">
        <w:t xml:space="preserve"> </w:t>
      </w:r>
      <w:r w:rsidR="00C875E3">
        <w:t>In relation to delegated legislation, a</w:t>
      </w:r>
      <w:r w:rsidR="003F1DF2" w:rsidRPr="00BC6514">
        <w:t xml:space="preserve">ccountability </w:t>
      </w:r>
      <w:r w:rsidR="003F1DF2">
        <w:t xml:space="preserve">to the legislature </w:t>
      </w:r>
      <w:r w:rsidR="00C875E3">
        <w:t xml:space="preserve">is </w:t>
      </w:r>
      <w:r w:rsidR="00C60D91">
        <w:t>essential</w:t>
      </w:r>
      <w:r w:rsidR="00C875E3">
        <w:t xml:space="preserve"> for legitimation,</w:t>
      </w:r>
      <w:r w:rsidR="00C875E3" w:rsidRPr="00C875E3">
        <w:rPr>
          <w:rStyle w:val="FootnoteReference"/>
        </w:rPr>
        <w:t xml:space="preserve"> </w:t>
      </w:r>
      <w:r w:rsidR="00987175">
        <w:t xml:space="preserve">which is particularly critical </w:t>
      </w:r>
      <w:r w:rsidR="001D6178">
        <w:t>and challenging to achieve in light of</w:t>
      </w:r>
      <w:r w:rsidR="00C60D91">
        <w:t xml:space="preserve"> the </w:t>
      </w:r>
      <w:r w:rsidR="00987175">
        <w:t>separation that naturally exists between the legislature and the delegated lawmaker</w:t>
      </w:r>
      <w:r w:rsidR="00F81ECE">
        <w:t>.</w:t>
      </w:r>
      <w:r w:rsidR="00F81ECE">
        <w:rPr>
          <w:rStyle w:val="FootnoteReference"/>
        </w:rPr>
        <w:footnoteReference w:id="52"/>
      </w:r>
      <w:r w:rsidR="00F81ECE">
        <w:t xml:space="preserve"> </w:t>
      </w:r>
      <w:r w:rsidR="003753CE">
        <w:t xml:space="preserve">Pünder </w:t>
      </w:r>
      <w:r w:rsidR="00A2419D">
        <w:t xml:space="preserve">identifies </w:t>
      </w:r>
      <w:r w:rsidR="00670CEA">
        <w:t>three</w:t>
      </w:r>
      <w:r w:rsidR="00F22769">
        <w:t xml:space="preserve"> </w:t>
      </w:r>
      <w:r w:rsidR="00010EDF">
        <w:t xml:space="preserve">mechanisms for achieving </w:t>
      </w:r>
      <w:r w:rsidR="00C60D91">
        <w:t xml:space="preserve">democratic </w:t>
      </w:r>
      <w:r w:rsidR="00010EDF">
        <w:t xml:space="preserve">legitimation in </w:t>
      </w:r>
      <w:r w:rsidR="00C60D91">
        <w:t>delegated legislation</w:t>
      </w:r>
      <w:r w:rsidR="00010EDF">
        <w:t xml:space="preserve">, which </w:t>
      </w:r>
      <w:r w:rsidR="00A2419D">
        <w:t xml:space="preserve">function </w:t>
      </w:r>
      <w:r w:rsidR="00010EDF">
        <w:t>by means of</w:t>
      </w:r>
      <w:r w:rsidR="00C60D91">
        <w:t xml:space="preserve"> </w:t>
      </w:r>
      <w:r w:rsidR="00A2419D">
        <w:t>either t</w:t>
      </w:r>
      <w:r w:rsidR="00050E8E">
        <w:t xml:space="preserve">he elected representatives or </w:t>
      </w:r>
      <w:r w:rsidR="00A2419D">
        <w:t xml:space="preserve">the </w:t>
      </w:r>
      <w:r w:rsidR="00C60D91">
        <w:t>citizens</w:t>
      </w:r>
      <w:r w:rsidR="00A2419D">
        <w:t xml:space="preserve"> themselves</w:t>
      </w:r>
      <w:r w:rsidR="00050E8E">
        <w:t xml:space="preserve">: </w:t>
      </w:r>
      <w:r w:rsidR="00F674C2">
        <w:t>(1) parliamentary predetermination of the executive rule;</w:t>
      </w:r>
      <w:r w:rsidR="00F1657D">
        <w:rPr>
          <w:rStyle w:val="FootnoteReference"/>
        </w:rPr>
        <w:footnoteReference w:id="53"/>
      </w:r>
      <w:r w:rsidR="003753CE">
        <w:t xml:space="preserve"> (2)</w:t>
      </w:r>
      <w:r w:rsidR="00F1657D">
        <w:t xml:space="preserve"> </w:t>
      </w:r>
      <w:r w:rsidR="00F674C2">
        <w:t>parliamentary participation in the executive rulemaking process;</w:t>
      </w:r>
      <w:r w:rsidR="00F1657D">
        <w:rPr>
          <w:rStyle w:val="FootnoteReference"/>
        </w:rPr>
        <w:footnoteReference w:id="54"/>
      </w:r>
      <w:r w:rsidR="00F674C2">
        <w:t xml:space="preserve"> and (3) public participation in the executive law-making process</w:t>
      </w:r>
      <w:r w:rsidR="00F1657D">
        <w:t>.</w:t>
      </w:r>
      <w:r w:rsidR="00F1657D">
        <w:rPr>
          <w:rStyle w:val="FootnoteReference"/>
        </w:rPr>
        <w:footnoteReference w:id="55"/>
      </w:r>
      <w:r w:rsidR="00F1657D">
        <w:t xml:space="preserve"> </w:t>
      </w:r>
    </w:p>
    <w:p w:rsidR="00F0764A" w:rsidRDefault="00F0764A" w:rsidP="00BE7CB3">
      <w:pPr>
        <w:spacing w:after="240" w:line="480" w:lineRule="auto"/>
        <w:rPr>
          <w:u w:val="single"/>
        </w:rPr>
      </w:pPr>
      <w:r>
        <w:t>I.</w:t>
      </w:r>
      <w:r>
        <w:tab/>
      </w:r>
      <w:r w:rsidR="003753CE" w:rsidRPr="003753CE">
        <w:rPr>
          <w:u w:val="single"/>
        </w:rPr>
        <w:t>Democra</w:t>
      </w:r>
      <w:r w:rsidR="003753CE">
        <w:rPr>
          <w:u w:val="single"/>
        </w:rPr>
        <w:t>tic l</w:t>
      </w:r>
      <w:r w:rsidR="003753CE" w:rsidRPr="003753CE">
        <w:rPr>
          <w:u w:val="single"/>
        </w:rPr>
        <w:t xml:space="preserve">egitimation by </w:t>
      </w:r>
      <w:r w:rsidR="003753CE">
        <w:rPr>
          <w:u w:val="single"/>
        </w:rPr>
        <w:t>p</w:t>
      </w:r>
      <w:r w:rsidRPr="003753CE">
        <w:rPr>
          <w:u w:val="single"/>
        </w:rPr>
        <w:t>arliamentary</w:t>
      </w:r>
      <w:r w:rsidRPr="00F0764A">
        <w:rPr>
          <w:u w:val="single"/>
        </w:rPr>
        <w:t xml:space="preserve"> predetermination of the executive rule</w:t>
      </w:r>
    </w:p>
    <w:p w:rsidR="007E2ACE" w:rsidRDefault="00A25BFE" w:rsidP="001C2DD0">
      <w:pPr>
        <w:spacing w:after="240" w:line="480" w:lineRule="auto"/>
        <w:ind w:firstLine="720"/>
      </w:pPr>
      <w:r>
        <w:t xml:space="preserve">In the context of </w:t>
      </w:r>
      <w:r w:rsidR="006C34B7">
        <w:t>delegated</w:t>
      </w:r>
      <w:r>
        <w:t xml:space="preserve"> legislation, </w:t>
      </w:r>
      <w:r w:rsidR="003A1EB7">
        <w:t>Pünder</w:t>
      </w:r>
      <w:r w:rsidR="00665DC1">
        <w:t xml:space="preserve"> views p</w:t>
      </w:r>
      <w:r w:rsidR="00CA3161">
        <w:t xml:space="preserve">arliamentary </w:t>
      </w:r>
      <w:r w:rsidR="003A1EB7">
        <w:t>pre-</w:t>
      </w:r>
      <w:r w:rsidR="00CA3161">
        <w:t>determination</w:t>
      </w:r>
      <w:r w:rsidR="009E6402">
        <w:t xml:space="preserve"> </w:t>
      </w:r>
      <w:r w:rsidR="00665DC1">
        <w:t>as the principal method for achieving democratic legitimation.</w:t>
      </w:r>
      <w:r w:rsidR="00C01924">
        <w:rPr>
          <w:rStyle w:val="FootnoteReference"/>
        </w:rPr>
        <w:footnoteReference w:id="56"/>
      </w:r>
      <w:r>
        <w:t xml:space="preserve"> Parliamentary participation</w:t>
      </w:r>
      <w:r w:rsidR="00665DC1">
        <w:t xml:space="preserve"> entails </w:t>
      </w:r>
      <w:r w:rsidR="009E6402">
        <w:t xml:space="preserve">the </w:t>
      </w:r>
      <w:r w:rsidR="003A1EB7">
        <w:t>legislature giv</w:t>
      </w:r>
      <w:r w:rsidR="00C60D91">
        <w:t xml:space="preserve">ing a specific delegation of its </w:t>
      </w:r>
      <w:r w:rsidR="003A1EB7">
        <w:t>legislation-making power to the delegated authority</w:t>
      </w:r>
      <w:r w:rsidR="00665DC1">
        <w:t>, and its effectivenes</w:t>
      </w:r>
      <w:r w:rsidR="00C01924">
        <w:t xml:space="preserve">s for legitimation is tied to the level of specificity in </w:t>
      </w:r>
      <w:r w:rsidR="00C01924">
        <w:lastRenderedPageBreak/>
        <w:t>the delegation</w:t>
      </w:r>
      <w:r w:rsidR="00193D28">
        <w:t xml:space="preserve"> with regard to how the delegation is to be exercised</w:t>
      </w:r>
      <w:r w:rsidR="00C01924">
        <w:t>.</w:t>
      </w:r>
      <w:r w:rsidR="00415B02">
        <w:rPr>
          <w:rStyle w:val="FootnoteReference"/>
        </w:rPr>
        <w:footnoteReference w:id="57"/>
      </w:r>
      <w:r w:rsidR="000873E2">
        <w:t xml:space="preserve"> </w:t>
      </w:r>
      <w:r w:rsidR="00B95AC1">
        <w:t>While Pünder does not specify f</w:t>
      </w:r>
      <w:r w:rsidR="00634BAF">
        <w:t>a</w:t>
      </w:r>
      <w:r w:rsidR="003A1EB7">
        <w:t xml:space="preserve">ctors </w:t>
      </w:r>
      <w:r w:rsidR="004A6546">
        <w:t xml:space="preserve">to be </w:t>
      </w:r>
      <w:r w:rsidR="00C01924">
        <w:t>used when considering</w:t>
      </w:r>
      <w:r w:rsidR="003044C4">
        <w:t xml:space="preserve"> the content </w:t>
      </w:r>
      <w:r w:rsidR="00B95AC1">
        <w:t>and sufficiency of the delegation</w:t>
      </w:r>
      <w:r w:rsidR="003A1EB7">
        <w:t xml:space="preserve">, </w:t>
      </w:r>
      <w:r w:rsidR="00973029">
        <w:t xml:space="preserve">when comparing the approaches taken in different countries, </w:t>
      </w:r>
      <w:r w:rsidR="00C01924">
        <w:t>he includes</w:t>
      </w:r>
      <w:r w:rsidR="005A1E49">
        <w:t xml:space="preserve"> the </w:t>
      </w:r>
      <w:r w:rsidR="002D7C46">
        <w:t xml:space="preserve">following </w:t>
      </w:r>
      <w:r w:rsidR="00DF65B1">
        <w:t>characteristic</w:t>
      </w:r>
      <w:r w:rsidR="00C00C7E">
        <w:t>s amongst his</w:t>
      </w:r>
      <w:r w:rsidR="002D7C46">
        <w:t xml:space="preserve"> points of comparison: </w:t>
      </w:r>
      <w:r w:rsidR="00634BAF">
        <w:t xml:space="preserve">(1) </w:t>
      </w:r>
      <w:r w:rsidR="005A1E49">
        <w:t xml:space="preserve">the existence of a </w:t>
      </w:r>
      <w:r w:rsidR="002D7C46">
        <w:t xml:space="preserve">constitutional or legal authority </w:t>
      </w:r>
      <w:r w:rsidR="00C01924">
        <w:t xml:space="preserve">for </w:t>
      </w:r>
      <w:r w:rsidR="002D7C46">
        <w:t>the legislature to delegate it</w:t>
      </w:r>
      <w:r w:rsidR="003044C4">
        <w:t>s</w:t>
      </w:r>
      <w:r w:rsidR="002D7C46">
        <w:t xml:space="preserve"> legislation-making power; (2) </w:t>
      </w:r>
      <w:r w:rsidR="003044C4">
        <w:t xml:space="preserve">the </w:t>
      </w:r>
      <w:r w:rsidR="00C01924">
        <w:t xml:space="preserve">requirement for </w:t>
      </w:r>
      <w:r w:rsidR="0095145C">
        <w:t xml:space="preserve">such </w:t>
      </w:r>
      <w:r w:rsidR="005A1E49">
        <w:t>a delegation</w:t>
      </w:r>
      <w:r w:rsidR="00C01924">
        <w:t xml:space="preserve"> before an</w:t>
      </w:r>
      <w:r w:rsidR="005A1E49">
        <w:t xml:space="preserve"> authority </w:t>
      </w:r>
      <w:r w:rsidR="0095145C">
        <w:t xml:space="preserve">other than </w:t>
      </w:r>
      <w:r w:rsidR="005A1E49">
        <w:t>the legislature</w:t>
      </w:r>
      <w:r w:rsidR="003044C4">
        <w:t xml:space="preserve"> </w:t>
      </w:r>
      <w:r w:rsidR="00C01924">
        <w:t>c</w:t>
      </w:r>
      <w:r w:rsidR="005A1E49">
        <w:t xml:space="preserve">ould </w:t>
      </w:r>
      <w:r w:rsidR="00C01924">
        <w:t xml:space="preserve">make </w:t>
      </w:r>
      <w:r w:rsidR="00513C14">
        <w:t>legislation</w:t>
      </w:r>
      <w:r w:rsidR="004C3EEC">
        <w:t>; (3)</w:t>
      </w:r>
      <w:r w:rsidR="00513C14">
        <w:t xml:space="preserve"> </w:t>
      </w:r>
      <w:r w:rsidR="002D7C46">
        <w:t>t</w:t>
      </w:r>
      <w:r w:rsidR="00634BAF">
        <w:t xml:space="preserve">he </w:t>
      </w:r>
      <w:r w:rsidR="005A1E49">
        <w:t xml:space="preserve">necessity for </w:t>
      </w:r>
      <w:r w:rsidR="0095145C">
        <w:t xml:space="preserve">the delegation to be made in </w:t>
      </w:r>
      <w:r w:rsidR="004C3EEC">
        <w:t>primary legislation</w:t>
      </w:r>
      <w:r w:rsidR="003153BE">
        <w:t xml:space="preserve">; </w:t>
      </w:r>
      <w:r w:rsidR="009A09F6">
        <w:t xml:space="preserve">and </w:t>
      </w:r>
      <w:r w:rsidR="00973029">
        <w:t>(4</w:t>
      </w:r>
      <w:r w:rsidR="003153BE">
        <w:t xml:space="preserve">) the level of specificity </w:t>
      </w:r>
      <w:r w:rsidR="005A1E49">
        <w:t xml:space="preserve">of detail </w:t>
      </w:r>
      <w:r w:rsidR="003153BE">
        <w:t xml:space="preserve">required in the delegation, and therefore, the </w:t>
      </w:r>
      <w:r w:rsidR="005A1E49">
        <w:t>level of decision-</w:t>
      </w:r>
      <w:r w:rsidR="003153BE">
        <w:t xml:space="preserve">making </w:t>
      </w:r>
      <w:r w:rsidR="005A1E49">
        <w:t xml:space="preserve">discretion allotted to </w:t>
      </w:r>
      <w:r w:rsidR="003153BE">
        <w:t>the delegated authority.</w:t>
      </w:r>
      <w:r w:rsidR="009A09F6">
        <w:rPr>
          <w:rStyle w:val="FootnoteReference"/>
        </w:rPr>
        <w:footnoteReference w:id="58"/>
      </w:r>
      <w:r w:rsidR="003153BE">
        <w:t xml:space="preserve"> </w:t>
      </w:r>
      <w:r w:rsidR="004A6546">
        <w:t xml:space="preserve">On reflection, </w:t>
      </w:r>
      <w:r>
        <w:t xml:space="preserve">and along with the specificity of the delegation itself, </w:t>
      </w:r>
      <w:r w:rsidR="00FB27E6">
        <w:t>Pünder</w:t>
      </w:r>
      <w:r w:rsidR="00973029">
        <w:t>’s consideration of these factors highlights t</w:t>
      </w:r>
      <w:r w:rsidR="00FB27E6">
        <w:t xml:space="preserve">he importance </w:t>
      </w:r>
      <w:r w:rsidR="00E50495">
        <w:t xml:space="preserve">of the </w:t>
      </w:r>
      <w:r w:rsidR="00E507CA">
        <w:t xml:space="preserve">legal framework </w:t>
      </w:r>
      <w:r w:rsidR="00996E5E">
        <w:t xml:space="preserve">that underlies the delegation </w:t>
      </w:r>
      <w:r w:rsidR="00E50495">
        <w:t>and the necessity</w:t>
      </w:r>
      <w:r w:rsidR="00996E5E">
        <w:t>, for the achievement of democratic legitimation,</w:t>
      </w:r>
      <w:r w:rsidR="00E50495">
        <w:t xml:space="preserve"> </w:t>
      </w:r>
      <w:r w:rsidR="0038402A">
        <w:t xml:space="preserve">that the </w:t>
      </w:r>
      <w:r w:rsidR="00E507CA">
        <w:t>delegation</w:t>
      </w:r>
      <w:r w:rsidR="00FB27E6">
        <w:t xml:space="preserve"> </w:t>
      </w:r>
      <w:r w:rsidR="0038402A">
        <w:t>be</w:t>
      </w:r>
      <w:r w:rsidR="00353278">
        <w:t xml:space="preserve"> effected</w:t>
      </w:r>
      <w:r w:rsidR="00FB27E6">
        <w:t xml:space="preserve"> in accordance with the relevant legal </w:t>
      </w:r>
      <w:r w:rsidR="00E507CA">
        <w:t>principles</w:t>
      </w:r>
      <w:r w:rsidR="00353278">
        <w:t xml:space="preserve"> and procedures of the jurisdiction</w:t>
      </w:r>
      <w:r w:rsidR="00FB27E6" w:rsidRPr="0095145C">
        <w:t>.</w:t>
      </w:r>
      <w:r w:rsidR="00FB27E6" w:rsidRPr="0095145C">
        <w:rPr>
          <w:rStyle w:val="FootnoteReference"/>
        </w:rPr>
        <w:footnoteReference w:id="59"/>
      </w:r>
      <w:r w:rsidR="004A6546">
        <w:t xml:space="preserve"> </w:t>
      </w:r>
      <w:r w:rsidR="0064756B">
        <w:t xml:space="preserve">Accordingly, </w:t>
      </w:r>
      <w:r w:rsidR="00BD1D5F">
        <w:t xml:space="preserve">as a first </w:t>
      </w:r>
      <w:r w:rsidR="0064756B">
        <w:t>step</w:t>
      </w:r>
      <w:r w:rsidR="00BD1D5F">
        <w:t>,</w:t>
      </w:r>
      <w:r w:rsidR="0064756B">
        <w:t xml:space="preserve"> </w:t>
      </w:r>
      <w:r w:rsidR="00BD1D5F">
        <w:t>the delegation in section 12 of the NDA will be</w:t>
      </w:r>
      <w:r w:rsidR="0064756B">
        <w:t xml:space="preserve"> c</w:t>
      </w:r>
      <w:r w:rsidR="00BD1D5F">
        <w:t>onsidered i</w:t>
      </w:r>
      <w:r w:rsidR="00A33345">
        <w:t xml:space="preserve">n </w:t>
      </w:r>
      <w:r w:rsidR="0038402A">
        <w:t xml:space="preserve">the context of </w:t>
      </w:r>
      <w:r w:rsidR="00A33345">
        <w:t xml:space="preserve">the </w:t>
      </w:r>
      <w:r w:rsidR="0038402A">
        <w:t xml:space="preserve">existing </w:t>
      </w:r>
      <w:r w:rsidR="00A33345">
        <w:t xml:space="preserve">legal framework </w:t>
      </w:r>
      <w:r w:rsidR="00BD1D5F">
        <w:t>in Canada f</w:t>
      </w:r>
      <w:r w:rsidR="00A445DD">
        <w:t xml:space="preserve">or delegating legislation </w:t>
      </w:r>
      <w:r w:rsidR="00A33345">
        <w:t>making authority. The relevant portions</w:t>
      </w:r>
      <w:r w:rsidR="007E2ACE">
        <w:t xml:space="preserve"> of section 12 are </w:t>
      </w:r>
      <w:r w:rsidR="00C67E54">
        <w:t>set out</w:t>
      </w:r>
      <w:r w:rsidR="007E2ACE">
        <w:t xml:space="preserve"> below: </w:t>
      </w:r>
    </w:p>
    <w:p w:rsidR="007E2ACE" w:rsidRPr="00B50408" w:rsidRDefault="007E2ACE" w:rsidP="007E2ACE">
      <w:pPr>
        <w:tabs>
          <w:tab w:val="left" w:pos="8364"/>
          <w:tab w:val="left" w:pos="8505"/>
          <w:tab w:val="left" w:pos="8789"/>
        </w:tabs>
        <w:spacing w:after="120"/>
        <w:ind w:left="709" w:right="235" w:firstLine="11"/>
      </w:pPr>
      <w:r w:rsidRPr="00B50408">
        <w:t>12 (1) The Governor in Council may make regulations for the organization, training, discipline, efficiency, administration and good government of the Canadian Forces and generally for carrying the purposes and provisions of this Act into effect.</w:t>
      </w:r>
    </w:p>
    <w:p w:rsidR="007E2ACE" w:rsidRPr="00B50408" w:rsidRDefault="007E2ACE" w:rsidP="007E2ACE">
      <w:pPr>
        <w:tabs>
          <w:tab w:val="left" w:pos="8364"/>
          <w:tab w:val="left" w:pos="8505"/>
        </w:tabs>
        <w:spacing w:after="120"/>
        <w:ind w:left="709" w:right="235" w:firstLine="11"/>
      </w:pPr>
      <w:r w:rsidRPr="00B50408">
        <w:t>(2) Subject to section 13 and any regulations made by the Governor in Council, the Minister may make regulations for the organization, training discipline, efficiency, administration and good government of the Canadian Forces and generally for carrying the purposes and provisions of this Act into effect.</w:t>
      </w:r>
    </w:p>
    <w:p w:rsidR="007E2ACE" w:rsidRPr="00B50408" w:rsidRDefault="007E2ACE" w:rsidP="007E2ACE">
      <w:pPr>
        <w:tabs>
          <w:tab w:val="left" w:pos="8364"/>
          <w:tab w:val="left" w:pos="8505"/>
        </w:tabs>
        <w:spacing w:after="120"/>
        <w:ind w:left="709" w:right="235" w:firstLine="11"/>
      </w:pPr>
      <w:r w:rsidRPr="00B50408">
        <w:t>(3) The Treasury Board may make regulations</w:t>
      </w:r>
    </w:p>
    <w:p w:rsidR="007E2ACE" w:rsidRPr="00B50408" w:rsidRDefault="007E2ACE" w:rsidP="007E2ACE">
      <w:pPr>
        <w:tabs>
          <w:tab w:val="left" w:pos="8222"/>
        </w:tabs>
        <w:spacing w:after="120"/>
        <w:ind w:left="1134" w:right="235"/>
      </w:pPr>
      <w:r w:rsidRPr="00B50408">
        <w:t>(a) prescribing the rates and conditions of pay of military judges, the Director of Military Prosecutions and the Director of Defence Counsel Services;</w:t>
      </w:r>
    </w:p>
    <w:p w:rsidR="007E2ACE" w:rsidRPr="00B50408" w:rsidRDefault="007E2ACE" w:rsidP="007E2ACE">
      <w:pPr>
        <w:tabs>
          <w:tab w:val="left" w:pos="8222"/>
        </w:tabs>
        <w:spacing w:after="120"/>
        <w:ind w:left="1134" w:right="235"/>
      </w:pPr>
      <w:r w:rsidRPr="00B50408">
        <w:lastRenderedPageBreak/>
        <w:t>(b) prescribing the forfeitures and deductions to which the pay and allowances of officers and non-commissioned members are subject; and</w:t>
      </w:r>
    </w:p>
    <w:p w:rsidR="007E2ACE" w:rsidRDefault="007E2ACE" w:rsidP="007E2ACE">
      <w:pPr>
        <w:tabs>
          <w:tab w:val="left" w:pos="8222"/>
        </w:tabs>
        <w:spacing w:after="120"/>
        <w:ind w:left="1134" w:right="235"/>
      </w:pPr>
      <w:r w:rsidRPr="00B50408">
        <w:t>(c) providing for any matter concerning the pay, allowances and reimbursement of expenses of officers and non-commissioned  members for which the Treasury Board considers regulations are necessary or desirable to carry out the purposes or provisions of this Act.</w:t>
      </w:r>
      <w:r w:rsidRPr="00B50408">
        <w:rPr>
          <w:rStyle w:val="FootnoteReference"/>
        </w:rPr>
        <w:footnoteReference w:id="60"/>
      </w:r>
      <w:r w:rsidRPr="00B50408">
        <w:t xml:space="preserve"> </w:t>
      </w:r>
    </w:p>
    <w:p w:rsidR="007E2ACE" w:rsidRPr="00B50408" w:rsidRDefault="007E2ACE" w:rsidP="007E2ACE">
      <w:pPr>
        <w:tabs>
          <w:tab w:val="left" w:pos="8222"/>
        </w:tabs>
        <w:spacing w:after="120"/>
        <w:ind w:left="1134" w:right="235"/>
      </w:pPr>
    </w:p>
    <w:p w:rsidR="00E0486D" w:rsidRDefault="007E2ACE" w:rsidP="00CD1B56">
      <w:pPr>
        <w:spacing w:after="240" w:line="480" w:lineRule="auto"/>
        <w:ind w:firstLine="720"/>
      </w:pPr>
      <w:r>
        <w:t>In Canada,</w:t>
      </w:r>
      <w:r w:rsidR="00F17A23">
        <w:t xml:space="preserve"> </w:t>
      </w:r>
      <w:r w:rsidR="00BA5B76">
        <w:t xml:space="preserve">while </w:t>
      </w:r>
      <w:r w:rsidR="00F17A23">
        <w:t xml:space="preserve">there remains </w:t>
      </w:r>
      <w:r w:rsidR="00AA11CF">
        <w:t xml:space="preserve">a remote ability </w:t>
      </w:r>
      <w:r w:rsidR="00F17A23">
        <w:t xml:space="preserve">for </w:t>
      </w:r>
      <w:r w:rsidR="00AA11CF">
        <w:t xml:space="preserve">the executive </w:t>
      </w:r>
      <w:r w:rsidR="00F17A23">
        <w:t>to</w:t>
      </w:r>
      <w:r w:rsidR="00AA11CF">
        <w:t xml:space="preserve"> produce legislation </w:t>
      </w:r>
      <w:r w:rsidR="00F17A23">
        <w:t xml:space="preserve">using the </w:t>
      </w:r>
      <w:r w:rsidR="00FD339C">
        <w:t>p</w:t>
      </w:r>
      <w:r w:rsidR="00AA11CF">
        <w:t>rerogative authority, this authority has been largely put aside</w:t>
      </w:r>
      <w:r w:rsidR="00E0486D">
        <w:t xml:space="preserve"> leaving</w:t>
      </w:r>
      <w:r w:rsidR="00010EDF">
        <w:t xml:space="preserve"> </w:t>
      </w:r>
      <w:r w:rsidR="00A445DD">
        <w:t>the legislatures</w:t>
      </w:r>
      <w:r w:rsidR="00A445DD" w:rsidRPr="00010EDF">
        <w:t xml:space="preserve"> </w:t>
      </w:r>
      <w:r w:rsidR="00A445DD">
        <w:t xml:space="preserve">as </w:t>
      </w:r>
      <w:r w:rsidR="009C5DD4">
        <w:t xml:space="preserve">the </w:t>
      </w:r>
      <w:r w:rsidR="00E0486D">
        <w:t xml:space="preserve">principal </w:t>
      </w:r>
      <w:r w:rsidR="009C5DD4">
        <w:t xml:space="preserve">authority </w:t>
      </w:r>
      <w:r w:rsidR="00E0486D">
        <w:t>for making legisla</w:t>
      </w:r>
      <w:r w:rsidR="009C5DD4">
        <w:t>tion</w:t>
      </w:r>
      <w:r w:rsidR="00B86CDA">
        <w:t>, which is s</w:t>
      </w:r>
      <w:r w:rsidR="00010EDF">
        <w:t>ubject only to the Constitution</w:t>
      </w:r>
      <w:r w:rsidR="00C25832">
        <w:t>.</w:t>
      </w:r>
      <w:r w:rsidR="003C0396">
        <w:rPr>
          <w:rStyle w:val="FootnoteReference"/>
        </w:rPr>
        <w:footnoteReference w:id="61"/>
      </w:r>
      <w:r w:rsidR="00AA11CF">
        <w:t xml:space="preserve"> </w:t>
      </w:r>
      <w:r>
        <w:t>Under</w:t>
      </w:r>
      <w:r w:rsidR="00C25832">
        <w:t xml:space="preserve"> the principle </w:t>
      </w:r>
      <w:r w:rsidR="00772D55">
        <w:t xml:space="preserve">of Parliamentary Supremacy, Canadian </w:t>
      </w:r>
      <w:r w:rsidR="00C25832">
        <w:t>legislatu</w:t>
      </w:r>
      <w:r w:rsidR="00772D55">
        <w:t>res enjoy</w:t>
      </w:r>
      <w:r w:rsidR="00BE0C50">
        <w:t xml:space="preserve"> </w:t>
      </w:r>
      <w:r w:rsidR="00772D55">
        <w:t xml:space="preserve">a </w:t>
      </w:r>
      <w:r w:rsidR="00BE0C50">
        <w:t xml:space="preserve">largely unlimited </w:t>
      </w:r>
      <w:r w:rsidR="00C25832">
        <w:t xml:space="preserve">authority to delegate </w:t>
      </w:r>
      <w:r w:rsidR="00772D55">
        <w:t>th</w:t>
      </w:r>
      <w:r>
        <w:t>eir legislation making authority</w:t>
      </w:r>
      <w:r w:rsidR="00CF2912">
        <w:t xml:space="preserve"> within their constitutional areas of responsibility,</w:t>
      </w:r>
      <w:r w:rsidR="00CF2912">
        <w:rPr>
          <w:rStyle w:val="FootnoteReference"/>
        </w:rPr>
        <w:footnoteReference w:id="62"/>
      </w:r>
      <w:r w:rsidR="00CF2912">
        <w:t xml:space="preserve"> </w:t>
      </w:r>
      <w:r>
        <w:t>which includes significant</w:t>
      </w:r>
      <w:r w:rsidR="00BE0C50">
        <w:t xml:space="preserve"> </w:t>
      </w:r>
      <w:r w:rsidR="00C05AF1">
        <w:t xml:space="preserve">discretion </w:t>
      </w:r>
      <w:r w:rsidR="00525C11">
        <w:t xml:space="preserve">regarding </w:t>
      </w:r>
      <w:r>
        <w:t>the</w:t>
      </w:r>
      <w:r w:rsidR="009B242C">
        <w:t xml:space="preserve"> contents of the delegation</w:t>
      </w:r>
      <w:r w:rsidR="00A445DD">
        <w:t xml:space="preserve"> and a </w:t>
      </w:r>
      <w:r w:rsidR="00AB0D3A">
        <w:t xml:space="preserve">continuing power to amend or revoke delegated powers </w:t>
      </w:r>
      <w:r w:rsidR="00BA5B76">
        <w:t xml:space="preserve">along with </w:t>
      </w:r>
      <w:r w:rsidR="00AB0D3A">
        <w:t xml:space="preserve">any action taken </w:t>
      </w:r>
      <w:r w:rsidR="006C34B7">
        <w:t>there under</w:t>
      </w:r>
      <w:r w:rsidR="002665C4">
        <w:t>.</w:t>
      </w:r>
      <w:r>
        <w:rPr>
          <w:rStyle w:val="FootnoteReference"/>
        </w:rPr>
        <w:footnoteReference w:id="63"/>
      </w:r>
      <w:r w:rsidR="003718D5">
        <w:t xml:space="preserve"> </w:t>
      </w:r>
      <w:r w:rsidR="00CF2912">
        <w:t xml:space="preserve">The NDA is </w:t>
      </w:r>
      <w:r w:rsidR="009C3E4D">
        <w:t xml:space="preserve">a </w:t>
      </w:r>
      <w:r w:rsidR="00525C11">
        <w:t xml:space="preserve">federal </w:t>
      </w:r>
      <w:r w:rsidR="009C3E4D">
        <w:t xml:space="preserve">statute </w:t>
      </w:r>
      <w:r w:rsidR="00525C11">
        <w:t xml:space="preserve">that </w:t>
      </w:r>
      <w:r w:rsidR="009C3E4D">
        <w:t>governs most matters pertaining to national defence in Canada,</w:t>
      </w:r>
      <w:r w:rsidR="009C3E4D" w:rsidRPr="00017AAC">
        <w:rPr>
          <w:rStyle w:val="FootnoteReference"/>
        </w:rPr>
        <w:footnoteReference w:id="64"/>
      </w:r>
      <w:r w:rsidR="009C3E4D">
        <w:t xml:space="preserve"> including, the establishment of the Department of National Defence</w:t>
      </w:r>
      <w:r w:rsidR="0052508F">
        <w:t xml:space="preserve"> (the Department)</w:t>
      </w:r>
      <w:r w:rsidR="009C3E4D">
        <w:t>,</w:t>
      </w:r>
      <w:r w:rsidR="009C3E4D">
        <w:rPr>
          <w:rStyle w:val="FootnoteReference"/>
        </w:rPr>
        <w:footnoteReference w:id="65"/>
      </w:r>
      <w:r w:rsidR="009C3E4D">
        <w:t xml:space="preserve"> the constitution and governance structure of the CAF,</w:t>
      </w:r>
      <w:r w:rsidR="009C3E4D">
        <w:rPr>
          <w:rStyle w:val="FootnoteReference"/>
        </w:rPr>
        <w:footnoteReference w:id="66"/>
      </w:r>
      <w:r w:rsidR="009C3E4D">
        <w:t xml:space="preserve"> and matters pertaining to service in the CAF,</w:t>
      </w:r>
      <w:r w:rsidR="009C3E4D">
        <w:rPr>
          <w:rStyle w:val="FootnoteReference"/>
        </w:rPr>
        <w:footnoteReference w:id="67"/>
      </w:r>
      <w:r w:rsidR="009C3E4D">
        <w:t xml:space="preserve"> and it was enacted pursuant to Parliament’s constitutional authority to legislate on matters pertaining to </w:t>
      </w:r>
      <w:r w:rsidR="006C34B7">
        <w:t>militia</w:t>
      </w:r>
      <w:r w:rsidR="009C3E4D">
        <w:t>, military and naval service and defence.</w:t>
      </w:r>
      <w:r w:rsidR="009C3E4D">
        <w:rPr>
          <w:rStyle w:val="FootnoteReference"/>
        </w:rPr>
        <w:footnoteReference w:id="68"/>
      </w:r>
      <w:r w:rsidR="00CD1B56">
        <w:t xml:space="preserve"> Further to the NDA </w:t>
      </w:r>
      <w:r w:rsidR="00525C11">
        <w:t xml:space="preserve">being </w:t>
      </w:r>
      <w:r w:rsidR="00CD1B56">
        <w:t xml:space="preserve">within Parliament’s constitutional area of responsibility, it is clear that Parliament </w:t>
      </w:r>
      <w:r w:rsidR="00274662">
        <w:t xml:space="preserve">has the power to </w:t>
      </w:r>
      <w:r w:rsidR="001826E2">
        <w:t xml:space="preserve">delegate </w:t>
      </w:r>
      <w:r w:rsidR="000676E3">
        <w:t xml:space="preserve">its </w:t>
      </w:r>
      <w:r w:rsidR="00274662">
        <w:lastRenderedPageBreak/>
        <w:t>legislation-making authority</w:t>
      </w:r>
      <w:r w:rsidR="000676E3">
        <w:t xml:space="preserve"> in section 12 </w:t>
      </w:r>
      <w:r w:rsidR="00274662">
        <w:t>to the authorities of its choosing and to</w:t>
      </w:r>
      <w:r w:rsidR="001826E2">
        <w:t xml:space="preserve"> make that delegation as broad</w:t>
      </w:r>
      <w:r w:rsidR="00274662">
        <w:t xml:space="preserve"> as it wishes.</w:t>
      </w:r>
      <w:r w:rsidR="00A3282C">
        <w:rPr>
          <w:rStyle w:val="FootnoteReference"/>
        </w:rPr>
        <w:footnoteReference w:id="69"/>
      </w:r>
      <w:r w:rsidR="00274662">
        <w:t xml:space="preserve"> </w:t>
      </w:r>
    </w:p>
    <w:p w:rsidR="00E21D45" w:rsidRDefault="00274662" w:rsidP="00425CD1">
      <w:pPr>
        <w:spacing w:after="240" w:line="480" w:lineRule="auto"/>
        <w:ind w:firstLine="720"/>
      </w:pPr>
      <w:r>
        <w:t xml:space="preserve">Regarding the </w:t>
      </w:r>
      <w:r w:rsidR="00D00250">
        <w:t>substance of a delegation</w:t>
      </w:r>
      <w:r>
        <w:t xml:space="preserve">, </w:t>
      </w:r>
      <w:r w:rsidR="00D00250">
        <w:t xml:space="preserve">the language </w:t>
      </w:r>
      <w:r w:rsidR="00E819E9">
        <w:t>of</w:t>
      </w:r>
      <w:r w:rsidR="00D00250">
        <w:t xml:space="preserve"> the enabling provision is </w:t>
      </w:r>
      <w:r w:rsidR="00E0486D">
        <w:t xml:space="preserve">critical as </w:t>
      </w:r>
      <w:r w:rsidR="00D00250">
        <w:t>it</w:t>
      </w:r>
      <w:r w:rsidR="00E0486D">
        <w:t xml:space="preserve"> frame</w:t>
      </w:r>
      <w:r w:rsidR="00D00250">
        <w:t>s</w:t>
      </w:r>
      <w:r w:rsidR="0084524E">
        <w:t xml:space="preserve"> the authority limits</w:t>
      </w:r>
      <w:r w:rsidR="00E0486D">
        <w:t>, and whi</w:t>
      </w:r>
      <w:r w:rsidR="00FB2FF5">
        <w:t>le the delegation must be clearly granted,</w:t>
      </w:r>
      <w:r w:rsidR="00E0486D">
        <w:t xml:space="preserve"> there is no minimum level of specifi</w:t>
      </w:r>
      <w:r w:rsidR="00E819E9">
        <w:t xml:space="preserve">city required; </w:t>
      </w:r>
      <w:r w:rsidR="00E0486D">
        <w:t>legislature</w:t>
      </w:r>
      <w:r w:rsidR="00E819E9">
        <w:t xml:space="preserve">s have the </w:t>
      </w:r>
      <w:r w:rsidR="00A65239">
        <w:t>discretion to make the delegation as specific or general as they wish</w:t>
      </w:r>
      <w:r w:rsidR="00E0486D">
        <w:t>.</w:t>
      </w:r>
      <w:r w:rsidR="00D00250" w:rsidRPr="00BC059A">
        <w:rPr>
          <w:rStyle w:val="FootnoteReference"/>
        </w:rPr>
        <w:footnoteReference w:id="70"/>
      </w:r>
      <w:r w:rsidR="00E0486D">
        <w:t xml:space="preserve"> </w:t>
      </w:r>
      <w:r w:rsidR="009D68B6">
        <w:t xml:space="preserve">In section 12, </w:t>
      </w:r>
      <w:r w:rsidR="00A3282C">
        <w:t xml:space="preserve">Parliament grants </w:t>
      </w:r>
      <w:r w:rsidR="00525C11">
        <w:t>to</w:t>
      </w:r>
      <w:r w:rsidR="00A3282C">
        <w:t xml:space="preserve"> </w:t>
      </w:r>
      <w:r w:rsidR="00A65239">
        <w:t>both the Governor in Council and</w:t>
      </w:r>
      <w:r w:rsidR="00525C11">
        <w:t xml:space="preserve"> </w:t>
      </w:r>
      <w:r w:rsidR="003D1BE6">
        <w:t xml:space="preserve">the Minister </w:t>
      </w:r>
      <w:r w:rsidR="008B26F6">
        <w:t xml:space="preserve">largely </w:t>
      </w:r>
      <w:r w:rsidR="003D1BE6">
        <w:t>identical</w:t>
      </w:r>
      <w:r w:rsidR="008B26F6">
        <w:t>,</w:t>
      </w:r>
      <w:r w:rsidR="00A3282C">
        <w:t xml:space="preserve"> broad authorities</w:t>
      </w:r>
      <w:r w:rsidR="003D1BE6">
        <w:t xml:space="preserve"> to make regulations for </w:t>
      </w:r>
      <w:r w:rsidR="00A2640C">
        <w:t>‘</w:t>
      </w:r>
      <w:r w:rsidR="008B26F6">
        <w:t>the organization, training, discipline, efficiency, administration and good governme</w:t>
      </w:r>
      <w:r w:rsidR="00A2640C">
        <w:t>nt of the Canadian Forces’ and ‘</w:t>
      </w:r>
      <w:r w:rsidR="008B26F6">
        <w:t>generally for carrying the purposes and pro</w:t>
      </w:r>
      <w:r w:rsidR="00A2640C">
        <w:t>visions of this Act into effect’</w:t>
      </w:r>
      <w:r w:rsidR="008B26F6">
        <w:t>.</w:t>
      </w:r>
      <w:r w:rsidR="00A2640C">
        <w:rPr>
          <w:rStyle w:val="FootnoteReference"/>
        </w:rPr>
        <w:footnoteReference w:id="71"/>
      </w:r>
      <w:r w:rsidR="008B26F6">
        <w:t xml:space="preserve"> While each authority is limited to the matters and purposes </w:t>
      </w:r>
      <w:r w:rsidR="009D68B6">
        <w:t xml:space="preserve">specifically </w:t>
      </w:r>
      <w:r w:rsidR="008B26F6">
        <w:t xml:space="preserve">referenced, the </w:t>
      </w:r>
      <w:r w:rsidR="00A3282C">
        <w:t xml:space="preserve">substantive </w:t>
      </w:r>
      <w:r w:rsidR="008B26F6">
        <w:t>scope of these matters are significant</w:t>
      </w:r>
      <w:r w:rsidR="00525C11">
        <w:t>,</w:t>
      </w:r>
      <w:r w:rsidR="008B26F6">
        <w:t xml:space="preserve"> and the enabling provisions </w:t>
      </w:r>
      <w:r w:rsidR="00E43373">
        <w:t xml:space="preserve">themselves </w:t>
      </w:r>
      <w:r w:rsidR="008B26F6">
        <w:t>provide no specificity as to how either authority is to be exercised within this framework</w:t>
      </w:r>
      <w:r w:rsidR="00E43373">
        <w:t>.</w:t>
      </w:r>
      <w:r w:rsidR="00FB2FF5">
        <w:rPr>
          <w:rStyle w:val="FootnoteReference"/>
        </w:rPr>
        <w:footnoteReference w:id="72"/>
      </w:r>
      <w:r w:rsidR="00E43373">
        <w:t xml:space="preserve"> </w:t>
      </w:r>
    </w:p>
    <w:p w:rsidR="00425CD1" w:rsidRDefault="00E43373" w:rsidP="00425CD1">
      <w:pPr>
        <w:spacing w:after="240" w:line="480" w:lineRule="auto"/>
        <w:ind w:firstLine="720"/>
      </w:pPr>
      <w:r>
        <w:t xml:space="preserve">Some guidance </w:t>
      </w:r>
      <w:r w:rsidR="00A3282C">
        <w:t xml:space="preserve">regarding </w:t>
      </w:r>
      <w:r w:rsidR="00A65239">
        <w:t xml:space="preserve">the </w:t>
      </w:r>
      <w:r w:rsidR="009D68B6">
        <w:t>specific</w:t>
      </w:r>
      <w:r w:rsidR="00A65239">
        <w:t xml:space="preserve"> </w:t>
      </w:r>
      <w:r w:rsidR="009D68B6">
        <w:t xml:space="preserve">matters </w:t>
      </w:r>
      <w:r w:rsidR="00A65239">
        <w:t xml:space="preserve">to </w:t>
      </w:r>
      <w:r w:rsidR="00BC5930">
        <w:t xml:space="preserve">be </w:t>
      </w:r>
      <w:r>
        <w:t xml:space="preserve">addressed through </w:t>
      </w:r>
      <w:r w:rsidR="00591F54">
        <w:t xml:space="preserve">regulation </w:t>
      </w:r>
      <w:r w:rsidR="009D68B6">
        <w:t xml:space="preserve">is provided in </w:t>
      </w:r>
      <w:r w:rsidR="00591F54">
        <w:t>other NDA sections</w:t>
      </w:r>
      <w:r>
        <w:t xml:space="preserve"> where specific reference is made to regulations that would be made under </w:t>
      </w:r>
      <w:r w:rsidR="00A3282C">
        <w:t>section</w:t>
      </w:r>
      <w:r>
        <w:t xml:space="preserve"> 12. For example,</w:t>
      </w:r>
      <w:r w:rsidR="00955511">
        <w:t xml:space="preserve"> relevant to the organization and administration of the CAF, </w:t>
      </w:r>
      <w:r w:rsidR="002C509F">
        <w:t>section 19 provides that ‘</w:t>
      </w:r>
      <w:r w:rsidR="002C509F" w:rsidRPr="002C509F">
        <w:rPr>
          <w:rFonts w:cs="Verdana"/>
        </w:rPr>
        <w:t>The authority and powers of command of officers and non-commissioned members shall be as prescribed in regulations</w:t>
      </w:r>
      <w:r w:rsidR="009D68B6">
        <w:rPr>
          <w:rFonts w:cs="Verdana"/>
        </w:rPr>
        <w:t>.</w:t>
      </w:r>
      <w:r w:rsidR="002C509F">
        <w:rPr>
          <w:rFonts w:cs="Verdana"/>
        </w:rPr>
        <w:t>’</w:t>
      </w:r>
      <w:r w:rsidR="009D68B6">
        <w:rPr>
          <w:rFonts w:cs="Verdana"/>
        </w:rPr>
        <w:t>,</w:t>
      </w:r>
      <w:r w:rsidR="00955511">
        <w:rPr>
          <w:rFonts w:cs="Verdana"/>
        </w:rPr>
        <w:t xml:space="preserve"> and in relation to discipline, section 147 provides that ‘</w:t>
      </w:r>
      <w:r w:rsidR="00955511" w:rsidRPr="00955511">
        <w:rPr>
          <w:rFonts w:cs="Verdana"/>
        </w:rPr>
        <w:t>The authority of a service tribunal to impose punishments may be limited in accordance with regulations made by the Governor in Council</w:t>
      </w:r>
      <w:r w:rsidR="009D68B6">
        <w:rPr>
          <w:rFonts w:cs="Verdana"/>
        </w:rPr>
        <w:t>.</w:t>
      </w:r>
      <w:r w:rsidR="00955511">
        <w:rPr>
          <w:rFonts w:cs="Verdana"/>
        </w:rPr>
        <w:t>’.</w:t>
      </w:r>
      <w:r w:rsidR="00A039C2">
        <w:rPr>
          <w:rStyle w:val="FootnoteReference"/>
          <w:rFonts w:cs="Verdana"/>
        </w:rPr>
        <w:footnoteReference w:id="73"/>
      </w:r>
      <w:r w:rsidR="008B26F6" w:rsidRPr="002C509F">
        <w:t xml:space="preserve"> </w:t>
      </w:r>
      <w:r w:rsidR="00A445DD">
        <w:t>While t</w:t>
      </w:r>
      <w:r w:rsidR="00A3282C">
        <w:t>hes</w:t>
      </w:r>
      <w:r w:rsidR="00BC5930">
        <w:t xml:space="preserve">e references </w:t>
      </w:r>
      <w:r w:rsidR="00A445DD">
        <w:t xml:space="preserve">identify specific matters </w:t>
      </w:r>
      <w:r w:rsidR="00A3282C">
        <w:t xml:space="preserve">on which </w:t>
      </w:r>
      <w:r w:rsidR="009D68B6">
        <w:t>Parliament expects</w:t>
      </w:r>
      <w:r w:rsidR="00AC73CE">
        <w:t xml:space="preserve"> amplification by regulation</w:t>
      </w:r>
      <w:r w:rsidR="00A3282C">
        <w:t xml:space="preserve">, </w:t>
      </w:r>
      <w:r w:rsidR="00A3282C">
        <w:lastRenderedPageBreak/>
        <w:t xml:space="preserve">they do not constrain </w:t>
      </w:r>
      <w:r w:rsidR="009D68B6">
        <w:t>the delegated authorities f</w:t>
      </w:r>
      <w:r w:rsidR="00A3282C">
        <w:t xml:space="preserve">rom regulating on </w:t>
      </w:r>
      <w:r w:rsidR="00B50408">
        <w:t xml:space="preserve">other matters </w:t>
      </w:r>
      <w:r w:rsidR="00E21D45">
        <w:t xml:space="preserve">that fall within the limits of the delegation but are </w:t>
      </w:r>
      <w:r w:rsidR="00C157ED">
        <w:t>n</w:t>
      </w:r>
      <w:r w:rsidR="00A65239">
        <w:t>ot specifically referenced</w:t>
      </w:r>
      <w:r w:rsidR="00586E7E">
        <w:t>. Furthermore, the</w:t>
      </w:r>
      <w:r w:rsidR="0083334E">
        <w:t xml:space="preserve">y </w:t>
      </w:r>
      <w:r w:rsidR="00A3282C">
        <w:t xml:space="preserve">do </w:t>
      </w:r>
      <w:r w:rsidR="0083334E">
        <w:t xml:space="preserve">not </w:t>
      </w:r>
      <w:r w:rsidR="00591F54">
        <w:t xml:space="preserve">provide </w:t>
      </w:r>
      <w:r w:rsidR="00586E7E">
        <w:t xml:space="preserve">direction to the delegated authority </w:t>
      </w:r>
      <w:r w:rsidR="00A65239">
        <w:t xml:space="preserve">regarding </w:t>
      </w:r>
      <w:r w:rsidR="0083334E">
        <w:t xml:space="preserve">the specific </w:t>
      </w:r>
      <w:r w:rsidR="00B95AC1">
        <w:t>objectives</w:t>
      </w:r>
      <w:r w:rsidR="00D150FF">
        <w:t xml:space="preserve"> and </w:t>
      </w:r>
      <w:r w:rsidR="00B95AC1">
        <w:t xml:space="preserve">principles </w:t>
      </w:r>
      <w:r w:rsidR="00A65239">
        <w:t xml:space="preserve">relevant to </w:t>
      </w:r>
      <w:r w:rsidR="0083334E">
        <w:t xml:space="preserve">those </w:t>
      </w:r>
      <w:r w:rsidR="00A65239">
        <w:t>r</w:t>
      </w:r>
      <w:r w:rsidR="009D68B6">
        <w:t>egulations.</w:t>
      </w:r>
      <w:r w:rsidR="00FB2FF5">
        <w:rPr>
          <w:rStyle w:val="FootnoteReference"/>
        </w:rPr>
        <w:footnoteReference w:id="74"/>
      </w:r>
      <w:r w:rsidR="009D68B6">
        <w:t xml:space="preserve"> </w:t>
      </w:r>
      <w:r w:rsidR="00776F60">
        <w:t>Regarding the M</w:t>
      </w:r>
      <w:r w:rsidR="00A039C2">
        <w:t>inister</w:t>
      </w:r>
      <w:r w:rsidR="003823F9">
        <w:t xml:space="preserve">’s </w:t>
      </w:r>
      <w:r w:rsidR="00A039C2">
        <w:t>authority</w:t>
      </w:r>
      <w:r w:rsidR="003823F9">
        <w:t xml:space="preserve">, </w:t>
      </w:r>
      <w:r w:rsidR="00776F60">
        <w:t xml:space="preserve">while broad, </w:t>
      </w:r>
      <w:r w:rsidR="003823F9">
        <w:t xml:space="preserve">Parliament has </w:t>
      </w:r>
      <w:r w:rsidR="00C157ED">
        <w:t xml:space="preserve">constrained </w:t>
      </w:r>
      <w:r w:rsidR="00776F60">
        <w:t xml:space="preserve">its use </w:t>
      </w:r>
      <w:r w:rsidR="00C157ED">
        <w:t xml:space="preserve">somewhat </w:t>
      </w:r>
      <w:r w:rsidR="00776F60">
        <w:t xml:space="preserve">by making it </w:t>
      </w:r>
      <w:r w:rsidR="008B26F6">
        <w:t xml:space="preserve">subject to any regulations made by the Governor </w:t>
      </w:r>
      <w:r w:rsidR="001C29E4">
        <w:t>in Council</w:t>
      </w:r>
      <w:r w:rsidR="003823F9">
        <w:t xml:space="preserve"> </w:t>
      </w:r>
      <w:r w:rsidR="00C157ED">
        <w:t xml:space="preserve">and </w:t>
      </w:r>
      <w:r w:rsidR="00AA0CCA">
        <w:t xml:space="preserve">to any matters for which an express reference </w:t>
      </w:r>
      <w:r w:rsidR="00EF30BA">
        <w:t xml:space="preserve">is made </w:t>
      </w:r>
      <w:r w:rsidR="00AA0CCA">
        <w:t xml:space="preserve">in the NDA to regulations made or prescribed by </w:t>
      </w:r>
      <w:r w:rsidR="001C29E4">
        <w:t>the Governor in Council or the Treasury Board.</w:t>
      </w:r>
      <w:r w:rsidR="00776F60">
        <w:rPr>
          <w:rStyle w:val="FootnoteReference"/>
        </w:rPr>
        <w:footnoteReference w:id="75"/>
      </w:r>
      <w:r w:rsidR="00425CD1">
        <w:t xml:space="preserve"> </w:t>
      </w:r>
    </w:p>
    <w:p w:rsidR="004A6546" w:rsidRDefault="009207DA" w:rsidP="00425CD1">
      <w:pPr>
        <w:spacing w:after="240" w:line="480" w:lineRule="auto"/>
        <w:ind w:firstLine="720"/>
      </w:pPr>
      <w:r w:rsidRPr="00425CD1">
        <w:t>The enabling provision</w:t>
      </w:r>
      <w:r w:rsidR="00A2640C" w:rsidRPr="00425CD1">
        <w:t>s</w:t>
      </w:r>
      <w:r w:rsidRPr="00425CD1">
        <w:t xml:space="preserve"> for</w:t>
      </w:r>
      <w:r>
        <w:t xml:space="preserve"> the Treasury Board</w:t>
      </w:r>
      <w:r w:rsidR="00A2640C">
        <w:t xml:space="preserve"> are </w:t>
      </w:r>
      <w:r w:rsidR="001B1C13">
        <w:t>more narrowly worded than t</w:t>
      </w:r>
      <w:r w:rsidR="00031909">
        <w:t xml:space="preserve">hose for the </w:t>
      </w:r>
      <w:r w:rsidR="00A326EC">
        <w:t>other authorities</w:t>
      </w:r>
      <w:r w:rsidR="00031909">
        <w:t>. The Treasury Board’s authority is focused entirely on matters of finance, suc</w:t>
      </w:r>
      <w:r w:rsidR="00A2640C">
        <w:t>h as rates and conditions of pay and forfeitures and deductions, however, within this subject area, the authority has been extended to</w:t>
      </w:r>
      <w:r w:rsidR="00597B8A">
        <w:t xml:space="preserve"> cover</w:t>
      </w:r>
      <w:r w:rsidR="00A2640C">
        <w:t xml:space="preserve"> ‘any matter concerning the pay, allowances and reimbursement of expenses …</w:t>
      </w:r>
      <w:r w:rsidR="00597B8A">
        <w:t xml:space="preserve"> for which the</w:t>
      </w:r>
      <w:r w:rsidR="00A2640C">
        <w:t xml:space="preserve"> Treasury Board</w:t>
      </w:r>
      <w:r w:rsidR="00597B8A">
        <w:t xml:space="preserve"> considers regulations are necessary or desirable to carry out the purpose or provisions of this Act’.</w:t>
      </w:r>
      <w:r w:rsidR="00597B8A">
        <w:rPr>
          <w:rStyle w:val="FootnoteReference"/>
        </w:rPr>
        <w:footnoteReference w:id="76"/>
      </w:r>
      <w:r w:rsidR="00597B8A">
        <w:t xml:space="preserve"> While parameters have been provided regardi</w:t>
      </w:r>
      <w:r w:rsidR="00196CCF">
        <w:t xml:space="preserve">ng the possible subject </w:t>
      </w:r>
      <w:r w:rsidR="00597B8A">
        <w:t xml:space="preserve">of the regulations, no specificity </w:t>
      </w:r>
      <w:r w:rsidR="00E566A1">
        <w:t>has been given a</w:t>
      </w:r>
      <w:r w:rsidR="00597B8A">
        <w:t>s to the</w:t>
      </w:r>
      <w:r w:rsidR="00E566A1">
        <w:t>ir</w:t>
      </w:r>
      <w:r w:rsidR="00597B8A">
        <w:t xml:space="preserve"> substantive content</w:t>
      </w:r>
      <w:r w:rsidR="00591F54">
        <w:t>; it has</w:t>
      </w:r>
      <w:r w:rsidR="00E566A1">
        <w:t xml:space="preserve"> been left to the </w:t>
      </w:r>
      <w:r w:rsidR="00597B8A">
        <w:t xml:space="preserve">Treasury Board </w:t>
      </w:r>
      <w:r w:rsidR="00E566A1">
        <w:t xml:space="preserve">to determine </w:t>
      </w:r>
      <w:r w:rsidR="00591F54">
        <w:t>what</w:t>
      </w:r>
      <w:r w:rsidR="001B1C13">
        <w:t xml:space="preserve"> is </w:t>
      </w:r>
      <w:r w:rsidR="00597B8A">
        <w:t>‘necessary or desirable’</w:t>
      </w:r>
      <w:r w:rsidR="00DE1091">
        <w:t xml:space="preserve"> and also to determine the principles and substance applicable to </w:t>
      </w:r>
      <w:r w:rsidR="00196CCF">
        <w:t>the regulations</w:t>
      </w:r>
      <w:r w:rsidR="00597B8A">
        <w:t>.</w:t>
      </w:r>
      <w:r w:rsidR="00425CD1">
        <w:rPr>
          <w:rStyle w:val="FootnoteReference"/>
        </w:rPr>
        <w:footnoteReference w:id="77"/>
      </w:r>
      <w:r w:rsidR="00D73EE1">
        <w:t xml:space="preserve"> </w:t>
      </w:r>
    </w:p>
    <w:p w:rsidR="00E566A1" w:rsidRDefault="00214CB8" w:rsidP="006F418C">
      <w:pPr>
        <w:spacing w:after="240" w:line="480" w:lineRule="auto"/>
        <w:ind w:firstLine="720"/>
      </w:pPr>
      <w:r>
        <w:t xml:space="preserve">While the authority delegated to the </w:t>
      </w:r>
      <w:r w:rsidR="00A326EC">
        <w:t>Treasury Board</w:t>
      </w:r>
      <w:r>
        <w:t xml:space="preserve"> </w:t>
      </w:r>
      <w:r w:rsidR="00A326EC">
        <w:t>has a more narrow substantive focus,</w:t>
      </w:r>
      <w:r w:rsidR="00FC01EE">
        <w:t xml:space="preserve"> </w:t>
      </w:r>
      <w:r>
        <w:t xml:space="preserve">when considered as </w:t>
      </w:r>
      <w:r w:rsidR="00425CD1">
        <w:t>a whole</w:t>
      </w:r>
      <w:r w:rsidR="00591F54">
        <w:t>,</w:t>
      </w:r>
      <w:r w:rsidR="00425CD1">
        <w:t xml:space="preserve"> </w:t>
      </w:r>
      <w:r>
        <w:t>section 12 provides</w:t>
      </w:r>
      <w:r w:rsidR="00A326EC">
        <w:t xml:space="preserve"> </w:t>
      </w:r>
      <w:r w:rsidR="00FC01EE">
        <w:t xml:space="preserve">broad </w:t>
      </w:r>
      <w:r>
        <w:t xml:space="preserve">regulation making powers </w:t>
      </w:r>
      <w:r w:rsidR="00584DC7">
        <w:t xml:space="preserve">to </w:t>
      </w:r>
      <w:r>
        <w:t>each of the delegated authorities</w:t>
      </w:r>
      <w:r w:rsidR="00584DC7">
        <w:t xml:space="preserve">. </w:t>
      </w:r>
      <w:r>
        <w:t xml:space="preserve">The individual delegations specify the particular matters and purposes </w:t>
      </w:r>
      <w:r w:rsidR="005246DB">
        <w:t>in relation t</w:t>
      </w:r>
      <w:r w:rsidR="00584DC7">
        <w:t xml:space="preserve">o which </w:t>
      </w:r>
      <w:r w:rsidR="00D76BDE">
        <w:t xml:space="preserve">each </w:t>
      </w:r>
      <w:r w:rsidR="00584DC7">
        <w:t>authority can make r</w:t>
      </w:r>
      <w:r w:rsidR="00D76BDE">
        <w:t xml:space="preserve">egulations, </w:t>
      </w:r>
      <w:r>
        <w:t xml:space="preserve">however, </w:t>
      </w:r>
      <w:r w:rsidR="00D76BDE">
        <w:t xml:space="preserve">within these </w:t>
      </w:r>
      <w:r w:rsidR="00D76BDE">
        <w:lastRenderedPageBreak/>
        <w:t xml:space="preserve">limits, </w:t>
      </w:r>
      <w:r w:rsidR="00FC01EE">
        <w:t>all three delegated authorities have been granted significant substantive discretion</w:t>
      </w:r>
      <w:r w:rsidR="00A326EC">
        <w:t>.</w:t>
      </w:r>
      <w:r w:rsidR="00FC01EE">
        <w:t xml:space="preserve"> </w:t>
      </w:r>
      <w:r>
        <w:t xml:space="preserve"> </w:t>
      </w:r>
      <w:r w:rsidR="003C476C">
        <w:t xml:space="preserve">While the fact that section 12 does not specify any principles or </w:t>
      </w:r>
      <w:r w:rsidR="00F9293D">
        <w:t xml:space="preserve">objectives </w:t>
      </w:r>
      <w:r w:rsidR="003C476C">
        <w:t>applicable to how the delegated authorities are to be exercised</w:t>
      </w:r>
      <w:r w:rsidR="00F9293D">
        <w:t xml:space="preserve"> </w:t>
      </w:r>
      <w:r w:rsidR="00C579C5">
        <w:t>does not affect</w:t>
      </w:r>
      <w:r w:rsidR="005246DB">
        <w:t xml:space="preserve"> the validity of the delegations</w:t>
      </w:r>
      <w:r w:rsidR="00C579C5">
        <w:t>,</w:t>
      </w:r>
      <w:r w:rsidR="00425CD1">
        <w:rPr>
          <w:rStyle w:val="FootnoteReference"/>
        </w:rPr>
        <w:footnoteReference w:id="78"/>
      </w:r>
      <w:r w:rsidR="00C579C5">
        <w:t xml:space="preserve"> </w:t>
      </w:r>
      <w:r w:rsidR="005246DB">
        <w:t xml:space="preserve">it does affect the sufficiency of the </w:t>
      </w:r>
      <w:r w:rsidR="009B1A1F">
        <w:t>pre</w:t>
      </w:r>
      <w:r w:rsidR="005246DB">
        <w:t xml:space="preserve">determination provided in </w:t>
      </w:r>
      <w:r w:rsidR="003C476C">
        <w:t xml:space="preserve">those </w:t>
      </w:r>
      <w:r w:rsidR="005246DB">
        <w:t xml:space="preserve">provisions for </w:t>
      </w:r>
      <w:r w:rsidR="003C476C">
        <w:t>the achievement</w:t>
      </w:r>
      <w:r w:rsidR="005246DB">
        <w:t xml:space="preserve"> </w:t>
      </w:r>
      <w:r w:rsidR="003C476C">
        <w:t xml:space="preserve">of </w:t>
      </w:r>
      <w:r w:rsidR="005246DB">
        <w:t>democratic legitimation.</w:t>
      </w:r>
      <w:r w:rsidR="009B1A1F" w:rsidRPr="00BC6514">
        <w:rPr>
          <w:rStyle w:val="FootnoteReference"/>
        </w:rPr>
        <w:footnoteReference w:id="79"/>
      </w:r>
      <w:r w:rsidR="003C476C">
        <w:t xml:space="preserve"> </w:t>
      </w:r>
      <w:r w:rsidR="009B1A1F">
        <w:t xml:space="preserve">Based on their lack of substantive specificity, </w:t>
      </w:r>
      <w:r w:rsidR="00D76BDE">
        <w:t xml:space="preserve">the enabling provisions in section 12 </w:t>
      </w:r>
      <w:r w:rsidR="009B1A1F">
        <w:t xml:space="preserve">clearly </w:t>
      </w:r>
      <w:r w:rsidR="00D76BDE">
        <w:t xml:space="preserve">provide a weak </w:t>
      </w:r>
      <w:r w:rsidR="00906E12">
        <w:t xml:space="preserve">and insufficient </w:t>
      </w:r>
      <w:r w:rsidR="00D76BDE">
        <w:t>source of democratic legitimation for the QR&amp;O.</w:t>
      </w:r>
      <w:r w:rsidR="009B1A1F">
        <w:rPr>
          <w:rStyle w:val="FootnoteReference"/>
        </w:rPr>
        <w:footnoteReference w:id="80"/>
      </w:r>
      <w:r w:rsidR="006B38A6">
        <w:t xml:space="preserve"> </w:t>
      </w:r>
    </w:p>
    <w:p w:rsidR="00F0764A" w:rsidRPr="00F0764A" w:rsidRDefault="00E566A1" w:rsidP="00E566A1">
      <w:pPr>
        <w:spacing w:after="240" w:line="480" w:lineRule="auto"/>
        <w:rPr>
          <w:u w:val="single"/>
        </w:rPr>
      </w:pPr>
      <w:r>
        <w:t>I</w:t>
      </w:r>
      <w:r w:rsidR="00F0764A">
        <w:t>I.</w:t>
      </w:r>
      <w:r w:rsidR="00F0764A">
        <w:tab/>
      </w:r>
      <w:r w:rsidR="003753CE" w:rsidRPr="003753CE">
        <w:rPr>
          <w:u w:val="single"/>
        </w:rPr>
        <w:t>Democra</w:t>
      </w:r>
      <w:r w:rsidR="003753CE">
        <w:rPr>
          <w:u w:val="single"/>
        </w:rPr>
        <w:t>tic l</w:t>
      </w:r>
      <w:r w:rsidR="003753CE" w:rsidRPr="003753CE">
        <w:rPr>
          <w:u w:val="single"/>
        </w:rPr>
        <w:t xml:space="preserve">egitimation by </w:t>
      </w:r>
      <w:r w:rsidR="003753CE">
        <w:rPr>
          <w:u w:val="single"/>
        </w:rPr>
        <w:t>p</w:t>
      </w:r>
      <w:r w:rsidR="00B35D13" w:rsidRPr="00B35D13">
        <w:rPr>
          <w:u w:val="single"/>
        </w:rPr>
        <w:t>arliamentary participation in the executive rule</w:t>
      </w:r>
      <w:r w:rsidR="00FB14B0">
        <w:rPr>
          <w:u w:val="single"/>
        </w:rPr>
        <w:t>-</w:t>
      </w:r>
      <w:r w:rsidR="00B35D13" w:rsidRPr="00B35D13">
        <w:rPr>
          <w:u w:val="single"/>
        </w:rPr>
        <w:t>making process</w:t>
      </w:r>
    </w:p>
    <w:p w:rsidR="002556A8" w:rsidRDefault="00F53344" w:rsidP="00F82AF7">
      <w:pPr>
        <w:spacing w:after="240" w:line="480" w:lineRule="auto"/>
        <w:ind w:firstLine="720"/>
      </w:pPr>
      <w:r>
        <w:t>Pünder</w:t>
      </w:r>
      <w:r w:rsidR="006A1D09">
        <w:t xml:space="preserve"> </w:t>
      </w:r>
      <w:r w:rsidR="00353278">
        <w:t xml:space="preserve">recognizes that depending on </w:t>
      </w:r>
      <w:r w:rsidR="00C67E54">
        <w:t xml:space="preserve">the </w:t>
      </w:r>
      <w:r w:rsidR="00353278">
        <w:t xml:space="preserve">existing legal framework and the </w:t>
      </w:r>
      <w:r w:rsidR="00B002E4">
        <w:t xml:space="preserve">level of specificity contained in the </w:t>
      </w:r>
      <w:r w:rsidR="00353278">
        <w:t>delegation, the enabling provision alone may be insufficient to provide the parliamentary predeterm</w:t>
      </w:r>
      <w:r w:rsidR="00C12894">
        <w:t>ination needed for legitimation;</w:t>
      </w:r>
      <w:r w:rsidR="00353278">
        <w:t xml:space="preserve"> accordingly, he i</w:t>
      </w:r>
      <w:r w:rsidR="006A1D09">
        <w:t>dentifies</w:t>
      </w:r>
      <w:r w:rsidR="00B53FD3">
        <w:t xml:space="preserve"> </w:t>
      </w:r>
      <w:r>
        <w:t>p</w:t>
      </w:r>
      <w:r w:rsidR="005B2827">
        <w:t xml:space="preserve">arliamentary </w:t>
      </w:r>
      <w:r>
        <w:t xml:space="preserve">participation in the regulation </w:t>
      </w:r>
      <w:r w:rsidR="005B2827">
        <w:t xml:space="preserve">making process </w:t>
      </w:r>
      <w:r w:rsidR="006A1D09">
        <w:t xml:space="preserve">as a means to compensate </w:t>
      </w:r>
      <w:r w:rsidR="0098168A">
        <w:t>fo</w:t>
      </w:r>
      <w:r>
        <w:t>r</w:t>
      </w:r>
      <w:r w:rsidR="00A84181">
        <w:t xml:space="preserve"> </w:t>
      </w:r>
      <w:r w:rsidR="00C67E54">
        <w:t xml:space="preserve">any </w:t>
      </w:r>
      <w:r w:rsidR="00686C9B">
        <w:t>weak</w:t>
      </w:r>
      <w:r w:rsidR="00C67E54">
        <w:t xml:space="preserve">ness </w:t>
      </w:r>
      <w:r w:rsidR="00F07C22">
        <w:t>in</w:t>
      </w:r>
      <w:r w:rsidR="00686C9B">
        <w:t xml:space="preserve"> parliamentary</w:t>
      </w:r>
      <w:r w:rsidR="0098168A">
        <w:t xml:space="preserve"> predetermination</w:t>
      </w:r>
      <w:r w:rsidR="006A1D09">
        <w:t>.</w:t>
      </w:r>
      <w:r w:rsidR="0035568A">
        <w:rPr>
          <w:rStyle w:val="FootnoteReference"/>
        </w:rPr>
        <w:footnoteReference w:id="81"/>
      </w:r>
      <w:r w:rsidR="0035568A">
        <w:t xml:space="preserve"> </w:t>
      </w:r>
      <w:r w:rsidR="006A1D09">
        <w:t xml:space="preserve">While </w:t>
      </w:r>
      <w:r w:rsidR="00C12894">
        <w:t>Pünder acknowledges criticism</w:t>
      </w:r>
      <w:r w:rsidR="00B53FD3">
        <w:t xml:space="preserve"> over the </w:t>
      </w:r>
      <w:r w:rsidR="006A1D09">
        <w:t xml:space="preserve">ability of </w:t>
      </w:r>
      <w:r w:rsidR="00B53FD3">
        <w:t xml:space="preserve">retrospective </w:t>
      </w:r>
      <w:r w:rsidR="006A1D09">
        <w:t>parliamentary participation to fully achieve th</w:t>
      </w:r>
      <w:r w:rsidR="00C12894">
        <w:t xml:space="preserve">e same level of legitimation as </w:t>
      </w:r>
      <w:r w:rsidR="00F07C22">
        <w:t xml:space="preserve">can be realized </w:t>
      </w:r>
      <w:r w:rsidR="00C12894">
        <w:t xml:space="preserve">through </w:t>
      </w:r>
      <w:r w:rsidR="00F07C22">
        <w:t xml:space="preserve">the </w:t>
      </w:r>
      <w:r w:rsidR="00C12894">
        <w:t>statute</w:t>
      </w:r>
      <w:r w:rsidR="00B002E4">
        <w:t xml:space="preserve"> itself</w:t>
      </w:r>
      <w:r w:rsidR="00F07C22">
        <w:t xml:space="preserve">, he </w:t>
      </w:r>
      <w:r w:rsidR="003A28AB">
        <w:t xml:space="preserve">nevertheless </w:t>
      </w:r>
      <w:r w:rsidR="00F07C22">
        <w:t>views</w:t>
      </w:r>
      <w:r w:rsidR="00C12894">
        <w:t xml:space="preserve"> </w:t>
      </w:r>
      <w:r w:rsidR="00E02EEF">
        <w:t>it</w:t>
      </w:r>
      <w:r w:rsidR="00C12894">
        <w:t xml:space="preserve"> as </w:t>
      </w:r>
      <w:r w:rsidR="00F07C22">
        <w:t>a</w:t>
      </w:r>
      <w:r w:rsidR="00B002E4">
        <w:t xml:space="preserve"> </w:t>
      </w:r>
      <w:r w:rsidR="0091676E">
        <w:t>viable option for</w:t>
      </w:r>
      <w:r w:rsidR="0035568A">
        <w:t xml:space="preserve"> </w:t>
      </w:r>
      <w:r>
        <w:t>bolster</w:t>
      </w:r>
      <w:r w:rsidR="0091676E">
        <w:t>ing</w:t>
      </w:r>
      <w:r>
        <w:t xml:space="preserve"> legitimation</w:t>
      </w:r>
      <w:r w:rsidR="0035568A">
        <w:t>.</w:t>
      </w:r>
      <w:r w:rsidR="0035568A">
        <w:rPr>
          <w:rStyle w:val="FootnoteReference"/>
        </w:rPr>
        <w:footnoteReference w:id="82"/>
      </w:r>
      <w:r w:rsidR="00686C9B">
        <w:t xml:space="preserve"> </w:t>
      </w:r>
      <w:r w:rsidR="007544E7">
        <w:t xml:space="preserve">In Canada, </w:t>
      </w:r>
      <w:r w:rsidR="00E94375">
        <w:t xml:space="preserve">Parliament is not </w:t>
      </w:r>
      <w:r w:rsidR="003A5903">
        <w:t xml:space="preserve">normally involved in the development or approval of regulations </w:t>
      </w:r>
      <w:r w:rsidR="00334B89">
        <w:t>unless the enabling provision</w:t>
      </w:r>
      <w:r w:rsidR="00B53FD3">
        <w:t xml:space="preserve"> </w:t>
      </w:r>
      <w:r w:rsidR="00641210">
        <w:t xml:space="preserve">specifically requires a particular </w:t>
      </w:r>
      <w:r w:rsidR="00B53FD3">
        <w:t>involvement</w:t>
      </w:r>
      <w:r w:rsidR="00334B89">
        <w:t>.</w:t>
      </w:r>
      <w:r w:rsidR="00334B89">
        <w:rPr>
          <w:rStyle w:val="FootnoteReference"/>
        </w:rPr>
        <w:footnoteReference w:id="83"/>
      </w:r>
      <w:r w:rsidR="00334B89">
        <w:t xml:space="preserve"> For example, it may be required that </w:t>
      </w:r>
      <w:r w:rsidR="00E02EEF">
        <w:t>the approved</w:t>
      </w:r>
      <w:r w:rsidR="00611912">
        <w:t xml:space="preserve"> regulation be laid before Parliament or </w:t>
      </w:r>
      <w:r w:rsidR="00334B89">
        <w:t xml:space="preserve">that </w:t>
      </w:r>
      <w:r w:rsidR="00641210">
        <w:t>final approval of</w:t>
      </w:r>
      <w:r w:rsidR="00334B89">
        <w:t xml:space="preserve"> </w:t>
      </w:r>
      <w:r w:rsidR="00815689">
        <w:t>the</w:t>
      </w:r>
      <w:r w:rsidR="00334B89">
        <w:t xml:space="preserve"> regulation</w:t>
      </w:r>
      <w:r w:rsidR="00815689">
        <w:t xml:space="preserve"> </w:t>
      </w:r>
      <w:r w:rsidR="00815689">
        <w:lastRenderedPageBreak/>
        <w:t xml:space="preserve">be tied </w:t>
      </w:r>
      <w:r w:rsidR="00F07C22">
        <w:t xml:space="preserve">to the completion of </w:t>
      </w:r>
      <w:r w:rsidR="0035568A">
        <w:t>a positive or negative resolution procedure in Parliament</w:t>
      </w:r>
      <w:r w:rsidR="00090BF8">
        <w:t>.</w:t>
      </w:r>
      <w:r w:rsidR="00286DD1">
        <w:rPr>
          <w:rStyle w:val="FootnoteReference"/>
        </w:rPr>
        <w:footnoteReference w:id="84"/>
      </w:r>
      <w:r w:rsidR="00641210">
        <w:t xml:space="preserve"> In the case of</w:t>
      </w:r>
      <w:r w:rsidR="003E6D06">
        <w:t xml:space="preserve"> </w:t>
      </w:r>
      <w:r w:rsidR="00641210">
        <w:t xml:space="preserve">the </w:t>
      </w:r>
      <w:r w:rsidR="00286DD1">
        <w:t xml:space="preserve">QR&amp;O, </w:t>
      </w:r>
      <w:r w:rsidR="00815689">
        <w:t xml:space="preserve">section 12 does not </w:t>
      </w:r>
      <w:r w:rsidR="00641210">
        <w:t xml:space="preserve">require any </w:t>
      </w:r>
      <w:r w:rsidR="00815689">
        <w:t>p</w:t>
      </w:r>
      <w:r w:rsidR="003E6D06">
        <w:t>arliamentary involvement.</w:t>
      </w:r>
      <w:r w:rsidR="00286DD1" w:rsidRPr="003E6D06">
        <w:rPr>
          <w:rStyle w:val="FootnoteReference"/>
        </w:rPr>
        <w:footnoteReference w:id="85"/>
      </w:r>
      <w:r w:rsidR="00286DD1">
        <w:t xml:space="preserve"> </w:t>
      </w:r>
    </w:p>
    <w:p w:rsidR="00170AF0" w:rsidRDefault="00B53FD3" w:rsidP="00D20E1F">
      <w:pPr>
        <w:spacing w:after="240" w:line="480" w:lineRule="auto"/>
        <w:ind w:firstLine="720"/>
      </w:pPr>
      <w:r>
        <w:t>The most common mechanism</w:t>
      </w:r>
      <w:r w:rsidR="001562D9">
        <w:t xml:space="preserve"> in Canada for achieving </w:t>
      </w:r>
      <w:r w:rsidR="00641210">
        <w:t xml:space="preserve">retrospective </w:t>
      </w:r>
      <w:r w:rsidR="001562D9">
        <w:t>p</w:t>
      </w:r>
      <w:r w:rsidR="00286DD1">
        <w:t>arliamentary</w:t>
      </w:r>
      <w:r w:rsidR="002556A8">
        <w:t xml:space="preserve"> </w:t>
      </w:r>
      <w:r w:rsidR="00641210">
        <w:t>participation in the regulatory</w:t>
      </w:r>
      <w:r w:rsidR="001562D9">
        <w:t xml:space="preserve"> process is through </w:t>
      </w:r>
      <w:r w:rsidR="007F3EDC">
        <w:t xml:space="preserve">the work of the </w:t>
      </w:r>
      <w:r w:rsidR="001562D9">
        <w:t>Standing Joint Committee for the Scrutiny of Regulations</w:t>
      </w:r>
      <w:r w:rsidR="007F3EDC">
        <w:t xml:space="preserve">, which </w:t>
      </w:r>
      <w:r w:rsidR="00334B89">
        <w:t xml:space="preserve">has the mandate to conduct </w:t>
      </w:r>
      <w:r w:rsidR="00815689">
        <w:t xml:space="preserve">an </w:t>
      </w:r>
      <w:r w:rsidR="00815689">
        <w:rPr>
          <w:i/>
        </w:rPr>
        <w:t xml:space="preserve">ex post facto </w:t>
      </w:r>
      <w:r w:rsidR="00815689">
        <w:t>review of regulation</w:t>
      </w:r>
      <w:r w:rsidR="00334B89">
        <w:t>s</w:t>
      </w:r>
      <w:r w:rsidR="00815689">
        <w:t>.</w:t>
      </w:r>
      <w:r w:rsidR="001562D9">
        <w:rPr>
          <w:rStyle w:val="FootnoteReference"/>
        </w:rPr>
        <w:footnoteReference w:id="86"/>
      </w:r>
      <w:r w:rsidR="00815689">
        <w:t xml:space="preserve"> </w:t>
      </w:r>
      <w:r w:rsidR="00B47C44">
        <w:t xml:space="preserve">The Committee takes its mandate from the SIA, which </w:t>
      </w:r>
      <w:r w:rsidR="00961FED">
        <w:t xml:space="preserve">provides that </w:t>
      </w:r>
      <w:r w:rsidR="0035568A">
        <w:t xml:space="preserve">every </w:t>
      </w:r>
      <w:r w:rsidR="00334B89">
        <w:t xml:space="preserve">statutory instrument </w:t>
      </w:r>
      <w:r w:rsidR="00961FED">
        <w:t xml:space="preserve">made after 31 December 1971, </w:t>
      </w:r>
      <w:r w:rsidR="00334B89">
        <w:t xml:space="preserve">which includes regulations and is </w:t>
      </w:r>
      <w:r w:rsidR="00961FED">
        <w:t>subject to som</w:t>
      </w:r>
      <w:r w:rsidR="007F3EDC">
        <w:t>e exceptions, is permanently</w:t>
      </w:r>
      <w:r w:rsidR="0035568A">
        <w:t xml:space="preserve"> referred </w:t>
      </w:r>
      <w:r w:rsidR="007F3EDC">
        <w:t xml:space="preserve">to any </w:t>
      </w:r>
      <w:r w:rsidR="00961FED">
        <w:t>Parliamentary Committee established to review and scrutinize statutory instruments</w:t>
      </w:r>
      <w:r w:rsidR="00B47C44">
        <w:t>.</w:t>
      </w:r>
      <w:r w:rsidR="00F82AF7">
        <w:rPr>
          <w:rStyle w:val="FootnoteReference"/>
        </w:rPr>
        <w:footnoteReference w:id="87"/>
      </w:r>
      <w:r w:rsidR="00221AB7">
        <w:t xml:space="preserve"> </w:t>
      </w:r>
      <w:r w:rsidR="00B47C44">
        <w:t>I</w:t>
      </w:r>
      <w:r w:rsidR="00E81D77">
        <w:t xml:space="preserve">n </w:t>
      </w:r>
      <w:r w:rsidR="005F22C2">
        <w:t>practice</w:t>
      </w:r>
      <w:r w:rsidR="00B47C44">
        <w:t>, the Committee</w:t>
      </w:r>
      <w:r w:rsidR="007F3EDC">
        <w:t xml:space="preserve"> </w:t>
      </w:r>
      <w:r w:rsidR="00221AB7">
        <w:t>review</w:t>
      </w:r>
      <w:r w:rsidR="005F22C2">
        <w:t>s</w:t>
      </w:r>
      <w:r w:rsidR="00221AB7">
        <w:t xml:space="preserve"> all instruments published in the </w:t>
      </w:r>
      <w:r w:rsidR="00221AB7" w:rsidRPr="00AA0142">
        <w:rPr>
          <w:i/>
        </w:rPr>
        <w:t>Canada Gazette</w:t>
      </w:r>
      <w:r w:rsidR="00221AB7">
        <w:t xml:space="preserve"> as well as some categories of instruments that have been exempted from registration and publication</w:t>
      </w:r>
      <w:r w:rsidR="00B47C44">
        <w:t>,</w:t>
      </w:r>
      <w:r w:rsidR="007F3EDC">
        <w:t xml:space="preserve"> </w:t>
      </w:r>
      <w:r w:rsidR="00B47C44">
        <w:t>and its review is considered the last step in the federal regulatory development process.</w:t>
      </w:r>
      <w:r w:rsidR="00B47C44">
        <w:rPr>
          <w:rStyle w:val="FootnoteReference"/>
        </w:rPr>
        <w:footnoteReference w:id="88"/>
      </w:r>
      <w:r w:rsidR="00B47C44">
        <w:t xml:space="preserve"> </w:t>
      </w:r>
      <w:r w:rsidR="008473C7">
        <w:t xml:space="preserve">The </w:t>
      </w:r>
      <w:r w:rsidR="00DF34C1">
        <w:t xml:space="preserve">Committee’s </w:t>
      </w:r>
      <w:r w:rsidR="008473C7">
        <w:t xml:space="preserve">review </w:t>
      </w:r>
      <w:r w:rsidR="007F3EDC">
        <w:t xml:space="preserve">is conducted </w:t>
      </w:r>
      <w:r w:rsidR="00E72012">
        <w:t xml:space="preserve">on the basis of </w:t>
      </w:r>
      <w:r w:rsidR="005F22C2">
        <w:t xml:space="preserve">the </w:t>
      </w:r>
      <w:r w:rsidR="00E72012">
        <w:t>thirtee</w:t>
      </w:r>
      <w:r>
        <w:t xml:space="preserve">n </w:t>
      </w:r>
      <w:r w:rsidR="00E72012">
        <w:t>criteria</w:t>
      </w:r>
      <w:r w:rsidR="005F22C2">
        <w:t xml:space="preserve"> established by the Committee</w:t>
      </w:r>
      <w:r w:rsidR="00170AF0">
        <w:t>, which</w:t>
      </w:r>
      <w:r w:rsidR="005F22C2">
        <w:t xml:space="preserve"> f</w:t>
      </w:r>
      <w:r w:rsidR="00686C9B">
        <w:t>ocus</w:t>
      </w:r>
      <w:r w:rsidR="00BE16C2">
        <w:t xml:space="preserve"> on </w:t>
      </w:r>
      <w:r>
        <w:t xml:space="preserve">an instrument’s </w:t>
      </w:r>
      <w:r w:rsidR="00BE16C2">
        <w:t>legality and</w:t>
      </w:r>
      <w:r w:rsidR="005F22C2">
        <w:t xml:space="preserve"> procedure</w:t>
      </w:r>
      <w:r w:rsidR="008473C7">
        <w:t xml:space="preserve">, and if necessary, the Committee </w:t>
      </w:r>
      <w:r w:rsidR="00041C95">
        <w:t xml:space="preserve">has the </w:t>
      </w:r>
      <w:r w:rsidR="008473C7">
        <w:t xml:space="preserve">statutory </w:t>
      </w:r>
      <w:r w:rsidR="00041C95">
        <w:t xml:space="preserve">authority to </w:t>
      </w:r>
      <w:r w:rsidR="00E72012">
        <w:t xml:space="preserve">seek </w:t>
      </w:r>
      <w:r w:rsidR="008473C7">
        <w:t xml:space="preserve">the </w:t>
      </w:r>
      <w:r w:rsidR="00E72012">
        <w:t>revoc</w:t>
      </w:r>
      <w:r w:rsidR="008473C7">
        <w:t>ation of the all or part of a</w:t>
      </w:r>
      <w:r w:rsidR="00E72012">
        <w:t xml:space="preserve"> regulation.</w:t>
      </w:r>
      <w:r w:rsidR="008473C7">
        <w:rPr>
          <w:rStyle w:val="FootnoteReference"/>
        </w:rPr>
        <w:footnoteReference w:id="89"/>
      </w:r>
      <w:r w:rsidR="00E72012">
        <w:t xml:space="preserve"> </w:t>
      </w:r>
      <w:r w:rsidR="00E81D77">
        <w:t>While the QR&amp;O are exempt from publication,</w:t>
      </w:r>
      <w:r w:rsidR="00E81D77">
        <w:rPr>
          <w:rStyle w:val="FootnoteReference"/>
        </w:rPr>
        <w:footnoteReference w:id="90"/>
      </w:r>
      <w:r w:rsidR="00E81D77">
        <w:t xml:space="preserve"> they are not </w:t>
      </w:r>
      <w:r w:rsidR="005F22C2">
        <w:t>exempt</w:t>
      </w:r>
      <w:r w:rsidR="00317CF8">
        <w:t xml:space="preserve"> from </w:t>
      </w:r>
      <w:r w:rsidR="00E72012">
        <w:t>referral to the Committee</w:t>
      </w:r>
      <w:r w:rsidR="00317CF8">
        <w:t>,</w:t>
      </w:r>
      <w:r w:rsidR="00E72012">
        <w:rPr>
          <w:rStyle w:val="FootnoteReference"/>
        </w:rPr>
        <w:footnoteReference w:id="91"/>
      </w:r>
      <w:r w:rsidR="00317CF8">
        <w:t xml:space="preserve"> and </w:t>
      </w:r>
      <w:r w:rsidR="00BE16C2">
        <w:t>therefore</w:t>
      </w:r>
      <w:r w:rsidR="00031AD8">
        <w:t>,</w:t>
      </w:r>
      <w:r w:rsidR="00BE16C2">
        <w:t xml:space="preserve"> fall within the Committee’s </w:t>
      </w:r>
      <w:r w:rsidR="005F22C2">
        <w:t>review</w:t>
      </w:r>
      <w:r w:rsidR="00AA3A81">
        <w:t xml:space="preserve"> mandate</w:t>
      </w:r>
      <w:r w:rsidR="005F22C2">
        <w:t xml:space="preserve">. However, </w:t>
      </w:r>
      <w:r w:rsidR="00170AF0">
        <w:t xml:space="preserve">it is common knowledge amongst those who work with the development and drafting of QR&amp;O that the </w:t>
      </w:r>
      <w:r w:rsidR="00527168">
        <w:t xml:space="preserve">Committee </w:t>
      </w:r>
      <w:r w:rsidR="00527168">
        <w:lastRenderedPageBreak/>
        <w:t xml:space="preserve">does not </w:t>
      </w:r>
      <w:r w:rsidR="001603AD">
        <w:t xml:space="preserve">in fact </w:t>
      </w:r>
      <w:r w:rsidR="00DF34C1">
        <w:t xml:space="preserve">conduct reviews of the </w:t>
      </w:r>
      <w:r w:rsidR="00E81D77">
        <w:t>QR&amp;O</w:t>
      </w:r>
      <w:r w:rsidR="00527168">
        <w:t>.</w:t>
      </w:r>
      <w:r w:rsidR="001603AD">
        <w:rPr>
          <w:rStyle w:val="FootnoteReference"/>
        </w:rPr>
        <w:footnoteReference w:id="92"/>
      </w:r>
      <w:r w:rsidR="00E81D77">
        <w:t xml:space="preserve"> While the </w:t>
      </w:r>
      <w:r w:rsidR="00031AD8">
        <w:t>referral of eligible instruments to the Committee is mandatory</w:t>
      </w:r>
      <w:r w:rsidR="001603AD">
        <w:t xml:space="preserve"> under the SIA</w:t>
      </w:r>
      <w:r w:rsidR="00031AD8">
        <w:t>, the SIA does not expressly obl</w:t>
      </w:r>
      <w:r w:rsidR="00932D35">
        <w:t>ig</w:t>
      </w:r>
      <w:r w:rsidR="00170AF0">
        <w:t xml:space="preserve">e the Committee to review the </w:t>
      </w:r>
      <w:r w:rsidR="00932D35">
        <w:t xml:space="preserve">instruments </w:t>
      </w:r>
      <w:r w:rsidR="00E81D77">
        <w:t>referred</w:t>
      </w:r>
      <w:r w:rsidR="001603AD">
        <w:t xml:space="preserve"> to it</w:t>
      </w:r>
      <w:r w:rsidR="00E81D77">
        <w:t>,</w:t>
      </w:r>
      <w:r w:rsidR="001603AD">
        <w:rPr>
          <w:rStyle w:val="FootnoteReference"/>
        </w:rPr>
        <w:footnoteReference w:id="93"/>
      </w:r>
      <w:r w:rsidR="001603AD">
        <w:t xml:space="preserve"> </w:t>
      </w:r>
      <w:r w:rsidR="00E81D77">
        <w:t>and in this case</w:t>
      </w:r>
      <w:r w:rsidR="001603AD">
        <w:t>,</w:t>
      </w:r>
      <w:r w:rsidR="00E81D77">
        <w:t xml:space="preserve"> the Committee’s reasons for not reviewing the QR&amp;O are not known</w:t>
      </w:r>
      <w:r w:rsidR="00932D35">
        <w:t>.</w:t>
      </w:r>
      <w:r w:rsidR="001603AD">
        <w:rPr>
          <w:rStyle w:val="FootnoteReference"/>
        </w:rPr>
        <w:footnoteReference w:id="94"/>
      </w:r>
      <w:r w:rsidR="00031AD8">
        <w:t xml:space="preserve"> </w:t>
      </w:r>
    </w:p>
    <w:p w:rsidR="0028248A" w:rsidRDefault="00244D35" w:rsidP="0028248A">
      <w:pPr>
        <w:spacing w:after="240" w:line="480" w:lineRule="auto"/>
        <w:ind w:firstLine="720"/>
      </w:pPr>
      <w:r>
        <w:t>Accordingly, d</w:t>
      </w:r>
      <w:r w:rsidR="007C5099">
        <w:t>espite the availability of a mechanism for p</w:t>
      </w:r>
      <w:r w:rsidR="00493AFF">
        <w:t xml:space="preserve">arliamentary participation </w:t>
      </w:r>
      <w:r w:rsidR="005D73BF">
        <w:t>in</w:t>
      </w:r>
      <w:r w:rsidR="00493AFF">
        <w:t xml:space="preserve"> </w:t>
      </w:r>
      <w:r w:rsidR="00362A89">
        <w:t>QR&amp;O</w:t>
      </w:r>
      <w:r w:rsidR="007C5099">
        <w:t xml:space="preserve"> development, </w:t>
      </w:r>
      <w:r w:rsidR="001153B1">
        <w:t xml:space="preserve">this mechanism is not </w:t>
      </w:r>
      <w:r w:rsidR="007C5099">
        <w:t>used in practice.</w:t>
      </w:r>
      <w:r w:rsidR="001153B1">
        <w:rPr>
          <w:rStyle w:val="FootnoteReference"/>
        </w:rPr>
        <w:footnoteReference w:id="95"/>
      </w:r>
      <w:r w:rsidR="007C5099">
        <w:t xml:space="preserve"> </w:t>
      </w:r>
      <w:r w:rsidR="00770625">
        <w:t>In the face of this apparent dea</w:t>
      </w:r>
      <w:r w:rsidR="00641210">
        <w:t>rth of parliamentary participation in relation to the QR&amp;O</w:t>
      </w:r>
      <w:r w:rsidR="00770625">
        <w:t xml:space="preserve">, </w:t>
      </w:r>
      <w:r w:rsidR="005D4FB3">
        <w:t xml:space="preserve">it </w:t>
      </w:r>
      <w:r w:rsidR="00493AFF">
        <w:t xml:space="preserve">might </w:t>
      </w:r>
      <w:r w:rsidR="00EF0777">
        <w:t>be argued</w:t>
      </w:r>
      <w:r w:rsidR="00493AFF">
        <w:t xml:space="preserve"> that </w:t>
      </w:r>
      <w:r w:rsidR="004522D8">
        <w:t>a measure</w:t>
      </w:r>
      <w:r w:rsidR="00770625">
        <w:t xml:space="preserve"> of parliamentary involvement</w:t>
      </w:r>
      <w:r w:rsidR="007C5099">
        <w:t xml:space="preserve"> and oversight </w:t>
      </w:r>
      <w:r w:rsidR="001733A0">
        <w:t xml:space="preserve">is provided </w:t>
      </w:r>
      <w:r>
        <w:t xml:space="preserve">by the approval authorities themselves </w:t>
      </w:r>
      <w:r w:rsidR="001733A0">
        <w:t>by means of the fact that they each</w:t>
      </w:r>
      <w:r w:rsidR="00770625">
        <w:t xml:space="preserve"> comprise individuals who</w:t>
      </w:r>
      <w:r w:rsidR="00717630">
        <w:t>,</w:t>
      </w:r>
      <w:r w:rsidR="0006255E">
        <w:t xml:space="preserve"> while being members of the Cabinet</w:t>
      </w:r>
      <w:r w:rsidR="00717630">
        <w:t>,</w:t>
      </w:r>
      <w:r w:rsidR="00770625">
        <w:t xml:space="preserve"> are </w:t>
      </w:r>
      <w:r w:rsidR="0006255E">
        <w:t xml:space="preserve">also </w:t>
      </w:r>
      <w:r w:rsidR="00362A89">
        <w:t xml:space="preserve">elected </w:t>
      </w:r>
      <w:r w:rsidR="004522D8">
        <w:t xml:space="preserve">members of parliament </w:t>
      </w:r>
      <w:r w:rsidR="001153B1">
        <w:t>and</w:t>
      </w:r>
      <w:r w:rsidR="004522D8">
        <w:t xml:space="preserve"> accou</w:t>
      </w:r>
      <w:r w:rsidR="007C5099">
        <w:t>ntab</w:t>
      </w:r>
      <w:r w:rsidR="001153B1">
        <w:t>le to the</w:t>
      </w:r>
      <w:r w:rsidR="00770625">
        <w:t xml:space="preserve"> people</w:t>
      </w:r>
      <w:r w:rsidR="001153B1">
        <w:t>.</w:t>
      </w:r>
      <w:r w:rsidR="001153B1">
        <w:rPr>
          <w:rStyle w:val="FootnoteReference"/>
        </w:rPr>
        <w:footnoteReference w:id="96"/>
      </w:r>
      <w:r w:rsidR="0006255E">
        <w:t xml:space="preserve"> </w:t>
      </w:r>
      <w:r w:rsidR="00641210">
        <w:t>In my view, such a</w:t>
      </w:r>
      <w:r w:rsidR="00EF0777">
        <w:t xml:space="preserve">n argument </w:t>
      </w:r>
      <w:r w:rsidR="002F67B9">
        <w:t xml:space="preserve">ignores the </w:t>
      </w:r>
      <w:r w:rsidR="007F7577">
        <w:t>nature of the approval authority’s role in regulation making a</w:t>
      </w:r>
      <w:r w:rsidR="002F67B9">
        <w:t xml:space="preserve">nd the underlying purpose of </w:t>
      </w:r>
      <w:r w:rsidR="00DB75F1">
        <w:t>retrospective p</w:t>
      </w:r>
      <w:r w:rsidR="002F67B9">
        <w:t xml:space="preserve">arliamentary </w:t>
      </w:r>
      <w:r w:rsidR="00DB75F1">
        <w:t>participation</w:t>
      </w:r>
      <w:r w:rsidR="002F67B9">
        <w:t>, which i</w:t>
      </w:r>
      <w:r w:rsidR="00DB75F1">
        <w:t xml:space="preserve">s to add a measure of </w:t>
      </w:r>
      <w:r w:rsidR="002F67B9">
        <w:t>oversight</w:t>
      </w:r>
      <w:r w:rsidR="00C274D1">
        <w:t xml:space="preserve"> </w:t>
      </w:r>
      <w:r w:rsidR="00600892">
        <w:t xml:space="preserve">and accountability in relation to how the delegated </w:t>
      </w:r>
      <w:r w:rsidR="00DB75F1">
        <w:t>power</w:t>
      </w:r>
      <w:r w:rsidR="00600892">
        <w:t xml:space="preserve"> is exercised</w:t>
      </w:r>
      <w:r w:rsidR="002F67B9">
        <w:t>.</w:t>
      </w:r>
      <w:r w:rsidR="002F67B9">
        <w:rPr>
          <w:rStyle w:val="FootnoteReference"/>
        </w:rPr>
        <w:footnoteReference w:id="97"/>
      </w:r>
      <w:r w:rsidR="002F67B9">
        <w:t xml:space="preserve"> </w:t>
      </w:r>
      <w:r w:rsidR="001733A0" w:rsidRPr="00B75661">
        <w:t xml:space="preserve">When approving regulations, </w:t>
      </w:r>
      <w:r w:rsidR="007F7577" w:rsidRPr="00B75661">
        <w:t xml:space="preserve">the approval authority is </w:t>
      </w:r>
      <w:r w:rsidR="00F8549D" w:rsidRPr="00B75661">
        <w:t xml:space="preserve">within ‘arms-length’ of the bureaucracy </w:t>
      </w:r>
      <w:r w:rsidR="00600892" w:rsidRPr="00B75661">
        <w:t xml:space="preserve">of government </w:t>
      </w:r>
      <w:r w:rsidR="00F8549D" w:rsidRPr="00B75661">
        <w:t xml:space="preserve">and is </w:t>
      </w:r>
      <w:r w:rsidR="007F7577" w:rsidRPr="00B75661">
        <w:t xml:space="preserve">directly engaged in </w:t>
      </w:r>
      <w:r w:rsidR="00F8549D" w:rsidRPr="00B75661">
        <w:t xml:space="preserve">exercising </w:t>
      </w:r>
      <w:r w:rsidR="007F7577" w:rsidRPr="00B75661">
        <w:t>the delegated power</w:t>
      </w:r>
      <w:r w:rsidR="00600892" w:rsidRPr="00B75661">
        <w:t xml:space="preserve"> granted by Parliament</w:t>
      </w:r>
      <w:r w:rsidR="000A55AF">
        <w:t>, and</w:t>
      </w:r>
      <w:r w:rsidR="00717630" w:rsidRPr="00B75661">
        <w:t xml:space="preserve"> </w:t>
      </w:r>
      <w:r w:rsidR="00EF532C" w:rsidRPr="00B75661">
        <w:t>in light of this role</w:t>
      </w:r>
      <w:r w:rsidR="000A55AF">
        <w:t>,</w:t>
      </w:r>
      <w:r w:rsidR="00600892" w:rsidRPr="00B75661">
        <w:t xml:space="preserve"> </w:t>
      </w:r>
      <w:r w:rsidR="00EF532C" w:rsidRPr="00B75661">
        <w:t>it is clear that the approval authority could not</w:t>
      </w:r>
      <w:r w:rsidR="000A55AF">
        <w:t>,</w:t>
      </w:r>
      <w:r w:rsidR="00EF532C" w:rsidRPr="00B75661">
        <w:t xml:space="preserve"> </w:t>
      </w:r>
      <w:r w:rsidR="00B75661" w:rsidRPr="00B75661">
        <w:t>appropriately, perform</w:t>
      </w:r>
      <w:r w:rsidR="00EF532C" w:rsidRPr="00B75661">
        <w:t xml:space="preserve"> a </w:t>
      </w:r>
      <w:r w:rsidR="000A55AF">
        <w:t xml:space="preserve">concurrent </w:t>
      </w:r>
      <w:r w:rsidR="00F8549D" w:rsidRPr="00B75661">
        <w:t xml:space="preserve">supervisory </w:t>
      </w:r>
      <w:r w:rsidR="00B75661" w:rsidRPr="00B75661">
        <w:t>function in relation to the very power being exercised</w:t>
      </w:r>
      <w:r w:rsidRPr="00B75661">
        <w:t>.</w:t>
      </w:r>
      <w:r w:rsidR="000A55AF" w:rsidRPr="00B75661">
        <w:rPr>
          <w:rStyle w:val="FootnoteReference"/>
        </w:rPr>
        <w:footnoteReference w:id="98"/>
      </w:r>
      <w:r>
        <w:t xml:space="preserve"> </w:t>
      </w:r>
      <w:r w:rsidR="000D3E8F">
        <w:t xml:space="preserve">As a consequence, </w:t>
      </w:r>
      <w:r>
        <w:t xml:space="preserve">the fact that </w:t>
      </w:r>
      <w:r w:rsidR="000D3E8F">
        <w:t>QR&amp;O approval is effected</w:t>
      </w:r>
      <w:r>
        <w:t xml:space="preserve"> by </w:t>
      </w:r>
      <w:r>
        <w:lastRenderedPageBreak/>
        <w:t xml:space="preserve">individuals who are </w:t>
      </w:r>
      <w:r w:rsidR="00B45F6D">
        <w:t xml:space="preserve">at the time </w:t>
      </w:r>
      <w:r>
        <w:t>members of Parliament, cannot reasona</w:t>
      </w:r>
      <w:r w:rsidR="00503256">
        <w:t>bly</w:t>
      </w:r>
      <w:r>
        <w:t xml:space="preserve"> be viewed as a form of </w:t>
      </w:r>
      <w:r w:rsidR="009718F8" w:rsidRPr="00503256">
        <w:t>p</w:t>
      </w:r>
      <w:r w:rsidR="00362A89" w:rsidRPr="00503256">
        <w:t>arliamentary participation</w:t>
      </w:r>
      <w:r w:rsidR="00F66B4D" w:rsidRPr="00503256">
        <w:t xml:space="preserve"> for these purposes</w:t>
      </w:r>
      <w:r w:rsidR="00362A89" w:rsidRPr="00503256">
        <w:t>.</w:t>
      </w:r>
      <w:r w:rsidR="00503256">
        <w:rPr>
          <w:rStyle w:val="FootnoteReference"/>
        </w:rPr>
        <w:footnoteReference w:id="99"/>
      </w:r>
      <w:r w:rsidR="00D547BD">
        <w:t xml:space="preserve"> </w:t>
      </w:r>
    </w:p>
    <w:p w:rsidR="009667F8" w:rsidRDefault="0028248A" w:rsidP="0028248A">
      <w:pPr>
        <w:spacing w:after="240" w:line="480" w:lineRule="auto"/>
        <w:ind w:firstLine="720"/>
      </w:pPr>
      <w:r>
        <w:t xml:space="preserve">The absence of </w:t>
      </w:r>
      <w:r w:rsidR="007272F3">
        <w:t xml:space="preserve">retrospective </w:t>
      </w:r>
      <w:r w:rsidR="00C729AA">
        <w:t xml:space="preserve">parliamentary participation </w:t>
      </w:r>
      <w:r>
        <w:t xml:space="preserve">in the context of the QR&amp;O </w:t>
      </w:r>
      <w:r w:rsidR="007272F3">
        <w:t xml:space="preserve">means that this </w:t>
      </w:r>
      <w:r>
        <w:t>mechanism for supplementing parliamentary predetermination and bolstering</w:t>
      </w:r>
      <w:r w:rsidR="00B35712">
        <w:t xml:space="preserve"> </w:t>
      </w:r>
      <w:r w:rsidR="007272F3">
        <w:t xml:space="preserve">the weak democratic </w:t>
      </w:r>
      <w:r w:rsidR="00B35712">
        <w:t>legitimation</w:t>
      </w:r>
      <w:r w:rsidR="00845E93">
        <w:t xml:space="preserve"> provide in</w:t>
      </w:r>
      <w:r w:rsidR="007272F3">
        <w:t xml:space="preserve"> section 12 of the NDA</w:t>
      </w:r>
      <w:r>
        <w:t xml:space="preserve"> is not available.</w:t>
      </w:r>
      <w:r w:rsidR="00B35712">
        <w:rPr>
          <w:rStyle w:val="FootnoteReference"/>
        </w:rPr>
        <w:footnoteReference w:id="100"/>
      </w:r>
      <w:r w:rsidR="00FA3C9C">
        <w:t xml:space="preserve"> </w:t>
      </w:r>
    </w:p>
    <w:p w:rsidR="00F0764A" w:rsidRDefault="00B35D13" w:rsidP="00BE7CB3">
      <w:pPr>
        <w:spacing w:after="240" w:line="480" w:lineRule="auto"/>
      </w:pPr>
      <w:r>
        <w:t>III.</w:t>
      </w:r>
      <w:r>
        <w:tab/>
      </w:r>
      <w:r w:rsidR="003753CE" w:rsidRPr="003753CE">
        <w:rPr>
          <w:u w:val="single"/>
        </w:rPr>
        <w:t>Democra</w:t>
      </w:r>
      <w:r w:rsidR="003753CE">
        <w:rPr>
          <w:u w:val="single"/>
        </w:rPr>
        <w:t>tic l</w:t>
      </w:r>
      <w:r w:rsidR="003753CE" w:rsidRPr="003753CE">
        <w:rPr>
          <w:u w:val="single"/>
        </w:rPr>
        <w:t>egitimation by</w:t>
      </w:r>
      <w:r w:rsidR="003753CE">
        <w:rPr>
          <w:u w:val="single"/>
        </w:rPr>
        <w:t xml:space="preserve"> p</w:t>
      </w:r>
      <w:r w:rsidRPr="00B35D13">
        <w:rPr>
          <w:u w:val="single"/>
        </w:rPr>
        <w:t>ublic participation in the executive law-making process</w:t>
      </w:r>
    </w:p>
    <w:p w:rsidR="00EB6670" w:rsidRDefault="00367EEC" w:rsidP="006D0ED9">
      <w:pPr>
        <w:spacing w:after="240" w:line="480" w:lineRule="auto"/>
        <w:ind w:firstLine="720"/>
      </w:pPr>
      <w:r>
        <w:t xml:space="preserve">Another </w:t>
      </w:r>
      <w:r w:rsidR="009D7947">
        <w:t xml:space="preserve">means </w:t>
      </w:r>
      <w:r>
        <w:t xml:space="preserve">identified by </w:t>
      </w:r>
      <w:r w:rsidR="00983D56">
        <w:t xml:space="preserve">Pünder </w:t>
      </w:r>
      <w:r w:rsidR="009718F8">
        <w:t xml:space="preserve">to </w:t>
      </w:r>
      <w:r>
        <w:t>compensate for a lack of substantive legislative pr</w:t>
      </w:r>
      <w:r w:rsidR="00631942">
        <w:t>edetermination in the enabling provision</w:t>
      </w:r>
      <w:r>
        <w:t xml:space="preserve"> </w:t>
      </w:r>
      <w:r w:rsidR="009718F8">
        <w:t>and</w:t>
      </w:r>
      <w:r w:rsidR="009D7947">
        <w:t xml:space="preserve"> </w:t>
      </w:r>
      <w:r w:rsidR="00480B3D">
        <w:t xml:space="preserve">to </w:t>
      </w:r>
      <w:r w:rsidR="009718F8">
        <w:t xml:space="preserve">bolster legitimation </w:t>
      </w:r>
      <w:r>
        <w:t xml:space="preserve">is </w:t>
      </w:r>
      <w:r w:rsidR="00EB6670">
        <w:t>direct participation by</w:t>
      </w:r>
      <w:r w:rsidR="005545B8">
        <w:t xml:space="preserve"> </w:t>
      </w:r>
      <w:r w:rsidR="009718F8">
        <w:t xml:space="preserve">the public in the </w:t>
      </w:r>
      <w:r w:rsidR="005B1EBF">
        <w:t>delegated law-making process.</w:t>
      </w:r>
      <w:r w:rsidR="009667F8">
        <w:rPr>
          <w:rStyle w:val="FootnoteReference"/>
        </w:rPr>
        <w:footnoteReference w:id="101"/>
      </w:r>
      <w:r w:rsidR="00FA21DE">
        <w:t xml:space="preserve"> </w:t>
      </w:r>
      <w:r w:rsidR="00610691">
        <w:t xml:space="preserve">Public </w:t>
      </w:r>
      <w:r w:rsidR="009718F8">
        <w:t xml:space="preserve">participation is viewed as beneficial in several respects - </w:t>
      </w:r>
      <w:r w:rsidR="00643BBE">
        <w:t>it</w:t>
      </w:r>
      <w:r w:rsidR="00231F96">
        <w:t xml:space="preserve"> </w:t>
      </w:r>
      <w:r w:rsidR="005B1EBF">
        <w:t>permits the</w:t>
      </w:r>
      <w:r w:rsidR="00610691">
        <w:t xml:space="preserve"> </w:t>
      </w:r>
      <w:r w:rsidR="00231F96">
        <w:t xml:space="preserve">public to be informed </w:t>
      </w:r>
      <w:r w:rsidR="00D21EBB">
        <w:t xml:space="preserve">about </w:t>
      </w:r>
      <w:r w:rsidR="00261E90">
        <w:t>regulatory</w:t>
      </w:r>
      <w:r>
        <w:t xml:space="preserve"> initiatives and provide input</w:t>
      </w:r>
      <w:r w:rsidR="00261E90">
        <w:t xml:space="preserve"> on the subject</w:t>
      </w:r>
      <w:r>
        <w:t>;</w:t>
      </w:r>
      <w:r w:rsidR="005B1EBF">
        <w:t xml:space="preserve"> </w:t>
      </w:r>
      <w:r w:rsidR="00643BBE">
        <w:t>it</w:t>
      </w:r>
      <w:r w:rsidR="00231F96">
        <w:t xml:space="preserve"> contributes to transparency</w:t>
      </w:r>
      <w:r w:rsidR="00643BBE">
        <w:t>;</w:t>
      </w:r>
      <w:r w:rsidR="00231F96">
        <w:t xml:space="preserve"> and </w:t>
      </w:r>
      <w:r w:rsidR="00643BBE">
        <w:t xml:space="preserve">it </w:t>
      </w:r>
      <w:r w:rsidR="00631942">
        <w:t xml:space="preserve">can enhance </w:t>
      </w:r>
      <w:r w:rsidR="005B1EBF">
        <w:t>the public’s accept</w:t>
      </w:r>
      <w:r w:rsidR="00261E90">
        <w:t>ance of a particular initiative</w:t>
      </w:r>
      <w:r w:rsidR="005B1EBF">
        <w:t xml:space="preserve"> </w:t>
      </w:r>
      <w:r w:rsidR="002832CA">
        <w:t>along with</w:t>
      </w:r>
      <w:r w:rsidR="005B1EBF">
        <w:t xml:space="preserve"> the cr</w:t>
      </w:r>
      <w:r w:rsidR="00D21EBB">
        <w:t>edibility and legitimacy of the delegated law-maker’s decision</w:t>
      </w:r>
      <w:r w:rsidR="005B1EBF">
        <w:t>.</w:t>
      </w:r>
      <w:r w:rsidR="005B1EBF">
        <w:rPr>
          <w:rStyle w:val="FootnoteReference"/>
        </w:rPr>
        <w:footnoteReference w:id="102"/>
      </w:r>
      <w:r w:rsidR="005B1EBF">
        <w:t xml:space="preserve"> </w:t>
      </w:r>
    </w:p>
    <w:p w:rsidR="008E32A2" w:rsidRDefault="005C3481" w:rsidP="006D0ED9">
      <w:pPr>
        <w:spacing w:after="240" w:line="480" w:lineRule="auto"/>
        <w:ind w:firstLine="720"/>
      </w:pPr>
      <w:r>
        <w:t xml:space="preserve">In Canada, </w:t>
      </w:r>
      <w:r w:rsidR="00F37956">
        <w:t xml:space="preserve">subject to </w:t>
      </w:r>
      <w:r>
        <w:t>a specific</w:t>
      </w:r>
      <w:r w:rsidR="003A0464">
        <w:t xml:space="preserve"> obligation </w:t>
      </w:r>
      <w:r w:rsidR="00F37956">
        <w:t>to conduct public consultation</w:t>
      </w:r>
      <w:r>
        <w:t xml:space="preserve">, such as when required in the enabling statute, </w:t>
      </w:r>
      <w:r w:rsidR="00953248">
        <w:t xml:space="preserve">there is no overarching legal requirement for </w:t>
      </w:r>
      <w:r w:rsidR="00463C56">
        <w:t>public consultation</w:t>
      </w:r>
      <w:r w:rsidR="00463C56" w:rsidRPr="00463C56">
        <w:t xml:space="preserve"> </w:t>
      </w:r>
      <w:r w:rsidR="00953248">
        <w:t xml:space="preserve">when </w:t>
      </w:r>
      <w:r w:rsidR="00463C56">
        <w:t xml:space="preserve">making </w:t>
      </w:r>
      <w:r w:rsidR="00953248">
        <w:t>regulations</w:t>
      </w:r>
      <w:r w:rsidR="003A0464">
        <w:t>.</w:t>
      </w:r>
      <w:r w:rsidR="003A0464">
        <w:rPr>
          <w:rStyle w:val="FootnoteReference"/>
        </w:rPr>
        <w:footnoteReference w:id="103"/>
      </w:r>
      <w:r w:rsidR="003A0464">
        <w:t xml:space="preserve"> </w:t>
      </w:r>
      <w:r w:rsidR="00F2729E" w:rsidRPr="00F37956">
        <w:t>There is,</w:t>
      </w:r>
      <w:r w:rsidR="00F2729E">
        <w:t xml:space="preserve"> however, </w:t>
      </w:r>
      <w:r w:rsidR="00F37956">
        <w:t xml:space="preserve">an </w:t>
      </w:r>
      <w:r w:rsidR="00E93D6F">
        <w:t>administrative requirement</w:t>
      </w:r>
      <w:r w:rsidR="00643BBE">
        <w:t xml:space="preserve"> for public consultation as part of </w:t>
      </w:r>
      <w:r w:rsidR="00F37956">
        <w:t>the federal regulatory development process that applies to Governor in Cou</w:t>
      </w:r>
      <w:r w:rsidR="00DE053B">
        <w:t>n</w:t>
      </w:r>
      <w:r w:rsidR="00F37956">
        <w:t>cil</w:t>
      </w:r>
      <w:r w:rsidR="00EB6670" w:rsidRPr="00EB6670">
        <w:t xml:space="preserve"> </w:t>
      </w:r>
      <w:r w:rsidR="00EB6670">
        <w:t>regulations</w:t>
      </w:r>
      <w:r w:rsidR="005450BC">
        <w:t>.</w:t>
      </w:r>
      <w:r w:rsidR="00E67AA1">
        <w:rPr>
          <w:rStyle w:val="FootnoteReference"/>
        </w:rPr>
        <w:footnoteReference w:id="104"/>
      </w:r>
      <w:r w:rsidR="005450BC">
        <w:t xml:space="preserve"> </w:t>
      </w:r>
      <w:r w:rsidR="00643BBE">
        <w:t>Under th</w:t>
      </w:r>
      <w:r w:rsidR="009F5585">
        <w:t xml:space="preserve">is </w:t>
      </w:r>
      <w:r w:rsidR="00DE053B">
        <w:t>process</w:t>
      </w:r>
      <w:r w:rsidR="00EB6670">
        <w:t>,</w:t>
      </w:r>
      <w:r w:rsidR="00DE053B">
        <w:t xml:space="preserve"> </w:t>
      </w:r>
      <w:r w:rsidR="009B40DE">
        <w:t xml:space="preserve">the responsible organization </w:t>
      </w:r>
      <w:r w:rsidR="00631942">
        <w:t xml:space="preserve">is </w:t>
      </w:r>
      <w:r w:rsidR="00631942">
        <w:lastRenderedPageBreak/>
        <w:t xml:space="preserve">required </w:t>
      </w:r>
      <w:r w:rsidR="00643BBE">
        <w:t xml:space="preserve">to </w:t>
      </w:r>
      <w:r w:rsidR="009B40DE">
        <w:t>identify parties that may be interested in or affected by the regulatory proposal and provide to them ‘opportunities to take part in open and meaningful consultations at all stages of the regulatory process’</w:t>
      </w:r>
      <w:r w:rsidR="009F5585">
        <w:t>.</w:t>
      </w:r>
      <w:r w:rsidR="005545B8">
        <w:rPr>
          <w:rStyle w:val="FootnoteReference"/>
        </w:rPr>
        <w:footnoteReference w:id="105"/>
      </w:r>
      <w:r w:rsidR="009B40DE">
        <w:t xml:space="preserve"> </w:t>
      </w:r>
      <w:r w:rsidR="009F5585">
        <w:t xml:space="preserve">In </w:t>
      </w:r>
      <w:r w:rsidR="006A73F4">
        <w:t>furtherance of this requirement -</w:t>
      </w:r>
      <w:r w:rsidR="009F5585">
        <w:t xml:space="preserve"> </w:t>
      </w:r>
      <w:r w:rsidR="00643BBE">
        <w:t>s</w:t>
      </w:r>
      <w:r w:rsidR="00266757">
        <w:t xml:space="preserve">pecial </w:t>
      </w:r>
      <w:r w:rsidR="009B40DE">
        <w:t xml:space="preserve">guidelines </w:t>
      </w:r>
      <w:r w:rsidR="00266757">
        <w:t>have been issued f</w:t>
      </w:r>
      <w:r w:rsidR="009B40DE">
        <w:t>or con</w:t>
      </w:r>
      <w:r w:rsidR="00266757">
        <w:t>ducting effective consultations;</w:t>
      </w:r>
      <w:r w:rsidR="007001EF">
        <w:rPr>
          <w:rStyle w:val="FootnoteReference"/>
        </w:rPr>
        <w:footnoteReference w:id="106"/>
      </w:r>
      <w:r w:rsidR="00266757">
        <w:t xml:space="preserve"> </w:t>
      </w:r>
      <w:r w:rsidR="009F5585">
        <w:t xml:space="preserve">it is required that </w:t>
      </w:r>
      <w:r w:rsidR="00643BBE">
        <w:t xml:space="preserve">details </w:t>
      </w:r>
      <w:r w:rsidR="00266757">
        <w:t>on</w:t>
      </w:r>
      <w:r w:rsidR="00643BBE">
        <w:t xml:space="preserve"> the consultations conducted </w:t>
      </w:r>
      <w:r w:rsidR="00480B3D">
        <w:t>for each</w:t>
      </w:r>
      <w:r w:rsidR="00EB6670">
        <w:t xml:space="preserve"> proposal </w:t>
      </w:r>
      <w:r w:rsidR="00643BBE">
        <w:t xml:space="preserve">be included </w:t>
      </w:r>
      <w:r w:rsidR="00266757">
        <w:t xml:space="preserve">in </w:t>
      </w:r>
      <w:r w:rsidR="00BA6D56">
        <w:t xml:space="preserve">the RIAS </w:t>
      </w:r>
      <w:r w:rsidR="00EB6670">
        <w:t>produced for</w:t>
      </w:r>
      <w:r w:rsidR="00266757">
        <w:t xml:space="preserve"> </w:t>
      </w:r>
      <w:r w:rsidR="009F5585">
        <w:t xml:space="preserve">that </w:t>
      </w:r>
      <w:r w:rsidR="00266757">
        <w:t xml:space="preserve">proposal; </w:t>
      </w:r>
      <w:r w:rsidR="00BA6D56">
        <w:t xml:space="preserve">and </w:t>
      </w:r>
      <w:r w:rsidR="009B40DE">
        <w:t xml:space="preserve">the TBS-RAS </w:t>
      </w:r>
      <w:r w:rsidR="009D125A">
        <w:t>is required to perform</w:t>
      </w:r>
      <w:r w:rsidR="005545B8">
        <w:t xml:space="preserve"> a</w:t>
      </w:r>
      <w:r w:rsidR="009D125A">
        <w:t xml:space="preserve"> </w:t>
      </w:r>
      <w:r w:rsidR="00BA6D56">
        <w:t xml:space="preserve">challenge function </w:t>
      </w:r>
      <w:r w:rsidR="005545B8">
        <w:t xml:space="preserve">during RIAS approval </w:t>
      </w:r>
      <w:r w:rsidR="00BA6D56">
        <w:t xml:space="preserve">to </w:t>
      </w:r>
      <w:r w:rsidR="009B40DE">
        <w:t xml:space="preserve">ensure that </w:t>
      </w:r>
      <w:r w:rsidR="009D125A">
        <w:t xml:space="preserve">adequate opportunities have been given to </w:t>
      </w:r>
      <w:r w:rsidR="00BA6D56">
        <w:t>those</w:t>
      </w:r>
      <w:r w:rsidR="009B40DE">
        <w:t xml:space="preserve"> af</w:t>
      </w:r>
      <w:r w:rsidR="009D125A">
        <w:t xml:space="preserve">fected by </w:t>
      </w:r>
      <w:r w:rsidR="00C05F08">
        <w:t>a regulatory proposal to provide</w:t>
      </w:r>
      <w:r w:rsidR="00BA6D56">
        <w:t xml:space="preserve"> their</w:t>
      </w:r>
      <w:r w:rsidR="009B40DE">
        <w:t xml:space="preserve"> comments or concerns </w:t>
      </w:r>
      <w:r w:rsidR="00C05F08">
        <w:t xml:space="preserve">on any matter pertaining to that </w:t>
      </w:r>
      <w:r w:rsidR="009B40DE">
        <w:t>proposal.</w:t>
      </w:r>
      <w:r w:rsidR="00BA6D56">
        <w:rPr>
          <w:rStyle w:val="FootnoteReference"/>
        </w:rPr>
        <w:footnoteReference w:id="107"/>
      </w:r>
      <w:r w:rsidR="008E32A2">
        <w:t xml:space="preserve"> </w:t>
      </w:r>
    </w:p>
    <w:p w:rsidR="007939CD" w:rsidRDefault="00266757" w:rsidP="006D0ED9">
      <w:pPr>
        <w:spacing w:after="240" w:line="480" w:lineRule="auto"/>
        <w:ind w:firstLine="720"/>
      </w:pPr>
      <w:r>
        <w:t>In the context of</w:t>
      </w:r>
      <w:r w:rsidR="008E32A2">
        <w:t xml:space="preserve"> </w:t>
      </w:r>
      <w:r w:rsidR="00EB6670">
        <w:t xml:space="preserve">the </w:t>
      </w:r>
      <w:r w:rsidR="008E32A2">
        <w:t xml:space="preserve">QR&amp;O, </w:t>
      </w:r>
      <w:r w:rsidR="00850CD4">
        <w:t xml:space="preserve">while the </w:t>
      </w:r>
      <w:r w:rsidR="008E32A2">
        <w:t>administrative requ</w:t>
      </w:r>
      <w:r w:rsidR="001309FD">
        <w:t>irement to conduct consultation applies</w:t>
      </w:r>
      <w:r w:rsidR="00F2437B">
        <w:t xml:space="preserve"> to </w:t>
      </w:r>
      <w:r w:rsidR="00567B63">
        <w:t xml:space="preserve">Governor in Council </w:t>
      </w:r>
      <w:r>
        <w:t>QR&amp;O</w:t>
      </w:r>
      <w:r w:rsidR="00850CD4">
        <w:t xml:space="preserve">, </w:t>
      </w:r>
      <w:r w:rsidR="00305670">
        <w:t>consultation</w:t>
      </w:r>
      <w:r w:rsidR="00680F68">
        <w:t xml:space="preserve"> outside the CAF </w:t>
      </w:r>
      <w:r>
        <w:t xml:space="preserve">and the Department </w:t>
      </w:r>
      <w:r w:rsidR="00305670">
        <w:t>is uncommon, and consultation</w:t>
      </w:r>
      <w:r w:rsidR="00680F68">
        <w:t xml:space="preserve"> with </w:t>
      </w:r>
      <w:r w:rsidR="00850CD4">
        <w:t xml:space="preserve">the </w:t>
      </w:r>
      <w:r w:rsidR="00D83939">
        <w:t>public</w:t>
      </w:r>
      <w:r w:rsidR="007F48F6">
        <w:t xml:space="preserve">, </w:t>
      </w:r>
      <w:r w:rsidR="00D21FCF">
        <w:t xml:space="preserve">both </w:t>
      </w:r>
      <w:r w:rsidR="007F48F6">
        <w:t>the general public and the greater CAF public,</w:t>
      </w:r>
      <w:r w:rsidR="00305670">
        <w:t xml:space="preserve"> is</w:t>
      </w:r>
      <w:r w:rsidR="00850CD4">
        <w:t xml:space="preserve"> non-existent.</w:t>
      </w:r>
      <w:r w:rsidR="00D83939" w:rsidRPr="00305670">
        <w:rPr>
          <w:rStyle w:val="FootnoteReference"/>
        </w:rPr>
        <w:footnoteReference w:id="108"/>
      </w:r>
      <w:r w:rsidR="00850CD4">
        <w:t xml:space="preserve"> </w:t>
      </w:r>
      <w:r w:rsidR="006E74D7">
        <w:t xml:space="preserve">During QR&amp;O development, it is the </w:t>
      </w:r>
      <w:r w:rsidR="00C24246">
        <w:t xml:space="preserve">CAF or departmental </w:t>
      </w:r>
      <w:r w:rsidR="00850CD4">
        <w:t xml:space="preserve">organization </w:t>
      </w:r>
      <w:r w:rsidR="006E74D7">
        <w:t xml:space="preserve">responsible for the proposal that </w:t>
      </w:r>
      <w:r w:rsidR="00A12C72">
        <w:t>decides</w:t>
      </w:r>
      <w:r w:rsidR="00850CD4">
        <w:t xml:space="preserve"> what</w:t>
      </w:r>
      <w:r w:rsidR="00A12C72">
        <w:t>,</w:t>
      </w:r>
      <w:r w:rsidR="00850CD4">
        <w:t xml:space="preserve"> </w:t>
      </w:r>
      <w:r w:rsidR="00A12C72">
        <w:t xml:space="preserve">if any, </w:t>
      </w:r>
      <w:r w:rsidR="00850CD4">
        <w:t>consultation</w:t>
      </w:r>
      <w:r w:rsidR="009F5585">
        <w:t xml:space="preserve"> is required</w:t>
      </w:r>
      <w:r w:rsidR="007602AB">
        <w:t>.</w:t>
      </w:r>
      <w:r w:rsidR="007602AB">
        <w:rPr>
          <w:rStyle w:val="FootnoteReference"/>
        </w:rPr>
        <w:footnoteReference w:id="109"/>
      </w:r>
      <w:r w:rsidR="007602AB">
        <w:t xml:space="preserve"> </w:t>
      </w:r>
      <w:r w:rsidR="00EB6670">
        <w:t xml:space="preserve">Consultation is generally undertaken </w:t>
      </w:r>
      <w:r w:rsidR="00600B73">
        <w:t>for the purpose of</w:t>
      </w:r>
      <w:r w:rsidR="00EB6670">
        <w:t xml:space="preserve"> supplement</w:t>
      </w:r>
      <w:r w:rsidR="006A73F4">
        <w:t>ing</w:t>
      </w:r>
      <w:r w:rsidR="00EB6670">
        <w:t xml:space="preserve"> existing knowledge or to coordinate with other intere</w:t>
      </w:r>
      <w:r w:rsidR="009F5585">
        <w:t>sted organizations for feedback</w:t>
      </w:r>
      <w:r w:rsidR="00C05F08">
        <w:t xml:space="preserve"> </w:t>
      </w:r>
      <w:r w:rsidR="00600B73">
        <w:t xml:space="preserve">and </w:t>
      </w:r>
      <w:r w:rsidR="00C05F08">
        <w:t xml:space="preserve">to </w:t>
      </w:r>
      <w:r w:rsidR="00EB6670">
        <w:t>avoid conflicts</w:t>
      </w:r>
      <w:r w:rsidR="00C05F08">
        <w:t xml:space="preserve"> with existing programmes and practices</w:t>
      </w:r>
      <w:r w:rsidR="006A73F4">
        <w:t>.</w:t>
      </w:r>
      <w:r w:rsidR="00EB6670">
        <w:rPr>
          <w:rStyle w:val="FootnoteReference"/>
        </w:rPr>
        <w:footnoteReference w:id="110"/>
      </w:r>
      <w:r w:rsidR="00C05F08">
        <w:t xml:space="preserve"> </w:t>
      </w:r>
      <w:r w:rsidR="006A73F4">
        <w:t>W</w:t>
      </w:r>
      <w:r w:rsidR="00600B73">
        <w:t xml:space="preserve">hen </w:t>
      </w:r>
      <w:r w:rsidR="006A73F4">
        <w:t>conducted</w:t>
      </w:r>
      <w:r w:rsidR="00222E8F">
        <w:t>,</w:t>
      </w:r>
      <w:r w:rsidR="00D21FCF">
        <w:t xml:space="preserve"> consultation is</w:t>
      </w:r>
      <w:r w:rsidR="006A73F4">
        <w:t xml:space="preserve"> normally informal and </w:t>
      </w:r>
      <w:r w:rsidR="00681FE2">
        <w:t xml:space="preserve">limited to </w:t>
      </w:r>
      <w:r w:rsidR="007E77B0">
        <w:t xml:space="preserve">internal </w:t>
      </w:r>
      <w:r w:rsidR="006A73F4">
        <w:t>CAF and departmental</w:t>
      </w:r>
      <w:r w:rsidR="007602AB">
        <w:t xml:space="preserve"> </w:t>
      </w:r>
      <w:r w:rsidR="00681FE2">
        <w:t>actors</w:t>
      </w:r>
      <w:r w:rsidR="006A73F4">
        <w:t xml:space="preserve">; </w:t>
      </w:r>
      <w:r w:rsidR="00222E8F">
        <w:t xml:space="preserve">consultation with </w:t>
      </w:r>
      <w:r w:rsidR="00681FE2">
        <w:t xml:space="preserve">other government </w:t>
      </w:r>
      <w:r w:rsidR="00EB6670">
        <w:t>departments</w:t>
      </w:r>
      <w:r w:rsidR="00222E8F">
        <w:t xml:space="preserve"> occurs but is not common</w:t>
      </w:r>
      <w:r w:rsidR="00EA44E4">
        <w:t>,</w:t>
      </w:r>
      <w:r w:rsidR="001D6655" w:rsidRPr="00A922F8">
        <w:rPr>
          <w:rStyle w:val="FootnoteReference"/>
        </w:rPr>
        <w:footnoteReference w:id="111"/>
      </w:r>
      <w:r w:rsidR="00EA44E4">
        <w:t xml:space="preserve"> and despite the requirement </w:t>
      </w:r>
      <w:r w:rsidR="00560D74">
        <w:t xml:space="preserve">to </w:t>
      </w:r>
      <w:r w:rsidR="00560D74">
        <w:lastRenderedPageBreak/>
        <w:t xml:space="preserve">conduct </w:t>
      </w:r>
      <w:r w:rsidR="00EA44E4">
        <w:t xml:space="preserve">‘meaningful consultations’, </w:t>
      </w:r>
      <w:r w:rsidR="00EA44E4" w:rsidRPr="00600B73">
        <w:t xml:space="preserve">TBS-RAS officials accept and approve </w:t>
      </w:r>
      <w:r w:rsidR="00EA44E4">
        <w:t xml:space="preserve">the </w:t>
      </w:r>
      <w:r w:rsidR="00EA44E4" w:rsidRPr="00600B73">
        <w:t xml:space="preserve">RIAS for proposed </w:t>
      </w:r>
      <w:r w:rsidR="007939CD">
        <w:t xml:space="preserve">Governor in Council </w:t>
      </w:r>
      <w:r w:rsidR="00560D74">
        <w:t xml:space="preserve">QR&amp;O in </w:t>
      </w:r>
      <w:r w:rsidR="00EA44E4" w:rsidRPr="00600B73">
        <w:t xml:space="preserve">absence of public </w:t>
      </w:r>
      <w:r w:rsidR="00EA44E4">
        <w:t>engagement</w:t>
      </w:r>
      <w:r w:rsidR="00EA44E4" w:rsidRPr="00600B73">
        <w:t>.</w:t>
      </w:r>
      <w:r w:rsidR="00EA44E4" w:rsidRPr="00600B73">
        <w:rPr>
          <w:rStyle w:val="FootnoteReference"/>
        </w:rPr>
        <w:footnoteReference w:id="112"/>
      </w:r>
      <w:r w:rsidR="00EA44E4">
        <w:t xml:space="preserve"> </w:t>
      </w:r>
    </w:p>
    <w:p w:rsidR="009D331F" w:rsidRDefault="0063203D" w:rsidP="002060ED">
      <w:pPr>
        <w:spacing w:after="240" w:line="480" w:lineRule="auto"/>
        <w:ind w:firstLine="720"/>
      </w:pPr>
      <w:r>
        <w:t xml:space="preserve">There are several arguments that </w:t>
      </w:r>
      <w:r w:rsidR="00945721">
        <w:t>may be used</w:t>
      </w:r>
      <w:r>
        <w:t xml:space="preserve"> to explain and </w:t>
      </w:r>
      <w:r w:rsidR="005F6813">
        <w:t xml:space="preserve">justify </w:t>
      </w:r>
      <w:r>
        <w:t xml:space="preserve">the lack of public engagement during QR&amp;O development. </w:t>
      </w:r>
      <w:r w:rsidR="00D078F8">
        <w:t xml:space="preserve">The first </w:t>
      </w:r>
      <w:r>
        <w:t>argument is based on the fact that the QR&amp;O</w:t>
      </w:r>
      <w:r w:rsidR="00560D74">
        <w:t>’s applicatio</w:t>
      </w:r>
      <w:r w:rsidR="0055275A">
        <w:t>n</w:t>
      </w:r>
      <w:r>
        <w:t xml:space="preserve"> is largely </w:t>
      </w:r>
      <w:r w:rsidR="00D078F8">
        <w:t xml:space="preserve">limited </w:t>
      </w:r>
      <w:r>
        <w:t xml:space="preserve">to the CAF and its members, and </w:t>
      </w:r>
      <w:r w:rsidR="001C5CCE">
        <w:t xml:space="preserve">insofar as this </w:t>
      </w:r>
      <w:r>
        <w:t xml:space="preserve">group encompasses the vast majority of stakeholders who would be interested in or affected by </w:t>
      </w:r>
      <w:r w:rsidR="00D078F8">
        <w:t xml:space="preserve">proposed QR&amp;O changes, </w:t>
      </w:r>
      <w:r>
        <w:t xml:space="preserve">broader consultation is </w:t>
      </w:r>
      <w:r w:rsidR="00945721">
        <w:t>not</w:t>
      </w:r>
      <w:r w:rsidR="00D078F8">
        <w:t xml:space="preserve"> </w:t>
      </w:r>
      <w:r>
        <w:t>unnecessary.</w:t>
      </w:r>
      <w:r>
        <w:rPr>
          <w:rStyle w:val="FootnoteReference"/>
        </w:rPr>
        <w:footnoteReference w:id="113"/>
      </w:r>
      <w:r>
        <w:t xml:space="preserve"> </w:t>
      </w:r>
      <w:r w:rsidR="005F6813">
        <w:t xml:space="preserve">Further arguments </w:t>
      </w:r>
      <w:r w:rsidR="00945721">
        <w:t xml:space="preserve">are </w:t>
      </w:r>
      <w:r w:rsidR="005F6813">
        <w:t>linked to t</w:t>
      </w:r>
      <w:r w:rsidR="005F6813" w:rsidRPr="00E26119">
        <w:t xml:space="preserve">he nature and culture of the CAF, which is a hierarchical organization </w:t>
      </w:r>
      <w:r w:rsidR="005F6813">
        <w:t xml:space="preserve">that </w:t>
      </w:r>
      <w:r w:rsidR="005F6813" w:rsidRPr="00E26119">
        <w:t>is based on discipl</w:t>
      </w:r>
      <w:r w:rsidR="005F6813">
        <w:t>ine and the requirement that</w:t>
      </w:r>
      <w:r w:rsidR="005F6813" w:rsidRPr="00E26119">
        <w:t xml:space="preserve"> its members obey all lawful commands</w:t>
      </w:r>
      <w:r w:rsidR="005F6813">
        <w:t xml:space="preserve">, and </w:t>
      </w:r>
      <w:r w:rsidR="0055275A">
        <w:t xml:space="preserve">which </w:t>
      </w:r>
      <w:r w:rsidR="005F6813" w:rsidRPr="00E26119">
        <w:t>functions by me</w:t>
      </w:r>
      <w:r w:rsidR="00945721">
        <w:t>ans of a command structure that</w:t>
      </w:r>
      <w:r w:rsidR="005F6813">
        <w:t xml:space="preserve"> </w:t>
      </w:r>
      <w:r w:rsidR="005040DE">
        <w:t xml:space="preserve">regularly </w:t>
      </w:r>
      <w:r w:rsidR="005F6813" w:rsidRPr="00E26119">
        <w:t>exercises its command authority to make decisions relevant to the CAF and its members.</w:t>
      </w:r>
      <w:r w:rsidR="005F6813" w:rsidRPr="00E26119">
        <w:rPr>
          <w:rStyle w:val="FootnoteReference"/>
        </w:rPr>
        <w:footnoteReference w:id="114"/>
      </w:r>
      <w:r w:rsidR="00945721">
        <w:t xml:space="preserve"> On this basis, </w:t>
      </w:r>
      <w:r w:rsidR="005F6813">
        <w:t xml:space="preserve">it may be argued that when the officials in the command structure make decisions relevant to QR&amp;O changes, they do so as an exercise of their command responsibility </w:t>
      </w:r>
      <w:r w:rsidR="00945721">
        <w:t xml:space="preserve">on </w:t>
      </w:r>
      <w:r w:rsidR="005F6813">
        <w:t>behalf of the CAF and its</w:t>
      </w:r>
      <w:r w:rsidR="00945721">
        <w:t xml:space="preserve"> members</w:t>
      </w:r>
      <w:r w:rsidR="0055275A">
        <w:t xml:space="preserve"> making</w:t>
      </w:r>
      <w:r w:rsidR="00945721">
        <w:t xml:space="preserve"> </w:t>
      </w:r>
      <w:r w:rsidR="00774ED6">
        <w:t>direct consultation with the larger CAF population is unnecessary</w:t>
      </w:r>
      <w:r w:rsidR="005F6813">
        <w:t>.</w:t>
      </w:r>
      <w:r w:rsidR="005F6813">
        <w:rPr>
          <w:rStyle w:val="FootnoteReference"/>
        </w:rPr>
        <w:footnoteReference w:id="115"/>
      </w:r>
      <w:r w:rsidR="005F6813">
        <w:t xml:space="preserve"> </w:t>
      </w:r>
      <w:r w:rsidR="003E10AF">
        <w:t xml:space="preserve">Without </w:t>
      </w:r>
      <w:r w:rsidR="00A62280">
        <w:t>delving i</w:t>
      </w:r>
      <w:r w:rsidR="0055275A">
        <w:t>nto the detail</w:t>
      </w:r>
      <w:r w:rsidR="00A62280">
        <w:t>s</w:t>
      </w:r>
      <w:r w:rsidR="0055275A">
        <w:t xml:space="preserve"> of these </w:t>
      </w:r>
      <w:r w:rsidR="004B7D01">
        <w:t>arguments</w:t>
      </w:r>
      <w:r w:rsidR="000D1A12">
        <w:t xml:space="preserve">, </w:t>
      </w:r>
      <w:r w:rsidR="003E10AF">
        <w:t>their principal weakness</w:t>
      </w:r>
      <w:r w:rsidR="000D1A12">
        <w:t>, in my view,</w:t>
      </w:r>
      <w:r w:rsidR="007C7AC1">
        <w:t xml:space="preserve"> comes from an</w:t>
      </w:r>
      <w:r w:rsidR="00DF53AD">
        <w:t xml:space="preserve"> underlying paternalistic and na</w:t>
      </w:r>
      <w:r w:rsidR="007C7AC1">
        <w:t xml:space="preserve">rrow </w:t>
      </w:r>
      <w:r w:rsidR="00222E8F">
        <w:t>perspective of</w:t>
      </w:r>
      <w:r w:rsidR="00E17955">
        <w:t xml:space="preserve"> </w:t>
      </w:r>
      <w:r w:rsidR="00295629">
        <w:t>c</w:t>
      </w:r>
      <w:r w:rsidR="00C346CC">
        <w:t>onsultation</w:t>
      </w:r>
      <w:r w:rsidR="00DF53AD">
        <w:t xml:space="preserve"> </w:t>
      </w:r>
      <w:r w:rsidR="00945721">
        <w:t xml:space="preserve">with respect to both </w:t>
      </w:r>
      <w:r w:rsidR="007C7AC1">
        <w:t>the type of inform</w:t>
      </w:r>
      <w:r w:rsidR="00BC71F9">
        <w:t>ation that would be relevant</w:t>
      </w:r>
      <w:r w:rsidR="007C7AC1">
        <w:t xml:space="preserve"> for QR&amp;O development</w:t>
      </w:r>
      <w:r w:rsidR="00DF53AD">
        <w:t xml:space="preserve"> </w:t>
      </w:r>
      <w:r w:rsidR="00945721">
        <w:t xml:space="preserve">and </w:t>
      </w:r>
      <w:r w:rsidR="000D1A12">
        <w:t>the appropriate sources for</w:t>
      </w:r>
      <w:r w:rsidR="00DF53AD">
        <w:t xml:space="preserve"> this information</w:t>
      </w:r>
      <w:r w:rsidR="003B55A7">
        <w:t>. This perspective does not take into account the full value and</w:t>
      </w:r>
      <w:r w:rsidR="00B0052B" w:rsidRPr="00DD49ED">
        <w:t xml:space="preserve"> potential benefits available from </w:t>
      </w:r>
      <w:r w:rsidR="004A7A79" w:rsidRPr="00DD49ED">
        <w:t>broad engagement</w:t>
      </w:r>
      <w:r w:rsidR="00C01F15" w:rsidRPr="00DD49ED">
        <w:t xml:space="preserve">, </w:t>
      </w:r>
      <w:r w:rsidR="002A316C" w:rsidRPr="00DD49ED">
        <w:t>which include</w:t>
      </w:r>
      <w:r w:rsidR="00B0052B" w:rsidRPr="00DD49ED">
        <w:t xml:space="preserve"> </w:t>
      </w:r>
      <w:r w:rsidR="003B55A7">
        <w:t xml:space="preserve">both </w:t>
      </w:r>
      <w:r w:rsidR="00B0052B" w:rsidRPr="00DD49ED">
        <w:t xml:space="preserve">proposal-specific benefits, such as </w:t>
      </w:r>
      <w:r w:rsidR="00180FD5" w:rsidRPr="00DD49ED">
        <w:t>info</w:t>
      </w:r>
      <w:r w:rsidR="0055275A">
        <w:t xml:space="preserve">rmation relevant to the </w:t>
      </w:r>
      <w:r w:rsidR="003B55A7" w:rsidRPr="00DD49ED">
        <w:t>subst</w:t>
      </w:r>
      <w:r w:rsidR="0055275A">
        <w:t xml:space="preserve">ance of a proposal and its </w:t>
      </w:r>
      <w:r w:rsidR="003B55A7" w:rsidRPr="00DD49ED">
        <w:t>pot</w:t>
      </w:r>
      <w:r w:rsidR="0055275A">
        <w:t xml:space="preserve">ential side effects </w:t>
      </w:r>
      <w:r w:rsidR="003B55A7">
        <w:t xml:space="preserve">that would not be </w:t>
      </w:r>
      <w:r w:rsidR="00B0052B" w:rsidRPr="00DD49ED">
        <w:t xml:space="preserve">available from internal sources, and </w:t>
      </w:r>
      <w:r w:rsidR="003B55A7">
        <w:t xml:space="preserve">more </w:t>
      </w:r>
      <w:r w:rsidR="00006442" w:rsidRPr="00DD49ED">
        <w:t xml:space="preserve">general benefits that </w:t>
      </w:r>
      <w:r w:rsidR="003B55A7">
        <w:t xml:space="preserve">relate to </w:t>
      </w:r>
      <w:r w:rsidR="00A62280">
        <w:lastRenderedPageBreak/>
        <w:t xml:space="preserve">increasing the </w:t>
      </w:r>
      <w:r w:rsidR="003B55A7" w:rsidRPr="00DD49ED">
        <w:t>a</w:t>
      </w:r>
      <w:r w:rsidR="00A62280">
        <w:t xml:space="preserve">cceptance and credibility of a </w:t>
      </w:r>
      <w:r w:rsidR="003B55A7" w:rsidRPr="00DD49ED">
        <w:t xml:space="preserve">regulation </w:t>
      </w:r>
      <w:r w:rsidR="003B55A7">
        <w:t>and</w:t>
      </w:r>
      <w:r w:rsidR="003E10AF" w:rsidRPr="00DD49ED">
        <w:t xml:space="preserve"> </w:t>
      </w:r>
      <w:r w:rsidR="009D331F" w:rsidRPr="00DD49ED">
        <w:t>facilitating democratic</w:t>
      </w:r>
      <w:r w:rsidR="003B55A7">
        <w:t xml:space="preserve"> scrutiny and accountability</w:t>
      </w:r>
      <w:r w:rsidR="000D58E9" w:rsidRPr="00DD49ED">
        <w:t>.</w:t>
      </w:r>
      <w:r w:rsidR="00546DE8" w:rsidRPr="00DD49ED">
        <w:rPr>
          <w:rStyle w:val="FootnoteReference"/>
        </w:rPr>
        <w:footnoteReference w:id="116"/>
      </w:r>
      <w:r w:rsidR="009D331F">
        <w:t xml:space="preserve"> </w:t>
      </w:r>
    </w:p>
    <w:p w:rsidR="00316E5C" w:rsidRDefault="00875D2D" w:rsidP="002060ED">
      <w:pPr>
        <w:spacing w:after="240" w:line="480" w:lineRule="auto"/>
        <w:ind w:firstLine="720"/>
      </w:pPr>
      <w:r>
        <w:t>W</w:t>
      </w:r>
      <w:r w:rsidR="00F23C31">
        <w:t xml:space="preserve">hile Pünder does not define precisely what is meant by ‘public </w:t>
      </w:r>
      <w:r w:rsidR="00F23C31" w:rsidRPr="009D331F">
        <w:t>p</w:t>
      </w:r>
      <w:r w:rsidR="00DE24FF" w:rsidRPr="009D331F">
        <w:t>articipation’</w:t>
      </w:r>
      <w:r w:rsidR="009D331F" w:rsidRPr="009D331F">
        <w:t>,</w:t>
      </w:r>
      <w:r w:rsidR="00DE24FF" w:rsidRPr="009D331F">
        <w:t xml:space="preserve"> </w:t>
      </w:r>
      <w:r w:rsidRPr="009D331F">
        <w:t>Kellerman tells us that legislation preparation should extend beyond state bodies and includ</w:t>
      </w:r>
      <w:r w:rsidR="009D331F">
        <w:t xml:space="preserve">e </w:t>
      </w:r>
      <w:r w:rsidRPr="009D331F">
        <w:t xml:space="preserve">consultation with external experts, interest groups, civil society and the public in general – </w:t>
      </w:r>
      <w:r w:rsidR="00021D93">
        <w:t>anyone</w:t>
      </w:r>
      <w:r w:rsidRPr="009D331F">
        <w:t xml:space="preserve"> likely to be affected by a law on a practical or general level.</w:t>
      </w:r>
      <w:r w:rsidRPr="009D331F">
        <w:rPr>
          <w:rStyle w:val="FootnoteReference"/>
        </w:rPr>
        <w:footnoteReference w:id="117"/>
      </w:r>
      <w:r w:rsidR="00CC63AD" w:rsidRPr="009D331F">
        <w:t xml:space="preserve"> On this basis </w:t>
      </w:r>
      <w:r w:rsidR="00F23C31" w:rsidRPr="009D331F">
        <w:t>it seems</w:t>
      </w:r>
      <w:r w:rsidR="00CC63AD">
        <w:t xml:space="preserve"> plainly obvious that public participation</w:t>
      </w:r>
      <w:r w:rsidR="00F23C31">
        <w:t xml:space="preserve"> is meant to involve interaction </w:t>
      </w:r>
      <w:r w:rsidR="000D58E9">
        <w:t xml:space="preserve">with </w:t>
      </w:r>
      <w:r w:rsidR="009D331F">
        <w:t xml:space="preserve">individuals beyond those officials </w:t>
      </w:r>
      <w:r w:rsidR="00F23C31">
        <w:t xml:space="preserve">who </w:t>
      </w:r>
      <w:r w:rsidR="00305E0C">
        <w:t xml:space="preserve">function as the administrative apparatus of the executive in the development of a </w:t>
      </w:r>
      <w:r w:rsidR="00F23C31">
        <w:t xml:space="preserve">regulatory proposal and </w:t>
      </w:r>
      <w:r w:rsidR="002C595E">
        <w:t xml:space="preserve">who </w:t>
      </w:r>
      <w:r w:rsidR="009D331F">
        <w:t>are</w:t>
      </w:r>
      <w:r w:rsidR="00855217">
        <w:t xml:space="preserve"> </w:t>
      </w:r>
      <w:r w:rsidR="003A0938">
        <w:t>invested</w:t>
      </w:r>
      <w:r w:rsidR="00082CE9">
        <w:t xml:space="preserve"> in the proposal’s</w:t>
      </w:r>
      <w:r w:rsidR="00F23C31">
        <w:t xml:space="preserve"> advancement.</w:t>
      </w:r>
      <w:r w:rsidR="00F23C31" w:rsidRPr="0016287E">
        <w:rPr>
          <w:rStyle w:val="FootnoteReference"/>
        </w:rPr>
        <w:footnoteReference w:id="118"/>
      </w:r>
      <w:r w:rsidR="00855217">
        <w:t xml:space="preserve"> E</w:t>
      </w:r>
      <w:r w:rsidR="00FE4D12">
        <w:t>ven if one accepts</w:t>
      </w:r>
      <w:r w:rsidR="00021D93">
        <w:t>,</w:t>
      </w:r>
      <w:r w:rsidR="00FE4D12">
        <w:t xml:space="preserve"> </w:t>
      </w:r>
      <w:r w:rsidR="00021D93">
        <w:t xml:space="preserve">based on </w:t>
      </w:r>
      <w:r w:rsidR="000D58E9">
        <w:t>the</w:t>
      </w:r>
      <w:r w:rsidR="00C53D4A">
        <w:t xml:space="preserve"> QR&amp;O’s</w:t>
      </w:r>
      <w:r w:rsidR="000D58E9">
        <w:t xml:space="preserve"> </w:t>
      </w:r>
      <w:r w:rsidR="00C53D4A">
        <w:t>limite</w:t>
      </w:r>
      <w:r w:rsidR="00FE4D12">
        <w:t>d application</w:t>
      </w:r>
      <w:r w:rsidR="00021D93">
        <w:t>,</w:t>
      </w:r>
      <w:r w:rsidR="00FE4D12">
        <w:t xml:space="preserve"> that </w:t>
      </w:r>
      <w:r w:rsidR="000D58E9">
        <w:t xml:space="preserve">consultation on </w:t>
      </w:r>
      <w:r w:rsidR="00855217">
        <w:t xml:space="preserve">QR&amp;O development </w:t>
      </w:r>
      <w:r w:rsidR="00156D68">
        <w:t xml:space="preserve">can appropriately </w:t>
      </w:r>
      <w:r w:rsidR="00F23C31">
        <w:t xml:space="preserve">be confined </w:t>
      </w:r>
      <w:r w:rsidR="006E19DA">
        <w:t>to the CAF</w:t>
      </w:r>
      <w:r w:rsidR="00855217">
        <w:t xml:space="preserve"> and its members</w:t>
      </w:r>
      <w:r w:rsidR="006E19DA">
        <w:t xml:space="preserve"> as the most affected group, </w:t>
      </w:r>
      <w:r w:rsidR="00156D68">
        <w:t xml:space="preserve">in the context of </w:t>
      </w:r>
      <w:r w:rsidR="00021D93">
        <w:t xml:space="preserve">public participation </w:t>
      </w:r>
      <w:r w:rsidR="00082CE9">
        <w:t xml:space="preserve">as </w:t>
      </w:r>
      <w:r w:rsidR="00156D68">
        <w:t>a means</w:t>
      </w:r>
      <w:r w:rsidR="003A0938">
        <w:t xml:space="preserve"> to</w:t>
      </w:r>
      <w:r w:rsidR="00855217">
        <w:t xml:space="preserve"> </w:t>
      </w:r>
      <w:r w:rsidR="00082CE9">
        <w:t>bolster</w:t>
      </w:r>
      <w:r w:rsidR="00F23C31">
        <w:t xml:space="preserve"> democrat</w:t>
      </w:r>
      <w:r w:rsidR="00855217">
        <w:t>ic legitimation</w:t>
      </w:r>
      <w:r w:rsidR="00156D68">
        <w:t xml:space="preserve">, </w:t>
      </w:r>
      <w:r w:rsidR="00F23C31">
        <w:t>constriction</w:t>
      </w:r>
      <w:r w:rsidR="005040DE">
        <w:t xml:space="preserve">s in the consultation pool are </w:t>
      </w:r>
      <w:r w:rsidR="00F23C31">
        <w:t>counter</w:t>
      </w:r>
      <w:r w:rsidR="000D58E9">
        <w:t>intuitive</w:t>
      </w:r>
      <w:r w:rsidR="00C53D4A">
        <w:t>.</w:t>
      </w:r>
      <w:r w:rsidR="00082CE9">
        <w:rPr>
          <w:rStyle w:val="FootnoteReference"/>
        </w:rPr>
        <w:footnoteReference w:id="119"/>
      </w:r>
      <w:r w:rsidR="00C53D4A">
        <w:t xml:space="preserve"> This is especially the case </w:t>
      </w:r>
      <w:r w:rsidR="000D58E9">
        <w:t xml:space="preserve">when the </w:t>
      </w:r>
      <w:r w:rsidR="00F23C31">
        <w:t>constriction</w:t>
      </w:r>
      <w:r w:rsidR="000D58E9">
        <w:t>s effectively reduce</w:t>
      </w:r>
      <w:r w:rsidR="00F23C31">
        <w:t xml:space="preserve"> the </w:t>
      </w:r>
      <w:r w:rsidR="00C53D4A">
        <w:t xml:space="preserve">consultation </w:t>
      </w:r>
      <w:r w:rsidR="00F23C31">
        <w:t xml:space="preserve">pool to a much smaller segment </w:t>
      </w:r>
      <w:r w:rsidR="00C53D4A">
        <w:t xml:space="preserve">of the affected group </w:t>
      </w:r>
      <w:r w:rsidR="000D58E9">
        <w:t xml:space="preserve">that </w:t>
      </w:r>
      <w:r w:rsidR="003F6D5C">
        <w:t xml:space="preserve">effectively </w:t>
      </w:r>
      <w:r w:rsidR="000D58E9">
        <w:t>act</w:t>
      </w:r>
      <w:r w:rsidR="009D331F">
        <w:t>s</w:t>
      </w:r>
      <w:r w:rsidR="000D58E9">
        <w:t xml:space="preserve"> </w:t>
      </w:r>
      <w:r w:rsidR="00F23C31">
        <w:t>as the unelected representatives of the whole.</w:t>
      </w:r>
      <w:r w:rsidR="000D58E9">
        <w:rPr>
          <w:rStyle w:val="FootnoteReference"/>
        </w:rPr>
        <w:footnoteReference w:id="120"/>
      </w:r>
      <w:r w:rsidR="00F23C31">
        <w:t xml:space="preserve"> On these </w:t>
      </w:r>
      <w:r w:rsidR="00855217">
        <w:t xml:space="preserve">bases, </w:t>
      </w:r>
      <w:r w:rsidR="00F45D88">
        <w:t xml:space="preserve">while </w:t>
      </w:r>
      <w:r w:rsidR="002C595E">
        <w:t xml:space="preserve">reasons may exist to justify </w:t>
      </w:r>
      <w:r w:rsidR="000D58E9">
        <w:t>more limited</w:t>
      </w:r>
      <w:r w:rsidR="00F45D88">
        <w:t xml:space="preserve"> c</w:t>
      </w:r>
      <w:r w:rsidR="00855217">
        <w:t xml:space="preserve">onsultation </w:t>
      </w:r>
      <w:r w:rsidR="00F45D88">
        <w:t xml:space="preserve">in certain contexts, </w:t>
      </w:r>
      <w:r w:rsidR="00314F43">
        <w:t xml:space="preserve">the </w:t>
      </w:r>
      <w:r w:rsidR="00C53D4A">
        <w:t xml:space="preserve">current </w:t>
      </w:r>
      <w:r w:rsidR="002C595E">
        <w:t xml:space="preserve">lack </w:t>
      </w:r>
      <w:r w:rsidR="00314F43">
        <w:t>of public i</w:t>
      </w:r>
      <w:r w:rsidR="00C53D4A">
        <w:t>nvolvement</w:t>
      </w:r>
      <w:r w:rsidR="00314F43">
        <w:t xml:space="preserve"> in </w:t>
      </w:r>
      <w:r w:rsidR="000D58E9">
        <w:t xml:space="preserve">QR&amp;O development </w:t>
      </w:r>
      <w:r w:rsidR="00F23C31">
        <w:t xml:space="preserve">cannot reasonably be viewed as </w:t>
      </w:r>
      <w:r w:rsidR="00314F43">
        <w:t xml:space="preserve">sufficient to provide any level of democratic legitimation for the QR&amp;O, and as a consequence, would not be </w:t>
      </w:r>
      <w:r w:rsidR="00F23C31">
        <w:t xml:space="preserve">sufficient to </w:t>
      </w:r>
      <w:r w:rsidR="00314F43">
        <w:t xml:space="preserve">bolster the legitimation afforded by the enabling provisions in </w:t>
      </w:r>
      <w:r w:rsidR="003A0938">
        <w:t>section 12 of the NDA.</w:t>
      </w:r>
      <w:r w:rsidR="009D331F">
        <w:rPr>
          <w:rStyle w:val="FootnoteReference"/>
        </w:rPr>
        <w:footnoteReference w:id="121"/>
      </w:r>
      <w:r w:rsidR="00F23C31">
        <w:t xml:space="preserve"> </w:t>
      </w:r>
      <w:r w:rsidR="002060ED">
        <w:t xml:space="preserve"> </w:t>
      </w:r>
    </w:p>
    <w:p w:rsidR="00F23C31" w:rsidRDefault="001C16BD" w:rsidP="002060ED">
      <w:pPr>
        <w:spacing w:after="240" w:line="480" w:lineRule="auto"/>
        <w:ind w:firstLine="720"/>
      </w:pPr>
      <w:r>
        <w:lastRenderedPageBreak/>
        <w:t xml:space="preserve">To conclude this section, </w:t>
      </w:r>
      <w:r w:rsidR="00F53C92">
        <w:t>without a</w:t>
      </w:r>
      <w:r w:rsidR="00AD67E1">
        <w:t>n effective</w:t>
      </w:r>
      <w:r w:rsidR="00F53C92">
        <w:t xml:space="preserve"> source of either </w:t>
      </w:r>
      <w:r w:rsidR="00F23C31">
        <w:t xml:space="preserve">parliamentary </w:t>
      </w:r>
      <w:r w:rsidR="00F53C92">
        <w:t xml:space="preserve">participation </w:t>
      </w:r>
      <w:r w:rsidR="00F23C31">
        <w:t xml:space="preserve">or public participation in the QR&amp;O </w:t>
      </w:r>
      <w:r w:rsidR="00F53C92">
        <w:t>development</w:t>
      </w:r>
      <w:r w:rsidR="00F23C31">
        <w:t xml:space="preserve"> process, parliamentary predetermination is left as the </w:t>
      </w:r>
      <w:r w:rsidR="00156D68">
        <w:t>sole source of</w:t>
      </w:r>
      <w:r w:rsidR="00F23C31">
        <w:t xml:space="preserve"> democratic legitimation</w:t>
      </w:r>
      <w:r w:rsidR="00F23C31" w:rsidRPr="009B701D">
        <w:t xml:space="preserve"> </w:t>
      </w:r>
      <w:r w:rsidR="00F23C31">
        <w:t>for the QR&amp;O</w:t>
      </w:r>
      <w:r>
        <w:t xml:space="preserve">; however, based on the lack of specificity provided in </w:t>
      </w:r>
      <w:r w:rsidR="00F23C31">
        <w:t>the enabling provisions</w:t>
      </w:r>
      <w:r>
        <w:t xml:space="preserve">, parliamentary predetermination is not on its own sufficient to </w:t>
      </w:r>
      <w:r w:rsidR="00F23C31">
        <w:t>satisfy the democratic legitimation requirements of the QR&amp;O.</w:t>
      </w:r>
      <w:r w:rsidRPr="001C16BD">
        <w:rPr>
          <w:rStyle w:val="FootnoteReference"/>
        </w:rPr>
        <w:t xml:space="preserve"> </w:t>
      </w:r>
      <w:r w:rsidR="00977255">
        <w:rPr>
          <w:rStyle w:val="FootnoteReference"/>
        </w:rPr>
        <w:footnoteReference w:id="122"/>
      </w:r>
      <w:r w:rsidR="00F23C31">
        <w:t xml:space="preserve"> </w:t>
      </w:r>
    </w:p>
    <w:p w:rsidR="00DD4EEE" w:rsidRPr="00C97F0D" w:rsidRDefault="00A260D9" w:rsidP="00BE7CB3">
      <w:pPr>
        <w:spacing w:after="240" w:line="480" w:lineRule="auto"/>
        <w:rPr>
          <w:b/>
          <w:i/>
        </w:rPr>
      </w:pPr>
      <w:r>
        <w:rPr>
          <w:b/>
          <w:i/>
        </w:rPr>
        <w:t>3</w:t>
      </w:r>
      <w:r w:rsidR="00182D73" w:rsidRPr="00C97F0D">
        <w:rPr>
          <w:b/>
          <w:i/>
        </w:rPr>
        <w:t xml:space="preserve">.2.  </w:t>
      </w:r>
      <w:r w:rsidR="00182D73" w:rsidRPr="00C97F0D">
        <w:rPr>
          <w:b/>
          <w:i/>
        </w:rPr>
        <w:tab/>
      </w:r>
      <w:r w:rsidR="00C31374" w:rsidRPr="00C97F0D">
        <w:rPr>
          <w:b/>
          <w:i/>
        </w:rPr>
        <w:t>Second Criteri</w:t>
      </w:r>
      <w:r w:rsidR="008F7592">
        <w:rPr>
          <w:b/>
          <w:i/>
        </w:rPr>
        <w:t>on</w:t>
      </w:r>
      <w:r w:rsidR="00C31374" w:rsidRPr="00C97F0D">
        <w:rPr>
          <w:b/>
          <w:i/>
        </w:rPr>
        <w:t xml:space="preserve"> – Subsidiary and Proportionality</w:t>
      </w:r>
    </w:p>
    <w:p w:rsidR="00997822" w:rsidRDefault="0030744F" w:rsidP="00EA45E1">
      <w:pPr>
        <w:spacing w:after="240" w:line="480" w:lineRule="auto"/>
        <w:ind w:firstLine="720"/>
      </w:pPr>
      <w:r>
        <w:t xml:space="preserve">Subsidiary and proportionality </w:t>
      </w:r>
      <w:r w:rsidR="006C5BA1">
        <w:t xml:space="preserve">are each prominent principles within the </w:t>
      </w:r>
      <w:r w:rsidR="00E104F7">
        <w:t xml:space="preserve">European Community legal system; they </w:t>
      </w:r>
      <w:r w:rsidR="006C5BA1" w:rsidRPr="0085508C">
        <w:t xml:space="preserve">are applied to </w:t>
      </w:r>
      <w:r w:rsidR="00E104F7">
        <w:t>constrain</w:t>
      </w:r>
      <w:r w:rsidR="00316E5C">
        <w:t xml:space="preserve"> </w:t>
      </w:r>
      <w:r w:rsidR="006C5BA1" w:rsidRPr="0085508C">
        <w:t>the Community’s legislation-making authority</w:t>
      </w:r>
      <w:r w:rsidR="00583483" w:rsidRPr="0085508C">
        <w:t xml:space="preserve"> </w:t>
      </w:r>
      <w:r w:rsidR="00E104F7">
        <w:t xml:space="preserve">by focusing on the need </w:t>
      </w:r>
      <w:r w:rsidRPr="0085508C">
        <w:t>to intervene a</w:t>
      </w:r>
      <w:r w:rsidR="00583483" w:rsidRPr="0085508C">
        <w:t xml:space="preserve">t </w:t>
      </w:r>
      <w:r w:rsidR="0085508C" w:rsidRPr="0085508C">
        <w:t xml:space="preserve">the Community level and the </w:t>
      </w:r>
      <w:r w:rsidR="00E104F7">
        <w:t xml:space="preserve">breadth </w:t>
      </w:r>
      <w:r w:rsidR="0085508C" w:rsidRPr="0085508C">
        <w:t xml:space="preserve">of </w:t>
      </w:r>
      <w:r w:rsidR="00F40634">
        <w:t xml:space="preserve">any </w:t>
      </w:r>
      <w:r w:rsidR="00E104F7">
        <w:t>regulatory intervention</w:t>
      </w:r>
      <w:r w:rsidR="00583483" w:rsidRPr="0085508C">
        <w:t xml:space="preserve"> required</w:t>
      </w:r>
      <w:r w:rsidR="006C5BA1">
        <w:t>.</w:t>
      </w:r>
      <w:r w:rsidR="00583483">
        <w:rPr>
          <w:rStyle w:val="FootnoteReference"/>
        </w:rPr>
        <w:footnoteReference w:id="123"/>
      </w:r>
      <w:r w:rsidR="006C5BA1">
        <w:t xml:space="preserve"> </w:t>
      </w:r>
    </w:p>
    <w:p w:rsidR="00997822" w:rsidRPr="00997822" w:rsidRDefault="00997822" w:rsidP="00BE7CB3">
      <w:pPr>
        <w:spacing w:after="240" w:line="480" w:lineRule="auto"/>
        <w:rPr>
          <w:u w:val="single"/>
        </w:rPr>
      </w:pPr>
      <w:r>
        <w:t>I.</w:t>
      </w:r>
      <w:r>
        <w:tab/>
      </w:r>
      <w:r>
        <w:rPr>
          <w:u w:val="single"/>
        </w:rPr>
        <w:t>Subsidiary</w:t>
      </w:r>
    </w:p>
    <w:p w:rsidR="00AA7D5E" w:rsidRDefault="006C5BA1" w:rsidP="00EA45E1">
      <w:pPr>
        <w:spacing w:after="240" w:line="480" w:lineRule="auto"/>
        <w:ind w:firstLine="720"/>
      </w:pPr>
      <w:r>
        <w:t>Subsidiary has the status of a constitutional principle wi</w:t>
      </w:r>
      <w:r w:rsidR="00583483">
        <w:t>thin the European Community</w:t>
      </w:r>
      <w:r w:rsidR="00446F0B">
        <w:t>; it</w:t>
      </w:r>
      <w:r w:rsidR="00583483">
        <w:t xml:space="preserve"> essentially</w:t>
      </w:r>
      <w:r>
        <w:t xml:space="preserve"> embodies the Community’s approach to federalism</w:t>
      </w:r>
      <w:r w:rsidR="002A617C">
        <w:t xml:space="preserve"> and </w:t>
      </w:r>
      <w:r w:rsidR="0096563E">
        <w:t>promotes</w:t>
      </w:r>
      <w:r w:rsidR="002A617C">
        <w:t xml:space="preserve"> </w:t>
      </w:r>
      <w:r w:rsidR="0096563E">
        <w:t xml:space="preserve">the </w:t>
      </w:r>
      <w:r w:rsidR="005A2F45">
        <w:t>view</w:t>
      </w:r>
      <w:r w:rsidR="002A617C">
        <w:t xml:space="preserve"> that higher-level entities </w:t>
      </w:r>
      <w:r w:rsidR="00446F0B">
        <w:t xml:space="preserve">ought not to </w:t>
      </w:r>
      <w:r w:rsidR="002A617C">
        <w:t>regulate on matters that could be better dealt with at a lower level.</w:t>
      </w:r>
      <w:r w:rsidR="009F644D">
        <w:rPr>
          <w:rStyle w:val="FootnoteReference"/>
        </w:rPr>
        <w:footnoteReference w:id="124"/>
      </w:r>
      <w:r w:rsidR="00BE4AE6">
        <w:t xml:space="preserve"> </w:t>
      </w:r>
      <w:r w:rsidR="002A617C">
        <w:t xml:space="preserve">The </w:t>
      </w:r>
      <w:r w:rsidR="009F644D">
        <w:t xml:space="preserve">purpose </w:t>
      </w:r>
      <w:r w:rsidR="002A617C">
        <w:t xml:space="preserve">of the principle </w:t>
      </w:r>
      <w:r w:rsidR="009F644D">
        <w:t xml:space="preserve">is to minimize the Community’s interference with </w:t>
      </w:r>
      <w:r w:rsidR="00BE4AE6">
        <w:t xml:space="preserve">the </w:t>
      </w:r>
      <w:r w:rsidR="009F644D">
        <w:t xml:space="preserve">economy of its Member States by limiting </w:t>
      </w:r>
      <w:r w:rsidR="005A2F45">
        <w:t>the e</w:t>
      </w:r>
      <w:r w:rsidR="009F644D">
        <w:t xml:space="preserve">xercise of </w:t>
      </w:r>
      <w:r w:rsidR="005A2F45">
        <w:t xml:space="preserve">its </w:t>
      </w:r>
      <w:r w:rsidR="009F644D">
        <w:t xml:space="preserve">authority </w:t>
      </w:r>
      <w:r w:rsidR="00BE4AE6">
        <w:t>in matters outside its area of exclusive competence</w:t>
      </w:r>
      <w:r w:rsidR="00997822">
        <w:t xml:space="preserve"> </w:t>
      </w:r>
      <w:r w:rsidR="009F644D">
        <w:t xml:space="preserve">to </w:t>
      </w:r>
      <w:r w:rsidR="00316E5C">
        <w:t xml:space="preserve">those </w:t>
      </w:r>
      <w:r w:rsidR="009F644D">
        <w:t>circumstances when it is truly necessary</w:t>
      </w:r>
      <w:r>
        <w:t>.</w:t>
      </w:r>
      <w:r>
        <w:rPr>
          <w:rStyle w:val="FootnoteReference"/>
        </w:rPr>
        <w:footnoteReference w:id="125"/>
      </w:r>
      <w:r w:rsidR="009F644D">
        <w:t xml:space="preserve"> </w:t>
      </w:r>
      <w:r w:rsidR="00EC5C49">
        <w:t xml:space="preserve">Under this principle, </w:t>
      </w:r>
      <w:r w:rsidR="00BE4AE6">
        <w:t xml:space="preserve">Community intervention </w:t>
      </w:r>
      <w:r w:rsidR="00EC5C49">
        <w:t xml:space="preserve">would be </w:t>
      </w:r>
      <w:r w:rsidR="00BE4AE6">
        <w:t>considered necessary and</w:t>
      </w:r>
      <w:r w:rsidR="00997822">
        <w:t xml:space="preserve"> justified </w:t>
      </w:r>
      <w:r w:rsidR="00316E5C">
        <w:t xml:space="preserve">when </w:t>
      </w:r>
      <w:r w:rsidR="00716689">
        <w:t xml:space="preserve">the objectives of </w:t>
      </w:r>
      <w:r w:rsidR="00BE4AE6">
        <w:t xml:space="preserve">proposed </w:t>
      </w:r>
      <w:r w:rsidR="00997822">
        <w:t xml:space="preserve">Community </w:t>
      </w:r>
      <w:r w:rsidR="00BE4AE6">
        <w:t xml:space="preserve">action could not be sufficiently </w:t>
      </w:r>
      <w:r w:rsidR="00BE4AE6">
        <w:lastRenderedPageBreak/>
        <w:t xml:space="preserve">achieved through action by </w:t>
      </w:r>
      <w:r w:rsidR="00997822">
        <w:t xml:space="preserve">individual </w:t>
      </w:r>
      <w:r w:rsidR="00BE4AE6">
        <w:t>Member States within their national constitutional system</w:t>
      </w:r>
      <w:r w:rsidR="00316E5C">
        <w:t xml:space="preserve">; accordingly, </w:t>
      </w:r>
      <w:r w:rsidR="00383DB8">
        <w:t>in such cases</w:t>
      </w:r>
      <w:r w:rsidR="00EA45E1">
        <w:t xml:space="preserve"> the objectives</w:t>
      </w:r>
      <w:r w:rsidR="00BE4AE6">
        <w:t xml:space="preserve"> would be better effected by Community action.</w:t>
      </w:r>
      <w:r w:rsidR="00997822">
        <w:rPr>
          <w:rStyle w:val="FootnoteReference"/>
        </w:rPr>
        <w:footnoteReference w:id="126"/>
      </w:r>
      <w:r w:rsidR="0085508C">
        <w:t xml:space="preserve"> </w:t>
      </w:r>
    </w:p>
    <w:p w:rsidR="0096563E" w:rsidRDefault="0085508C" w:rsidP="00E81B21">
      <w:pPr>
        <w:spacing w:after="240" w:line="480" w:lineRule="auto"/>
        <w:ind w:firstLine="720"/>
      </w:pPr>
      <w:r>
        <w:t xml:space="preserve">While </w:t>
      </w:r>
      <w:r w:rsidR="00716689">
        <w:t>the concept of subsidiary per se</w:t>
      </w:r>
      <w:r>
        <w:t xml:space="preserve"> does not exist in Canada, an equivalent principle can be found in the division of </w:t>
      </w:r>
      <w:r w:rsidR="005517C5">
        <w:t>legislative powers that exist</w:t>
      </w:r>
      <w:r w:rsidR="00EA45E1">
        <w:t>s</w:t>
      </w:r>
      <w:r w:rsidR="005517C5">
        <w:t xml:space="preserve"> between the federal and provincial governments. Sections 91 and 92 of the </w:t>
      </w:r>
      <w:r w:rsidR="005517C5" w:rsidRPr="005517C5">
        <w:rPr>
          <w:i/>
        </w:rPr>
        <w:t>Constitution Act, 1867</w:t>
      </w:r>
      <w:r w:rsidR="005517C5">
        <w:t>,</w:t>
      </w:r>
      <w:r w:rsidR="00A97FA0">
        <w:t xml:space="preserve"> </w:t>
      </w:r>
      <w:r w:rsidR="005517C5">
        <w:t xml:space="preserve">describe </w:t>
      </w:r>
      <w:r w:rsidR="00C22548">
        <w:t xml:space="preserve">the </w:t>
      </w:r>
      <w:r w:rsidR="005517C5">
        <w:t xml:space="preserve">specific subject </w:t>
      </w:r>
      <w:r w:rsidR="00C22548">
        <w:t>matters in relation to which</w:t>
      </w:r>
      <w:r w:rsidR="005517C5">
        <w:t xml:space="preserve"> each level of government can legislate</w:t>
      </w:r>
      <w:r w:rsidR="00716689">
        <w:t>.</w:t>
      </w:r>
      <w:r w:rsidR="00716689">
        <w:rPr>
          <w:rStyle w:val="FootnoteReference"/>
        </w:rPr>
        <w:footnoteReference w:id="127"/>
      </w:r>
      <w:r w:rsidR="00716689">
        <w:t xml:space="preserve"> F</w:t>
      </w:r>
      <w:r w:rsidR="003E3D33">
        <w:t xml:space="preserve">or an enactment to be constitutionally valid, its </w:t>
      </w:r>
      <w:r w:rsidR="00A97FA0">
        <w:t xml:space="preserve">‘dominant or most important characteristic’ </w:t>
      </w:r>
      <w:r w:rsidR="003E3D33">
        <w:t xml:space="preserve">must fall within </w:t>
      </w:r>
      <w:r w:rsidR="00A97FA0">
        <w:t>one of the areas of responsibility identified for th</w:t>
      </w:r>
      <w:r w:rsidR="003E3D33">
        <w:t>e level of govern</w:t>
      </w:r>
      <w:r w:rsidR="00A97FA0">
        <w:t>ment</w:t>
      </w:r>
      <w:r w:rsidR="003E3D33">
        <w:t xml:space="preserve"> that made the enactment </w:t>
      </w:r>
      <w:r w:rsidR="00EA45E1">
        <w:t xml:space="preserve">while allowing for </w:t>
      </w:r>
      <w:r w:rsidR="004C7EA5">
        <w:t xml:space="preserve">the possibility that some </w:t>
      </w:r>
      <w:r w:rsidR="00716689">
        <w:t>‘</w:t>
      </w:r>
      <w:r w:rsidR="003E3D33">
        <w:t>sub</w:t>
      </w:r>
      <w:r w:rsidR="009205ED">
        <w:t>sidiary effects</w:t>
      </w:r>
      <w:r w:rsidR="00716689">
        <w:t>’</w:t>
      </w:r>
      <w:r w:rsidR="009205ED">
        <w:t xml:space="preserve"> </w:t>
      </w:r>
      <w:r w:rsidR="004C7EA5">
        <w:t>may fall beyond that legislature’s area of responsibility</w:t>
      </w:r>
      <w:r w:rsidR="00A97FA0">
        <w:t>.</w:t>
      </w:r>
      <w:r w:rsidR="00A97FA0">
        <w:rPr>
          <w:rStyle w:val="FootnoteReference"/>
        </w:rPr>
        <w:footnoteReference w:id="128"/>
      </w:r>
      <w:r w:rsidR="00C22548">
        <w:t xml:space="preserve"> </w:t>
      </w:r>
      <w:r w:rsidR="009205ED">
        <w:t xml:space="preserve">The </w:t>
      </w:r>
      <w:r w:rsidR="00BA5159">
        <w:t xml:space="preserve">same constitutional limits </w:t>
      </w:r>
      <w:r w:rsidR="00ED5969">
        <w:t>that apply to primary legislation apply equally to delegated legi</w:t>
      </w:r>
      <w:r w:rsidR="00FD2AA4">
        <w:t>slation</w:t>
      </w:r>
      <w:r w:rsidR="001A707B">
        <w:t xml:space="preserve">, and </w:t>
      </w:r>
      <w:r w:rsidR="0096563E">
        <w:t xml:space="preserve">as a consequence, these limits inform the interpretation of delegated legislation along with </w:t>
      </w:r>
      <w:r w:rsidR="001A707B">
        <w:t xml:space="preserve">the purpose of the enabling provisions </w:t>
      </w:r>
      <w:r w:rsidR="0096563E">
        <w:t xml:space="preserve">and the </w:t>
      </w:r>
      <w:r w:rsidR="001A707B">
        <w:t>overall purpose of the enabling Act</w:t>
      </w:r>
      <w:r w:rsidR="00CD555B">
        <w:t>.</w:t>
      </w:r>
      <w:r w:rsidR="001A707B">
        <w:rPr>
          <w:rStyle w:val="FootnoteReference"/>
        </w:rPr>
        <w:footnoteReference w:id="129"/>
      </w:r>
      <w:r w:rsidR="001A707B">
        <w:t xml:space="preserve"> </w:t>
      </w:r>
    </w:p>
    <w:p w:rsidR="006075D9" w:rsidRDefault="00BD011A" w:rsidP="00E81B21">
      <w:pPr>
        <w:spacing w:after="240" w:line="480" w:lineRule="auto"/>
        <w:ind w:firstLine="720"/>
      </w:pPr>
      <w:r>
        <w:t>T</w:t>
      </w:r>
      <w:r w:rsidR="00AA7D5E">
        <w:t>he consti</w:t>
      </w:r>
      <w:r w:rsidR="0007660E">
        <w:t xml:space="preserve">tutional authority </w:t>
      </w:r>
      <w:r w:rsidR="00EA45E1">
        <w:t xml:space="preserve">to make </w:t>
      </w:r>
      <w:r w:rsidR="001E0929">
        <w:t>the QR&amp;O</w:t>
      </w:r>
      <w:r w:rsidR="00CD555B">
        <w:t xml:space="preserve"> co</w:t>
      </w:r>
      <w:r w:rsidR="00383DB8">
        <w:t xml:space="preserve">mes from </w:t>
      </w:r>
      <w:r w:rsidR="00906274">
        <w:t xml:space="preserve">the </w:t>
      </w:r>
      <w:r w:rsidR="001E0929">
        <w:t>NDA</w:t>
      </w:r>
      <w:r w:rsidR="00383DB8">
        <w:t>, which</w:t>
      </w:r>
      <w:r w:rsidR="001E0929">
        <w:t xml:space="preserve"> </w:t>
      </w:r>
      <w:r w:rsidR="00AA7D5E">
        <w:t xml:space="preserve">was enacted </w:t>
      </w:r>
      <w:r w:rsidR="00B71B76">
        <w:t xml:space="preserve">under </w:t>
      </w:r>
      <w:r w:rsidR="00AA7D5E">
        <w:t>Parliament</w:t>
      </w:r>
      <w:r w:rsidR="00B71B76">
        <w:t>’s</w:t>
      </w:r>
      <w:r w:rsidR="00AA7D5E">
        <w:t xml:space="preserve"> </w:t>
      </w:r>
      <w:r w:rsidR="00EA45E1">
        <w:t xml:space="preserve">constitutional </w:t>
      </w:r>
      <w:r w:rsidR="00AA7D5E">
        <w:t xml:space="preserve">authority to legislate on matters relating to ‘Militia, Military </w:t>
      </w:r>
      <w:r w:rsidR="00170078">
        <w:t>and Naval Services, and Defence</w:t>
      </w:r>
      <w:r w:rsidR="00AA7D5E">
        <w:t>’</w:t>
      </w:r>
      <w:r w:rsidR="00EA45E1">
        <w:t xml:space="preserve">, and </w:t>
      </w:r>
      <w:r w:rsidR="00B71B76" w:rsidRPr="005A5D09">
        <w:t xml:space="preserve">insofar as the QR&amp;O </w:t>
      </w:r>
      <w:r w:rsidR="005A5D09">
        <w:t>remain within the purposive umbrella of the NDA</w:t>
      </w:r>
      <w:r w:rsidR="00B71B76" w:rsidRPr="005A5D09">
        <w:t>, they a</w:t>
      </w:r>
      <w:r w:rsidR="00EA45E1" w:rsidRPr="005A5D09">
        <w:t>re</w:t>
      </w:r>
      <w:r w:rsidR="0007660E" w:rsidRPr="005A5D09">
        <w:t xml:space="preserve"> rightly made at the federal level</w:t>
      </w:r>
      <w:r w:rsidR="0007660E">
        <w:t>.</w:t>
      </w:r>
      <w:r w:rsidR="00AA7D5E">
        <w:rPr>
          <w:rStyle w:val="FootnoteReference"/>
        </w:rPr>
        <w:footnoteReference w:id="130"/>
      </w:r>
      <w:r w:rsidR="0007660E">
        <w:t xml:space="preserve"> There are</w:t>
      </w:r>
      <w:r w:rsidR="00906274">
        <w:t>, however,</w:t>
      </w:r>
      <w:r w:rsidR="0007660E">
        <w:t xml:space="preserve"> certain chapters of the QR&amp;O that </w:t>
      </w:r>
      <w:r w:rsidR="00672083">
        <w:t xml:space="preserve">amplify the NDA </w:t>
      </w:r>
      <w:r w:rsidR="00906274">
        <w:t>yet re</w:t>
      </w:r>
      <w:r w:rsidR="00F155AC">
        <w:t xml:space="preserve">late to subjects that </w:t>
      </w:r>
      <w:r w:rsidR="00672083">
        <w:t xml:space="preserve">could be seen as </w:t>
      </w:r>
      <w:r w:rsidR="00906274">
        <w:t xml:space="preserve">broaching on </w:t>
      </w:r>
      <w:r w:rsidR="0007660E">
        <w:t>are</w:t>
      </w:r>
      <w:r w:rsidR="00F155AC">
        <w:t>as of provincial responsibility. F</w:t>
      </w:r>
      <w:r w:rsidR="0007660E">
        <w:t xml:space="preserve">or example, </w:t>
      </w:r>
      <w:r w:rsidR="00383DB8">
        <w:t xml:space="preserve">while the </w:t>
      </w:r>
      <w:r w:rsidR="00383DB8">
        <w:lastRenderedPageBreak/>
        <w:t>‘Administration of Justice in the Province’ is identified as a provincial responsibility,</w:t>
      </w:r>
      <w:r w:rsidR="00383DB8" w:rsidRPr="00383DB8">
        <w:rPr>
          <w:rStyle w:val="FootnoteReference"/>
        </w:rPr>
        <w:t xml:space="preserve"> </w:t>
      </w:r>
      <w:r w:rsidR="00383DB8">
        <w:rPr>
          <w:rStyle w:val="FootnoteReference"/>
        </w:rPr>
        <w:footnoteReference w:id="131"/>
      </w:r>
      <w:r w:rsidR="00383DB8">
        <w:t xml:space="preserve"> </w:t>
      </w:r>
      <w:r w:rsidR="0007660E">
        <w:t xml:space="preserve">chapters 101-118 </w:t>
      </w:r>
      <w:r w:rsidR="007A7F68">
        <w:t xml:space="preserve">of the QR&amp;O </w:t>
      </w:r>
      <w:r w:rsidR="00377EF0">
        <w:t xml:space="preserve">incorporate the disciplinary, regulatory, procedural and explanatory materials relevant to the </w:t>
      </w:r>
      <w:r w:rsidR="00377EF0" w:rsidRPr="00377EF0">
        <w:rPr>
          <w:i/>
        </w:rPr>
        <w:t>Code of Service Discipline</w:t>
      </w:r>
      <w:r w:rsidR="00377EF0">
        <w:t xml:space="preserve"> and the administration</w:t>
      </w:r>
      <w:r w:rsidR="0007660E">
        <w:t xml:space="preserve"> of military justice,</w:t>
      </w:r>
      <w:r w:rsidR="00EA45E1">
        <w:t xml:space="preserve"> which includes</w:t>
      </w:r>
      <w:r w:rsidR="0007660E">
        <w:t xml:space="preserve"> the preparation, laying and referral of charges and the conduct of service tribunal</w:t>
      </w:r>
      <w:r w:rsidR="00C2090A">
        <w:t>s.</w:t>
      </w:r>
      <w:r w:rsidR="00383DB8">
        <w:rPr>
          <w:rStyle w:val="FootnoteReference"/>
        </w:rPr>
        <w:footnoteReference w:id="132"/>
      </w:r>
      <w:r w:rsidR="00383DB8">
        <w:t xml:space="preserve"> </w:t>
      </w:r>
      <w:r w:rsidR="00377EF0">
        <w:t>C</w:t>
      </w:r>
      <w:r w:rsidR="00C2090A">
        <w:t xml:space="preserve">harges can be laid and a service tribunal conducted </w:t>
      </w:r>
      <w:r w:rsidR="00377EF0">
        <w:t xml:space="preserve">within the military justice system </w:t>
      </w:r>
      <w:r w:rsidR="00C2090A">
        <w:t>in any province of Canada,</w:t>
      </w:r>
      <w:r w:rsidR="00672083">
        <w:rPr>
          <w:rStyle w:val="FootnoteReference"/>
        </w:rPr>
        <w:footnoteReference w:id="133"/>
      </w:r>
      <w:r w:rsidR="00C2090A">
        <w:t xml:space="preserve"> </w:t>
      </w:r>
      <w:r w:rsidR="00377EF0">
        <w:t xml:space="preserve">however, owing to the fact that </w:t>
      </w:r>
      <w:r w:rsidR="00C2090A">
        <w:t xml:space="preserve">the </w:t>
      </w:r>
      <w:r w:rsidR="00377EF0">
        <w:t xml:space="preserve">dominant characteristic of these regulations and the </w:t>
      </w:r>
      <w:r w:rsidR="00377EF0" w:rsidRPr="00D20CC6">
        <w:rPr>
          <w:i/>
        </w:rPr>
        <w:t>Code of Service Discipl</w:t>
      </w:r>
      <w:r w:rsidR="00D20CC6">
        <w:rPr>
          <w:i/>
        </w:rPr>
        <w:t>in</w:t>
      </w:r>
      <w:r w:rsidR="00377EF0" w:rsidRPr="00D20CC6">
        <w:rPr>
          <w:i/>
        </w:rPr>
        <w:t>e</w:t>
      </w:r>
      <w:r w:rsidR="00377EF0">
        <w:t xml:space="preserve"> is </w:t>
      </w:r>
      <w:r w:rsidR="007A7F68">
        <w:t xml:space="preserve">to allow the CAF </w:t>
      </w:r>
      <w:r w:rsidR="006C33EE">
        <w:t xml:space="preserve">to </w:t>
      </w:r>
      <w:r w:rsidR="00D20CC6">
        <w:t>meet its disciplinary needs by dealing with matters that pertain directly to the discipline, efficiency and morale of the military,</w:t>
      </w:r>
      <w:r w:rsidR="00D20CC6">
        <w:rPr>
          <w:rStyle w:val="FootnoteReference"/>
        </w:rPr>
        <w:footnoteReference w:id="134"/>
      </w:r>
      <w:r w:rsidR="00377EF0">
        <w:t xml:space="preserve"> the </w:t>
      </w:r>
      <w:r w:rsidR="00906274">
        <w:t xml:space="preserve">dominant purpose of these </w:t>
      </w:r>
      <w:r w:rsidR="00377EF0">
        <w:t>regulations</w:t>
      </w:r>
      <w:r w:rsidR="00672083">
        <w:t xml:space="preserve"> </w:t>
      </w:r>
      <w:r w:rsidR="00906274">
        <w:t xml:space="preserve">can be seen to </w:t>
      </w:r>
      <w:r w:rsidR="00F155AC">
        <w:t xml:space="preserve">fall squarely within Parliament’s jurisdiction </w:t>
      </w:r>
      <w:r w:rsidR="00906274">
        <w:t>over</w:t>
      </w:r>
      <w:r w:rsidR="00F155AC">
        <w:t xml:space="preserve"> matters of defence and the military even though the administration of justice is a matter </w:t>
      </w:r>
      <w:r w:rsidR="00906274">
        <w:t>that normally falls within the responsibility of the p</w:t>
      </w:r>
      <w:r w:rsidR="00F155AC">
        <w:t>rovinces.</w:t>
      </w:r>
      <w:r w:rsidR="006C33EE">
        <w:rPr>
          <w:rStyle w:val="FootnoteReference"/>
        </w:rPr>
        <w:footnoteReference w:id="135"/>
      </w:r>
      <w:r w:rsidR="00F155AC">
        <w:t xml:space="preserve"> </w:t>
      </w:r>
      <w:r w:rsidR="007D7059">
        <w:t>The explicit limits placed on the matters and purposes in relation to which the delegated authorities can make regulations under se</w:t>
      </w:r>
      <w:r w:rsidR="00F83BAE">
        <w:t xml:space="preserve">ction 12 of the NDA </w:t>
      </w:r>
      <w:r w:rsidR="007D7059">
        <w:t>relate</w:t>
      </w:r>
      <w:r w:rsidR="001E1FE9">
        <w:t xml:space="preserve"> </w:t>
      </w:r>
      <w:r w:rsidR="00F83BAE">
        <w:t xml:space="preserve">specifically </w:t>
      </w:r>
      <w:r w:rsidR="001E1FE9">
        <w:t>to the CAF and</w:t>
      </w:r>
      <w:r w:rsidR="00F83BAE">
        <w:t xml:space="preserve"> its members and purposes </w:t>
      </w:r>
      <w:r w:rsidR="001E0929">
        <w:t>of the NDA.</w:t>
      </w:r>
      <w:r w:rsidR="00526B36">
        <w:rPr>
          <w:rStyle w:val="FootnoteReference"/>
        </w:rPr>
        <w:footnoteReference w:id="136"/>
      </w:r>
      <w:r w:rsidR="001E0929">
        <w:t xml:space="preserve"> Accordingly, </w:t>
      </w:r>
      <w:r w:rsidR="00F83BAE">
        <w:t>the substantive limits of the QR&amp;O clearly fall within</w:t>
      </w:r>
      <w:r w:rsidR="00F155AC">
        <w:t xml:space="preserve"> Parliament</w:t>
      </w:r>
      <w:r w:rsidR="00F83BAE">
        <w:t>’s constitutional jurisdiction</w:t>
      </w:r>
      <w:r w:rsidR="001E0929">
        <w:t xml:space="preserve"> </w:t>
      </w:r>
      <w:r w:rsidR="001E1FE9">
        <w:t xml:space="preserve">and </w:t>
      </w:r>
      <w:r w:rsidR="001E0929">
        <w:t xml:space="preserve">satisfy what would be the Canadian equivalent to </w:t>
      </w:r>
      <w:r w:rsidR="00BA524B">
        <w:t>subsidiary.</w:t>
      </w:r>
    </w:p>
    <w:p w:rsidR="00583483" w:rsidRPr="006075D9" w:rsidRDefault="006075D9" w:rsidP="00BE7CB3">
      <w:pPr>
        <w:spacing w:after="240" w:line="480" w:lineRule="auto"/>
      </w:pPr>
      <w:r w:rsidRPr="00A90780">
        <w:t>II.</w:t>
      </w:r>
      <w:r w:rsidRPr="00A90780">
        <w:tab/>
      </w:r>
      <w:r w:rsidRPr="00A90780">
        <w:rPr>
          <w:u w:val="single"/>
        </w:rPr>
        <w:t>Proportionality</w:t>
      </w:r>
    </w:p>
    <w:p w:rsidR="00D37628" w:rsidRDefault="002A747F" w:rsidP="0054529C">
      <w:pPr>
        <w:spacing w:after="240" w:line="480" w:lineRule="auto"/>
        <w:ind w:firstLine="720"/>
      </w:pPr>
      <w:r>
        <w:lastRenderedPageBreak/>
        <w:t xml:space="preserve">In general terms, </w:t>
      </w:r>
      <w:r w:rsidR="00835F38">
        <w:t>proportionally stands for the idea that any regulation must achieve an appropriate balance between the advantages it provides and the constraints it imposes</w:t>
      </w:r>
      <w:r w:rsidR="00C603C7">
        <w:t>,</w:t>
      </w:r>
      <w:r w:rsidR="00835F38">
        <w:rPr>
          <w:rStyle w:val="FootnoteReference"/>
        </w:rPr>
        <w:footnoteReference w:id="137"/>
      </w:r>
      <w:r w:rsidR="00C603C7">
        <w:t xml:space="preserve"> and therefore legislation must </w:t>
      </w:r>
      <w:r w:rsidR="00A43996">
        <w:t xml:space="preserve">assume </w:t>
      </w:r>
      <w:r w:rsidR="00C603C7">
        <w:t xml:space="preserve">only the scope and content required to </w:t>
      </w:r>
      <w:r w:rsidR="00391C22">
        <w:t>appropriately address a particular issue.</w:t>
      </w:r>
      <w:r w:rsidR="00202F3E">
        <w:rPr>
          <w:rStyle w:val="FootnoteReference"/>
        </w:rPr>
        <w:footnoteReference w:id="138"/>
      </w:r>
      <w:r w:rsidR="00202F3E">
        <w:t xml:space="preserve"> In accordance with this principle, the European Community is </w:t>
      </w:r>
      <w:r w:rsidR="000047B9">
        <w:t xml:space="preserve">required </w:t>
      </w:r>
      <w:r w:rsidR="00202F3E">
        <w:t>to legislat</w:t>
      </w:r>
      <w:r w:rsidR="00A63B60">
        <w:t>e only to the extent necessary</w:t>
      </w:r>
      <w:r w:rsidR="00A43996">
        <w:t xml:space="preserve">, and as a consequence, </w:t>
      </w:r>
      <w:r w:rsidR="004A4515">
        <w:t>Community legislat</w:t>
      </w:r>
      <w:r w:rsidR="00202F3E">
        <w:t xml:space="preserve">ion </w:t>
      </w:r>
      <w:r w:rsidR="00526B36">
        <w:t>should</w:t>
      </w:r>
      <w:r w:rsidR="000047B9">
        <w:t xml:space="preserve"> </w:t>
      </w:r>
      <w:r w:rsidR="00526B36">
        <w:t xml:space="preserve">be </w:t>
      </w:r>
      <w:r w:rsidR="00A43996">
        <w:t>as simple as possible;</w:t>
      </w:r>
      <w:r w:rsidR="000047B9">
        <w:t xml:space="preserve"> </w:t>
      </w:r>
      <w:r w:rsidR="00526B36">
        <w:t xml:space="preserve">be </w:t>
      </w:r>
      <w:r w:rsidR="00202F3E">
        <w:t>consistent with a satisfactory achievement of the legislative objective and the need for effective enforcement</w:t>
      </w:r>
      <w:r w:rsidR="00A43996">
        <w:t>;</w:t>
      </w:r>
      <w:r w:rsidR="00887C2F">
        <w:t xml:space="preserve"> limit the impairment of any right or freedom to the extent necessary to accomplish th</w:t>
      </w:r>
      <w:r w:rsidR="00A43996">
        <w:t>e legislative objective;</w:t>
      </w:r>
      <w:r w:rsidR="000047B9">
        <w:t xml:space="preserve"> and </w:t>
      </w:r>
      <w:r w:rsidR="00887C2F">
        <w:t>leave as much scope for national action as possible.</w:t>
      </w:r>
      <w:r w:rsidR="00887C2F">
        <w:rPr>
          <w:rStyle w:val="FootnoteReference"/>
        </w:rPr>
        <w:footnoteReference w:id="139"/>
      </w:r>
      <w:r w:rsidR="00514A0F">
        <w:t xml:space="preserve"> </w:t>
      </w:r>
    </w:p>
    <w:p w:rsidR="00BC3D1D" w:rsidRDefault="00311312" w:rsidP="002B4AD0">
      <w:pPr>
        <w:spacing w:after="240" w:line="480" w:lineRule="auto"/>
        <w:ind w:firstLine="720"/>
      </w:pPr>
      <w:r>
        <w:t xml:space="preserve">Like the </w:t>
      </w:r>
      <w:r w:rsidR="00514A0F">
        <w:t xml:space="preserve">principle of </w:t>
      </w:r>
      <w:r w:rsidR="00E72E6C">
        <w:t xml:space="preserve">subsidiary, </w:t>
      </w:r>
      <w:r>
        <w:t>proportionality</w:t>
      </w:r>
      <w:r w:rsidR="00CC5FEE">
        <w:t xml:space="preserve">, as it applies to the exercise of legislation making authority, </w:t>
      </w:r>
      <w:r w:rsidR="00A43996">
        <w:t xml:space="preserve">does not exist as a specific legal principle </w:t>
      </w:r>
      <w:r w:rsidR="00CC5FEE">
        <w:t>in Canada</w:t>
      </w:r>
      <w:r w:rsidR="00B03F19">
        <w:t xml:space="preserve">. </w:t>
      </w:r>
      <w:r w:rsidR="00152328">
        <w:t>At the federal level</w:t>
      </w:r>
      <w:r w:rsidR="00B03F19">
        <w:t xml:space="preserve">, however, </w:t>
      </w:r>
      <w:r w:rsidR="00AB6272">
        <w:t xml:space="preserve">administrative </w:t>
      </w:r>
      <w:r w:rsidR="00B03F19">
        <w:t xml:space="preserve">direction </w:t>
      </w:r>
      <w:r w:rsidR="00152328">
        <w:t xml:space="preserve">has been issued that </w:t>
      </w:r>
      <w:r w:rsidR="00B03F19">
        <w:t>expresses the Gov</w:t>
      </w:r>
      <w:r w:rsidR="00922821">
        <w:t>ernment’s expectations on</w:t>
      </w:r>
      <w:r w:rsidR="00B03F19">
        <w:t xml:space="preserve"> lawmaking that </w:t>
      </w:r>
      <w:r w:rsidR="00922821">
        <w:t>generally align with the principle of proportionality</w:t>
      </w:r>
      <w:r w:rsidR="00597218">
        <w:t>. In particular,</w:t>
      </w:r>
      <w:r w:rsidR="00152328">
        <w:t xml:space="preserve"> </w:t>
      </w:r>
      <w:r w:rsidR="00CC5FEE">
        <w:t xml:space="preserve">with regard to </w:t>
      </w:r>
      <w:r w:rsidR="00B47AC9">
        <w:t xml:space="preserve">law making in general, </w:t>
      </w:r>
      <w:r w:rsidR="00CC5FEE">
        <w:t xml:space="preserve">it is </w:t>
      </w:r>
      <w:r w:rsidR="009D3B96">
        <w:t>the Government’s position that</w:t>
      </w:r>
      <w:r w:rsidR="005A4FE4">
        <w:t xml:space="preserve"> law sho</w:t>
      </w:r>
      <w:r w:rsidR="00526B36">
        <w:t>uld only be used to achieve the Government’s</w:t>
      </w:r>
      <w:r w:rsidR="005A4FE4">
        <w:t xml:space="preserve"> policy objectives when it is the most appropriate mechanism available</w:t>
      </w:r>
      <w:r w:rsidR="00AF6E02">
        <w:t>.</w:t>
      </w:r>
      <w:r w:rsidR="00A756C7">
        <w:rPr>
          <w:rStyle w:val="FootnoteReference"/>
        </w:rPr>
        <w:footnoteReference w:id="140"/>
      </w:r>
      <w:r w:rsidR="00AF6E02">
        <w:t xml:space="preserve"> </w:t>
      </w:r>
      <w:r w:rsidR="002F4473">
        <w:t xml:space="preserve">Furthermore, </w:t>
      </w:r>
      <w:r w:rsidR="00CC5FEE">
        <w:t>w</w:t>
      </w:r>
      <w:r w:rsidR="007357F7">
        <w:t xml:space="preserve">hen </w:t>
      </w:r>
      <w:r w:rsidR="00377D56">
        <w:t xml:space="preserve">planning policy initiatives, departments are </w:t>
      </w:r>
      <w:r w:rsidR="00B47AC9">
        <w:t xml:space="preserve">directed </w:t>
      </w:r>
      <w:r w:rsidR="007357F7">
        <w:t xml:space="preserve">to </w:t>
      </w:r>
      <w:r w:rsidR="00280787">
        <w:t xml:space="preserve">assess </w:t>
      </w:r>
      <w:r w:rsidR="007357F7">
        <w:t>all possible r</w:t>
      </w:r>
      <w:r w:rsidR="00377D56">
        <w:t>egulatory and non-regulatory</w:t>
      </w:r>
      <w:r w:rsidR="007357F7">
        <w:t xml:space="preserve"> measures available for f</w:t>
      </w:r>
      <w:r w:rsidR="00F568AA">
        <w:t>ulfil</w:t>
      </w:r>
      <w:r w:rsidR="00CC5FEE">
        <w:t xml:space="preserve">ling </w:t>
      </w:r>
      <w:r w:rsidR="00A64388">
        <w:t xml:space="preserve">the </w:t>
      </w:r>
      <w:r w:rsidR="00B47AC9">
        <w:t>policy objectives</w:t>
      </w:r>
      <w:r w:rsidR="00CC5FEE">
        <w:t xml:space="preserve"> and </w:t>
      </w:r>
      <w:r w:rsidR="00AA1B23">
        <w:t xml:space="preserve">to </w:t>
      </w:r>
      <w:r w:rsidR="00CC5FEE">
        <w:t>identify options that will ‘maximize net benefits’</w:t>
      </w:r>
      <w:r w:rsidR="00A64388">
        <w:t xml:space="preserve"> taking into account </w:t>
      </w:r>
      <w:r w:rsidR="00BC3D1D">
        <w:t xml:space="preserve">the potential positive and negative economic, environmental, and social impacts </w:t>
      </w:r>
      <w:r w:rsidR="00A64388">
        <w:t xml:space="preserve">of </w:t>
      </w:r>
      <w:r w:rsidR="004807A1">
        <w:t>each proposal along with possibilities for distributing</w:t>
      </w:r>
      <w:r w:rsidR="00BC3D1D">
        <w:t xml:space="preserve"> </w:t>
      </w:r>
      <w:r w:rsidR="004807A1">
        <w:lastRenderedPageBreak/>
        <w:t xml:space="preserve">the identified impacts </w:t>
      </w:r>
      <w:r w:rsidR="00A64388">
        <w:t>across affected parties,</w:t>
      </w:r>
      <w:r w:rsidR="004807A1">
        <w:t xml:space="preserve"> </w:t>
      </w:r>
      <w:r w:rsidR="00BC3D1D">
        <w:t xml:space="preserve">sectors of the economy and regions of </w:t>
      </w:r>
      <w:r w:rsidR="004807A1">
        <w:t>Canada</w:t>
      </w:r>
      <w:r w:rsidR="00BC3D1D">
        <w:t>.</w:t>
      </w:r>
      <w:r w:rsidR="00BC3D1D">
        <w:rPr>
          <w:rStyle w:val="FootnoteReference"/>
        </w:rPr>
        <w:footnoteReference w:id="141"/>
      </w:r>
      <w:r w:rsidR="002B4AD0">
        <w:t xml:space="preserve"> </w:t>
      </w:r>
      <w:r w:rsidR="003857C9">
        <w:t>W</w:t>
      </w:r>
      <w:r w:rsidR="00EA789D">
        <w:t>hen the proposed action involves a regulatory change</w:t>
      </w:r>
      <w:r w:rsidR="00067E8B">
        <w:t xml:space="preserve">, the department is </w:t>
      </w:r>
      <w:r w:rsidR="00A05510">
        <w:t xml:space="preserve">additionally </w:t>
      </w:r>
      <w:r w:rsidR="00067E8B">
        <w:t xml:space="preserve">required to demonstrate that the </w:t>
      </w:r>
      <w:r w:rsidR="00EA789D">
        <w:t>regulation</w:t>
      </w:r>
      <w:r w:rsidR="00067E8B">
        <w:t xml:space="preserve"> is designed to address </w:t>
      </w:r>
      <w:r w:rsidR="00EA789D">
        <w:t xml:space="preserve">the </w:t>
      </w:r>
      <w:r w:rsidR="00012B94">
        <w:t xml:space="preserve">relevant </w:t>
      </w:r>
      <w:r w:rsidR="00067E8B">
        <w:t>policy objectives, is proportional to the degree and type of risk</w:t>
      </w:r>
      <w:r w:rsidR="00A05510">
        <w:t xml:space="preserve"> identified,</w:t>
      </w:r>
      <w:r w:rsidR="00067E8B">
        <w:t xml:space="preserve"> and does not unduly affect areas it was not designed to affect.</w:t>
      </w:r>
      <w:r w:rsidR="00067E8B">
        <w:rPr>
          <w:rStyle w:val="FootnoteReference"/>
        </w:rPr>
        <w:footnoteReference w:id="142"/>
      </w:r>
      <w:r w:rsidR="002B4AD0">
        <w:t xml:space="preserve"> </w:t>
      </w:r>
    </w:p>
    <w:p w:rsidR="006405A2" w:rsidRDefault="003857C9" w:rsidP="00504A43">
      <w:pPr>
        <w:spacing w:after="240" w:line="480" w:lineRule="auto"/>
        <w:ind w:firstLine="720"/>
      </w:pPr>
      <w:r>
        <w:t>This</w:t>
      </w:r>
      <w:r w:rsidR="00504F1E">
        <w:t xml:space="preserve"> approach to proportionality </w:t>
      </w:r>
      <w:r>
        <w:t>seeks to balance the potential impacts and benefits relevant to each proposal and pla</w:t>
      </w:r>
      <w:r w:rsidR="002F4473">
        <w:t>ces a particular emphasis on</w:t>
      </w:r>
      <w:r>
        <w:t xml:space="preserve"> potential economic and business impacts.</w:t>
      </w:r>
      <w:r>
        <w:rPr>
          <w:rStyle w:val="FootnoteReference"/>
        </w:rPr>
        <w:footnoteReference w:id="143"/>
      </w:r>
      <w:r>
        <w:t xml:space="preserve"> Like o</w:t>
      </w:r>
      <w:r w:rsidR="00F9604A">
        <w:t xml:space="preserve">ther regulatory proposals that require </w:t>
      </w:r>
      <w:r w:rsidR="005D4D65">
        <w:t>Governor in Council</w:t>
      </w:r>
      <w:r w:rsidR="00F9604A">
        <w:t xml:space="preserve"> approval</w:t>
      </w:r>
      <w:r w:rsidR="008408C5">
        <w:t xml:space="preserve">, </w:t>
      </w:r>
      <w:r w:rsidR="00F00CFF">
        <w:t xml:space="preserve">proposed </w:t>
      </w:r>
      <w:r w:rsidR="005D4D65">
        <w:t xml:space="preserve">Governor in Council QR&amp;O are </w:t>
      </w:r>
      <w:r w:rsidR="007365C1">
        <w:t>subject</w:t>
      </w:r>
      <w:r w:rsidR="00353E34">
        <w:t xml:space="preserve"> to the triage process, during which</w:t>
      </w:r>
      <w:r>
        <w:t>,</w:t>
      </w:r>
      <w:r w:rsidR="00353E34">
        <w:t xml:space="preserve"> </w:t>
      </w:r>
      <w:r w:rsidR="008408C5">
        <w:t>the TBS-RAS</w:t>
      </w:r>
      <w:r w:rsidR="00353E34">
        <w:t xml:space="preserve"> assesses the sub</w:t>
      </w:r>
      <w:r w:rsidR="008D78EA">
        <w:t>stance of</w:t>
      </w:r>
      <w:r w:rsidR="008408C5">
        <w:t xml:space="preserve"> proposed QR&amp;O </w:t>
      </w:r>
      <w:r w:rsidR="007365C1">
        <w:t xml:space="preserve">to </w:t>
      </w:r>
      <w:r w:rsidR="002F4473">
        <w:t>determine its</w:t>
      </w:r>
      <w:r w:rsidR="00F00CFF">
        <w:t xml:space="preserve"> potential impact</w:t>
      </w:r>
      <w:r w:rsidR="002F4473">
        <w:t xml:space="preserve"> and </w:t>
      </w:r>
      <w:r w:rsidR="00985899">
        <w:t xml:space="preserve">to </w:t>
      </w:r>
      <w:r w:rsidR="00AD7179">
        <w:t>confirm that the proposed action appropriately balances those impacts</w:t>
      </w:r>
      <w:r w:rsidR="00F00CFF">
        <w:t>.</w:t>
      </w:r>
      <w:r w:rsidR="00A05510">
        <w:rPr>
          <w:rStyle w:val="FootnoteReference"/>
        </w:rPr>
        <w:footnoteReference w:id="144"/>
      </w:r>
      <w:r w:rsidR="00504F1E">
        <w:t xml:space="preserve"> </w:t>
      </w:r>
      <w:r w:rsidR="00770681">
        <w:t xml:space="preserve">On a consistent basis, </w:t>
      </w:r>
      <w:r w:rsidR="00353E34">
        <w:t>prop</w:t>
      </w:r>
      <w:r w:rsidR="008408C5">
        <w:t xml:space="preserve">osed </w:t>
      </w:r>
      <w:r w:rsidR="00353E34">
        <w:t xml:space="preserve">Governor in Council </w:t>
      </w:r>
      <w:r w:rsidR="008408C5">
        <w:t>QR&amp;O</w:t>
      </w:r>
      <w:r w:rsidR="00770681">
        <w:t xml:space="preserve"> are a</w:t>
      </w:r>
      <w:r w:rsidR="00FC6E86">
        <w:t>ssessed as having</w:t>
      </w:r>
      <w:r w:rsidR="00353E34">
        <w:t xml:space="preserve"> a low risk of impact</w:t>
      </w:r>
      <w:r w:rsidR="00505789">
        <w:t>.</w:t>
      </w:r>
      <w:r w:rsidR="00504A43">
        <w:rPr>
          <w:rStyle w:val="FootnoteReference"/>
        </w:rPr>
        <w:footnoteReference w:id="145"/>
      </w:r>
      <w:r w:rsidR="00504A43">
        <w:t xml:space="preserve"> </w:t>
      </w:r>
      <w:r w:rsidR="00505789">
        <w:t>W</w:t>
      </w:r>
      <w:r>
        <w:t xml:space="preserve">hile these </w:t>
      </w:r>
      <w:r w:rsidR="00505789">
        <w:t xml:space="preserve">impact </w:t>
      </w:r>
      <w:r>
        <w:t xml:space="preserve">assessments are proposal-specific, </w:t>
      </w:r>
      <w:r w:rsidR="00770681">
        <w:t xml:space="preserve">when one </w:t>
      </w:r>
      <w:r w:rsidR="00504A43">
        <w:t xml:space="preserve">considers </w:t>
      </w:r>
      <w:r w:rsidR="00B0133C">
        <w:t xml:space="preserve">these consistent results with </w:t>
      </w:r>
      <w:r w:rsidR="00985899">
        <w:t xml:space="preserve">the CAF-centric focus of the QR&amp;O and </w:t>
      </w:r>
      <w:r w:rsidR="00B0133C">
        <w:t xml:space="preserve">the </w:t>
      </w:r>
      <w:r w:rsidR="00505789">
        <w:t>emphasis placed on economic and business impacts under the fede</w:t>
      </w:r>
      <w:r w:rsidR="00985899">
        <w:t>ral approach to proportionality</w:t>
      </w:r>
      <w:r w:rsidR="00504A43">
        <w:t xml:space="preserve">, </w:t>
      </w:r>
      <w:r w:rsidR="002F4473">
        <w:t>one c</w:t>
      </w:r>
      <w:r w:rsidR="00985899">
        <w:t xml:space="preserve">an reasonably reach the </w:t>
      </w:r>
      <w:r w:rsidR="002F4473">
        <w:t>co</w:t>
      </w:r>
      <w:r w:rsidR="00B0133C">
        <w:t xml:space="preserve">nclusion </w:t>
      </w:r>
      <w:r w:rsidR="00AD7179">
        <w:t>that</w:t>
      </w:r>
      <w:r w:rsidR="00504A43">
        <w:t xml:space="preserve"> </w:t>
      </w:r>
      <w:r w:rsidR="00B0133C">
        <w:t xml:space="preserve">as a body of law, the </w:t>
      </w:r>
      <w:r w:rsidR="00504A43">
        <w:t xml:space="preserve">Governor in Council QR&amp;O </w:t>
      </w:r>
      <w:r w:rsidR="00985899">
        <w:t>generally satisfy</w:t>
      </w:r>
      <w:r w:rsidR="00AD7179">
        <w:t xml:space="preserve"> </w:t>
      </w:r>
      <w:r w:rsidR="00B0133C">
        <w:t xml:space="preserve">the </w:t>
      </w:r>
      <w:r w:rsidR="00AD7179">
        <w:t xml:space="preserve">proportionality </w:t>
      </w:r>
      <w:r w:rsidR="00504A43">
        <w:t xml:space="preserve">requirements </w:t>
      </w:r>
      <w:r w:rsidR="00AD7179">
        <w:t>applied to</w:t>
      </w:r>
      <w:r w:rsidR="00504A43">
        <w:t xml:space="preserve"> federal regulations</w:t>
      </w:r>
      <w:r w:rsidR="00AD7179">
        <w:t xml:space="preserve"> in Canada</w:t>
      </w:r>
      <w:r w:rsidR="00504A43">
        <w:t>.</w:t>
      </w:r>
      <w:r w:rsidR="00504A43">
        <w:rPr>
          <w:rStyle w:val="FootnoteReference"/>
        </w:rPr>
        <w:footnoteReference w:id="146"/>
      </w:r>
      <w:r w:rsidR="00EB4FB7">
        <w:t xml:space="preserve"> </w:t>
      </w:r>
      <w:r w:rsidR="00504A43">
        <w:t xml:space="preserve">While </w:t>
      </w:r>
      <w:r w:rsidR="00207FEE">
        <w:t xml:space="preserve">Treasury Board and Minister </w:t>
      </w:r>
      <w:r w:rsidR="00323E7E">
        <w:t xml:space="preserve">QR&amp;O </w:t>
      </w:r>
      <w:r w:rsidR="00207FEE">
        <w:t xml:space="preserve">are not subject to the triage process </w:t>
      </w:r>
      <w:r w:rsidR="006F1CD2">
        <w:t xml:space="preserve">or the </w:t>
      </w:r>
      <w:r w:rsidR="00207FEE">
        <w:t xml:space="preserve">impact assessment, </w:t>
      </w:r>
      <w:r w:rsidR="006F1CD2">
        <w:t xml:space="preserve">given </w:t>
      </w:r>
      <w:r w:rsidR="00207FEE">
        <w:t>that they have a similar CAF</w:t>
      </w:r>
      <w:r w:rsidR="006F1CD2">
        <w:t>-</w:t>
      </w:r>
      <w:r w:rsidR="00207FEE">
        <w:t xml:space="preserve">centric focus </w:t>
      </w:r>
      <w:r w:rsidR="006F1CD2">
        <w:t xml:space="preserve">as the Governor in Council </w:t>
      </w:r>
      <w:r w:rsidR="006F1CD2">
        <w:lastRenderedPageBreak/>
        <w:t xml:space="preserve">QR&amp;O </w:t>
      </w:r>
      <w:r w:rsidR="00207FEE">
        <w:t xml:space="preserve">and </w:t>
      </w:r>
      <w:r w:rsidR="006F1CD2">
        <w:t xml:space="preserve">do not regulate on </w:t>
      </w:r>
      <w:r w:rsidR="00207FEE">
        <w:t>economic or financial matters outside the CAF</w:t>
      </w:r>
      <w:r w:rsidR="00323E7E">
        <w:t xml:space="preserve">, it </w:t>
      </w:r>
      <w:r w:rsidR="006F1CD2">
        <w:t xml:space="preserve">is reasonable to expect that they </w:t>
      </w:r>
      <w:r w:rsidR="00B0133C">
        <w:t>also</w:t>
      </w:r>
      <w:r w:rsidR="00A63B60">
        <w:t xml:space="preserve"> comply with th</w:t>
      </w:r>
      <w:r w:rsidR="002C0F3B">
        <w:t>e</w:t>
      </w:r>
      <w:r w:rsidR="00A63B60">
        <w:t>se</w:t>
      </w:r>
      <w:r w:rsidR="002C0F3B">
        <w:t xml:space="preserve"> proportionality requirements</w:t>
      </w:r>
      <w:r w:rsidR="00A63B60">
        <w:t>.</w:t>
      </w:r>
      <w:r w:rsidR="006405A2">
        <w:rPr>
          <w:rStyle w:val="FootnoteReference"/>
        </w:rPr>
        <w:footnoteReference w:id="147"/>
      </w:r>
    </w:p>
    <w:p w:rsidR="00583483" w:rsidRPr="006075D9" w:rsidRDefault="001C16BD" w:rsidP="0054529C">
      <w:pPr>
        <w:spacing w:after="240" w:line="480" w:lineRule="auto"/>
        <w:ind w:firstLine="720"/>
      </w:pPr>
      <w:r>
        <w:t xml:space="preserve">To conclude this section, </w:t>
      </w:r>
      <w:r w:rsidR="006405A2">
        <w:t>while the principles of subsidiary and proportionality are European Commission-centric</w:t>
      </w:r>
      <w:r w:rsidR="00A020EB">
        <w:t xml:space="preserve"> concepts</w:t>
      </w:r>
      <w:r w:rsidR="006405A2">
        <w:t xml:space="preserve">, </w:t>
      </w:r>
      <w:r w:rsidR="00B0133C">
        <w:t xml:space="preserve">general </w:t>
      </w:r>
      <w:r w:rsidR="006405A2">
        <w:t>equivalents can be found in the law and in the administrative requirements applicable to re</w:t>
      </w:r>
      <w:r w:rsidR="006D40EB">
        <w:t>g</w:t>
      </w:r>
      <w:r w:rsidR="004A4515">
        <w:t>ulatory development in Canada, and based on the</w:t>
      </w:r>
      <w:r w:rsidR="00A020EB">
        <w:t>se equivalent concepts</w:t>
      </w:r>
      <w:r w:rsidR="001445EE">
        <w:t>,</w:t>
      </w:r>
      <w:r w:rsidR="00A020EB">
        <w:t xml:space="preserve"> </w:t>
      </w:r>
      <w:r w:rsidR="006D40EB">
        <w:t xml:space="preserve">the QR&amp;O </w:t>
      </w:r>
      <w:r w:rsidR="001445EE">
        <w:t xml:space="preserve">can be </w:t>
      </w:r>
      <w:r w:rsidR="008F7592">
        <w:t>seen as satisfying this criterion</w:t>
      </w:r>
      <w:r w:rsidR="001445EE">
        <w:t>.</w:t>
      </w:r>
    </w:p>
    <w:p w:rsidR="00C31374" w:rsidRPr="00C97F0D" w:rsidRDefault="00A260D9" w:rsidP="00BE7CB3">
      <w:pPr>
        <w:spacing w:after="240" w:line="480" w:lineRule="auto"/>
        <w:rPr>
          <w:b/>
          <w:i/>
        </w:rPr>
      </w:pPr>
      <w:r>
        <w:rPr>
          <w:b/>
          <w:i/>
        </w:rPr>
        <w:t>3</w:t>
      </w:r>
      <w:r w:rsidR="008F7592">
        <w:rPr>
          <w:b/>
          <w:i/>
        </w:rPr>
        <w:t>.3</w:t>
      </w:r>
      <w:r w:rsidR="008F7592">
        <w:rPr>
          <w:b/>
          <w:i/>
        </w:rPr>
        <w:tab/>
        <w:t>Third Criterion</w:t>
      </w:r>
      <w:r w:rsidR="00C31374" w:rsidRPr="00C97F0D">
        <w:rPr>
          <w:b/>
          <w:i/>
        </w:rPr>
        <w:t xml:space="preserve"> – Legal </w:t>
      </w:r>
      <w:r w:rsidR="00D65887" w:rsidRPr="00C97F0D">
        <w:rPr>
          <w:b/>
          <w:i/>
        </w:rPr>
        <w:t>Security</w:t>
      </w:r>
      <w:r w:rsidR="008E563F" w:rsidRPr="00C97F0D">
        <w:rPr>
          <w:b/>
          <w:i/>
        </w:rPr>
        <w:t>/ Legal Certainty</w:t>
      </w:r>
    </w:p>
    <w:p w:rsidR="00CE507C" w:rsidRDefault="008326EA" w:rsidP="00CE507C">
      <w:pPr>
        <w:spacing w:after="240" w:line="480" w:lineRule="auto"/>
        <w:ind w:firstLine="720"/>
      </w:pPr>
      <w:r>
        <w:t>Th</w:t>
      </w:r>
      <w:r w:rsidR="008F7592">
        <w:t>e criterion</w:t>
      </w:r>
      <w:r>
        <w:t xml:space="preserve"> of legal security is also known as legal certainty</w:t>
      </w:r>
      <w:r w:rsidR="00527528">
        <w:t>;</w:t>
      </w:r>
      <w:r>
        <w:rPr>
          <w:rStyle w:val="FootnoteReference"/>
        </w:rPr>
        <w:footnoteReference w:id="148"/>
      </w:r>
      <w:r w:rsidR="00697748">
        <w:t xml:space="preserve"> it is a general principle </w:t>
      </w:r>
      <w:r w:rsidR="00527528">
        <w:t xml:space="preserve">based on the rule of law and applied </w:t>
      </w:r>
      <w:r w:rsidR="00BA1263">
        <w:t>to enable those to whom the law applies to reasonably foresee and understand the consequences of different courses of action and, based on that knowledge, make decisions on how to act.</w:t>
      </w:r>
      <w:r w:rsidR="00BA1263">
        <w:rPr>
          <w:rStyle w:val="FootnoteReference"/>
        </w:rPr>
        <w:footnoteReference w:id="149"/>
      </w:r>
      <w:r w:rsidR="00BA1263">
        <w:t xml:space="preserve"> Legal certainty comprises two </w:t>
      </w:r>
      <w:r w:rsidR="005F316F">
        <w:t>principal</w:t>
      </w:r>
      <w:r w:rsidR="00BA1263">
        <w:t xml:space="preserve"> elements: first, that </w:t>
      </w:r>
      <w:r w:rsidR="00697748">
        <w:t>law be accessible</w:t>
      </w:r>
      <w:r w:rsidR="00BA1263">
        <w:t xml:space="preserve">, which relates to its physical and public availability as well as the clarity of its contents; and second, that </w:t>
      </w:r>
      <w:r w:rsidR="001B3431">
        <w:t>law</w:t>
      </w:r>
      <w:r w:rsidR="00BA1263">
        <w:t xml:space="preserve"> be predict</w:t>
      </w:r>
      <w:r w:rsidR="002819B6">
        <w:t>able, which means calculable and reliable.</w:t>
      </w:r>
      <w:r w:rsidR="00BA1263">
        <w:rPr>
          <w:rStyle w:val="FootnoteReference"/>
        </w:rPr>
        <w:footnoteReference w:id="150"/>
      </w:r>
      <w:r w:rsidR="00BA1263">
        <w:t xml:space="preserve"> </w:t>
      </w:r>
    </w:p>
    <w:p w:rsidR="008D7C9E" w:rsidRDefault="00CE507C" w:rsidP="008D7C9E">
      <w:pPr>
        <w:spacing w:after="240" w:line="480" w:lineRule="auto"/>
        <w:rPr>
          <w:rFonts w:cs="Verdana"/>
          <w:szCs w:val="26"/>
        </w:rPr>
      </w:pPr>
      <w:r>
        <w:tab/>
      </w:r>
      <w:r w:rsidR="009512CB">
        <w:t xml:space="preserve">Looking first at </w:t>
      </w:r>
      <w:r w:rsidR="00CF10E9">
        <w:t>accessibility</w:t>
      </w:r>
      <w:r w:rsidR="009512CB">
        <w:t xml:space="preserve">, </w:t>
      </w:r>
      <w:r w:rsidR="00E156B9">
        <w:t>the QR&amp;O are exempt from the statutory promulgation requirem</w:t>
      </w:r>
      <w:r w:rsidR="0080222E">
        <w:t xml:space="preserve">ents that normally apply to </w:t>
      </w:r>
      <w:r w:rsidR="00E156B9">
        <w:t>federal regulations;</w:t>
      </w:r>
      <w:r w:rsidR="00E156B9">
        <w:rPr>
          <w:rStyle w:val="FootnoteReference"/>
        </w:rPr>
        <w:footnoteReference w:id="151"/>
      </w:r>
      <w:r w:rsidR="00641E16">
        <w:t xml:space="preserve"> once made, the QR&amp;O </w:t>
      </w:r>
      <w:r w:rsidR="00E156B9">
        <w:t>are not registered, which means they are not recorded or assigned a registration number</w:t>
      </w:r>
      <w:r w:rsidR="001E73AB">
        <w:t xml:space="preserve">, and </w:t>
      </w:r>
      <w:r w:rsidR="00E156B9">
        <w:t xml:space="preserve">they are </w:t>
      </w:r>
      <w:r w:rsidR="00E156B9">
        <w:lastRenderedPageBreak/>
        <w:t>not published in</w:t>
      </w:r>
      <w:r w:rsidR="00021AFF">
        <w:t xml:space="preserve"> the</w:t>
      </w:r>
      <w:r w:rsidR="00CF10E9">
        <w:t xml:space="preserve"> </w:t>
      </w:r>
      <w:r w:rsidR="00CF10E9" w:rsidRPr="00BA2E98">
        <w:rPr>
          <w:i/>
        </w:rPr>
        <w:t>Canada Gazette</w:t>
      </w:r>
      <w:r w:rsidR="00CF10E9">
        <w:t xml:space="preserve">, </w:t>
      </w:r>
      <w:r w:rsidR="00021AFF">
        <w:t xml:space="preserve">which would </w:t>
      </w:r>
      <w:r w:rsidR="00645E56">
        <w:t xml:space="preserve">normally </w:t>
      </w:r>
      <w:r w:rsidR="00527528">
        <w:t xml:space="preserve">provide </w:t>
      </w:r>
      <w:r w:rsidR="00021AFF">
        <w:t>sufficient public notification and allow the QR&amp;O to be judicially noticed</w:t>
      </w:r>
      <w:r w:rsidR="00021AFF" w:rsidRPr="00645E56">
        <w:t>.</w:t>
      </w:r>
      <w:r w:rsidR="00021AFF" w:rsidRPr="00645E56">
        <w:rPr>
          <w:rStyle w:val="FootnoteReference"/>
        </w:rPr>
        <w:footnoteReference w:id="152"/>
      </w:r>
      <w:r w:rsidR="00021AFF">
        <w:t xml:space="preserve"> </w:t>
      </w:r>
      <w:r w:rsidR="00645E56">
        <w:t>The QR&amp;O are, however, subject to special</w:t>
      </w:r>
      <w:r w:rsidR="0045052F">
        <w:t xml:space="preserve"> notification requirements</w:t>
      </w:r>
      <w:r w:rsidR="009512CB">
        <w:t xml:space="preserve"> under section 51 of the NDA</w:t>
      </w:r>
      <w:r w:rsidR="00645E56">
        <w:t xml:space="preserve"> and are considered </w:t>
      </w:r>
      <w:r w:rsidR="009D2C33">
        <w:t xml:space="preserve">to </w:t>
      </w:r>
      <w:r w:rsidR="00A0781E">
        <w:t xml:space="preserve">be </w:t>
      </w:r>
      <w:r w:rsidR="00CF7BC4">
        <w:t>‘</w:t>
      </w:r>
      <w:r w:rsidR="00A0781E">
        <w:t xml:space="preserve">sufficiently notified </w:t>
      </w:r>
      <w:r w:rsidR="00CF7BC4">
        <w:t xml:space="preserve">to any person to whom they concern’ </w:t>
      </w:r>
      <w:r w:rsidR="00A0781E">
        <w:t xml:space="preserve">when </w:t>
      </w:r>
      <w:r w:rsidR="009D2C33">
        <w:t xml:space="preserve">electronically published on a Defence or Government of Canada website, </w:t>
      </w:r>
      <w:r w:rsidR="007C414F" w:rsidRPr="009D2C33">
        <w:rPr>
          <w:rFonts w:cs="Verdana"/>
          <w:szCs w:val="26"/>
        </w:rPr>
        <w:t>m</w:t>
      </w:r>
      <w:r w:rsidR="009D2C33">
        <w:rPr>
          <w:rFonts w:cs="Verdana"/>
          <w:szCs w:val="26"/>
        </w:rPr>
        <w:t>ade reasonably accessible to any</w:t>
      </w:r>
      <w:r w:rsidR="007C414F" w:rsidRPr="009D2C33">
        <w:rPr>
          <w:rFonts w:cs="Verdana"/>
          <w:szCs w:val="26"/>
        </w:rPr>
        <w:t xml:space="preserve"> person </w:t>
      </w:r>
      <w:r w:rsidR="009D2C33">
        <w:rPr>
          <w:rFonts w:cs="Verdana"/>
          <w:szCs w:val="26"/>
        </w:rPr>
        <w:t>to whom they concern</w:t>
      </w:r>
      <w:r w:rsidR="00645E56">
        <w:rPr>
          <w:rFonts w:cs="Verdana"/>
          <w:szCs w:val="26"/>
        </w:rPr>
        <w:t>,</w:t>
      </w:r>
      <w:r w:rsidR="009D2C33">
        <w:rPr>
          <w:rFonts w:cs="Verdana"/>
          <w:szCs w:val="26"/>
        </w:rPr>
        <w:t xml:space="preserve"> </w:t>
      </w:r>
      <w:r w:rsidR="007C414F" w:rsidRPr="009D2C33">
        <w:rPr>
          <w:rFonts w:cs="Verdana"/>
          <w:szCs w:val="26"/>
        </w:rPr>
        <w:t>and are drawn to the person’s attention by the commanding officer of the base, unit or other element at which the person is serving.</w:t>
      </w:r>
      <w:r w:rsidR="00645E56">
        <w:rPr>
          <w:rStyle w:val="FootnoteReference"/>
        </w:rPr>
        <w:footnoteReference w:id="153"/>
      </w:r>
      <w:r w:rsidR="00645E56">
        <w:t xml:space="preserve"> </w:t>
      </w:r>
      <w:r w:rsidR="00645E56">
        <w:rPr>
          <w:rFonts w:cs="Verdana"/>
          <w:szCs w:val="26"/>
        </w:rPr>
        <w:t xml:space="preserve">These requirements </w:t>
      </w:r>
      <w:r w:rsidR="004500CB">
        <w:rPr>
          <w:rFonts w:cs="Verdana"/>
          <w:szCs w:val="26"/>
        </w:rPr>
        <w:t xml:space="preserve">place </w:t>
      </w:r>
      <w:r w:rsidR="00AA7816">
        <w:rPr>
          <w:rFonts w:cs="Verdana"/>
          <w:szCs w:val="26"/>
        </w:rPr>
        <w:t>a specific obligation on commanding officers to</w:t>
      </w:r>
      <w:r w:rsidR="00DF7AD8">
        <w:rPr>
          <w:rFonts w:cs="Verdana"/>
          <w:szCs w:val="26"/>
        </w:rPr>
        <w:t xml:space="preserve"> bring the location and existence of the QR&amp;O to the attention of </w:t>
      </w:r>
      <w:r w:rsidR="00CC460F">
        <w:rPr>
          <w:rFonts w:cs="Verdana"/>
          <w:szCs w:val="26"/>
        </w:rPr>
        <w:t xml:space="preserve">CAF </w:t>
      </w:r>
      <w:r w:rsidR="00DF7AD8">
        <w:rPr>
          <w:rFonts w:cs="Verdana"/>
          <w:szCs w:val="26"/>
        </w:rPr>
        <w:t>members serving at each</w:t>
      </w:r>
      <w:r w:rsidR="00645E56">
        <w:rPr>
          <w:rFonts w:cs="Verdana"/>
          <w:szCs w:val="26"/>
        </w:rPr>
        <w:t xml:space="preserve"> location,</w:t>
      </w:r>
      <w:r w:rsidR="00DF7AD8" w:rsidRPr="002E39F1">
        <w:rPr>
          <w:rFonts w:cs="Verdana"/>
          <w:szCs w:val="26"/>
        </w:rPr>
        <w:t xml:space="preserve"> </w:t>
      </w:r>
      <w:r w:rsidR="00DF7AD8">
        <w:rPr>
          <w:rFonts w:cs="Verdana"/>
          <w:szCs w:val="26"/>
        </w:rPr>
        <w:t>and</w:t>
      </w:r>
      <w:r w:rsidR="00645E56">
        <w:rPr>
          <w:rFonts w:cs="Verdana"/>
          <w:szCs w:val="26"/>
        </w:rPr>
        <w:t>,</w:t>
      </w:r>
      <w:r w:rsidR="00DF7AD8">
        <w:rPr>
          <w:rFonts w:cs="Verdana"/>
          <w:szCs w:val="26"/>
        </w:rPr>
        <w:t xml:space="preserve"> if reasonable access to th</w:t>
      </w:r>
      <w:r w:rsidR="001E73AB">
        <w:rPr>
          <w:rFonts w:cs="Verdana"/>
          <w:szCs w:val="26"/>
        </w:rPr>
        <w:t>e website cannot be assured</w:t>
      </w:r>
      <w:r w:rsidR="00645E56">
        <w:rPr>
          <w:rFonts w:cs="Verdana"/>
          <w:szCs w:val="26"/>
        </w:rPr>
        <w:t xml:space="preserve">, </w:t>
      </w:r>
      <w:r w:rsidR="00AE26B6">
        <w:rPr>
          <w:rFonts w:cs="Verdana"/>
          <w:szCs w:val="26"/>
        </w:rPr>
        <w:t xml:space="preserve">to </w:t>
      </w:r>
      <w:r w:rsidR="00DF7AD8">
        <w:rPr>
          <w:rFonts w:cs="Verdana"/>
          <w:szCs w:val="26"/>
        </w:rPr>
        <w:t xml:space="preserve">ensure </w:t>
      </w:r>
      <w:r w:rsidR="00AE26B6">
        <w:rPr>
          <w:rFonts w:cs="Verdana"/>
          <w:szCs w:val="26"/>
        </w:rPr>
        <w:t xml:space="preserve">that </w:t>
      </w:r>
      <w:r w:rsidR="009512CB">
        <w:rPr>
          <w:rFonts w:cs="Verdana"/>
          <w:szCs w:val="26"/>
        </w:rPr>
        <w:t>a</w:t>
      </w:r>
      <w:r w:rsidR="00DF7AD8">
        <w:rPr>
          <w:rFonts w:cs="Verdana"/>
          <w:szCs w:val="26"/>
        </w:rPr>
        <w:t xml:space="preserve"> v</w:t>
      </w:r>
      <w:r w:rsidR="009512CB">
        <w:rPr>
          <w:rFonts w:cs="Verdana"/>
          <w:szCs w:val="26"/>
        </w:rPr>
        <w:t xml:space="preserve">ersion identical to the one </w:t>
      </w:r>
      <w:r w:rsidR="00DF7AD8">
        <w:rPr>
          <w:rFonts w:cs="Verdana"/>
          <w:szCs w:val="26"/>
        </w:rPr>
        <w:t>on the website is made available</w:t>
      </w:r>
      <w:r w:rsidR="00DF7AD8" w:rsidRPr="002E39F1">
        <w:rPr>
          <w:rFonts w:cs="Verdana"/>
          <w:szCs w:val="26"/>
        </w:rPr>
        <w:t>.</w:t>
      </w:r>
      <w:r w:rsidR="00A0781E">
        <w:rPr>
          <w:rStyle w:val="FootnoteReference"/>
          <w:rFonts w:cs="Verdana"/>
          <w:szCs w:val="26"/>
        </w:rPr>
        <w:footnoteReference w:id="154"/>
      </w:r>
      <w:r w:rsidR="00DF7AD8">
        <w:rPr>
          <w:rFonts w:cs="Verdana"/>
          <w:szCs w:val="26"/>
        </w:rPr>
        <w:t xml:space="preserve"> </w:t>
      </w:r>
      <w:r w:rsidR="00A94ED1">
        <w:rPr>
          <w:rFonts w:cs="Verdana"/>
          <w:szCs w:val="26"/>
        </w:rPr>
        <w:t>Separate</w:t>
      </w:r>
      <w:r w:rsidR="002057EC">
        <w:rPr>
          <w:rFonts w:cs="Verdana"/>
          <w:szCs w:val="26"/>
        </w:rPr>
        <w:t xml:space="preserve"> notification requirements exist </w:t>
      </w:r>
      <w:r w:rsidR="00645E56">
        <w:rPr>
          <w:rFonts w:cs="Verdana"/>
          <w:szCs w:val="26"/>
        </w:rPr>
        <w:t xml:space="preserve">in the case of </w:t>
      </w:r>
      <w:r w:rsidR="009512CB">
        <w:rPr>
          <w:rFonts w:cs="Verdana"/>
          <w:szCs w:val="26"/>
        </w:rPr>
        <w:t>Reserve Force</w:t>
      </w:r>
      <w:r w:rsidR="002057EC">
        <w:rPr>
          <w:rFonts w:cs="Verdana"/>
          <w:szCs w:val="26"/>
        </w:rPr>
        <w:t xml:space="preserve"> </w:t>
      </w:r>
      <w:r w:rsidR="00645E56">
        <w:rPr>
          <w:rFonts w:cs="Verdana"/>
          <w:szCs w:val="26"/>
        </w:rPr>
        <w:t>member</w:t>
      </w:r>
      <w:r w:rsidR="00AE26B6">
        <w:rPr>
          <w:rFonts w:cs="Verdana"/>
          <w:szCs w:val="26"/>
        </w:rPr>
        <w:t>s</w:t>
      </w:r>
      <w:r w:rsidR="00645E56">
        <w:rPr>
          <w:rFonts w:cs="Verdana"/>
          <w:szCs w:val="26"/>
        </w:rPr>
        <w:t xml:space="preserve"> </w:t>
      </w:r>
      <w:r w:rsidR="002057EC">
        <w:rPr>
          <w:rFonts w:cs="Verdana"/>
          <w:szCs w:val="26"/>
        </w:rPr>
        <w:t>who are not serving with a unit or other element of the CAF.</w:t>
      </w:r>
      <w:r w:rsidR="002057EC">
        <w:rPr>
          <w:rStyle w:val="FootnoteReference"/>
          <w:rFonts w:cs="Verdana"/>
          <w:szCs w:val="26"/>
        </w:rPr>
        <w:footnoteReference w:id="155"/>
      </w:r>
      <w:r w:rsidR="002057EC">
        <w:rPr>
          <w:rFonts w:cs="Verdana"/>
          <w:szCs w:val="26"/>
        </w:rPr>
        <w:t xml:space="preserve"> </w:t>
      </w:r>
      <w:r w:rsidR="00645E56">
        <w:rPr>
          <w:rFonts w:cs="Verdana"/>
          <w:szCs w:val="26"/>
        </w:rPr>
        <w:t xml:space="preserve">At present, </w:t>
      </w:r>
      <w:r w:rsidR="00645E56">
        <w:t>the complete official version of the QR&amp;O is published on the Department’s web</w:t>
      </w:r>
      <w:r w:rsidR="00A94ED1">
        <w:t>site</w:t>
      </w:r>
      <w:r w:rsidR="001E73AB">
        <w:t xml:space="preserve">; </w:t>
      </w:r>
      <w:r w:rsidR="00FF3EBF">
        <w:t>all</w:t>
      </w:r>
      <w:r w:rsidR="00527528">
        <w:t xml:space="preserve"> QR&amp;O are published together</w:t>
      </w:r>
      <w:r w:rsidR="00FF3EBF">
        <w:t xml:space="preserve"> i</w:t>
      </w:r>
      <w:r w:rsidR="001E73AB">
        <w:t xml:space="preserve">n volumes and chapters based on subject </w:t>
      </w:r>
      <w:r w:rsidR="00A94ED1">
        <w:t>and</w:t>
      </w:r>
      <w:r w:rsidR="00AE26B6">
        <w:t xml:space="preserve"> </w:t>
      </w:r>
      <w:r w:rsidR="00FF3EBF">
        <w:t xml:space="preserve">are available to both </w:t>
      </w:r>
      <w:r w:rsidR="00E20204">
        <w:t xml:space="preserve">members of the CAF </w:t>
      </w:r>
      <w:r w:rsidR="00A94ED1">
        <w:t>and</w:t>
      </w:r>
      <w:r w:rsidR="00E20204">
        <w:t xml:space="preserve"> the general </w:t>
      </w:r>
      <w:r w:rsidR="00645E56">
        <w:t>public</w:t>
      </w:r>
      <w:r w:rsidR="00AE6CDF">
        <w:t>.</w:t>
      </w:r>
      <w:r w:rsidR="00645E56" w:rsidRPr="00130915">
        <w:rPr>
          <w:rStyle w:val="FootnoteReference"/>
        </w:rPr>
        <w:footnoteReference w:id="156"/>
      </w:r>
      <w:r w:rsidR="00FF3EBF">
        <w:t xml:space="preserve"> </w:t>
      </w:r>
    </w:p>
    <w:p w:rsidR="00BC0B81" w:rsidRDefault="00C97F0D" w:rsidP="00BC0B81">
      <w:pPr>
        <w:spacing w:after="240" w:line="480" w:lineRule="auto"/>
        <w:ind w:firstLine="720"/>
        <w:rPr>
          <w:rFonts w:cs="Verdana"/>
          <w:szCs w:val="26"/>
        </w:rPr>
      </w:pPr>
      <w:r>
        <w:t>A</w:t>
      </w:r>
      <w:r w:rsidR="00393451">
        <w:t xml:space="preserve">ccessibility to the QR&amp;O from the perspective of </w:t>
      </w:r>
      <w:r w:rsidR="00C44B9F">
        <w:t xml:space="preserve">proactive </w:t>
      </w:r>
      <w:r>
        <w:t xml:space="preserve">notification, ability </w:t>
      </w:r>
      <w:r w:rsidR="00393451">
        <w:t xml:space="preserve">to gain access to </w:t>
      </w:r>
      <w:r w:rsidR="00A94ED1">
        <w:t xml:space="preserve">and use </w:t>
      </w:r>
      <w:r>
        <w:t>the publication</w:t>
      </w:r>
      <w:r w:rsidR="00FF3EBF">
        <w:t>,</w:t>
      </w:r>
      <w:r>
        <w:t xml:space="preserve"> and </w:t>
      </w:r>
      <w:r w:rsidR="00A94ED1">
        <w:t xml:space="preserve">ability to </w:t>
      </w:r>
      <w:r w:rsidR="00393451">
        <w:t xml:space="preserve">locate relevant regulations contained therein </w:t>
      </w:r>
      <w:r w:rsidR="00A94ED1">
        <w:t xml:space="preserve">can </w:t>
      </w:r>
      <w:r w:rsidR="00C44B9F">
        <w:t xml:space="preserve">generally </w:t>
      </w:r>
      <w:r w:rsidR="00A94ED1">
        <w:t xml:space="preserve">be viewed as </w:t>
      </w:r>
      <w:r w:rsidR="00B819E8">
        <w:t>strong</w:t>
      </w:r>
      <w:r w:rsidR="00FF3EBF">
        <w:t>,</w:t>
      </w:r>
      <w:r w:rsidR="00E54144">
        <w:rPr>
          <w:rStyle w:val="FootnoteReference"/>
        </w:rPr>
        <w:footnoteReference w:id="157"/>
      </w:r>
      <w:r w:rsidR="00A94ED1">
        <w:t xml:space="preserve"> and is arguably stronger than for</w:t>
      </w:r>
      <w:r>
        <w:t xml:space="preserve"> regulations that are simply published in the </w:t>
      </w:r>
      <w:r w:rsidRPr="00C97F0D">
        <w:rPr>
          <w:i/>
        </w:rPr>
        <w:t>Canada Gazette</w:t>
      </w:r>
      <w:r w:rsidR="00FF3EBF">
        <w:rPr>
          <w:i/>
        </w:rPr>
        <w:t>,</w:t>
      </w:r>
      <w:r w:rsidR="00A94ED1">
        <w:rPr>
          <w:i/>
        </w:rPr>
        <w:t xml:space="preserve"> </w:t>
      </w:r>
      <w:r w:rsidR="00A94ED1">
        <w:t>and for which</w:t>
      </w:r>
      <w:r w:rsidR="00FF3EBF">
        <w:t>,</w:t>
      </w:r>
      <w:r w:rsidR="00A94ED1">
        <w:t xml:space="preserve"> there is no su</w:t>
      </w:r>
      <w:r w:rsidR="00C22E7B">
        <w:t>pp</w:t>
      </w:r>
      <w:r w:rsidR="00FF3EBF">
        <w:t>lementary requirement that the</w:t>
      </w:r>
      <w:r w:rsidR="003D57CA">
        <w:t xml:space="preserve"> regulations </w:t>
      </w:r>
      <w:r w:rsidR="00A94ED1">
        <w:t xml:space="preserve">be </w:t>
      </w:r>
      <w:r w:rsidR="0080222E">
        <w:t>drawn to the attention</w:t>
      </w:r>
      <w:r w:rsidR="00FF3EBF">
        <w:t xml:space="preserve"> of and</w:t>
      </w:r>
      <w:r w:rsidR="0080222E">
        <w:t xml:space="preserve"> made accessible to</w:t>
      </w:r>
      <w:r w:rsidR="003D57CA">
        <w:t xml:space="preserve"> t</w:t>
      </w:r>
      <w:r>
        <w:t xml:space="preserve">hose </w:t>
      </w:r>
      <w:r w:rsidR="003D57CA">
        <w:t xml:space="preserve">to </w:t>
      </w:r>
      <w:r w:rsidR="003D57CA">
        <w:lastRenderedPageBreak/>
        <w:t>whom they apply.</w:t>
      </w:r>
      <w:r>
        <w:rPr>
          <w:rStyle w:val="FootnoteReference"/>
        </w:rPr>
        <w:footnoteReference w:id="158"/>
      </w:r>
      <w:r>
        <w:t xml:space="preserve"> There are</w:t>
      </w:r>
      <w:r w:rsidR="0067489C">
        <w:t>,</w:t>
      </w:r>
      <w:r>
        <w:t xml:space="preserve"> however, </w:t>
      </w:r>
      <w:r w:rsidR="00C42610">
        <w:t>two principal</w:t>
      </w:r>
      <w:r w:rsidR="00E54144">
        <w:t xml:space="preserve"> </w:t>
      </w:r>
      <w:r w:rsidR="0067489C">
        <w:t>accessibility</w:t>
      </w:r>
      <w:r w:rsidR="00C42610">
        <w:t xml:space="preserve"> weak points. First</w:t>
      </w:r>
      <w:r w:rsidR="00E54144">
        <w:t xml:space="preserve">, </w:t>
      </w:r>
      <w:r w:rsidR="00EC252F">
        <w:t>the focus o</w:t>
      </w:r>
      <w:r w:rsidR="00AA7816">
        <w:t xml:space="preserve">f </w:t>
      </w:r>
      <w:r w:rsidR="00161192">
        <w:t xml:space="preserve">the </w:t>
      </w:r>
      <w:r w:rsidR="00393451">
        <w:t xml:space="preserve">notification </w:t>
      </w:r>
      <w:r w:rsidR="00AA7816">
        <w:t>and publ</w:t>
      </w:r>
      <w:r w:rsidR="0042415C">
        <w:t xml:space="preserve">ication framework </w:t>
      </w:r>
      <w:r w:rsidR="008D50C7">
        <w:t>is es</w:t>
      </w:r>
      <w:r w:rsidR="0042415C">
        <w:t>s</w:t>
      </w:r>
      <w:r w:rsidR="008D50C7">
        <w:t>entially</w:t>
      </w:r>
      <w:r w:rsidR="00AA7816">
        <w:t xml:space="preserve"> limited to </w:t>
      </w:r>
      <w:r w:rsidR="00EC252F">
        <w:t>the provision of</w:t>
      </w:r>
      <w:r w:rsidR="0042415C">
        <w:t xml:space="preserve"> </w:t>
      </w:r>
      <w:r w:rsidR="00161192">
        <w:t>notice to members of the CAF</w:t>
      </w:r>
      <w:r w:rsidR="00305201">
        <w:t>. This targeted focus is understandable when one considers that the vast majority individuals subject to the QR&amp;O are members of the CAF, however, the QR&amp;O also applies to</w:t>
      </w:r>
      <w:r w:rsidR="00305201">
        <w:rPr>
          <w:rFonts w:cs="Verdana"/>
          <w:szCs w:val="26"/>
        </w:rPr>
        <w:t xml:space="preserve"> individuals who are not members of the CAF but are </w:t>
      </w:r>
      <w:r w:rsidR="00305201" w:rsidRPr="002C52EE">
        <w:rPr>
          <w:rFonts w:cs="Verdana"/>
          <w:szCs w:val="26"/>
        </w:rPr>
        <w:t xml:space="preserve">subject to the </w:t>
      </w:r>
      <w:r w:rsidR="00305201" w:rsidRPr="00CC460F">
        <w:rPr>
          <w:rFonts w:cs="Verdana"/>
          <w:i/>
          <w:szCs w:val="26"/>
        </w:rPr>
        <w:t>Code of Service Discipline</w:t>
      </w:r>
      <w:r w:rsidR="00305201">
        <w:rPr>
          <w:rFonts w:cs="Verdana"/>
          <w:szCs w:val="26"/>
        </w:rPr>
        <w:t>.</w:t>
      </w:r>
      <w:r w:rsidR="00305201">
        <w:rPr>
          <w:rStyle w:val="FootnoteReference"/>
          <w:rFonts w:cs="Verdana"/>
          <w:szCs w:val="26"/>
        </w:rPr>
        <w:footnoteReference w:id="159"/>
      </w:r>
      <w:r w:rsidR="00305201">
        <w:rPr>
          <w:rFonts w:cs="Verdana"/>
          <w:szCs w:val="26"/>
        </w:rPr>
        <w:t xml:space="preserve"> As one example, this would include anyone who accompanies a unit of the CAF that is on active service in any place, such as, the dependant of a CF member who accompanies that member while serving outside Canada.</w:t>
      </w:r>
      <w:r w:rsidR="00305201">
        <w:rPr>
          <w:rStyle w:val="FootnoteReference"/>
          <w:rFonts w:cs="Verdana"/>
          <w:szCs w:val="26"/>
        </w:rPr>
        <w:footnoteReference w:id="160"/>
      </w:r>
      <w:r w:rsidR="00305201">
        <w:rPr>
          <w:rFonts w:cs="Verdana"/>
          <w:szCs w:val="26"/>
        </w:rPr>
        <w:t xml:space="preserve"> These individuals are not members of the CAF; they are not ‘serving’ at a base, unit o</w:t>
      </w:r>
      <w:r w:rsidR="00D00A39">
        <w:rPr>
          <w:rFonts w:cs="Verdana"/>
          <w:szCs w:val="26"/>
        </w:rPr>
        <w:t xml:space="preserve">r </w:t>
      </w:r>
      <w:r w:rsidR="00305201">
        <w:rPr>
          <w:rFonts w:cs="Verdana"/>
          <w:szCs w:val="26"/>
        </w:rPr>
        <w:t>other element of the CAF</w:t>
      </w:r>
      <w:r w:rsidR="00D00A39">
        <w:rPr>
          <w:rFonts w:cs="Verdana"/>
          <w:szCs w:val="26"/>
        </w:rPr>
        <w:t xml:space="preserve">, and </w:t>
      </w:r>
      <w:r w:rsidR="00863C7B">
        <w:rPr>
          <w:rFonts w:cs="Verdana"/>
          <w:szCs w:val="26"/>
        </w:rPr>
        <w:t xml:space="preserve">they </w:t>
      </w:r>
      <w:r w:rsidR="00D00A39">
        <w:rPr>
          <w:rFonts w:cs="Verdana"/>
          <w:szCs w:val="26"/>
        </w:rPr>
        <w:t>are not specifically captured by the QR&amp;O notification and publication requirements</w:t>
      </w:r>
      <w:r w:rsidR="00F6058E">
        <w:rPr>
          <w:rFonts w:cs="Verdana"/>
          <w:szCs w:val="26"/>
        </w:rPr>
        <w:t>.</w:t>
      </w:r>
      <w:r w:rsidR="00E14284">
        <w:rPr>
          <w:rStyle w:val="FootnoteReference"/>
          <w:rFonts w:cs="Verdana"/>
          <w:szCs w:val="26"/>
        </w:rPr>
        <w:footnoteReference w:id="161"/>
      </w:r>
      <w:r w:rsidR="00D95852">
        <w:rPr>
          <w:rFonts w:cs="Verdana"/>
          <w:szCs w:val="26"/>
        </w:rPr>
        <w:t xml:space="preserve"> A lack of notification of applicable regulations clearly impacts the accessibility of those regulations</w:t>
      </w:r>
      <w:r w:rsidR="008E5645">
        <w:rPr>
          <w:rFonts w:cs="Verdana"/>
          <w:szCs w:val="26"/>
        </w:rPr>
        <w:t xml:space="preserve"> to affected individuals</w:t>
      </w:r>
      <w:r w:rsidR="00D95852">
        <w:rPr>
          <w:rFonts w:cs="Verdana"/>
          <w:szCs w:val="26"/>
        </w:rPr>
        <w:t>,</w:t>
      </w:r>
      <w:r w:rsidR="00D95852">
        <w:rPr>
          <w:rStyle w:val="FootnoteReference"/>
          <w:rFonts w:cs="Verdana"/>
          <w:szCs w:val="26"/>
        </w:rPr>
        <w:footnoteReference w:id="162"/>
      </w:r>
      <w:r w:rsidR="00D95852">
        <w:rPr>
          <w:rFonts w:cs="Verdana"/>
          <w:szCs w:val="26"/>
        </w:rPr>
        <w:t xml:space="preserve"> and while </w:t>
      </w:r>
      <w:r w:rsidR="00E54144">
        <w:rPr>
          <w:rFonts w:cs="Verdana"/>
          <w:szCs w:val="26"/>
        </w:rPr>
        <w:t>s</w:t>
      </w:r>
      <w:r w:rsidR="00F578BF">
        <w:rPr>
          <w:rFonts w:cs="Verdana"/>
          <w:szCs w:val="26"/>
        </w:rPr>
        <w:t xml:space="preserve">afeguards </w:t>
      </w:r>
      <w:r w:rsidR="00D95852">
        <w:rPr>
          <w:rFonts w:cs="Verdana"/>
          <w:szCs w:val="26"/>
        </w:rPr>
        <w:t xml:space="preserve">exist </w:t>
      </w:r>
      <w:r w:rsidR="00863C7B">
        <w:rPr>
          <w:rFonts w:cs="Verdana"/>
          <w:szCs w:val="26"/>
        </w:rPr>
        <w:t xml:space="preserve">to </w:t>
      </w:r>
      <w:r w:rsidR="00D95852">
        <w:rPr>
          <w:rFonts w:cs="Verdana"/>
          <w:szCs w:val="26"/>
        </w:rPr>
        <w:t>protect</w:t>
      </w:r>
      <w:r w:rsidR="008E5645">
        <w:rPr>
          <w:rFonts w:cs="Verdana"/>
          <w:szCs w:val="26"/>
        </w:rPr>
        <w:t xml:space="preserve"> </w:t>
      </w:r>
      <w:r w:rsidR="00D95852">
        <w:rPr>
          <w:rFonts w:cs="Verdana"/>
          <w:szCs w:val="26"/>
        </w:rPr>
        <w:t>against penal enforcement for an</w:t>
      </w:r>
      <w:r w:rsidR="00F578BF">
        <w:rPr>
          <w:rFonts w:cs="Verdana"/>
          <w:szCs w:val="26"/>
        </w:rPr>
        <w:t xml:space="preserve"> alleged breach of the Q</w:t>
      </w:r>
      <w:r w:rsidR="00E54144">
        <w:rPr>
          <w:rFonts w:cs="Verdana"/>
          <w:szCs w:val="26"/>
        </w:rPr>
        <w:t>R&amp;O</w:t>
      </w:r>
      <w:r w:rsidR="00C765EA">
        <w:rPr>
          <w:rStyle w:val="FootnoteReference"/>
          <w:rFonts w:cs="Verdana"/>
          <w:szCs w:val="26"/>
        </w:rPr>
        <w:footnoteReference w:id="163"/>
      </w:r>
      <w:r w:rsidR="00EC252F">
        <w:rPr>
          <w:rFonts w:cs="Verdana"/>
          <w:szCs w:val="26"/>
        </w:rPr>
        <w:t xml:space="preserve"> and</w:t>
      </w:r>
      <w:r w:rsidR="00863C7B">
        <w:rPr>
          <w:rFonts w:cs="Verdana"/>
          <w:szCs w:val="26"/>
        </w:rPr>
        <w:t xml:space="preserve"> </w:t>
      </w:r>
      <w:r w:rsidR="00F578BF">
        <w:rPr>
          <w:rFonts w:cs="Verdana"/>
          <w:szCs w:val="26"/>
        </w:rPr>
        <w:t xml:space="preserve">prevent a military judge at court martial from </w:t>
      </w:r>
      <w:r w:rsidR="00C765EA">
        <w:rPr>
          <w:rFonts w:cs="Verdana"/>
          <w:szCs w:val="26"/>
        </w:rPr>
        <w:t>taking judicial notice of the publication or the sufficiency of notification of the QR&amp;O</w:t>
      </w:r>
      <w:r w:rsidR="00D95852">
        <w:rPr>
          <w:rFonts w:cs="Verdana"/>
          <w:szCs w:val="26"/>
        </w:rPr>
        <w:t>,</w:t>
      </w:r>
      <w:r w:rsidR="00C765EA">
        <w:rPr>
          <w:rStyle w:val="FootnoteReference"/>
          <w:rFonts w:cs="Verdana"/>
          <w:szCs w:val="26"/>
        </w:rPr>
        <w:footnoteReference w:id="164"/>
      </w:r>
      <w:r w:rsidR="00F6058E">
        <w:rPr>
          <w:rFonts w:cs="Verdana"/>
          <w:szCs w:val="26"/>
        </w:rPr>
        <w:t xml:space="preserve"> </w:t>
      </w:r>
      <w:r w:rsidR="00E54144">
        <w:rPr>
          <w:rFonts w:cs="Verdana"/>
          <w:szCs w:val="26"/>
        </w:rPr>
        <w:t>t</w:t>
      </w:r>
      <w:r w:rsidR="00F6058E">
        <w:rPr>
          <w:rFonts w:cs="Verdana"/>
          <w:szCs w:val="26"/>
        </w:rPr>
        <w:t xml:space="preserve">hese </w:t>
      </w:r>
      <w:r w:rsidR="00D95852">
        <w:rPr>
          <w:rFonts w:cs="Verdana"/>
          <w:szCs w:val="26"/>
        </w:rPr>
        <w:t xml:space="preserve">safeguards do not </w:t>
      </w:r>
      <w:r w:rsidR="00992F78">
        <w:rPr>
          <w:rFonts w:cs="Verdana"/>
          <w:szCs w:val="26"/>
        </w:rPr>
        <w:t>prevent an</w:t>
      </w:r>
      <w:r w:rsidR="00C765EA">
        <w:rPr>
          <w:rFonts w:cs="Verdana"/>
          <w:szCs w:val="26"/>
        </w:rPr>
        <w:t xml:space="preserve"> </w:t>
      </w:r>
      <w:r w:rsidR="000501E6">
        <w:rPr>
          <w:rFonts w:cs="Verdana"/>
          <w:szCs w:val="26"/>
        </w:rPr>
        <w:t xml:space="preserve">affected </w:t>
      </w:r>
      <w:r w:rsidR="00C765EA">
        <w:rPr>
          <w:rFonts w:cs="Verdana"/>
          <w:szCs w:val="26"/>
        </w:rPr>
        <w:t xml:space="preserve">individual from </w:t>
      </w:r>
      <w:r w:rsidR="00F6058E">
        <w:rPr>
          <w:rFonts w:cs="Verdana"/>
          <w:szCs w:val="26"/>
        </w:rPr>
        <w:t xml:space="preserve">suffering </w:t>
      </w:r>
      <w:r w:rsidR="00992F78">
        <w:rPr>
          <w:rFonts w:cs="Verdana"/>
          <w:szCs w:val="26"/>
        </w:rPr>
        <w:t xml:space="preserve">non-penal </w:t>
      </w:r>
      <w:r w:rsidR="000501E6">
        <w:rPr>
          <w:rFonts w:cs="Verdana"/>
          <w:szCs w:val="26"/>
        </w:rPr>
        <w:t>consequences</w:t>
      </w:r>
      <w:r w:rsidR="00C765EA">
        <w:rPr>
          <w:rFonts w:cs="Verdana"/>
          <w:szCs w:val="26"/>
        </w:rPr>
        <w:t>.</w:t>
      </w:r>
      <w:r w:rsidR="00C765EA">
        <w:rPr>
          <w:rStyle w:val="FootnoteReference"/>
          <w:rFonts w:cs="Verdana"/>
          <w:szCs w:val="26"/>
        </w:rPr>
        <w:footnoteReference w:id="165"/>
      </w:r>
      <w:r w:rsidR="00F6058E">
        <w:rPr>
          <w:rFonts w:cs="Verdana"/>
          <w:szCs w:val="26"/>
        </w:rPr>
        <w:t xml:space="preserve"> </w:t>
      </w:r>
      <w:r w:rsidR="004521B1">
        <w:rPr>
          <w:rFonts w:cs="Verdana"/>
          <w:szCs w:val="26"/>
        </w:rPr>
        <w:t xml:space="preserve">For example, </w:t>
      </w:r>
      <w:r w:rsidR="00C42610">
        <w:rPr>
          <w:rFonts w:cs="Verdana"/>
          <w:szCs w:val="26"/>
        </w:rPr>
        <w:t xml:space="preserve">while </w:t>
      </w:r>
      <w:r w:rsidR="004521B1">
        <w:rPr>
          <w:rFonts w:cs="Verdana"/>
          <w:szCs w:val="26"/>
        </w:rPr>
        <w:t xml:space="preserve">QR&amp;O 101.11 details the </w:t>
      </w:r>
      <w:r w:rsidR="000B23B7">
        <w:rPr>
          <w:rFonts w:cs="Verdana"/>
          <w:szCs w:val="26"/>
        </w:rPr>
        <w:t xml:space="preserve">broad </w:t>
      </w:r>
      <w:r w:rsidR="004521B1">
        <w:rPr>
          <w:rFonts w:cs="Verdana"/>
          <w:szCs w:val="26"/>
        </w:rPr>
        <w:t>advisory and other legal services that can be furnished by the Direc</w:t>
      </w:r>
      <w:r w:rsidR="00C42610">
        <w:rPr>
          <w:rFonts w:cs="Verdana"/>
          <w:szCs w:val="26"/>
        </w:rPr>
        <w:t>tor Defence Counsel Services for</w:t>
      </w:r>
      <w:r w:rsidR="004521B1">
        <w:rPr>
          <w:rFonts w:cs="Verdana"/>
          <w:szCs w:val="26"/>
        </w:rPr>
        <w:t xml:space="preserve"> anyone who is liable to be charged, dealt with and tried under the </w:t>
      </w:r>
      <w:r w:rsidR="004521B1" w:rsidRPr="00CC460F">
        <w:rPr>
          <w:rFonts w:cs="Verdana"/>
          <w:i/>
          <w:szCs w:val="26"/>
        </w:rPr>
        <w:t>Code of Service Discipline</w:t>
      </w:r>
      <w:r w:rsidR="00173CC6">
        <w:rPr>
          <w:rFonts w:cs="Verdana"/>
          <w:szCs w:val="26"/>
        </w:rPr>
        <w:t xml:space="preserve"> and </w:t>
      </w:r>
      <w:r w:rsidR="00F6058E">
        <w:rPr>
          <w:rFonts w:cs="Verdana"/>
          <w:szCs w:val="26"/>
        </w:rPr>
        <w:t>are</w:t>
      </w:r>
      <w:r w:rsidR="000B23B7">
        <w:rPr>
          <w:rFonts w:cs="Verdana"/>
          <w:szCs w:val="26"/>
        </w:rPr>
        <w:t xml:space="preserve"> </w:t>
      </w:r>
      <w:r w:rsidR="00CC460F">
        <w:rPr>
          <w:rFonts w:cs="Verdana"/>
          <w:szCs w:val="26"/>
        </w:rPr>
        <w:t>publically funded</w:t>
      </w:r>
      <w:r w:rsidR="00C42610">
        <w:rPr>
          <w:rFonts w:cs="Verdana"/>
          <w:szCs w:val="26"/>
        </w:rPr>
        <w:t>,</w:t>
      </w:r>
      <w:r w:rsidR="004521B1">
        <w:rPr>
          <w:rFonts w:cs="Verdana"/>
          <w:szCs w:val="26"/>
        </w:rPr>
        <w:t xml:space="preserve"> </w:t>
      </w:r>
      <w:r w:rsidR="00C42610">
        <w:rPr>
          <w:rFonts w:cs="Verdana"/>
          <w:szCs w:val="26"/>
        </w:rPr>
        <w:t>w</w:t>
      </w:r>
      <w:r w:rsidR="00D631AC">
        <w:rPr>
          <w:rFonts w:cs="Verdana"/>
          <w:szCs w:val="26"/>
        </w:rPr>
        <w:t>ithout notification of the QR&amp;O, someone who is in need of defence counsel may not have access to the</w:t>
      </w:r>
      <w:r w:rsidR="00173CC6">
        <w:rPr>
          <w:rFonts w:cs="Verdana"/>
          <w:szCs w:val="26"/>
        </w:rPr>
        <w:t xml:space="preserve"> </w:t>
      </w:r>
      <w:r w:rsidR="000501E6">
        <w:rPr>
          <w:rFonts w:cs="Verdana"/>
          <w:szCs w:val="26"/>
        </w:rPr>
        <w:t>relevant information</w:t>
      </w:r>
      <w:r w:rsidR="00173CC6">
        <w:rPr>
          <w:rFonts w:cs="Verdana"/>
          <w:szCs w:val="26"/>
        </w:rPr>
        <w:t xml:space="preserve">, as a </w:t>
      </w:r>
      <w:r w:rsidR="00173CC6">
        <w:rPr>
          <w:rFonts w:cs="Verdana"/>
          <w:szCs w:val="26"/>
        </w:rPr>
        <w:lastRenderedPageBreak/>
        <w:t xml:space="preserve">consequence, </w:t>
      </w:r>
      <w:r w:rsidR="000501E6">
        <w:rPr>
          <w:rFonts w:cs="Verdana"/>
          <w:szCs w:val="26"/>
        </w:rPr>
        <w:t xml:space="preserve">expend their own funds to hire </w:t>
      </w:r>
      <w:r w:rsidR="00173CC6">
        <w:rPr>
          <w:rFonts w:cs="Verdana"/>
          <w:szCs w:val="26"/>
        </w:rPr>
        <w:t xml:space="preserve">legal counsel instead of </w:t>
      </w:r>
      <w:r w:rsidR="000501E6">
        <w:rPr>
          <w:rFonts w:cs="Verdana"/>
          <w:szCs w:val="26"/>
        </w:rPr>
        <w:t>using</w:t>
      </w:r>
      <w:r w:rsidR="00173CC6">
        <w:rPr>
          <w:rFonts w:cs="Verdana"/>
          <w:szCs w:val="26"/>
        </w:rPr>
        <w:t xml:space="preserve"> this free service.</w:t>
      </w:r>
      <w:r w:rsidR="00173CC6">
        <w:rPr>
          <w:rStyle w:val="FootnoteReference"/>
          <w:rFonts w:cs="Verdana"/>
          <w:szCs w:val="26"/>
        </w:rPr>
        <w:footnoteReference w:id="166"/>
      </w:r>
      <w:r w:rsidR="00C42610">
        <w:rPr>
          <w:rFonts w:cs="Verdana"/>
          <w:szCs w:val="26"/>
        </w:rPr>
        <w:t xml:space="preserve"> </w:t>
      </w:r>
    </w:p>
    <w:p w:rsidR="00DF7AD8" w:rsidRDefault="000501E6" w:rsidP="00BC0B81">
      <w:pPr>
        <w:spacing w:after="240" w:line="480" w:lineRule="auto"/>
        <w:ind w:firstLine="720"/>
        <w:rPr>
          <w:rFonts w:cs="Verdana"/>
          <w:szCs w:val="26"/>
        </w:rPr>
      </w:pPr>
      <w:r>
        <w:rPr>
          <w:rFonts w:cs="Verdana"/>
          <w:szCs w:val="26"/>
        </w:rPr>
        <w:t xml:space="preserve">Additionally, </w:t>
      </w:r>
      <w:r w:rsidR="00C44B9F">
        <w:rPr>
          <w:rFonts w:cs="Verdana"/>
          <w:szCs w:val="26"/>
        </w:rPr>
        <w:t xml:space="preserve">while </w:t>
      </w:r>
      <w:r>
        <w:rPr>
          <w:rFonts w:cs="Verdana"/>
          <w:szCs w:val="26"/>
        </w:rPr>
        <w:t>t</w:t>
      </w:r>
      <w:r w:rsidR="00D631AC">
        <w:rPr>
          <w:rFonts w:cs="Verdana"/>
          <w:szCs w:val="26"/>
        </w:rPr>
        <w:t xml:space="preserve">here are sources of information </w:t>
      </w:r>
      <w:r w:rsidR="00173CC6">
        <w:rPr>
          <w:rFonts w:cs="Verdana"/>
          <w:szCs w:val="26"/>
        </w:rPr>
        <w:t xml:space="preserve">available </w:t>
      </w:r>
      <w:r w:rsidR="00D631AC">
        <w:rPr>
          <w:rFonts w:cs="Verdana"/>
          <w:szCs w:val="26"/>
        </w:rPr>
        <w:t>that may serve to mitigate the imp</w:t>
      </w:r>
      <w:r w:rsidR="00173CC6">
        <w:rPr>
          <w:rFonts w:cs="Verdana"/>
          <w:szCs w:val="26"/>
        </w:rPr>
        <w:t>acts of this notification and accessibility gap</w:t>
      </w:r>
      <w:r w:rsidR="00C44B9F">
        <w:rPr>
          <w:rFonts w:cs="Verdana"/>
          <w:szCs w:val="26"/>
        </w:rPr>
        <w:t xml:space="preserve">, </w:t>
      </w:r>
      <w:r w:rsidR="00D631AC">
        <w:rPr>
          <w:rFonts w:cs="Verdana"/>
          <w:szCs w:val="26"/>
        </w:rPr>
        <w:t>these source</w:t>
      </w:r>
      <w:r w:rsidR="00BC0B81">
        <w:rPr>
          <w:rFonts w:cs="Verdana"/>
          <w:szCs w:val="26"/>
        </w:rPr>
        <w:t>s have their own weaknesses. For example</w:t>
      </w:r>
      <w:r w:rsidR="00D631AC">
        <w:rPr>
          <w:rFonts w:cs="Verdana"/>
          <w:szCs w:val="26"/>
        </w:rPr>
        <w:t xml:space="preserve">, </w:t>
      </w:r>
      <w:r w:rsidR="00992F78">
        <w:rPr>
          <w:rFonts w:cs="Verdana"/>
          <w:szCs w:val="26"/>
        </w:rPr>
        <w:t>I am aware from</w:t>
      </w:r>
      <w:r w:rsidR="00C44B9F">
        <w:rPr>
          <w:rFonts w:cs="Verdana"/>
          <w:szCs w:val="26"/>
        </w:rPr>
        <w:t xml:space="preserve"> </w:t>
      </w:r>
      <w:r w:rsidR="00992F78">
        <w:rPr>
          <w:rFonts w:cs="Verdana"/>
          <w:szCs w:val="26"/>
        </w:rPr>
        <w:t xml:space="preserve">experience that </w:t>
      </w:r>
      <w:r w:rsidR="0042415C">
        <w:rPr>
          <w:rFonts w:cs="Verdana"/>
          <w:szCs w:val="26"/>
        </w:rPr>
        <w:t>efforts are made to bring relevant information to non-CAF membe</w:t>
      </w:r>
      <w:r w:rsidR="00777FCD">
        <w:rPr>
          <w:rFonts w:cs="Verdana"/>
          <w:szCs w:val="26"/>
        </w:rPr>
        <w:t>rs who are subject to the QR&amp;O, and</w:t>
      </w:r>
      <w:r w:rsidR="00BC0B81">
        <w:rPr>
          <w:rFonts w:cs="Verdana"/>
          <w:szCs w:val="26"/>
        </w:rPr>
        <w:t xml:space="preserve"> while useful, these efforts are</w:t>
      </w:r>
      <w:r w:rsidR="006149F1">
        <w:rPr>
          <w:rFonts w:cs="Verdana"/>
          <w:szCs w:val="26"/>
        </w:rPr>
        <w:t xml:space="preserve"> ad hoc, </w:t>
      </w:r>
      <w:r w:rsidR="00BC0B81">
        <w:rPr>
          <w:rFonts w:cs="Verdana"/>
          <w:szCs w:val="26"/>
        </w:rPr>
        <w:t>inconsistent a</w:t>
      </w:r>
      <w:r w:rsidR="00992F78">
        <w:rPr>
          <w:rFonts w:cs="Verdana"/>
          <w:szCs w:val="26"/>
        </w:rPr>
        <w:t xml:space="preserve">nd </w:t>
      </w:r>
      <w:r w:rsidR="00777FCD">
        <w:rPr>
          <w:rFonts w:cs="Verdana"/>
          <w:szCs w:val="26"/>
        </w:rPr>
        <w:t>occur</w:t>
      </w:r>
      <w:r w:rsidR="006149F1">
        <w:rPr>
          <w:rFonts w:cs="Verdana"/>
          <w:szCs w:val="26"/>
        </w:rPr>
        <w:t xml:space="preserve"> outside </w:t>
      </w:r>
      <w:r w:rsidR="00992F78">
        <w:rPr>
          <w:rFonts w:cs="Verdana"/>
          <w:szCs w:val="26"/>
        </w:rPr>
        <w:t xml:space="preserve">the mandates of the </w:t>
      </w:r>
      <w:r w:rsidR="006657EC">
        <w:rPr>
          <w:rFonts w:cs="Verdana"/>
          <w:szCs w:val="26"/>
        </w:rPr>
        <w:t>legal framework</w:t>
      </w:r>
      <w:r w:rsidR="00777FCD">
        <w:rPr>
          <w:rFonts w:cs="Verdana"/>
          <w:szCs w:val="26"/>
        </w:rPr>
        <w:t>.</w:t>
      </w:r>
      <w:r>
        <w:rPr>
          <w:rFonts w:cs="Verdana"/>
          <w:szCs w:val="26"/>
        </w:rPr>
        <w:t xml:space="preserve"> Furthermore</w:t>
      </w:r>
      <w:r w:rsidR="00BC0B81">
        <w:rPr>
          <w:rFonts w:cs="Verdana"/>
          <w:szCs w:val="26"/>
        </w:rPr>
        <w:t xml:space="preserve">, </w:t>
      </w:r>
      <w:r w:rsidR="00C44B9F">
        <w:rPr>
          <w:rFonts w:cs="Verdana"/>
          <w:szCs w:val="26"/>
        </w:rPr>
        <w:t xml:space="preserve">while </w:t>
      </w:r>
      <w:r w:rsidR="00CD4EEF">
        <w:rPr>
          <w:rFonts w:cs="Verdana"/>
          <w:szCs w:val="26"/>
        </w:rPr>
        <w:t xml:space="preserve">public </w:t>
      </w:r>
      <w:r w:rsidR="005F7102">
        <w:rPr>
          <w:rFonts w:cs="Verdana"/>
          <w:szCs w:val="26"/>
        </w:rPr>
        <w:t xml:space="preserve">access to </w:t>
      </w:r>
      <w:r w:rsidR="00DE43F9">
        <w:rPr>
          <w:rFonts w:cs="Verdana"/>
          <w:szCs w:val="26"/>
        </w:rPr>
        <w:t xml:space="preserve">the QR&amp;O </w:t>
      </w:r>
      <w:r w:rsidR="005F7102">
        <w:rPr>
          <w:rFonts w:cs="Verdana"/>
          <w:szCs w:val="26"/>
        </w:rPr>
        <w:t>on the I</w:t>
      </w:r>
      <w:r w:rsidR="00DE43F9">
        <w:rPr>
          <w:rFonts w:cs="Verdana"/>
          <w:szCs w:val="26"/>
        </w:rPr>
        <w:t>nternet</w:t>
      </w:r>
      <w:r w:rsidR="00BC0B81">
        <w:rPr>
          <w:rFonts w:cs="Verdana"/>
          <w:szCs w:val="26"/>
        </w:rPr>
        <w:t xml:space="preserve"> may also serve to mitigate the effects of the notification </w:t>
      </w:r>
      <w:r w:rsidR="00173CC6">
        <w:rPr>
          <w:rFonts w:cs="Verdana"/>
          <w:szCs w:val="26"/>
        </w:rPr>
        <w:t xml:space="preserve">and accessibility </w:t>
      </w:r>
      <w:r w:rsidR="00BC0B81">
        <w:rPr>
          <w:rFonts w:cs="Verdana"/>
          <w:szCs w:val="26"/>
        </w:rPr>
        <w:t>gap</w:t>
      </w:r>
      <w:r w:rsidR="00C44B9F">
        <w:rPr>
          <w:rFonts w:cs="Verdana"/>
          <w:szCs w:val="26"/>
        </w:rPr>
        <w:t>,</w:t>
      </w:r>
      <w:r w:rsidR="00B35BAA">
        <w:rPr>
          <w:rStyle w:val="FootnoteReference"/>
          <w:rFonts w:cs="Verdana"/>
          <w:szCs w:val="26"/>
        </w:rPr>
        <w:footnoteReference w:id="167"/>
      </w:r>
      <w:r w:rsidR="00C44B9F">
        <w:rPr>
          <w:rFonts w:cs="Verdana"/>
          <w:szCs w:val="26"/>
        </w:rPr>
        <w:t xml:space="preserve"> </w:t>
      </w:r>
      <w:r w:rsidR="00CD4EEF">
        <w:rPr>
          <w:rFonts w:cs="Verdana"/>
          <w:szCs w:val="26"/>
        </w:rPr>
        <w:t>the value of this mitigation source may be limite</w:t>
      </w:r>
      <w:r w:rsidR="00EC252F">
        <w:rPr>
          <w:rFonts w:cs="Verdana"/>
          <w:szCs w:val="26"/>
        </w:rPr>
        <w:t xml:space="preserve">d due </w:t>
      </w:r>
      <w:r>
        <w:rPr>
          <w:rFonts w:cs="Verdana"/>
          <w:szCs w:val="26"/>
        </w:rPr>
        <w:t>to the</w:t>
      </w:r>
      <w:r w:rsidR="00C22E7B">
        <w:rPr>
          <w:rFonts w:cs="Verdana"/>
          <w:szCs w:val="26"/>
        </w:rPr>
        <w:t xml:space="preserve"> </w:t>
      </w:r>
      <w:r w:rsidR="00777FCD">
        <w:rPr>
          <w:rFonts w:cs="Verdana"/>
          <w:szCs w:val="26"/>
        </w:rPr>
        <w:t>challenges</w:t>
      </w:r>
      <w:r w:rsidR="00DC41D1">
        <w:rPr>
          <w:rFonts w:cs="Verdana"/>
          <w:szCs w:val="26"/>
        </w:rPr>
        <w:t xml:space="preserve"> </w:t>
      </w:r>
      <w:r w:rsidR="00173CC6">
        <w:rPr>
          <w:rFonts w:cs="Verdana"/>
          <w:szCs w:val="26"/>
        </w:rPr>
        <w:t xml:space="preserve">anyone </w:t>
      </w:r>
      <w:r w:rsidR="00DC41D1">
        <w:rPr>
          <w:rFonts w:cs="Verdana"/>
          <w:szCs w:val="26"/>
        </w:rPr>
        <w:t xml:space="preserve">unfamiliar </w:t>
      </w:r>
      <w:r w:rsidR="00BC0B81">
        <w:rPr>
          <w:rFonts w:cs="Verdana"/>
          <w:szCs w:val="26"/>
        </w:rPr>
        <w:t xml:space="preserve">with the QR&amp;O </w:t>
      </w:r>
      <w:r w:rsidR="00173CC6">
        <w:rPr>
          <w:rFonts w:cs="Verdana"/>
          <w:szCs w:val="26"/>
        </w:rPr>
        <w:t xml:space="preserve">may face trying </w:t>
      </w:r>
      <w:r w:rsidR="00C22E7B">
        <w:rPr>
          <w:rFonts w:cs="Verdana"/>
          <w:szCs w:val="26"/>
        </w:rPr>
        <w:t>to locate</w:t>
      </w:r>
      <w:r>
        <w:rPr>
          <w:rFonts w:cs="Verdana"/>
          <w:szCs w:val="26"/>
        </w:rPr>
        <w:t xml:space="preserve"> them</w:t>
      </w:r>
      <w:r w:rsidR="00BC0B81">
        <w:rPr>
          <w:rFonts w:cs="Verdana"/>
          <w:szCs w:val="26"/>
        </w:rPr>
        <w:t xml:space="preserve"> </w:t>
      </w:r>
      <w:r w:rsidR="00CD4EEF">
        <w:rPr>
          <w:rFonts w:cs="Verdana"/>
          <w:szCs w:val="26"/>
        </w:rPr>
        <w:t>on the Int</w:t>
      </w:r>
      <w:r w:rsidR="00EC252F">
        <w:rPr>
          <w:rFonts w:cs="Verdana"/>
          <w:szCs w:val="26"/>
        </w:rPr>
        <w:t>ernet</w:t>
      </w:r>
      <w:r w:rsidR="00CD4EEF">
        <w:rPr>
          <w:rFonts w:cs="Verdana"/>
          <w:szCs w:val="26"/>
        </w:rPr>
        <w:t xml:space="preserve">. </w:t>
      </w:r>
      <w:r w:rsidR="00173CC6">
        <w:rPr>
          <w:rFonts w:cs="Verdana"/>
          <w:szCs w:val="26"/>
        </w:rPr>
        <w:t xml:space="preserve">For example, </w:t>
      </w:r>
      <w:r w:rsidR="00107913">
        <w:rPr>
          <w:rFonts w:cs="Verdana"/>
          <w:szCs w:val="26"/>
        </w:rPr>
        <w:t xml:space="preserve">the Department of Justice maintains </w:t>
      </w:r>
      <w:r>
        <w:rPr>
          <w:rFonts w:cs="Verdana"/>
          <w:szCs w:val="26"/>
        </w:rPr>
        <w:t xml:space="preserve">a website that </w:t>
      </w:r>
      <w:r w:rsidR="00CD7666">
        <w:rPr>
          <w:rFonts w:cs="Verdana"/>
          <w:szCs w:val="26"/>
        </w:rPr>
        <w:t>is a principal source for public access to electronic versions of federal statutes and regulations</w:t>
      </w:r>
      <w:r w:rsidR="00173CC6">
        <w:rPr>
          <w:rFonts w:cs="Verdana"/>
          <w:szCs w:val="26"/>
        </w:rPr>
        <w:t xml:space="preserve"> in Canada. The </w:t>
      </w:r>
      <w:r w:rsidR="00CD7666">
        <w:rPr>
          <w:rFonts w:cs="Verdana"/>
          <w:szCs w:val="26"/>
        </w:rPr>
        <w:t xml:space="preserve">QR&amp;O, however, are not </w:t>
      </w:r>
      <w:r w:rsidR="005A119F">
        <w:rPr>
          <w:rFonts w:cs="Verdana"/>
          <w:szCs w:val="26"/>
        </w:rPr>
        <w:t xml:space="preserve">included on or </w:t>
      </w:r>
      <w:r>
        <w:rPr>
          <w:rFonts w:cs="Verdana"/>
          <w:szCs w:val="26"/>
        </w:rPr>
        <w:t>accessible from this web</w:t>
      </w:r>
      <w:r w:rsidR="00CD7666">
        <w:rPr>
          <w:rFonts w:cs="Verdana"/>
          <w:szCs w:val="26"/>
        </w:rPr>
        <w:t>site</w:t>
      </w:r>
      <w:r>
        <w:rPr>
          <w:rFonts w:cs="Verdana"/>
          <w:szCs w:val="26"/>
        </w:rPr>
        <w:t>,</w:t>
      </w:r>
      <w:r w:rsidR="00C44B9F">
        <w:rPr>
          <w:rFonts w:cs="Verdana"/>
          <w:szCs w:val="26"/>
        </w:rPr>
        <w:t xml:space="preserve"> and in particular, they are not listed with the other regulations made under the authority of the NDA.</w:t>
      </w:r>
      <w:r w:rsidR="00CD7666">
        <w:rPr>
          <w:rStyle w:val="FootnoteReference"/>
          <w:rFonts w:cs="Verdana"/>
          <w:szCs w:val="26"/>
        </w:rPr>
        <w:footnoteReference w:id="168"/>
      </w:r>
      <w:r w:rsidR="00CD7666">
        <w:rPr>
          <w:rFonts w:cs="Verdana"/>
          <w:szCs w:val="26"/>
        </w:rPr>
        <w:t xml:space="preserve"> </w:t>
      </w:r>
      <w:r w:rsidR="00865911">
        <w:rPr>
          <w:rFonts w:cs="Verdana"/>
          <w:szCs w:val="26"/>
        </w:rPr>
        <w:t>While</w:t>
      </w:r>
      <w:r w:rsidR="00CD7666">
        <w:rPr>
          <w:rFonts w:cs="Verdana"/>
          <w:szCs w:val="26"/>
        </w:rPr>
        <w:t xml:space="preserve"> t</w:t>
      </w:r>
      <w:r w:rsidR="00A618E1">
        <w:rPr>
          <w:rFonts w:cs="Verdana"/>
          <w:szCs w:val="26"/>
        </w:rPr>
        <w:t xml:space="preserve">he QR&amp;O can be </w:t>
      </w:r>
      <w:r w:rsidR="005A119F">
        <w:rPr>
          <w:rFonts w:cs="Verdana"/>
          <w:szCs w:val="26"/>
        </w:rPr>
        <w:t>located on the Defence w</w:t>
      </w:r>
      <w:r w:rsidR="00CD7666">
        <w:rPr>
          <w:rFonts w:cs="Verdana"/>
          <w:szCs w:val="26"/>
        </w:rPr>
        <w:t>ebsite using o</w:t>
      </w:r>
      <w:r w:rsidR="005A119F">
        <w:rPr>
          <w:rFonts w:cs="Verdana"/>
          <w:szCs w:val="26"/>
        </w:rPr>
        <w:t xml:space="preserve">ther search methods, </w:t>
      </w:r>
      <w:r w:rsidR="00A618E1">
        <w:rPr>
          <w:rFonts w:cs="Verdana"/>
          <w:szCs w:val="26"/>
        </w:rPr>
        <w:t>the accessibility</w:t>
      </w:r>
      <w:r w:rsidR="00B35BAA">
        <w:rPr>
          <w:rFonts w:cs="Verdana"/>
          <w:szCs w:val="26"/>
        </w:rPr>
        <w:t xml:space="preserve"> benefits </w:t>
      </w:r>
      <w:r w:rsidR="00DC41D1">
        <w:rPr>
          <w:rFonts w:cs="Verdana"/>
          <w:szCs w:val="26"/>
        </w:rPr>
        <w:t>provided</w:t>
      </w:r>
      <w:r w:rsidR="00A618E1">
        <w:rPr>
          <w:rFonts w:cs="Verdana"/>
          <w:szCs w:val="26"/>
        </w:rPr>
        <w:t xml:space="preserve"> by </w:t>
      </w:r>
      <w:r w:rsidR="00B35BAA">
        <w:rPr>
          <w:rFonts w:cs="Verdana"/>
          <w:szCs w:val="26"/>
        </w:rPr>
        <w:t xml:space="preserve">on-line publication </w:t>
      </w:r>
      <w:r w:rsidR="005A119F">
        <w:rPr>
          <w:rFonts w:cs="Verdana"/>
          <w:szCs w:val="26"/>
        </w:rPr>
        <w:t>are</w:t>
      </w:r>
      <w:r w:rsidR="00DC41D1">
        <w:rPr>
          <w:rFonts w:cs="Verdana"/>
          <w:szCs w:val="26"/>
        </w:rPr>
        <w:t xml:space="preserve"> lessened </w:t>
      </w:r>
      <w:r w:rsidR="00B35BAA">
        <w:rPr>
          <w:rFonts w:cs="Verdana"/>
          <w:szCs w:val="26"/>
        </w:rPr>
        <w:t xml:space="preserve">when the QR&amp;O cannot be </w:t>
      </w:r>
      <w:r w:rsidR="002C164E">
        <w:rPr>
          <w:rFonts w:cs="Verdana"/>
          <w:szCs w:val="26"/>
        </w:rPr>
        <w:t xml:space="preserve">accessed </w:t>
      </w:r>
      <w:r w:rsidR="00A618E1">
        <w:rPr>
          <w:rFonts w:cs="Verdana"/>
          <w:szCs w:val="26"/>
        </w:rPr>
        <w:t xml:space="preserve">using a </w:t>
      </w:r>
      <w:r w:rsidR="00B35BAA">
        <w:rPr>
          <w:rFonts w:cs="Verdana"/>
          <w:szCs w:val="26"/>
        </w:rPr>
        <w:t xml:space="preserve">principal on-line </w:t>
      </w:r>
      <w:r w:rsidR="002C164E">
        <w:rPr>
          <w:rFonts w:cs="Verdana"/>
          <w:szCs w:val="26"/>
        </w:rPr>
        <w:t xml:space="preserve">source for </w:t>
      </w:r>
      <w:r w:rsidR="00A618E1">
        <w:rPr>
          <w:rFonts w:cs="Verdana"/>
          <w:szCs w:val="26"/>
        </w:rPr>
        <w:t xml:space="preserve">Canadian </w:t>
      </w:r>
      <w:r w:rsidR="002C164E">
        <w:rPr>
          <w:rFonts w:cs="Verdana"/>
          <w:szCs w:val="26"/>
        </w:rPr>
        <w:t>legislation.</w:t>
      </w:r>
      <w:r w:rsidR="005A119F">
        <w:rPr>
          <w:rStyle w:val="FootnoteReference"/>
          <w:rFonts w:cs="Verdana"/>
          <w:szCs w:val="26"/>
        </w:rPr>
        <w:footnoteReference w:id="169"/>
      </w:r>
      <w:r w:rsidR="002C164E">
        <w:rPr>
          <w:rFonts w:cs="Verdana"/>
          <w:szCs w:val="26"/>
        </w:rPr>
        <w:t xml:space="preserve"> </w:t>
      </w:r>
    </w:p>
    <w:p w:rsidR="00AB32F8" w:rsidRDefault="008634DA" w:rsidP="00123150">
      <w:pPr>
        <w:spacing w:after="240" w:line="480" w:lineRule="auto"/>
        <w:rPr>
          <w:rFonts w:cs="Verdana"/>
          <w:szCs w:val="26"/>
        </w:rPr>
      </w:pPr>
      <w:r>
        <w:rPr>
          <w:rFonts w:cs="Verdana"/>
          <w:szCs w:val="26"/>
        </w:rPr>
        <w:tab/>
      </w:r>
      <w:r w:rsidR="00993B6F">
        <w:rPr>
          <w:rFonts w:cs="Verdana"/>
          <w:szCs w:val="26"/>
        </w:rPr>
        <w:t xml:space="preserve">The second weak point </w:t>
      </w:r>
      <w:r w:rsidR="005810E2">
        <w:rPr>
          <w:rFonts w:cs="Verdana"/>
          <w:szCs w:val="26"/>
        </w:rPr>
        <w:t xml:space="preserve">that clearly impairs </w:t>
      </w:r>
      <w:r w:rsidR="003B7E18">
        <w:rPr>
          <w:rFonts w:cs="Verdana"/>
          <w:szCs w:val="26"/>
        </w:rPr>
        <w:t xml:space="preserve">both the </w:t>
      </w:r>
      <w:r w:rsidR="00762EBA">
        <w:rPr>
          <w:rFonts w:cs="Verdana"/>
          <w:szCs w:val="26"/>
        </w:rPr>
        <w:t xml:space="preserve">accessibility </w:t>
      </w:r>
      <w:r>
        <w:rPr>
          <w:rFonts w:cs="Verdana"/>
          <w:szCs w:val="26"/>
        </w:rPr>
        <w:t xml:space="preserve">and predictability </w:t>
      </w:r>
      <w:r w:rsidR="002C164E">
        <w:rPr>
          <w:rFonts w:cs="Verdana"/>
          <w:szCs w:val="26"/>
        </w:rPr>
        <w:t>of the QR&amp;O</w:t>
      </w:r>
      <w:r w:rsidR="009252EF">
        <w:rPr>
          <w:rFonts w:cs="Verdana"/>
          <w:szCs w:val="26"/>
        </w:rPr>
        <w:t xml:space="preserve"> </w:t>
      </w:r>
      <w:r w:rsidR="00AE0127">
        <w:rPr>
          <w:rFonts w:cs="Verdana"/>
          <w:szCs w:val="26"/>
        </w:rPr>
        <w:t xml:space="preserve">arises from the </w:t>
      </w:r>
      <w:r w:rsidR="00C914C8">
        <w:rPr>
          <w:rFonts w:cs="Verdana"/>
          <w:szCs w:val="26"/>
        </w:rPr>
        <w:t xml:space="preserve">publication </w:t>
      </w:r>
      <w:r w:rsidR="00AE0127">
        <w:rPr>
          <w:rFonts w:cs="Verdana"/>
          <w:szCs w:val="26"/>
        </w:rPr>
        <w:t xml:space="preserve">delay that occurs in relation to </w:t>
      </w:r>
      <w:r w:rsidR="00C914C8">
        <w:rPr>
          <w:rFonts w:cs="Verdana"/>
          <w:szCs w:val="26"/>
        </w:rPr>
        <w:t>all QR&amp;O changes.</w:t>
      </w:r>
      <w:r w:rsidR="009252EF">
        <w:rPr>
          <w:rStyle w:val="FootnoteReference"/>
          <w:rFonts w:cs="Verdana"/>
          <w:szCs w:val="26"/>
        </w:rPr>
        <w:footnoteReference w:id="170"/>
      </w:r>
      <w:r w:rsidR="00C914C8">
        <w:rPr>
          <w:rFonts w:cs="Verdana"/>
          <w:szCs w:val="26"/>
        </w:rPr>
        <w:t xml:space="preserve"> While QR&amp;O normally c</w:t>
      </w:r>
      <w:r w:rsidR="00022F02">
        <w:rPr>
          <w:rFonts w:cs="Verdana"/>
          <w:szCs w:val="26"/>
        </w:rPr>
        <w:t>ome into effect on the date they are</w:t>
      </w:r>
      <w:r w:rsidR="00C914C8">
        <w:rPr>
          <w:rFonts w:cs="Verdana"/>
          <w:szCs w:val="26"/>
        </w:rPr>
        <w:t xml:space="preserve"> made</w:t>
      </w:r>
      <w:r w:rsidR="00731FE4">
        <w:rPr>
          <w:rFonts w:cs="Verdana"/>
          <w:szCs w:val="26"/>
        </w:rPr>
        <w:t>,</w:t>
      </w:r>
      <w:r w:rsidR="00731FE4">
        <w:rPr>
          <w:rStyle w:val="FootnoteReference"/>
          <w:rFonts w:cs="Verdana"/>
          <w:szCs w:val="26"/>
        </w:rPr>
        <w:footnoteReference w:id="171"/>
      </w:r>
      <w:r w:rsidR="00725738">
        <w:rPr>
          <w:rFonts w:cs="Verdana"/>
          <w:szCs w:val="26"/>
        </w:rPr>
        <w:t xml:space="preserve"> </w:t>
      </w:r>
      <w:r w:rsidR="009A351E">
        <w:rPr>
          <w:rFonts w:cs="Verdana"/>
          <w:szCs w:val="26"/>
        </w:rPr>
        <w:t xml:space="preserve">the </w:t>
      </w:r>
      <w:r w:rsidR="009252EF">
        <w:rPr>
          <w:rFonts w:cs="Verdana"/>
          <w:szCs w:val="26"/>
        </w:rPr>
        <w:t>pub</w:t>
      </w:r>
      <w:r w:rsidR="007D7B53">
        <w:rPr>
          <w:rFonts w:cs="Verdana"/>
          <w:szCs w:val="26"/>
        </w:rPr>
        <w:t xml:space="preserve">lication </w:t>
      </w:r>
      <w:r w:rsidR="00022F02">
        <w:rPr>
          <w:rFonts w:cs="Verdana"/>
          <w:szCs w:val="26"/>
        </w:rPr>
        <w:t xml:space="preserve">of </w:t>
      </w:r>
      <w:r w:rsidR="00022F02">
        <w:rPr>
          <w:rFonts w:cs="Verdana"/>
          <w:szCs w:val="26"/>
        </w:rPr>
        <w:lastRenderedPageBreak/>
        <w:t xml:space="preserve">changes </w:t>
      </w:r>
      <w:r w:rsidR="00C12519">
        <w:rPr>
          <w:rFonts w:cs="Verdana"/>
          <w:szCs w:val="26"/>
        </w:rPr>
        <w:t>always occurs</w:t>
      </w:r>
      <w:r w:rsidR="00AE0127">
        <w:rPr>
          <w:rFonts w:cs="Verdana"/>
          <w:szCs w:val="26"/>
        </w:rPr>
        <w:t xml:space="preserve"> at a later date, and that delay can extend to six months or longer.</w:t>
      </w:r>
      <w:r w:rsidR="003F3F3F">
        <w:rPr>
          <w:rStyle w:val="FootnoteReference"/>
          <w:rFonts w:cs="Verdana"/>
          <w:szCs w:val="26"/>
        </w:rPr>
        <w:footnoteReference w:id="172"/>
      </w:r>
      <w:r w:rsidR="00022F02">
        <w:rPr>
          <w:rFonts w:cs="Verdana"/>
          <w:szCs w:val="26"/>
        </w:rPr>
        <w:t xml:space="preserve"> </w:t>
      </w:r>
      <w:r w:rsidR="006B17E0">
        <w:rPr>
          <w:rFonts w:cs="Verdana"/>
          <w:szCs w:val="26"/>
        </w:rPr>
        <w:t>At present, the QR&amp;O amendment list published on the Defence website indicates that amendments were last published on 01 August, 2015;</w:t>
      </w:r>
      <w:r w:rsidR="006B17E0">
        <w:rPr>
          <w:rStyle w:val="FootnoteReference"/>
          <w:rFonts w:cs="Verdana"/>
          <w:szCs w:val="26"/>
        </w:rPr>
        <w:footnoteReference w:id="173"/>
      </w:r>
      <w:r w:rsidR="006B17E0">
        <w:rPr>
          <w:rFonts w:cs="Verdana"/>
          <w:szCs w:val="26"/>
        </w:rPr>
        <w:t xml:space="preserve"> however, it is not indicated whether there are subsequent QR&amp;O changes that are awaiting publication, and if so, the articles that would be affected. </w:t>
      </w:r>
      <w:r w:rsidR="00022F02">
        <w:rPr>
          <w:rFonts w:cs="Verdana"/>
          <w:szCs w:val="26"/>
        </w:rPr>
        <w:t xml:space="preserve">Delays in </w:t>
      </w:r>
      <w:r w:rsidR="007D7B53">
        <w:rPr>
          <w:rFonts w:cs="Verdana"/>
          <w:szCs w:val="26"/>
        </w:rPr>
        <w:t xml:space="preserve">regulation </w:t>
      </w:r>
      <w:r w:rsidR="00E02FD8">
        <w:rPr>
          <w:rFonts w:cs="Verdana"/>
          <w:szCs w:val="26"/>
        </w:rPr>
        <w:t>publication</w:t>
      </w:r>
      <w:r w:rsidR="00A1286C">
        <w:rPr>
          <w:rFonts w:cs="Verdana"/>
          <w:szCs w:val="26"/>
        </w:rPr>
        <w:t xml:space="preserve"> are common in Canada</w:t>
      </w:r>
      <w:r w:rsidR="00C12519">
        <w:rPr>
          <w:rFonts w:cs="Verdana"/>
          <w:szCs w:val="26"/>
        </w:rPr>
        <w:t xml:space="preserve"> due to the fact that</w:t>
      </w:r>
      <w:r w:rsidR="00A1286C">
        <w:rPr>
          <w:rFonts w:cs="Verdana"/>
          <w:szCs w:val="26"/>
        </w:rPr>
        <w:t xml:space="preserve"> </w:t>
      </w:r>
      <w:r w:rsidR="009A351E">
        <w:rPr>
          <w:rFonts w:cs="Verdana"/>
          <w:szCs w:val="26"/>
        </w:rPr>
        <w:t>under the SIA</w:t>
      </w:r>
      <w:r w:rsidR="00C12519">
        <w:rPr>
          <w:rFonts w:cs="Verdana"/>
          <w:szCs w:val="26"/>
        </w:rPr>
        <w:t xml:space="preserve">, </w:t>
      </w:r>
      <w:r w:rsidR="009252EF">
        <w:rPr>
          <w:rFonts w:cs="Verdana"/>
          <w:szCs w:val="26"/>
        </w:rPr>
        <w:t xml:space="preserve">registered </w:t>
      </w:r>
      <w:r w:rsidR="00A1286C">
        <w:rPr>
          <w:rFonts w:cs="Verdana"/>
          <w:szCs w:val="26"/>
        </w:rPr>
        <w:t xml:space="preserve">regulations come into force on the date </w:t>
      </w:r>
      <w:r w:rsidR="009252EF">
        <w:rPr>
          <w:rFonts w:cs="Verdana"/>
          <w:szCs w:val="26"/>
        </w:rPr>
        <w:t>of registration</w:t>
      </w:r>
      <w:r w:rsidR="00A1286C">
        <w:rPr>
          <w:rFonts w:cs="Verdana"/>
          <w:szCs w:val="26"/>
        </w:rPr>
        <w:t xml:space="preserve"> while </w:t>
      </w:r>
      <w:r w:rsidR="009252EF">
        <w:rPr>
          <w:rFonts w:cs="Verdana"/>
          <w:szCs w:val="26"/>
        </w:rPr>
        <w:t>publication</w:t>
      </w:r>
      <w:r w:rsidR="00A1286C">
        <w:rPr>
          <w:rFonts w:cs="Verdana"/>
          <w:szCs w:val="26"/>
        </w:rPr>
        <w:t xml:space="preserve"> in the </w:t>
      </w:r>
      <w:r w:rsidR="00A1286C" w:rsidRPr="00E02FD8">
        <w:rPr>
          <w:rFonts w:cs="Verdana"/>
          <w:i/>
          <w:szCs w:val="26"/>
        </w:rPr>
        <w:t>Canada Gazette</w:t>
      </w:r>
      <w:r w:rsidR="00A1286C">
        <w:rPr>
          <w:rFonts w:cs="Verdana"/>
          <w:szCs w:val="26"/>
        </w:rPr>
        <w:t xml:space="preserve"> </w:t>
      </w:r>
      <w:r w:rsidR="009252EF">
        <w:rPr>
          <w:rFonts w:cs="Verdana"/>
          <w:szCs w:val="26"/>
        </w:rPr>
        <w:t xml:space="preserve">can take place </w:t>
      </w:r>
      <w:r w:rsidR="00A1286C">
        <w:rPr>
          <w:rFonts w:cs="Verdana"/>
          <w:szCs w:val="26"/>
        </w:rPr>
        <w:t>up to 23 days after registration</w:t>
      </w:r>
      <w:r w:rsidR="007D7B53">
        <w:rPr>
          <w:rFonts w:cs="Verdana"/>
          <w:szCs w:val="26"/>
        </w:rPr>
        <w:t>.</w:t>
      </w:r>
      <w:r w:rsidR="00A1286C">
        <w:rPr>
          <w:rStyle w:val="FootnoteReference"/>
          <w:rFonts w:cs="Verdana"/>
          <w:szCs w:val="26"/>
        </w:rPr>
        <w:footnoteReference w:id="174"/>
      </w:r>
      <w:r w:rsidR="00A1286C">
        <w:rPr>
          <w:rFonts w:cs="Verdana"/>
          <w:szCs w:val="26"/>
        </w:rPr>
        <w:t xml:space="preserve"> </w:t>
      </w:r>
      <w:r w:rsidR="007D7B53">
        <w:rPr>
          <w:rFonts w:cs="Verdana"/>
          <w:szCs w:val="26"/>
        </w:rPr>
        <w:t>W</w:t>
      </w:r>
      <w:r w:rsidR="0094278B">
        <w:rPr>
          <w:rFonts w:cs="Verdana"/>
          <w:szCs w:val="26"/>
        </w:rPr>
        <w:t xml:space="preserve">hile </w:t>
      </w:r>
      <w:r w:rsidR="009252EF">
        <w:rPr>
          <w:rFonts w:cs="Verdana"/>
          <w:szCs w:val="26"/>
        </w:rPr>
        <w:t xml:space="preserve">the safeguards against penal enforcement previously </w:t>
      </w:r>
      <w:r w:rsidR="007D7B53">
        <w:rPr>
          <w:rFonts w:cs="Verdana"/>
          <w:szCs w:val="26"/>
        </w:rPr>
        <w:t xml:space="preserve">discussed </w:t>
      </w:r>
      <w:r w:rsidR="009252EF">
        <w:rPr>
          <w:rFonts w:cs="Verdana"/>
          <w:szCs w:val="26"/>
        </w:rPr>
        <w:t>would apply during the delay period,</w:t>
      </w:r>
      <w:r w:rsidR="00C5569D">
        <w:rPr>
          <w:rStyle w:val="FootnoteReference"/>
          <w:rFonts w:cs="Verdana"/>
          <w:szCs w:val="26"/>
        </w:rPr>
        <w:footnoteReference w:id="175"/>
      </w:r>
      <w:r w:rsidR="009252EF">
        <w:rPr>
          <w:rFonts w:cs="Verdana"/>
          <w:szCs w:val="26"/>
        </w:rPr>
        <w:t xml:space="preserve"> </w:t>
      </w:r>
      <w:r w:rsidR="00AE0127">
        <w:rPr>
          <w:rFonts w:cs="Verdana"/>
          <w:szCs w:val="26"/>
        </w:rPr>
        <w:t xml:space="preserve">the impact of a </w:t>
      </w:r>
      <w:r w:rsidR="009252EF">
        <w:rPr>
          <w:rFonts w:cs="Verdana"/>
          <w:szCs w:val="26"/>
        </w:rPr>
        <w:t xml:space="preserve">publication </w:t>
      </w:r>
      <w:r w:rsidR="00F01739">
        <w:rPr>
          <w:rFonts w:cs="Verdana"/>
          <w:szCs w:val="26"/>
        </w:rPr>
        <w:t xml:space="preserve">delay </w:t>
      </w:r>
      <w:r w:rsidR="00022A21">
        <w:rPr>
          <w:rFonts w:cs="Verdana"/>
          <w:szCs w:val="26"/>
        </w:rPr>
        <w:t xml:space="preserve">goes </w:t>
      </w:r>
      <w:r w:rsidR="00022F02">
        <w:rPr>
          <w:rFonts w:cs="Verdana"/>
          <w:szCs w:val="26"/>
        </w:rPr>
        <w:t>beyond any risk of prosecution</w:t>
      </w:r>
      <w:r w:rsidR="0094278B">
        <w:rPr>
          <w:rFonts w:cs="Verdana"/>
          <w:szCs w:val="26"/>
        </w:rPr>
        <w:t xml:space="preserve"> as it</w:t>
      </w:r>
      <w:r w:rsidR="000319EB">
        <w:rPr>
          <w:rFonts w:cs="Verdana"/>
          <w:szCs w:val="26"/>
        </w:rPr>
        <w:t xml:space="preserve"> </w:t>
      </w:r>
      <w:r w:rsidR="00F01739">
        <w:rPr>
          <w:rFonts w:cs="Verdana"/>
          <w:szCs w:val="26"/>
        </w:rPr>
        <w:t xml:space="preserve">creates periods </w:t>
      </w:r>
      <w:r w:rsidR="007860B4">
        <w:rPr>
          <w:rFonts w:cs="Verdana"/>
          <w:szCs w:val="26"/>
        </w:rPr>
        <w:t xml:space="preserve">during which </w:t>
      </w:r>
      <w:r w:rsidR="00F01739">
        <w:rPr>
          <w:rFonts w:cs="Verdana"/>
          <w:szCs w:val="26"/>
        </w:rPr>
        <w:t>the</w:t>
      </w:r>
      <w:r w:rsidR="007860B4">
        <w:rPr>
          <w:rFonts w:cs="Verdana"/>
          <w:szCs w:val="26"/>
        </w:rPr>
        <w:t xml:space="preserve"> official published version of the QR&amp;O do</w:t>
      </w:r>
      <w:r w:rsidR="002963CF">
        <w:rPr>
          <w:rFonts w:cs="Verdana"/>
          <w:szCs w:val="26"/>
        </w:rPr>
        <w:t>es not reflect the c</w:t>
      </w:r>
      <w:r w:rsidR="000628F9">
        <w:rPr>
          <w:rFonts w:cs="Verdana"/>
          <w:szCs w:val="26"/>
        </w:rPr>
        <w:t>urrent law, which makes</w:t>
      </w:r>
      <w:r w:rsidR="00C44B9F">
        <w:rPr>
          <w:rFonts w:cs="Verdana"/>
          <w:szCs w:val="26"/>
        </w:rPr>
        <w:t xml:space="preserve"> the current law</w:t>
      </w:r>
      <w:r w:rsidR="002963CF">
        <w:rPr>
          <w:rFonts w:cs="Verdana"/>
          <w:szCs w:val="26"/>
        </w:rPr>
        <w:t xml:space="preserve"> </w:t>
      </w:r>
      <w:r w:rsidR="00A27F36">
        <w:rPr>
          <w:rFonts w:cs="Verdana"/>
          <w:szCs w:val="26"/>
        </w:rPr>
        <w:t>in</w:t>
      </w:r>
      <w:r w:rsidR="007860B4">
        <w:rPr>
          <w:rFonts w:cs="Verdana"/>
          <w:szCs w:val="26"/>
        </w:rPr>
        <w:t>accessible</w:t>
      </w:r>
      <w:r w:rsidR="000628F9">
        <w:rPr>
          <w:rFonts w:cs="Verdana"/>
          <w:szCs w:val="26"/>
        </w:rPr>
        <w:t xml:space="preserve"> to its users</w:t>
      </w:r>
      <w:r w:rsidR="000319EB">
        <w:rPr>
          <w:rFonts w:cs="Verdana"/>
          <w:szCs w:val="26"/>
        </w:rPr>
        <w:t>.</w:t>
      </w:r>
      <w:r w:rsidR="00A619BC">
        <w:rPr>
          <w:rStyle w:val="FootnoteReference"/>
          <w:rFonts w:cs="Verdana"/>
          <w:szCs w:val="26"/>
        </w:rPr>
        <w:footnoteReference w:id="176"/>
      </w:r>
      <w:r w:rsidR="00A27F36">
        <w:rPr>
          <w:rFonts w:cs="Verdana"/>
          <w:szCs w:val="26"/>
        </w:rPr>
        <w:t xml:space="preserve"> </w:t>
      </w:r>
      <w:r w:rsidR="002963CF">
        <w:rPr>
          <w:rFonts w:cs="Verdana"/>
          <w:szCs w:val="26"/>
        </w:rPr>
        <w:t>Furthermore, the</w:t>
      </w:r>
      <w:r w:rsidR="0094278B">
        <w:rPr>
          <w:rFonts w:cs="Verdana"/>
          <w:szCs w:val="26"/>
        </w:rPr>
        <w:t xml:space="preserve"> </w:t>
      </w:r>
      <w:r w:rsidR="000319EB">
        <w:rPr>
          <w:rFonts w:cs="Verdana"/>
          <w:szCs w:val="26"/>
        </w:rPr>
        <w:t xml:space="preserve">delays </w:t>
      </w:r>
      <w:r w:rsidR="00B42600">
        <w:rPr>
          <w:rFonts w:cs="Verdana"/>
          <w:szCs w:val="26"/>
        </w:rPr>
        <w:t xml:space="preserve">in publication </w:t>
      </w:r>
      <w:r w:rsidR="002963CF">
        <w:rPr>
          <w:rFonts w:cs="Verdana"/>
          <w:szCs w:val="26"/>
        </w:rPr>
        <w:t xml:space="preserve">also affect the </w:t>
      </w:r>
      <w:r w:rsidR="00767A1F">
        <w:rPr>
          <w:rFonts w:cs="Verdana"/>
          <w:szCs w:val="26"/>
        </w:rPr>
        <w:t xml:space="preserve">predictability and </w:t>
      </w:r>
      <w:r w:rsidR="009A351E">
        <w:rPr>
          <w:rFonts w:cs="Verdana"/>
          <w:szCs w:val="26"/>
        </w:rPr>
        <w:t>certain</w:t>
      </w:r>
      <w:r w:rsidR="00767A1F">
        <w:rPr>
          <w:rFonts w:cs="Verdana"/>
          <w:szCs w:val="26"/>
        </w:rPr>
        <w:t>ty of the law</w:t>
      </w:r>
      <w:r w:rsidR="009A351E">
        <w:rPr>
          <w:rFonts w:cs="Verdana"/>
          <w:szCs w:val="26"/>
        </w:rPr>
        <w:t xml:space="preserve"> a</w:t>
      </w:r>
      <w:r w:rsidR="00A619BC">
        <w:rPr>
          <w:rFonts w:cs="Verdana"/>
          <w:szCs w:val="26"/>
        </w:rPr>
        <w:t xml:space="preserve">s </w:t>
      </w:r>
      <w:r w:rsidR="00767A1F">
        <w:rPr>
          <w:rFonts w:cs="Verdana"/>
          <w:szCs w:val="26"/>
        </w:rPr>
        <w:t xml:space="preserve">there is no way </w:t>
      </w:r>
      <w:r w:rsidR="002963CF">
        <w:rPr>
          <w:rFonts w:cs="Verdana"/>
          <w:szCs w:val="26"/>
        </w:rPr>
        <w:t xml:space="preserve">for users to know whether the published version of a QR&amp;O article is current or whether it is subject to an unpublished </w:t>
      </w:r>
      <w:r w:rsidR="000319EB">
        <w:rPr>
          <w:rFonts w:cs="Verdana"/>
          <w:szCs w:val="26"/>
        </w:rPr>
        <w:t>amendment</w:t>
      </w:r>
      <w:r w:rsidR="008F4464">
        <w:rPr>
          <w:rFonts w:cs="Verdana"/>
          <w:szCs w:val="26"/>
        </w:rPr>
        <w:t>.</w:t>
      </w:r>
      <w:r w:rsidR="008F4464">
        <w:rPr>
          <w:rStyle w:val="FootnoteReference"/>
          <w:rFonts w:cs="Verdana"/>
          <w:szCs w:val="26"/>
        </w:rPr>
        <w:footnoteReference w:id="177"/>
      </w:r>
      <w:r w:rsidR="008F4464">
        <w:rPr>
          <w:rFonts w:cs="Verdana"/>
          <w:szCs w:val="26"/>
        </w:rPr>
        <w:t xml:space="preserve"> </w:t>
      </w:r>
      <w:r w:rsidR="002963CF">
        <w:rPr>
          <w:rFonts w:cs="Verdana"/>
          <w:szCs w:val="26"/>
        </w:rPr>
        <w:t xml:space="preserve">In my view, the uncertainty that is created regarding the currency of the QR&amp;O </w:t>
      </w:r>
      <w:r w:rsidR="000628F9">
        <w:rPr>
          <w:rFonts w:cs="Verdana"/>
          <w:szCs w:val="26"/>
        </w:rPr>
        <w:t>is</w:t>
      </w:r>
      <w:r w:rsidR="002963CF">
        <w:rPr>
          <w:rFonts w:cs="Verdana"/>
          <w:szCs w:val="26"/>
        </w:rPr>
        <w:t xml:space="preserve"> </w:t>
      </w:r>
      <w:r w:rsidR="00AB32F8">
        <w:rPr>
          <w:rFonts w:cs="Verdana"/>
          <w:szCs w:val="26"/>
        </w:rPr>
        <w:t xml:space="preserve">exacerbated </w:t>
      </w:r>
      <w:r w:rsidR="002963CF">
        <w:rPr>
          <w:rFonts w:cs="Verdana"/>
          <w:szCs w:val="26"/>
        </w:rPr>
        <w:t>by the</w:t>
      </w:r>
      <w:r w:rsidR="00423EC0">
        <w:rPr>
          <w:rFonts w:cs="Verdana"/>
          <w:szCs w:val="26"/>
        </w:rPr>
        <w:t xml:space="preserve"> </w:t>
      </w:r>
      <w:r w:rsidR="00767A1F">
        <w:rPr>
          <w:rFonts w:cs="Verdana"/>
          <w:szCs w:val="26"/>
        </w:rPr>
        <w:t xml:space="preserve">highly insular </w:t>
      </w:r>
      <w:r w:rsidR="00C44B9F">
        <w:rPr>
          <w:rFonts w:cs="Verdana"/>
          <w:szCs w:val="26"/>
        </w:rPr>
        <w:t>nature of</w:t>
      </w:r>
      <w:r w:rsidR="002963CF">
        <w:rPr>
          <w:rFonts w:cs="Verdana"/>
          <w:szCs w:val="26"/>
        </w:rPr>
        <w:t xml:space="preserve"> QR&amp;O </w:t>
      </w:r>
      <w:r w:rsidR="00C44B9F">
        <w:rPr>
          <w:rFonts w:cs="Verdana"/>
          <w:szCs w:val="26"/>
        </w:rPr>
        <w:t xml:space="preserve">development </w:t>
      </w:r>
      <w:r w:rsidR="000628F9">
        <w:rPr>
          <w:rFonts w:cs="Verdana"/>
          <w:szCs w:val="26"/>
        </w:rPr>
        <w:t>whereby information pertaining to proposed QR&amp;O changes are</w:t>
      </w:r>
      <w:r w:rsidR="00C44B9F">
        <w:rPr>
          <w:rFonts w:cs="Verdana"/>
          <w:szCs w:val="26"/>
        </w:rPr>
        <w:t xml:space="preserve"> not</w:t>
      </w:r>
      <w:r w:rsidR="000628F9">
        <w:rPr>
          <w:rFonts w:cs="Verdana"/>
          <w:szCs w:val="26"/>
        </w:rPr>
        <w:t xml:space="preserve"> shared with the public; </w:t>
      </w:r>
      <w:r w:rsidR="00F84713">
        <w:rPr>
          <w:rFonts w:cs="Verdana"/>
          <w:szCs w:val="26"/>
        </w:rPr>
        <w:t xml:space="preserve">in the face of regulatory change, </w:t>
      </w:r>
      <w:r w:rsidR="000628F9">
        <w:rPr>
          <w:rFonts w:cs="Verdana"/>
          <w:szCs w:val="26"/>
        </w:rPr>
        <w:t>the public availabi</w:t>
      </w:r>
      <w:r w:rsidR="00C44B9F">
        <w:rPr>
          <w:rFonts w:cs="Verdana"/>
          <w:szCs w:val="26"/>
        </w:rPr>
        <w:t>lity of such information c</w:t>
      </w:r>
      <w:r w:rsidR="000628F9">
        <w:rPr>
          <w:rFonts w:cs="Verdana"/>
          <w:szCs w:val="26"/>
        </w:rPr>
        <w:t xml:space="preserve">ould </w:t>
      </w:r>
      <w:r w:rsidR="00C44B9F">
        <w:rPr>
          <w:rFonts w:cs="Verdana"/>
          <w:szCs w:val="26"/>
        </w:rPr>
        <w:t xml:space="preserve">function to </w:t>
      </w:r>
      <w:r w:rsidR="000628F9">
        <w:rPr>
          <w:rFonts w:cs="Verdana"/>
          <w:szCs w:val="26"/>
        </w:rPr>
        <w:t>enhance the predictability and certainty of the QR&amp;O</w:t>
      </w:r>
      <w:r w:rsidR="00AB32F8">
        <w:rPr>
          <w:rFonts w:cs="Verdana"/>
          <w:szCs w:val="26"/>
        </w:rPr>
        <w:t>.</w:t>
      </w:r>
      <w:r w:rsidR="00AB32F8">
        <w:rPr>
          <w:rStyle w:val="FootnoteReference"/>
          <w:rFonts w:cs="Verdana"/>
          <w:szCs w:val="26"/>
        </w:rPr>
        <w:footnoteReference w:id="178"/>
      </w:r>
      <w:r w:rsidR="00AB32F8">
        <w:rPr>
          <w:rFonts w:cs="Verdana"/>
          <w:szCs w:val="26"/>
        </w:rPr>
        <w:t xml:space="preserve"> </w:t>
      </w:r>
    </w:p>
    <w:p w:rsidR="00901D9E" w:rsidRDefault="009C36EF" w:rsidP="00901D9E">
      <w:pPr>
        <w:spacing w:after="240" w:line="480" w:lineRule="auto"/>
        <w:ind w:firstLine="720"/>
        <w:rPr>
          <w:rFonts w:cs="Verdana"/>
          <w:szCs w:val="26"/>
        </w:rPr>
      </w:pPr>
      <w:r w:rsidRPr="001E1E26">
        <w:rPr>
          <w:rFonts w:cs="Verdana"/>
          <w:szCs w:val="26"/>
        </w:rPr>
        <w:lastRenderedPageBreak/>
        <w:t xml:space="preserve">To conclude this section, </w:t>
      </w:r>
      <w:r w:rsidR="004A0997" w:rsidRPr="001E1E26">
        <w:rPr>
          <w:rFonts w:cs="Verdana"/>
          <w:szCs w:val="26"/>
        </w:rPr>
        <w:t xml:space="preserve">while </w:t>
      </w:r>
      <w:r w:rsidR="00D800C1" w:rsidRPr="001E1E26">
        <w:rPr>
          <w:rFonts w:cs="Verdana"/>
          <w:szCs w:val="26"/>
        </w:rPr>
        <w:t xml:space="preserve">the QR&amp;O’s </w:t>
      </w:r>
      <w:r w:rsidR="00C656C1" w:rsidRPr="001E1E26">
        <w:rPr>
          <w:rFonts w:cs="Verdana"/>
          <w:szCs w:val="26"/>
        </w:rPr>
        <w:t>notifica</w:t>
      </w:r>
      <w:r w:rsidR="004A0997" w:rsidRPr="001E1E26">
        <w:rPr>
          <w:rFonts w:cs="Verdana"/>
          <w:szCs w:val="26"/>
        </w:rPr>
        <w:t>tion and publication framework</w:t>
      </w:r>
      <w:r w:rsidR="00D800C1" w:rsidRPr="001E1E26">
        <w:rPr>
          <w:rFonts w:cs="Verdana"/>
          <w:szCs w:val="26"/>
        </w:rPr>
        <w:t xml:space="preserve">, structure and </w:t>
      </w:r>
      <w:r w:rsidR="00D90126" w:rsidRPr="001E1E26">
        <w:rPr>
          <w:rFonts w:cs="Verdana"/>
          <w:szCs w:val="26"/>
        </w:rPr>
        <w:t>availability</w:t>
      </w:r>
      <w:r w:rsidR="00D800C1" w:rsidRPr="001E1E26">
        <w:rPr>
          <w:rFonts w:cs="Verdana"/>
          <w:szCs w:val="26"/>
        </w:rPr>
        <w:t xml:space="preserve"> make the QR&amp;O </w:t>
      </w:r>
      <w:r w:rsidR="00C656C1" w:rsidRPr="001E1E26">
        <w:rPr>
          <w:rFonts w:cs="Verdana"/>
          <w:szCs w:val="26"/>
        </w:rPr>
        <w:t xml:space="preserve">highly accessible </w:t>
      </w:r>
      <w:r w:rsidR="004A0997" w:rsidRPr="001E1E26">
        <w:rPr>
          <w:rFonts w:cs="Verdana"/>
          <w:szCs w:val="26"/>
        </w:rPr>
        <w:t xml:space="preserve">to its principal audience group, </w:t>
      </w:r>
      <w:r w:rsidR="00D800C1" w:rsidRPr="001E1E26">
        <w:rPr>
          <w:rFonts w:cs="Verdana"/>
          <w:szCs w:val="26"/>
        </w:rPr>
        <w:t>its overall legal certainty is weakened</w:t>
      </w:r>
      <w:r w:rsidR="00DA5CD2">
        <w:rPr>
          <w:rFonts w:cs="Verdana"/>
          <w:szCs w:val="26"/>
        </w:rPr>
        <w:t>,</w:t>
      </w:r>
      <w:r w:rsidR="00D800C1" w:rsidRPr="001E1E26">
        <w:rPr>
          <w:rFonts w:cs="Verdana"/>
          <w:szCs w:val="26"/>
        </w:rPr>
        <w:t xml:space="preserve"> </w:t>
      </w:r>
      <w:r w:rsidR="00D92713" w:rsidRPr="001E1E26">
        <w:rPr>
          <w:rFonts w:cs="Verdana"/>
          <w:szCs w:val="26"/>
        </w:rPr>
        <w:t>in part</w:t>
      </w:r>
      <w:r w:rsidR="00DA5CD2">
        <w:rPr>
          <w:rFonts w:cs="Verdana"/>
          <w:szCs w:val="26"/>
        </w:rPr>
        <w:t>,</w:t>
      </w:r>
      <w:r w:rsidR="00D92713" w:rsidRPr="001E1E26">
        <w:rPr>
          <w:rFonts w:cs="Verdana"/>
          <w:szCs w:val="26"/>
        </w:rPr>
        <w:t xml:space="preserve"> by the notification</w:t>
      </w:r>
      <w:r w:rsidRPr="001E1E26">
        <w:rPr>
          <w:rFonts w:cs="Verdana"/>
          <w:szCs w:val="26"/>
        </w:rPr>
        <w:t xml:space="preserve"> and access</w:t>
      </w:r>
      <w:r w:rsidR="00D92713" w:rsidRPr="001E1E26">
        <w:rPr>
          <w:rFonts w:cs="Verdana"/>
          <w:szCs w:val="26"/>
        </w:rPr>
        <w:t xml:space="preserve"> gap that exists in relation to a small segment of the individuals subject to </w:t>
      </w:r>
      <w:r w:rsidR="00936B2E" w:rsidRPr="001E1E26">
        <w:rPr>
          <w:rFonts w:cs="Verdana"/>
          <w:szCs w:val="26"/>
        </w:rPr>
        <w:t>the QR&amp;O</w:t>
      </w:r>
      <w:r w:rsidR="00D92713" w:rsidRPr="001E1E26">
        <w:rPr>
          <w:rFonts w:cs="Verdana"/>
          <w:szCs w:val="26"/>
        </w:rPr>
        <w:t xml:space="preserve"> and</w:t>
      </w:r>
      <w:r w:rsidR="00936B2E" w:rsidRPr="001E1E26">
        <w:rPr>
          <w:rFonts w:cs="Verdana"/>
          <w:szCs w:val="26"/>
        </w:rPr>
        <w:t>,</w:t>
      </w:r>
      <w:r w:rsidR="00D92713" w:rsidRPr="001E1E26">
        <w:rPr>
          <w:rFonts w:cs="Verdana"/>
          <w:szCs w:val="26"/>
        </w:rPr>
        <w:t xml:space="preserve"> more significantly, </w:t>
      </w:r>
      <w:r w:rsidR="00936B2E" w:rsidRPr="001E1E26">
        <w:rPr>
          <w:rFonts w:cs="Verdana"/>
          <w:szCs w:val="26"/>
        </w:rPr>
        <w:t xml:space="preserve">as a result of </w:t>
      </w:r>
      <w:r w:rsidR="00D92713" w:rsidRPr="001E1E26">
        <w:rPr>
          <w:rFonts w:cs="Verdana"/>
          <w:szCs w:val="26"/>
        </w:rPr>
        <w:t>the publication delay that affects all QR&amp;O changes and creates uncertainty regarding the state of the law.</w:t>
      </w:r>
      <w:r w:rsidR="00D92713" w:rsidRPr="001E1E26">
        <w:rPr>
          <w:rStyle w:val="FootnoteReference"/>
          <w:rFonts w:cs="Verdana"/>
          <w:szCs w:val="26"/>
        </w:rPr>
        <w:footnoteReference w:id="179"/>
      </w:r>
      <w:r w:rsidR="00D92713" w:rsidRPr="001E1E26">
        <w:rPr>
          <w:rFonts w:cs="Verdana"/>
          <w:szCs w:val="26"/>
        </w:rPr>
        <w:t xml:space="preserve"> </w:t>
      </w:r>
      <w:r w:rsidR="00901D9E" w:rsidRPr="001E1E26">
        <w:rPr>
          <w:rFonts w:cs="Verdana"/>
          <w:szCs w:val="26"/>
        </w:rPr>
        <w:t xml:space="preserve">As a consequence of these weak points, the QR&amp;O cannot be viewed as fully satisfying </w:t>
      </w:r>
      <w:r w:rsidR="001E1E26">
        <w:rPr>
          <w:rFonts w:cs="Verdana"/>
          <w:szCs w:val="26"/>
        </w:rPr>
        <w:t xml:space="preserve">the </w:t>
      </w:r>
      <w:r w:rsidR="008F7592">
        <w:rPr>
          <w:rFonts w:cs="Verdana"/>
          <w:szCs w:val="26"/>
        </w:rPr>
        <w:t>criterion of legal certainty</w:t>
      </w:r>
      <w:r w:rsidR="00075652" w:rsidRPr="001E1E26">
        <w:rPr>
          <w:rFonts w:cs="Verdana"/>
          <w:szCs w:val="26"/>
        </w:rPr>
        <w:t>.</w:t>
      </w:r>
    </w:p>
    <w:p w:rsidR="00600B4C" w:rsidRPr="00C97F0D" w:rsidRDefault="00A260D9" w:rsidP="00901D9E">
      <w:pPr>
        <w:spacing w:after="240" w:line="480" w:lineRule="auto"/>
        <w:rPr>
          <w:b/>
        </w:rPr>
      </w:pPr>
      <w:r>
        <w:rPr>
          <w:b/>
          <w:i/>
        </w:rPr>
        <w:t>3</w:t>
      </w:r>
      <w:r w:rsidR="00C31374" w:rsidRPr="00C97F0D">
        <w:rPr>
          <w:b/>
          <w:i/>
        </w:rPr>
        <w:t>.4</w:t>
      </w:r>
      <w:r w:rsidR="00C31374" w:rsidRPr="00C97F0D">
        <w:rPr>
          <w:b/>
          <w:i/>
        </w:rPr>
        <w:tab/>
      </w:r>
      <w:r w:rsidR="00BF2967" w:rsidRPr="00C97F0D">
        <w:rPr>
          <w:b/>
          <w:i/>
        </w:rPr>
        <w:t>Fourth Criteri</w:t>
      </w:r>
      <w:r w:rsidR="008F7592">
        <w:rPr>
          <w:b/>
          <w:i/>
        </w:rPr>
        <w:t>on</w:t>
      </w:r>
      <w:r w:rsidR="00BF2967" w:rsidRPr="00C97F0D">
        <w:rPr>
          <w:b/>
          <w:i/>
        </w:rPr>
        <w:t xml:space="preserve"> - </w:t>
      </w:r>
      <w:r w:rsidR="00C31374" w:rsidRPr="00C97F0D">
        <w:rPr>
          <w:b/>
          <w:i/>
        </w:rPr>
        <w:t xml:space="preserve">Transparency of </w:t>
      </w:r>
      <w:r w:rsidR="00600B4C" w:rsidRPr="00C97F0D">
        <w:rPr>
          <w:b/>
          <w:i/>
        </w:rPr>
        <w:t xml:space="preserve">the </w:t>
      </w:r>
      <w:r w:rsidR="00C31374" w:rsidRPr="00C97F0D">
        <w:rPr>
          <w:b/>
          <w:i/>
        </w:rPr>
        <w:t>Legislative Process</w:t>
      </w:r>
    </w:p>
    <w:p w:rsidR="008408B8" w:rsidRDefault="009934FD" w:rsidP="009934FD">
      <w:pPr>
        <w:spacing w:after="240" w:line="480" w:lineRule="auto"/>
        <w:ind w:firstLine="720"/>
      </w:pPr>
      <w:r>
        <w:t>Transparency in the legislative process is looked upon as a basic principl</w:t>
      </w:r>
      <w:r w:rsidR="007116D4">
        <w:t>e of democracy in that it enables</w:t>
      </w:r>
      <w:r>
        <w:t xml:space="preserve"> citizens to see how their representatives and governing institutions are exerci</w:t>
      </w:r>
      <w:r w:rsidR="007116D4">
        <w:t>sing</w:t>
      </w:r>
      <w:r w:rsidR="00BE4DC0">
        <w:t xml:space="preserve"> their law-making authority and</w:t>
      </w:r>
      <w:r w:rsidR="00C356A2">
        <w:t xml:space="preserve"> to</w:t>
      </w:r>
      <w:r w:rsidR="0041474A">
        <w:t xml:space="preserve">, </w:t>
      </w:r>
      <w:r w:rsidR="00F163FD">
        <w:t>in turn</w:t>
      </w:r>
      <w:r w:rsidR="0041474A">
        <w:t>,</w:t>
      </w:r>
      <w:r w:rsidR="00F163FD">
        <w:t xml:space="preserve"> </w:t>
      </w:r>
      <w:r>
        <w:t>hold law-makers accountable.</w:t>
      </w:r>
      <w:r>
        <w:rPr>
          <w:rStyle w:val="FootnoteReference"/>
        </w:rPr>
        <w:footnoteReference w:id="180"/>
      </w:r>
      <w:r>
        <w:t xml:space="preserve"> </w:t>
      </w:r>
      <w:r w:rsidR="007116D4">
        <w:t>Transparency comprises two principal elem</w:t>
      </w:r>
      <w:r w:rsidR="00F163FD">
        <w:t xml:space="preserve">ents: first, </w:t>
      </w:r>
      <w:r w:rsidR="00712CAD">
        <w:t xml:space="preserve">the </w:t>
      </w:r>
      <w:r w:rsidR="007116D4">
        <w:t xml:space="preserve">openness </w:t>
      </w:r>
      <w:r w:rsidR="009C0B9C">
        <w:t xml:space="preserve">of the </w:t>
      </w:r>
      <w:r w:rsidR="007116D4">
        <w:t xml:space="preserve">legislative </w:t>
      </w:r>
      <w:r w:rsidR="009C0B9C">
        <w:t>process</w:t>
      </w:r>
      <w:r w:rsidR="00F163FD">
        <w:t xml:space="preserve">, which </w:t>
      </w:r>
      <w:r>
        <w:t xml:space="preserve">involves </w:t>
      </w:r>
      <w:r w:rsidR="00F163FD">
        <w:t>both t</w:t>
      </w:r>
      <w:r w:rsidR="002F5BE8">
        <w:t xml:space="preserve">he </w:t>
      </w:r>
      <w:r w:rsidR="009C0B9C">
        <w:t xml:space="preserve">executive and the legislature </w:t>
      </w:r>
      <w:r w:rsidR="002F5BE8">
        <w:t>making their decisions in accordance with the relevant rules and regulations</w:t>
      </w:r>
      <w:r w:rsidR="00F163FD">
        <w:t>;</w:t>
      </w:r>
      <w:r w:rsidR="00D34543">
        <w:rPr>
          <w:rStyle w:val="FootnoteReference"/>
        </w:rPr>
        <w:footnoteReference w:id="181"/>
      </w:r>
      <w:r w:rsidR="002F5BE8">
        <w:t xml:space="preserve"> </w:t>
      </w:r>
      <w:r w:rsidR="00F163FD">
        <w:t>and</w:t>
      </w:r>
      <w:r w:rsidR="00BD0324">
        <w:t>,</w:t>
      </w:r>
      <w:r w:rsidR="00F163FD">
        <w:t xml:space="preserve"> second</w:t>
      </w:r>
      <w:r w:rsidR="00BD0324">
        <w:t>,</w:t>
      </w:r>
      <w:r w:rsidR="00F163FD">
        <w:t xml:space="preserve"> </w:t>
      </w:r>
      <w:r w:rsidR="00294157">
        <w:t xml:space="preserve">access to information </w:t>
      </w:r>
      <w:r w:rsidR="00062C93">
        <w:t xml:space="preserve">relating to the process and </w:t>
      </w:r>
      <w:r w:rsidR="00C356A2">
        <w:t xml:space="preserve">to </w:t>
      </w:r>
      <w:r w:rsidR="00062C93">
        <w:t>the decisions</w:t>
      </w:r>
      <w:r w:rsidR="00062C93" w:rsidRPr="00062C93">
        <w:t xml:space="preserve"> </w:t>
      </w:r>
      <w:r w:rsidR="00062C93">
        <w:t>made</w:t>
      </w:r>
      <w:r w:rsidR="002F5BE8">
        <w:t xml:space="preserve">, </w:t>
      </w:r>
      <w:r w:rsidR="00F163FD">
        <w:t>which</w:t>
      </w:r>
      <w:r w:rsidR="00BD0324">
        <w:t>,</w:t>
      </w:r>
      <w:r w:rsidR="00F163FD">
        <w:t xml:space="preserve"> </w:t>
      </w:r>
      <w:r w:rsidR="002F5BE8">
        <w:t xml:space="preserve">other than in exceptional circumstances, </w:t>
      </w:r>
      <w:r w:rsidR="004264A2">
        <w:t xml:space="preserve">should </w:t>
      </w:r>
      <w:r w:rsidR="002F5BE8">
        <w:t>be freely available and directly accessible to anyone who will be affected</w:t>
      </w:r>
      <w:r w:rsidR="007116D4">
        <w:t xml:space="preserve"> by th</w:t>
      </w:r>
      <w:r w:rsidR="004264A2">
        <w:t xml:space="preserve">e </w:t>
      </w:r>
      <w:r w:rsidR="006309C2">
        <w:t>decisions</w:t>
      </w:r>
      <w:r w:rsidR="004264A2">
        <w:t xml:space="preserve"> made</w:t>
      </w:r>
      <w:r w:rsidR="002F5BE8">
        <w:t xml:space="preserve"> or their implementation.</w:t>
      </w:r>
      <w:r w:rsidR="006309C2">
        <w:rPr>
          <w:rStyle w:val="FootnoteReference"/>
        </w:rPr>
        <w:footnoteReference w:id="182"/>
      </w:r>
      <w:r w:rsidR="006309C2">
        <w:t xml:space="preserve"> </w:t>
      </w:r>
      <w:r w:rsidR="00BE4DC0">
        <w:t>To this end, consultation is considered a pre-condition for transparency; it</w:t>
      </w:r>
      <w:r w:rsidR="0041474A">
        <w:t xml:space="preserve"> </w:t>
      </w:r>
      <w:r w:rsidR="00BD0324">
        <w:t>should begin early in the legislative process and be conducted in an open and transparent manner</w:t>
      </w:r>
      <w:r w:rsidR="007116D4">
        <w:t>.</w:t>
      </w:r>
      <w:r w:rsidR="00712CAD">
        <w:rPr>
          <w:rStyle w:val="FootnoteReference"/>
        </w:rPr>
        <w:footnoteReference w:id="183"/>
      </w:r>
      <w:r w:rsidR="007116D4">
        <w:t xml:space="preserve"> </w:t>
      </w:r>
    </w:p>
    <w:p w:rsidR="006327EF" w:rsidRDefault="00BE4DC0" w:rsidP="00AA78E0">
      <w:pPr>
        <w:spacing w:after="240" w:line="480" w:lineRule="auto"/>
        <w:ind w:firstLine="720"/>
      </w:pPr>
      <w:r>
        <w:lastRenderedPageBreak/>
        <w:t>In respect to the openness of QR&amp;O development and its compliance with the relevant legal and administrative rules, th</w:t>
      </w:r>
      <w:r w:rsidR="002A3712">
        <w:t xml:space="preserve">at </w:t>
      </w:r>
      <w:r w:rsidR="009C5B41">
        <w:t>process</w:t>
      </w:r>
      <w:r w:rsidR="00AC4363">
        <w:t xml:space="preserve"> </w:t>
      </w:r>
      <w:r w:rsidR="00E20A21">
        <w:t xml:space="preserve">is </w:t>
      </w:r>
      <w:r w:rsidR="00501A47">
        <w:t xml:space="preserve">in a </w:t>
      </w:r>
      <w:r w:rsidR="00063E71">
        <w:t>odd</w:t>
      </w:r>
      <w:r w:rsidR="00C71B39">
        <w:t xml:space="preserve"> position owing to the exemptions that apply to it under the SIA,</w:t>
      </w:r>
      <w:r w:rsidR="00F92E8A">
        <w:rPr>
          <w:rStyle w:val="FootnoteReference"/>
        </w:rPr>
        <w:footnoteReference w:id="184"/>
      </w:r>
      <w:r w:rsidR="00C71B39">
        <w:t xml:space="preserve"> the manner by which the administrative processes applicable to Governor in Counc</w:t>
      </w:r>
      <w:r w:rsidR="00F92E8A">
        <w:t>il regulations are applied</w:t>
      </w:r>
      <w:r w:rsidR="00C71B39">
        <w:t>,</w:t>
      </w:r>
      <w:r w:rsidR="00F92E8A">
        <w:rPr>
          <w:rStyle w:val="FootnoteReference"/>
        </w:rPr>
        <w:footnoteReference w:id="185"/>
      </w:r>
      <w:r w:rsidR="00C71B39">
        <w:t xml:space="preserve"> and the </w:t>
      </w:r>
      <w:r w:rsidR="00F92E8A">
        <w:t>practice adopted b</w:t>
      </w:r>
      <w:r w:rsidR="00C71B39">
        <w:t>y the Standing Joint Committee for the Scrutiny of</w:t>
      </w:r>
      <w:r w:rsidR="00B75F0B">
        <w:t xml:space="preserve"> Regulations of</w:t>
      </w:r>
      <w:r w:rsidR="00C71B39">
        <w:t xml:space="preserve"> not review</w:t>
      </w:r>
      <w:r w:rsidR="00B75F0B">
        <w:t>ing</w:t>
      </w:r>
      <w:r w:rsidR="00C71B39">
        <w:t xml:space="preserve"> the QR&amp;O despite having the authority to do so.</w:t>
      </w:r>
      <w:r w:rsidR="00F92E8A">
        <w:rPr>
          <w:rStyle w:val="FootnoteReference"/>
        </w:rPr>
        <w:footnoteReference w:id="186"/>
      </w:r>
      <w:r w:rsidR="00C71B39">
        <w:t xml:space="preserve"> </w:t>
      </w:r>
      <w:r w:rsidR="00063E71">
        <w:t xml:space="preserve">The oddity of its position </w:t>
      </w:r>
      <w:r>
        <w:t xml:space="preserve">arises because the QR&amp;O are not required to adhere to </w:t>
      </w:r>
      <w:r w:rsidR="00CD1BC9">
        <w:t xml:space="preserve">the </w:t>
      </w:r>
      <w:r>
        <w:t xml:space="preserve">same rules and development requirements applied to other federal regulations, and while </w:t>
      </w:r>
      <w:r w:rsidR="00343861">
        <w:t xml:space="preserve">QR&amp;O development proceeds in </w:t>
      </w:r>
      <w:r w:rsidR="00C36070">
        <w:t xml:space="preserve">accordance with the rules and </w:t>
      </w:r>
      <w:r>
        <w:t xml:space="preserve">procedures </w:t>
      </w:r>
      <w:r w:rsidR="00C36070">
        <w:t>appl</w:t>
      </w:r>
      <w:r w:rsidR="008F7592">
        <w:t>ied to it, which is the criterion</w:t>
      </w:r>
      <w:r w:rsidR="00C36070">
        <w:t xml:space="preserve"> for openness,</w:t>
      </w:r>
      <w:r w:rsidR="00C36070">
        <w:rPr>
          <w:rStyle w:val="FootnoteReference"/>
        </w:rPr>
        <w:footnoteReference w:id="187"/>
      </w:r>
      <w:r w:rsidR="00C36070">
        <w:t xml:space="preserve"> </w:t>
      </w:r>
      <w:r w:rsidR="006327EF">
        <w:t xml:space="preserve">it is </w:t>
      </w:r>
      <w:r w:rsidR="00AC3642">
        <w:t xml:space="preserve">a </w:t>
      </w:r>
      <w:r w:rsidR="00F92E8A">
        <w:t>largel</w:t>
      </w:r>
      <w:r w:rsidR="00C44CD5">
        <w:t>y insular</w:t>
      </w:r>
      <w:r w:rsidR="002D196D">
        <w:t xml:space="preserve"> process </w:t>
      </w:r>
      <w:r w:rsidR="00C36070">
        <w:t>with</w:t>
      </w:r>
      <w:r w:rsidR="00F92E8A">
        <w:t xml:space="preserve"> minimal </w:t>
      </w:r>
      <w:r w:rsidR="00C36070">
        <w:t>e</w:t>
      </w:r>
      <w:r w:rsidR="00F92E8A">
        <w:t>xternal</w:t>
      </w:r>
      <w:r w:rsidR="00C36070">
        <w:t xml:space="preserve"> involvement that </w:t>
      </w:r>
      <w:r w:rsidR="00E63A66">
        <w:t xml:space="preserve">is </w:t>
      </w:r>
      <w:r w:rsidR="0093366C">
        <w:t xml:space="preserve">not readily visible to anyone </w:t>
      </w:r>
      <w:r w:rsidR="00C36070">
        <w:t>outside</w:t>
      </w:r>
      <w:r w:rsidR="0093366C">
        <w:t xml:space="preserve"> the process.</w:t>
      </w:r>
      <w:r w:rsidR="00C43ADC">
        <w:rPr>
          <w:rStyle w:val="FootnoteReference"/>
        </w:rPr>
        <w:footnoteReference w:id="188"/>
      </w:r>
      <w:r w:rsidR="0093366C">
        <w:t xml:space="preserve">  </w:t>
      </w:r>
      <w:r w:rsidR="00501A47">
        <w:t>For example</w:t>
      </w:r>
      <w:r w:rsidR="00ED755B">
        <w:t xml:space="preserve">, </w:t>
      </w:r>
      <w:r w:rsidR="00C36070">
        <w:t xml:space="preserve">TBS-RAS permits proposed </w:t>
      </w:r>
      <w:r w:rsidR="00C356A2">
        <w:t xml:space="preserve">Governor in Council </w:t>
      </w:r>
      <w:r w:rsidR="000D2943">
        <w:t xml:space="preserve">QR&amp;O </w:t>
      </w:r>
      <w:r w:rsidR="00ED755B">
        <w:t xml:space="preserve">proceed </w:t>
      </w:r>
      <w:r w:rsidR="00C356A2">
        <w:t>for approval without public consultation</w:t>
      </w:r>
      <w:r w:rsidR="00563FFD">
        <w:t>;</w:t>
      </w:r>
      <w:r w:rsidR="000F33B7">
        <w:rPr>
          <w:rStyle w:val="FootnoteReference"/>
        </w:rPr>
        <w:footnoteReference w:id="189"/>
      </w:r>
      <w:r w:rsidR="000F33B7">
        <w:t xml:space="preserve"> the QR&amp;O are not </w:t>
      </w:r>
      <w:r w:rsidR="00ED755B">
        <w:t xml:space="preserve">subject to pre-publication, </w:t>
      </w:r>
      <w:r w:rsidR="00E63A66">
        <w:t xml:space="preserve">which </w:t>
      </w:r>
      <w:r w:rsidR="00C36070">
        <w:t xml:space="preserve">would </w:t>
      </w:r>
      <w:r w:rsidR="00C7379B">
        <w:t>provide the</w:t>
      </w:r>
      <w:r w:rsidR="0093366C">
        <w:t xml:space="preserve"> </w:t>
      </w:r>
      <w:r w:rsidR="00AC4363">
        <w:t xml:space="preserve">public access to the </w:t>
      </w:r>
      <w:r w:rsidR="00C953E5">
        <w:t>tex</w:t>
      </w:r>
      <w:r w:rsidR="00C36070">
        <w:t xml:space="preserve">t of the </w:t>
      </w:r>
      <w:r w:rsidR="00AC4363">
        <w:t>proposed regulation</w:t>
      </w:r>
      <w:r w:rsidR="00E63A66">
        <w:t>s</w:t>
      </w:r>
      <w:r w:rsidR="00563FFD">
        <w:t>;</w:t>
      </w:r>
      <w:r w:rsidR="000F33B7">
        <w:rPr>
          <w:rStyle w:val="FootnoteReference"/>
        </w:rPr>
        <w:footnoteReference w:id="190"/>
      </w:r>
      <w:r w:rsidR="00563FFD">
        <w:t xml:space="preserve"> </w:t>
      </w:r>
      <w:r w:rsidR="000F33B7">
        <w:t>the RIAS, which functions to explain the regulatory proposal including the government’s objectives and the associated costs</w:t>
      </w:r>
      <w:r w:rsidR="0093366C">
        <w:t xml:space="preserve"> and benefits, is not </w:t>
      </w:r>
      <w:r w:rsidR="00C36070">
        <w:t xml:space="preserve">required to be </w:t>
      </w:r>
      <w:r w:rsidR="006327EF">
        <w:t xml:space="preserve">published or otherwise made </w:t>
      </w:r>
      <w:r w:rsidR="00C44CD5">
        <w:t xml:space="preserve">publically </w:t>
      </w:r>
      <w:r w:rsidR="006327EF">
        <w:t>available</w:t>
      </w:r>
      <w:r w:rsidR="00563FFD">
        <w:t>;</w:t>
      </w:r>
      <w:r w:rsidR="00E24004" w:rsidRPr="00E24004">
        <w:rPr>
          <w:rStyle w:val="FootnoteReference"/>
        </w:rPr>
        <w:t xml:space="preserve"> </w:t>
      </w:r>
      <w:r w:rsidR="00E24004">
        <w:rPr>
          <w:rStyle w:val="FootnoteReference"/>
        </w:rPr>
        <w:footnoteReference w:id="191"/>
      </w:r>
      <w:r w:rsidR="00E24004">
        <w:t xml:space="preserve"> </w:t>
      </w:r>
      <w:r w:rsidR="00563FFD">
        <w:t>and while the QR&amp;O are published and publi</w:t>
      </w:r>
      <w:r w:rsidR="00C356A2">
        <w:t>cally available on the Defence w</w:t>
      </w:r>
      <w:r w:rsidR="00563FFD">
        <w:t xml:space="preserve">ebsite, they are not published in the </w:t>
      </w:r>
      <w:r w:rsidR="00563FFD">
        <w:rPr>
          <w:i/>
        </w:rPr>
        <w:t>Canada Gazette</w:t>
      </w:r>
      <w:r w:rsidR="00E24004">
        <w:t xml:space="preserve"> or accessible on</w:t>
      </w:r>
      <w:r w:rsidR="00563FFD">
        <w:t xml:space="preserve"> the </w:t>
      </w:r>
      <w:r w:rsidR="00C356A2">
        <w:t xml:space="preserve">Department of Justice website </w:t>
      </w:r>
      <w:r w:rsidR="00E85CF2">
        <w:t xml:space="preserve">with </w:t>
      </w:r>
      <w:r w:rsidR="00E24004">
        <w:t>other federal regulations.</w:t>
      </w:r>
      <w:r w:rsidR="00E24004">
        <w:rPr>
          <w:rStyle w:val="FootnoteReference"/>
        </w:rPr>
        <w:footnoteReference w:id="192"/>
      </w:r>
      <w:r w:rsidR="000F33B7">
        <w:t xml:space="preserve"> </w:t>
      </w:r>
      <w:r w:rsidR="0043778F">
        <w:t>The term ‘open’ is defined as ‘allowing access, passage or view’,</w:t>
      </w:r>
      <w:r w:rsidR="0043778F">
        <w:rPr>
          <w:rStyle w:val="FootnoteReference"/>
        </w:rPr>
        <w:footnoteReference w:id="193"/>
      </w:r>
      <w:r w:rsidR="0043778F">
        <w:t xml:space="preserve"> and while QR&amp;O development complies with the minima</w:t>
      </w:r>
      <w:r w:rsidR="00C44CD5">
        <w:t>l requirements applied to it with regards to</w:t>
      </w:r>
      <w:r w:rsidR="0043778F">
        <w:t xml:space="preserve"> c</w:t>
      </w:r>
      <w:r w:rsidR="00785ADC">
        <w:t>onsultation</w:t>
      </w:r>
      <w:r w:rsidR="0043778F">
        <w:t xml:space="preserve">, </w:t>
      </w:r>
      <w:r w:rsidR="006327EF">
        <w:t>the odd effect is t</w:t>
      </w:r>
      <w:r w:rsidR="00186E73">
        <w:t xml:space="preserve">hat despite </w:t>
      </w:r>
      <w:r w:rsidR="00186E73">
        <w:lastRenderedPageBreak/>
        <w:t xml:space="preserve">apparently satisfying </w:t>
      </w:r>
      <w:r w:rsidR="0043778F">
        <w:t xml:space="preserve">the </w:t>
      </w:r>
      <w:r w:rsidR="007B3759">
        <w:t xml:space="preserve">expressed </w:t>
      </w:r>
      <w:r w:rsidR="0043778F">
        <w:t>crite</w:t>
      </w:r>
      <w:r w:rsidR="008F7592">
        <w:t>rion</w:t>
      </w:r>
      <w:r w:rsidR="00505DDF">
        <w:t xml:space="preserve"> for openness, the process is</w:t>
      </w:r>
      <w:r w:rsidR="00C44CD5">
        <w:t xml:space="preserve"> clearly anything but ‘open’</w:t>
      </w:r>
      <w:r w:rsidR="007B3759">
        <w:t xml:space="preserve"> and cannot be said </w:t>
      </w:r>
      <w:r w:rsidR="001812D2">
        <w:t>to comply with the spirit of that</w:t>
      </w:r>
      <w:r w:rsidR="008F7592">
        <w:t xml:space="preserve"> requirement</w:t>
      </w:r>
      <w:r w:rsidR="0043778F">
        <w:t>.</w:t>
      </w:r>
      <w:r w:rsidR="007B3759">
        <w:rPr>
          <w:rStyle w:val="FootnoteReference"/>
        </w:rPr>
        <w:footnoteReference w:id="194"/>
      </w:r>
    </w:p>
    <w:p w:rsidR="00072D9A" w:rsidRDefault="008F7592" w:rsidP="00A31FF1">
      <w:pPr>
        <w:spacing w:after="240" w:line="480" w:lineRule="auto"/>
        <w:ind w:firstLine="720"/>
      </w:pPr>
      <w:r>
        <w:t xml:space="preserve">The second element for </w:t>
      </w:r>
      <w:r w:rsidR="004F1275">
        <w:t>t</w:t>
      </w:r>
      <w:r w:rsidR="00AA78E0">
        <w:t xml:space="preserve">ransparency requires that </w:t>
      </w:r>
      <w:r w:rsidR="00FD4938">
        <w:t>information</w:t>
      </w:r>
      <w:r w:rsidR="00505DDF">
        <w:t xml:space="preserve"> </w:t>
      </w:r>
      <w:r w:rsidR="004F1275">
        <w:t xml:space="preserve">on </w:t>
      </w:r>
      <w:r w:rsidR="00505DDF">
        <w:t xml:space="preserve">the </w:t>
      </w:r>
      <w:r w:rsidR="005B6344">
        <w:t xml:space="preserve">relevant </w:t>
      </w:r>
      <w:r w:rsidR="00505DDF">
        <w:t>process and the decisions made therein</w:t>
      </w:r>
      <w:r w:rsidR="00FD4938">
        <w:t xml:space="preserve"> be ‘freely available and directly accessible’ to </w:t>
      </w:r>
      <w:r w:rsidR="00505DDF">
        <w:t xml:space="preserve">anyone who is </w:t>
      </w:r>
      <w:r w:rsidR="00FD4938">
        <w:t>affected by the decisions and their implementation</w:t>
      </w:r>
      <w:r w:rsidR="005B6344">
        <w:t>.</w:t>
      </w:r>
      <w:r w:rsidR="0061584A">
        <w:rPr>
          <w:rStyle w:val="FootnoteReference"/>
        </w:rPr>
        <w:footnoteReference w:id="195"/>
      </w:r>
      <w:r w:rsidR="005B6344">
        <w:t xml:space="preserve"> Wide</w:t>
      </w:r>
      <w:r w:rsidR="00C44CD5">
        <w:t>,</w:t>
      </w:r>
      <w:r w:rsidR="004F1275">
        <w:t xml:space="preserve"> </w:t>
      </w:r>
      <w:r w:rsidR="00C44CD5">
        <w:t xml:space="preserve">external </w:t>
      </w:r>
      <w:r w:rsidR="004F1275">
        <w:t xml:space="preserve">pre-legislation consultation </w:t>
      </w:r>
      <w:r w:rsidR="00072D9A">
        <w:t xml:space="preserve">that extends to groups who will be practically or generally affected by proposed legislation </w:t>
      </w:r>
      <w:r w:rsidR="005B6344">
        <w:t xml:space="preserve">is seen as critical for accomplishing the </w:t>
      </w:r>
      <w:r w:rsidR="00072D9A">
        <w:t xml:space="preserve">public engagement necessary </w:t>
      </w:r>
      <w:r w:rsidR="006521D9">
        <w:t>for</w:t>
      </w:r>
      <w:r w:rsidR="005B6344">
        <w:t xml:space="preserve"> </w:t>
      </w:r>
      <w:r w:rsidR="004F1275">
        <w:t>transparency.</w:t>
      </w:r>
      <w:r w:rsidR="004F1275">
        <w:rPr>
          <w:rStyle w:val="FootnoteReference"/>
        </w:rPr>
        <w:footnoteReference w:id="196"/>
      </w:r>
      <w:r w:rsidR="004F1275">
        <w:t xml:space="preserve"> </w:t>
      </w:r>
      <w:r w:rsidR="00FD4938">
        <w:t xml:space="preserve">Even if one </w:t>
      </w:r>
      <w:r w:rsidR="00505DDF">
        <w:t>can accept</w:t>
      </w:r>
      <w:r w:rsidR="00072D9A">
        <w:t xml:space="preserve"> </w:t>
      </w:r>
      <w:r w:rsidR="00A31FF1">
        <w:t>in the context of the QR&amp;O</w:t>
      </w:r>
      <w:r w:rsidR="00B1249A">
        <w:t xml:space="preserve"> </w:t>
      </w:r>
      <w:r w:rsidR="00072D9A">
        <w:t xml:space="preserve">that </w:t>
      </w:r>
      <w:r w:rsidR="00B1249A">
        <w:t>the</w:t>
      </w:r>
      <w:r w:rsidR="00505DDF">
        <w:t xml:space="preserve"> pool of affected individuals </w:t>
      </w:r>
      <w:r w:rsidR="00FD4938">
        <w:t xml:space="preserve">is </w:t>
      </w:r>
      <w:r w:rsidR="00505DDF">
        <w:t xml:space="preserve">appropriately </w:t>
      </w:r>
      <w:r w:rsidR="00A31FF1">
        <w:t>limited to the CAF and its member</w:t>
      </w:r>
      <w:r w:rsidR="00C953E5">
        <w:t>s</w:t>
      </w:r>
      <w:r w:rsidR="00FD4938">
        <w:t xml:space="preserve">, </w:t>
      </w:r>
      <w:r w:rsidR="008F268D">
        <w:t xml:space="preserve">it </w:t>
      </w:r>
      <w:r w:rsidR="00C44CD5">
        <w:t xml:space="preserve">is inconceivable </w:t>
      </w:r>
      <w:r w:rsidR="008F268D">
        <w:t xml:space="preserve">that </w:t>
      </w:r>
      <w:r w:rsidR="00D70B92">
        <w:t>a process</w:t>
      </w:r>
      <w:r w:rsidR="00C44CD5">
        <w:t xml:space="preserve">, which </w:t>
      </w:r>
      <w:r w:rsidR="00D70B92">
        <w:t>largely limits the flow of information</w:t>
      </w:r>
      <w:r w:rsidR="008B3BC7">
        <w:t xml:space="preserve"> to the</w:t>
      </w:r>
      <w:r w:rsidR="00C953E5">
        <w:t xml:space="preserve"> </w:t>
      </w:r>
      <w:r w:rsidR="00A31FF1">
        <w:t>small</w:t>
      </w:r>
      <w:r w:rsidR="00B1249A">
        <w:t xml:space="preserve"> pool</w:t>
      </w:r>
      <w:r w:rsidR="00C44CD5">
        <w:t>s</w:t>
      </w:r>
      <w:r w:rsidR="00B1249A">
        <w:t xml:space="preserve"> of CAF and departmental </w:t>
      </w:r>
      <w:r w:rsidR="00D70B92">
        <w:t xml:space="preserve">officials </w:t>
      </w:r>
      <w:r w:rsidR="00231B30">
        <w:t xml:space="preserve">who are responsible for </w:t>
      </w:r>
      <w:r w:rsidR="00D70B92">
        <w:t xml:space="preserve">the development and approval of </w:t>
      </w:r>
      <w:r w:rsidR="00231B30">
        <w:t>proposed QR&amp;O changes</w:t>
      </w:r>
      <w:r w:rsidR="00CF1B65">
        <w:t>,</w:t>
      </w:r>
      <w:r w:rsidR="00B1249A">
        <w:t xml:space="preserve"> </w:t>
      </w:r>
      <w:r w:rsidR="00C44CD5">
        <w:t xml:space="preserve">meets the </w:t>
      </w:r>
      <w:r w:rsidR="00072D9A">
        <w:t>requirement of wide external consultation needed</w:t>
      </w:r>
      <w:r w:rsidR="00B71173">
        <w:t xml:space="preserve"> for transparency</w:t>
      </w:r>
      <w:r w:rsidR="00FD4938">
        <w:t>.</w:t>
      </w:r>
      <w:r w:rsidR="00B1249A">
        <w:rPr>
          <w:rStyle w:val="FootnoteReference"/>
        </w:rPr>
        <w:footnoteReference w:id="197"/>
      </w:r>
      <w:r w:rsidR="00FD4938">
        <w:t xml:space="preserve"> </w:t>
      </w:r>
    </w:p>
    <w:p w:rsidR="00371BE4" w:rsidRPr="00ED2C3A" w:rsidRDefault="00072D9A" w:rsidP="00A31FF1">
      <w:pPr>
        <w:spacing w:after="240" w:line="480" w:lineRule="auto"/>
        <w:ind w:firstLine="720"/>
      </w:pPr>
      <w:r>
        <w:t>To conclude this section, the level and nature of the consultation</w:t>
      </w:r>
      <w:r w:rsidR="004D667F">
        <w:t xml:space="preserve"> and information </w:t>
      </w:r>
      <w:r>
        <w:t xml:space="preserve">sharing that takes place in the context of </w:t>
      </w:r>
      <w:r w:rsidR="002644C7">
        <w:t xml:space="preserve">QR&amp;O development, </w:t>
      </w:r>
      <w:r>
        <w:t xml:space="preserve">which </w:t>
      </w:r>
      <w:r w:rsidR="00D54D4D">
        <w:t xml:space="preserve">is internally focused and </w:t>
      </w:r>
      <w:r>
        <w:t xml:space="preserve">lacks any engagement with </w:t>
      </w:r>
      <w:r w:rsidR="00D54D4D">
        <w:t>the public</w:t>
      </w:r>
      <w:r>
        <w:t xml:space="preserve">, </w:t>
      </w:r>
      <w:r w:rsidR="00A31FF1">
        <w:t>can</w:t>
      </w:r>
      <w:r w:rsidR="00552762">
        <w:t>not be viewed as sufficient to a</w:t>
      </w:r>
      <w:r w:rsidR="00A31FF1">
        <w:t>chieve</w:t>
      </w:r>
      <w:r w:rsidR="00C10A24">
        <w:t xml:space="preserve"> transparency</w:t>
      </w:r>
      <w:r w:rsidR="004D667F">
        <w:t xml:space="preserve"> in the legislative process</w:t>
      </w:r>
      <w:r w:rsidR="00DD6F73">
        <w:t>.</w:t>
      </w:r>
      <w:r w:rsidR="00A83CF5">
        <w:rPr>
          <w:rStyle w:val="FootnoteReference"/>
        </w:rPr>
        <w:footnoteReference w:id="198"/>
      </w:r>
      <w:r w:rsidR="00A83CF5">
        <w:t xml:space="preserve"> </w:t>
      </w:r>
    </w:p>
    <w:p w:rsidR="00C31374" w:rsidRDefault="00A260D9" w:rsidP="00DD73F7">
      <w:pPr>
        <w:spacing w:after="240" w:line="480" w:lineRule="auto"/>
        <w:rPr>
          <w:b/>
        </w:rPr>
      </w:pPr>
      <w:r>
        <w:rPr>
          <w:b/>
        </w:rPr>
        <w:t>4</w:t>
      </w:r>
      <w:r w:rsidR="00C31374">
        <w:rPr>
          <w:b/>
        </w:rPr>
        <w:t>.</w:t>
      </w:r>
      <w:r w:rsidR="00C31374">
        <w:rPr>
          <w:b/>
        </w:rPr>
        <w:tab/>
      </w:r>
      <w:r w:rsidR="007116D4">
        <w:rPr>
          <w:b/>
        </w:rPr>
        <w:t>Discussion</w:t>
      </w:r>
      <w:r w:rsidR="00A82878">
        <w:rPr>
          <w:b/>
        </w:rPr>
        <w:t xml:space="preserve"> and Conclusion</w:t>
      </w:r>
    </w:p>
    <w:p w:rsidR="00033CE0" w:rsidRDefault="00E80B6B" w:rsidP="0034387A">
      <w:pPr>
        <w:spacing w:after="240" w:line="480" w:lineRule="auto"/>
        <w:ind w:firstLine="720"/>
      </w:pPr>
      <w:r>
        <w:t xml:space="preserve">The analysis </w:t>
      </w:r>
      <w:r w:rsidR="008D55B0">
        <w:t xml:space="preserve">conducted herein </w:t>
      </w:r>
      <w:r>
        <w:t>demonstrates that</w:t>
      </w:r>
      <w:r w:rsidR="002237A1">
        <w:t xml:space="preserve"> as a body of law, the QR&amp;O </w:t>
      </w:r>
      <w:r w:rsidR="008D55B0">
        <w:t xml:space="preserve">effectively </w:t>
      </w:r>
      <w:r w:rsidR="00F21D1A">
        <w:t xml:space="preserve">satisfy only one of the four legal </w:t>
      </w:r>
      <w:r w:rsidR="002237A1">
        <w:t>criteria for quality</w:t>
      </w:r>
      <w:r w:rsidR="00083350" w:rsidRPr="00083350">
        <w:t xml:space="preserve"> </w:t>
      </w:r>
      <w:r w:rsidR="00083350">
        <w:t xml:space="preserve">of legislation identified by </w:t>
      </w:r>
      <w:r w:rsidR="00083350">
        <w:lastRenderedPageBreak/>
        <w:t>Flückiger</w:t>
      </w:r>
      <w:r w:rsidR="008D55B0">
        <w:t xml:space="preserve">, which </w:t>
      </w:r>
      <w:r w:rsidR="00F21D1A">
        <w:t xml:space="preserve">proves the hypothesis that </w:t>
      </w:r>
      <w:r w:rsidR="00E42906">
        <w:t xml:space="preserve">within the context of these legal criteria, </w:t>
      </w:r>
      <w:r w:rsidR="008D55B0">
        <w:t>the QR&amp;O</w:t>
      </w:r>
      <w:r w:rsidR="00F21D1A">
        <w:t xml:space="preserve"> </w:t>
      </w:r>
      <w:r w:rsidR="00E42906">
        <w:t>are of weak legislative quality</w:t>
      </w:r>
      <w:r w:rsidR="00F21D1A">
        <w:t>.</w:t>
      </w:r>
      <w:r w:rsidR="005058F6">
        <w:rPr>
          <w:rStyle w:val="FootnoteReference"/>
        </w:rPr>
        <w:footnoteReference w:id="199"/>
      </w:r>
      <w:r w:rsidR="008D55B0">
        <w:t xml:space="preserve"> Expressed in a</w:t>
      </w:r>
      <w:r w:rsidR="00F21D1A">
        <w:t xml:space="preserve"> different way, the </w:t>
      </w:r>
      <w:r w:rsidR="008D55B0">
        <w:t xml:space="preserve">analysis shows that the </w:t>
      </w:r>
      <w:r w:rsidR="00F21D1A">
        <w:t xml:space="preserve">QR&amp;O fail to fully satisfy </w:t>
      </w:r>
      <w:r w:rsidR="008D55B0">
        <w:t xml:space="preserve">three of the four legal criteria - </w:t>
      </w:r>
      <w:r w:rsidR="002237A1">
        <w:t xml:space="preserve">democratic legitimation, legal </w:t>
      </w:r>
      <w:r w:rsidR="008D55B0">
        <w:t>security/</w:t>
      </w:r>
      <w:r w:rsidR="002237A1">
        <w:t xml:space="preserve">certainty and transparency of the </w:t>
      </w:r>
      <w:r w:rsidR="005058F6">
        <w:t xml:space="preserve">legislative </w:t>
      </w:r>
      <w:r w:rsidR="002237A1">
        <w:t>process</w:t>
      </w:r>
      <w:r w:rsidR="005058F6">
        <w:t xml:space="preserve">. </w:t>
      </w:r>
      <w:r w:rsidR="00496B87">
        <w:t>Closer scrutiny of this result reveals that the QR&amp;O’s weak showing can b</w:t>
      </w:r>
      <w:r w:rsidR="00F75F0B">
        <w:t>e attributed to three principal deficienc</w:t>
      </w:r>
      <w:r w:rsidR="008D55B0">
        <w:t xml:space="preserve">ies that relate to its </w:t>
      </w:r>
      <w:r w:rsidR="00F75F0B">
        <w:t xml:space="preserve">development process </w:t>
      </w:r>
      <w:r w:rsidR="00F1639C">
        <w:t xml:space="preserve">as well as </w:t>
      </w:r>
      <w:r w:rsidR="00F75F0B">
        <w:t>aspects of its legal framework</w:t>
      </w:r>
      <w:r w:rsidR="00496B87">
        <w:t>: (1) insufficient public engagement</w:t>
      </w:r>
      <w:r w:rsidR="00F75F0B">
        <w:t>;</w:t>
      </w:r>
      <w:r w:rsidR="00496B87" w:rsidRPr="00496B87">
        <w:t xml:space="preserve"> </w:t>
      </w:r>
      <w:r w:rsidR="00496B87">
        <w:t>(2</w:t>
      </w:r>
      <w:r w:rsidR="00A01F20">
        <w:t>) insufficient parliamentary participation</w:t>
      </w:r>
      <w:r w:rsidR="00F75F0B">
        <w:t xml:space="preserve">; </w:t>
      </w:r>
      <w:r w:rsidR="00496B87">
        <w:t xml:space="preserve">and (3) </w:t>
      </w:r>
      <w:r w:rsidR="00A01F20">
        <w:t>insu</w:t>
      </w:r>
      <w:r w:rsidR="003D471F">
        <w:t>fficient accessibility of</w:t>
      </w:r>
      <w:r w:rsidR="00A01F20">
        <w:t xml:space="preserve"> the QR&amp;O</w:t>
      </w:r>
      <w:r w:rsidR="00033CE0">
        <w:t xml:space="preserve">. </w:t>
      </w:r>
      <w:r w:rsidR="00F85DBF">
        <w:t xml:space="preserve">In this </w:t>
      </w:r>
      <w:r w:rsidR="005058F6">
        <w:t>final part</w:t>
      </w:r>
      <w:r w:rsidR="003D471F">
        <w:t xml:space="preserve">, </w:t>
      </w:r>
      <w:r w:rsidR="005058F6">
        <w:t xml:space="preserve">each of the identified deficiencies </w:t>
      </w:r>
      <w:r w:rsidR="00623301">
        <w:t xml:space="preserve">will be examined for the purpose of </w:t>
      </w:r>
      <w:r w:rsidR="00F75F0B">
        <w:t xml:space="preserve">identifying options </w:t>
      </w:r>
      <w:r w:rsidR="00623301">
        <w:t xml:space="preserve">that would </w:t>
      </w:r>
      <w:r w:rsidR="005058F6">
        <w:t xml:space="preserve">serve to </w:t>
      </w:r>
      <w:r w:rsidR="00623301">
        <w:t>address</w:t>
      </w:r>
      <w:r w:rsidR="005058F6">
        <w:t xml:space="preserve"> the deficiency</w:t>
      </w:r>
      <w:r w:rsidR="00F1639C">
        <w:t xml:space="preserve"> within the </w:t>
      </w:r>
      <w:r w:rsidR="00F75F0B">
        <w:t>existing</w:t>
      </w:r>
      <w:r w:rsidR="00C91F7D">
        <w:t xml:space="preserve"> legal framework</w:t>
      </w:r>
      <w:r w:rsidR="00F75F0B">
        <w:t xml:space="preserve"> in order to </w:t>
      </w:r>
      <w:r w:rsidR="00302914">
        <w:t xml:space="preserve">better satisfy the </w:t>
      </w:r>
      <w:r w:rsidR="005058F6">
        <w:t xml:space="preserve">related </w:t>
      </w:r>
      <w:r w:rsidR="003D471F">
        <w:t xml:space="preserve">legal </w:t>
      </w:r>
      <w:r w:rsidR="00302914">
        <w:t xml:space="preserve">quality criteria and </w:t>
      </w:r>
      <w:r w:rsidR="00395E38">
        <w:t>improve</w:t>
      </w:r>
      <w:r w:rsidR="00F9695C">
        <w:t xml:space="preserve"> the </w:t>
      </w:r>
      <w:r w:rsidR="00F1639C">
        <w:t xml:space="preserve">QR&amp;O’s </w:t>
      </w:r>
      <w:r w:rsidR="00302914">
        <w:t xml:space="preserve">overall </w:t>
      </w:r>
      <w:r w:rsidR="00F9695C">
        <w:t>legislative</w:t>
      </w:r>
      <w:r w:rsidR="00395E38">
        <w:t xml:space="preserve"> ‘legal’ quality. </w:t>
      </w:r>
      <w:r w:rsidR="00F9695C">
        <w:t xml:space="preserve"> </w:t>
      </w:r>
    </w:p>
    <w:p w:rsidR="00141D1F" w:rsidRDefault="00130915" w:rsidP="009D402D">
      <w:pPr>
        <w:spacing w:after="240" w:line="480" w:lineRule="auto"/>
        <w:ind w:firstLine="720"/>
      </w:pPr>
      <w:r>
        <w:t>In my view,</w:t>
      </w:r>
      <w:r w:rsidR="000F37A5">
        <w:t xml:space="preserve"> </w:t>
      </w:r>
      <w:r w:rsidR="004B562F">
        <w:t xml:space="preserve">the </w:t>
      </w:r>
      <w:r w:rsidR="006D04B7">
        <w:t>insufficiency of</w:t>
      </w:r>
      <w:r w:rsidR="00033CE0">
        <w:t xml:space="preserve"> public engagement</w:t>
      </w:r>
      <w:r w:rsidR="000F37A5">
        <w:t xml:space="preserve"> during the QR&amp;O development process is the most significant of the deficiencies</w:t>
      </w:r>
      <w:r w:rsidR="004B562F">
        <w:t xml:space="preserve"> for two principal</w:t>
      </w:r>
      <w:r w:rsidR="006144F5">
        <w:t xml:space="preserve"> </w:t>
      </w:r>
      <w:r w:rsidR="004B562F">
        <w:t>reasons</w:t>
      </w:r>
      <w:r w:rsidR="006144F5">
        <w:t>. First, the lack of a mechanism for sharing information and involving the interested and af</w:t>
      </w:r>
      <w:r w:rsidR="00302914">
        <w:t xml:space="preserve">fected members of the public </w:t>
      </w:r>
      <w:r w:rsidR="000F4E07">
        <w:t xml:space="preserve">during </w:t>
      </w:r>
      <w:r w:rsidR="003119C0">
        <w:t xml:space="preserve">QR&amp;O </w:t>
      </w:r>
      <w:r w:rsidR="004D1BF4">
        <w:t xml:space="preserve">development </w:t>
      </w:r>
      <w:r w:rsidR="006144F5">
        <w:t xml:space="preserve">is a critical deficiency that impacts two </w:t>
      </w:r>
      <w:r w:rsidR="003119C0">
        <w:t xml:space="preserve">of the four </w:t>
      </w:r>
      <w:r w:rsidR="004D1BF4">
        <w:t>legal quality criteria</w:t>
      </w:r>
      <w:r w:rsidR="006144F5">
        <w:t xml:space="preserve"> and is relevant to the QR&amp;O’</w:t>
      </w:r>
      <w:r w:rsidR="00D91519">
        <w:t>s</w:t>
      </w:r>
      <w:r w:rsidR="006144F5">
        <w:t xml:space="preserve"> failure to satisfy </w:t>
      </w:r>
      <w:r w:rsidR="00F1639C">
        <w:t>both</w:t>
      </w:r>
      <w:r w:rsidR="006144F5">
        <w:t>.</w:t>
      </w:r>
      <w:r w:rsidR="004D1BF4">
        <w:rPr>
          <w:rStyle w:val="FootnoteReference"/>
        </w:rPr>
        <w:footnoteReference w:id="200"/>
      </w:r>
      <w:r w:rsidR="004D1BF4">
        <w:t xml:space="preserve"> </w:t>
      </w:r>
      <w:r w:rsidR="00D91519">
        <w:t xml:space="preserve">While public participation </w:t>
      </w:r>
      <w:r w:rsidR="001B454B">
        <w:t xml:space="preserve">in regulation development </w:t>
      </w:r>
      <w:r w:rsidR="00D91519">
        <w:t xml:space="preserve">is not the principal mechanism for achieving democratic legitimation, </w:t>
      </w:r>
      <w:r w:rsidR="0052320E">
        <w:t xml:space="preserve">due to </w:t>
      </w:r>
      <w:r w:rsidR="00446509">
        <w:t xml:space="preserve">the insufficiency of the parliamentary predetermination provided in </w:t>
      </w:r>
      <w:r w:rsidR="0052320E">
        <w:t>the enabling provisions</w:t>
      </w:r>
      <w:r w:rsidR="00446509">
        <w:t>,</w:t>
      </w:r>
      <w:r w:rsidR="00010CCE" w:rsidRPr="00010CCE">
        <w:rPr>
          <w:rStyle w:val="FootnoteReference"/>
        </w:rPr>
        <w:t xml:space="preserve"> </w:t>
      </w:r>
      <w:r w:rsidR="00010CCE">
        <w:rPr>
          <w:rStyle w:val="FootnoteReference"/>
        </w:rPr>
        <w:footnoteReference w:id="201"/>
      </w:r>
      <w:r w:rsidR="00446509">
        <w:t xml:space="preserve"> </w:t>
      </w:r>
      <w:r w:rsidR="003D471F">
        <w:t>public participation is one of the</w:t>
      </w:r>
      <w:r w:rsidR="006C7ED7">
        <w:t xml:space="preserve"> means </w:t>
      </w:r>
      <w:r w:rsidR="003D471F">
        <w:t xml:space="preserve">available </w:t>
      </w:r>
      <w:r w:rsidR="00446509">
        <w:t>for bolstering</w:t>
      </w:r>
      <w:r w:rsidR="0050563C">
        <w:t xml:space="preserve"> </w:t>
      </w:r>
      <w:r w:rsidR="00446509">
        <w:t xml:space="preserve">democratic </w:t>
      </w:r>
      <w:r w:rsidR="00D91519">
        <w:t>legitimation</w:t>
      </w:r>
      <w:r w:rsidR="00446509">
        <w:t xml:space="preserve"> for the QR&amp;O.</w:t>
      </w:r>
      <w:r w:rsidR="001B454B">
        <w:rPr>
          <w:rStyle w:val="FootnoteReference"/>
        </w:rPr>
        <w:footnoteReference w:id="202"/>
      </w:r>
      <w:r w:rsidR="001B454B">
        <w:t xml:space="preserve"> Additionally</w:t>
      </w:r>
      <w:r w:rsidR="00095BE0">
        <w:t xml:space="preserve">, public engagement through consultation is </w:t>
      </w:r>
      <w:r w:rsidR="001B454B">
        <w:t xml:space="preserve">recognized as </w:t>
      </w:r>
      <w:r w:rsidR="00095BE0">
        <w:t xml:space="preserve">a critical factor for achieving </w:t>
      </w:r>
      <w:r w:rsidR="00446509">
        <w:t xml:space="preserve">the required </w:t>
      </w:r>
      <w:r w:rsidR="00095BE0">
        <w:t>transparency</w:t>
      </w:r>
      <w:r w:rsidR="00010CCE">
        <w:t xml:space="preserve"> </w:t>
      </w:r>
      <w:r w:rsidR="00010CCE">
        <w:lastRenderedPageBreak/>
        <w:t>in the legislative</w:t>
      </w:r>
      <w:r w:rsidR="001B454B">
        <w:t xml:space="preserve"> process</w:t>
      </w:r>
      <w:r>
        <w:t>.</w:t>
      </w:r>
      <w:r w:rsidR="001B454B">
        <w:rPr>
          <w:rStyle w:val="FootnoteReference"/>
        </w:rPr>
        <w:footnoteReference w:id="203"/>
      </w:r>
      <w:r w:rsidR="006D79B4">
        <w:t xml:space="preserve"> </w:t>
      </w:r>
      <w:r w:rsidR="00010CCE">
        <w:t xml:space="preserve">The second reason is that </w:t>
      </w:r>
      <w:r w:rsidR="004F55C6">
        <w:t xml:space="preserve">the </w:t>
      </w:r>
      <w:r w:rsidR="00643C3F">
        <w:t xml:space="preserve">closed </w:t>
      </w:r>
      <w:r w:rsidR="004F55C6">
        <w:t>manner by whi</w:t>
      </w:r>
      <w:r w:rsidR="006D79B4">
        <w:t>ch QR&amp;O developme</w:t>
      </w:r>
      <w:r w:rsidR="00010CCE">
        <w:t xml:space="preserve">nt proceeds, which includes </w:t>
      </w:r>
      <w:r w:rsidR="006D79B4">
        <w:t xml:space="preserve">minimal engagement of </w:t>
      </w:r>
      <w:r w:rsidR="004F55C6">
        <w:t xml:space="preserve">individuals outside </w:t>
      </w:r>
      <w:r w:rsidR="006D79B4">
        <w:t xml:space="preserve">the </w:t>
      </w:r>
      <w:r>
        <w:t xml:space="preserve">internal </w:t>
      </w:r>
      <w:r w:rsidR="006D79B4">
        <w:t>administrative and command apparatus</w:t>
      </w:r>
      <w:r w:rsidR="00E16A4A">
        <w:t>es</w:t>
      </w:r>
      <w:r w:rsidR="006D79B4">
        <w:t xml:space="preserve"> </w:t>
      </w:r>
      <w:r w:rsidR="00847D03">
        <w:t xml:space="preserve">responsible for </w:t>
      </w:r>
      <w:r w:rsidR="00E16A4A">
        <w:t xml:space="preserve">making the decisions relevant to </w:t>
      </w:r>
      <w:r w:rsidR="004F55C6">
        <w:t>proposed QR&amp;O changes</w:t>
      </w:r>
      <w:r w:rsidR="00E16A4A">
        <w:t>,</w:t>
      </w:r>
      <w:r w:rsidR="004F55C6">
        <w:t xml:space="preserve"> touch</w:t>
      </w:r>
      <w:r w:rsidR="00E16A4A">
        <w:t>es</w:t>
      </w:r>
      <w:r w:rsidR="004F55C6">
        <w:t xml:space="preserve"> ideals </w:t>
      </w:r>
      <w:r w:rsidR="00457A25">
        <w:t>that are firmly engrained in CAF practice</w:t>
      </w:r>
      <w:r w:rsidR="00D8281B">
        <w:t xml:space="preserve"> and possibly also its culture</w:t>
      </w:r>
      <w:r w:rsidR="004D1BF4">
        <w:t>,</w:t>
      </w:r>
      <w:r w:rsidR="00D8281B">
        <w:rPr>
          <w:rStyle w:val="FootnoteReference"/>
        </w:rPr>
        <w:footnoteReference w:id="204"/>
      </w:r>
      <w:r w:rsidR="00EE5EF4">
        <w:t xml:space="preserve"> </w:t>
      </w:r>
      <w:r>
        <w:t>w</w:t>
      </w:r>
      <w:r w:rsidR="0026505D">
        <w:t xml:space="preserve">hich </w:t>
      </w:r>
      <w:r w:rsidR="003119C0">
        <w:t xml:space="preserve">would undoubtedly make </w:t>
      </w:r>
      <w:r w:rsidR="000F5BED">
        <w:t>changing</w:t>
      </w:r>
      <w:r w:rsidR="00847D03">
        <w:t xml:space="preserve"> the </w:t>
      </w:r>
      <w:r w:rsidR="000F5BED">
        <w:t xml:space="preserve">existing </w:t>
      </w:r>
      <w:r w:rsidR="00847D03">
        <w:t>a</w:t>
      </w:r>
      <w:r w:rsidR="0026505D">
        <w:t>pproach</w:t>
      </w:r>
      <w:r w:rsidR="003119C0">
        <w:t xml:space="preserve"> </w:t>
      </w:r>
      <w:r w:rsidR="000F5BED">
        <w:t xml:space="preserve">as difficult as it is </w:t>
      </w:r>
      <w:r w:rsidR="00EE5EF4">
        <w:t>important.</w:t>
      </w:r>
      <w:r w:rsidR="00C91F7D">
        <w:t xml:space="preserve"> </w:t>
      </w:r>
    </w:p>
    <w:p w:rsidR="00482C47" w:rsidRDefault="00141D1F" w:rsidP="000F6C53">
      <w:pPr>
        <w:spacing w:after="240" w:line="480" w:lineRule="auto"/>
        <w:ind w:firstLine="720"/>
      </w:pPr>
      <w:r>
        <w:t>T</w:t>
      </w:r>
      <w:r w:rsidR="003D7F0F">
        <w:t xml:space="preserve">aking action to expand external participation in QR&amp;O development, and specifically, to introduce measures to engage the appropriate </w:t>
      </w:r>
      <w:r>
        <w:t xml:space="preserve">public in the process is, in my view, </w:t>
      </w:r>
      <w:r w:rsidR="003D7F0F">
        <w:t xml:space="preserve">critical for addressing the present deficiency and </w:t>
      </w:r>
      <w:r>
        <w:t xml:space="preserve">better </w:t>
      </w:r>
      <w:r w:rsidR="00385734">
        <w:t xml:space="preserve">satisfying </w:t>
      </w:r>
      <w:r>
        <w:t xml:space="preserve">the </w:t>
      </w:r>
      <w:r w:rsidR="00F16751">
        <w:t>requirements</w:t>
      </w:r>
      <w:r>
        <w:t xml:space="preserve"> for </w:t>
      </w:r>
      <w:r w:rsidR="009319CF">
        <w:t xml:space="preserve">both </w:t>
      </w:r>
      <w:r>
        <w:t>democratic</w:t>
      </w:r>
      <w:r w:rsidR="003D7F0F">
        <w:t xml:space="preserve"> </w:t>
      </w:r>
      <w:r w:rsidR="00F16751">
        <w:t>legitimation</w:t>
      </w:r>
      <w:r>
        <w:t xml:space="preserve"> and transparency. </w:t>
      </w:r>
      <w:r w:rsidR="00385734">
        <w:t>To this en</w:t>
      </w:r>
      <w:r w:rsidR="00C40707">
        <w:t xml:space="preserve">d, the </w:t>
      </w:r>
      <w:r w:rsidR="00682DFB">
        <w:t>critical path would need to involve</w:t>
      </w:r>
      <w:r w:rsidR="00D35692">
        <w:t>, as a first step,</w:t>
      </w:r>
      <w:r w:rsidR="00682DFB">
        <w:t xml:space="preserve"> </w:t>
      </w:r>
      <w:r w:rsidR="003A0179">
        <w:t>a change in</w:t>
      </w:r>
      <w:r w:rsidR="00385734">
        <w:t xml:space="preserve"> </w:t>
      </w:r>
      <w:r>
        <w:t>the way information sharing and consultation are view</w:t>
      </w:r>
      <w:r w:rsidR="00385734">
        <w:t>ed</w:t>
      </w:r>
      <w:r>
        <w:t xml:space="preserve"> in the context of QR&amp;O development</w:t>
      </w:r>
      <w:r w:rsidR="00015F33">
        <w:t xml:space="preserve"> to recognize the value that is gained by sharing information on proposed changes and receiving the input and perspective of interested </w:t>
      </w:r>
      <w:r w:rsidR="00A64E85">
        <w:t>individuals</w:t>
      </w:r>
      <w:r w:rsidR="00015F33">
        <w:t xml:space="preserve"> who reside outside the pool of officials responsible for </w:t>
      </w:r>
      <w:r w:rsidR="0091030B">
        <w:t>developing and approving the</w:t>
      </w:r>
      <w:r w:rsidR="00015F33">
        <w:t xml:space="preserve"> </w:t>
      </w:r>
      <w:r w:rsidR="00A64E85">
        <w:t xml:space="preserve">actual </w:t>
      </w:r>
      <w:r w:rsidR="00015F33">
        <w:t>proposal.</w:t>
      </w:r>
      <w:r w:rsidR="00015F33">
        <w:rPr>
          <w:rStyle w:val="FootnoteReference"/>
        </w:rPr>
        <w:footnoteReference w:id="205"/>
      </w:r>
      <w:r w:rsidR="00015F33" w:rsidRPr="00015F33">
        <w:t xml:space="preserve"> </w:t>
      </w:r>
      <w:r w:rsidR="007C3A32">
        <w:t>As a further step, t</w:t>
      </w:r>
      <w:r w:rsidR="00015F33">
        <w:t xml:space="preserve">he path would also require the establishment of clear internal direction that </w:t>
      </w:r>
      <w:r w:rsidR="00AF2D82">
        <w:t xml:space="preserve">reflects a new approach </w:t>
      </w:r>
      <w:r w:rsidR="00A64E85">
        <w:t xml:space="preserve">to information sharing </w:t>
      </w:r>
      <w:r w:rsidR="00AF2D82">
        <w:t>whereby consultation</w:t>
      </w:r>
      <w:r w:rsidR="00F16751">
        <w:t xml:space="preserve"> that</w:t>
      </w:r>
      <w:r w:rsidR="007C3A32">
        <w:t xml:space="preserve"> is</w:t>
      </w:r>
      <w:r w:rsidR="0066733A">
        <w:t xml:space="preserve"> </w:t>
      </w:r>
      <w:r w:rsidR="00A64E85">
        <w:t>appropriate for each</w:t>
      </w:r>
      <w:r w:rsidR="007C3A32">
        <w:t xml:space="preserve"> proposal</w:t>
      </w:r>
      <w:r w:rsidR="00A64E85">
        <w:t xml:space="preserve"> </w:t>
      </w:r>
      <w:r w:rsidR="0066733A">
        <w:t>is undertaken as an automatic part of QR&amp;O development</w:t>
      </w:r>
      <w:r w:rsidR="00A64E85" w:rsidRPr="00A64E85">
        <w:t xml:space="preserve"> </w:t>
      </w:r>
      <w:r w:rsidR="00A64E85">
        <w:t>and reaches the appropriate pool of interest parties</w:t>
      </w:r>
      <w:r w:rsidR="0066733A">
        <w:t>.</w:t>
      </w:r>
      <w:r w:rsidR="00A64E85">
        <w:rPr>
          <w:rStyle w:val="FootnoteReference"/>
        </w:rPr>
        <w:footnoteReference w:id="206"/>
      </w:r>
      <w:r w:rsidR="0066733A">
        <w:t xml:space="preserve"> Guidelines to aide in</w:t>
      </w:r>
      <w:r w:rsidR="00482C47">
        <w:t xml:space="preserve"> the planning and conduct of </w:t>
      </w:r>
      <w:r w:rsidR="00C47727">
        <w:t xml:space="preserve">public </w:t>
      </w:r>
      <w:r w:rsidR="00482C47">
        <w:t>consultation already exist</w:t>
      </w:r>
      <w:r w:rsidR="0066733A">
        <w:t xml:space="preserve"> within the federal regulation development process</w:t>
      </w:r>
      <w:r w:rsidR="000C3B88">
        <w:t>;</w:t>
      </w:r>
      <w:r w:rsidR="00482C47">
        <w:rPr>
          <w:rStyle w:val="FootnoteReference"/>
        </w:rPr>
        <w:footnoteReference w:id="207"/>
      </w:r>
      <w:r w:rsidR="00482C47">
        <w:t xml:space="preserve"> what is missing </w:t>
      </w:r>
      <w:r w:rsidR="0066733A">
        <w:t xml:space="preserve">in relation to </w:t>
      </w:r>
      <w:r w:rsidR="0091030B">
        <w:t xml:space="preserve">the </w:t>
      </w:r>
      <w:r w:rsidR="0066733A">
        <w:t xml:space="preserve">QR&amp;O </w:t>
      </w:r>
      <w:r w:rsidR="00482C47">
        <w:t>i</w:t>
      </w:r>
      <w:r w:rsidR="000C3B88">
        <w:t xml:space="preserve">s a systemic recognition of </w:t>
      </w:r>
      <w:r w:rsidR="0066733A">
        <w:t xml:space="preserve">the </w:t>
      </w:r>
      <w:r w:rsidR="00D8281B">
        <w:t xml:space="preserve">importance and value </w:t>
      </w:r>
      <w:r w:rsidR="0066733A">
        <w:t>of consultation during</w:t>
      </w:r>
      <w:r w:rsidR="007472CA">
        <w:t xml:space="preserve"> proposal development, a requirement to </w:t>
      </w:r>
      <w:r w:rsidR="007472CA">
        <w:lastRenderedPageBreak/>
        <w:t xml:space="preserve">assess and undertake appropriate </w:t>
      </w:r>
      <w:r w:rsidR="00482C47">
        <w:t>consultation</w:t>
      </w:r>
      <w:r w:rsidR="007C3A32">
        <w:t xml:space="preserve"> for e</w:t>
      </w:r>
      <w:r w:rsidR="007472CA">
        <w:t>ach QR&amp;O proposal, and a</w:t>
      </w:r>
      <w:r w:rsidR="009319CF">
        <w:t xml:space="preserve">n effective </w:t>
      </w:r>
      <w:r w:rsidR="0066733A">
        <w:t>mechanism to</w:t>
      </w:r>
      <w:r w:rsidR="007472CA">
        <w:t xml:space="preserve"> ensure the established requirements are fulfil</w:t>
      </w:r>
      <w:r w:rsidR="008A1A36">
        <w:t xml:space="preserve">led even if they go beyond </w:t>
      </w:r>
      <w:r w:rsidR="00C47727">
        <w:t xml:space="preserve">the </w:t>
      </w:r>
      <w:r w:rsidR="008A1A36">
        <w:t>administrative expectation</w:t>
      </w:r>
      <w:r w:rsidR="009319CF">
        <w:t>s</w:t>
      </w:r>
      <w:r w:rsidR="008A1A36">
        <w:t xml:space="preserve"> and requirements</w:t>
      </w:r>
      <w:r w:rsidR="00C47727">
        <w:t xml:space="preserve"> being enforced by the TBS-RAS</w:t>
      </w:r>
      <w:r w:rsidR="00D8281B">
        <w:t>.</w:t>
      </w:r>
      <w:r w:rsidR="00482C47">
        <w:t xml:space="preserve"> </w:t>
      </w:r>
      <w:r w:rsidR="00C47727">
        <w:t>Successfully e</w:t>
      </w:r>
      <w:r w:rsidR="007C3A32">
        <w:t xml:space="preserve">ffecting the </w:t>
      </w:r>
      <w:r w:rsidR="00A64E85">
        <w:t xml:space="preserve">suggested </w:t>
      </w:r>
      <w:r w:rsidR="007C3A32">
        <w:t xml:space="preserve">changes </w:t>
      </w:r>
      <w:r w:rsidR="00C47727">
        <w:t>is</w:t>
      </w:r>
      <w:r w:rsidR="007C3A32">
        <w:t xml:space="preserve"> far easier said than done, however, considering that at present QR&amp;O dev</w:t>
      </w:r>
      <w:r w:rsidR="00D77CD7">
        <w:t xml:space="preserve">elopment </w:t>
      </w:r>
      <w:r w:rsidR="00BC40AF">
        <w:t>includes no public consultation</w:t>
      </w:r>
      <w:r w:rsidR="00EB57C4">
        <w:t>, any step</w:t>
      </w:r>
      <w:r w:rsidR="00D77CD7">
        <w:t xml:space="preserve"> taken to increase public involvement in the QR&amp;O pro</w:t>
      </w:r>
      <w:r w:rsidR="00EB57C4">
        <w:t>cess, no matter how modest, would</w:t>
      </w:r>
      <w:r w:rsidR="00D77CD7">
        <w:t xml:space="preserve"> </w:t>
      </w:r>
      <w:r w:rsidR="00F16751">
        <w:t xml:space="preserve">produce a </w:t>
      </w:r>
      <w:r w:rsidR="00D77CD7">
        <w:t>step towards greater legitimacy and transparency</w:t>
      </w:r>
      <w:r w:rsidR="009230A3">
        <w:t xml:space="preserve"> and, in turn, greater legislative quality</w:t>
      </w:r>
      <w:r w:rsidR="00D77CD7">
        <w:t>.</w:t>
      </w:r>
      <w:r w:rsidR="004A623D">
        <w:rPr>
          <w:rStyle w:val="FootnoteReference"/>
        </w:rPr>
        <w:footnoteReference w:id="208"/>
      </w:r>
      <w:r w:rsidR="00D77CD7">
        <w:t xml:space="preserve"> </w:t>
      </w:r>
      <w:r w:rsidR="007C3A32">
        <w:t xml:space="preserve">  </w:t>
      </w:r>
    </w:p>
    <w:p w:rsidR="00F67026" w:rsidRDefault="00FF16B1" w:rsidP="00F67026">
      <w:pPr>
        <w:spacing w:after="240" w:line="480" w:lineRule="auto"/>
        <w:ind w:firstLine="720"/>
      </w:pPr>
      <w:r>
        <w:t xml:space="preserve">The </w:t>
      </w:r>
      <w:r w:rsidR="00A01F20">
        <w:t xml:space="preserve">second </w:t>
      </w:r>
      <w:r w:rsidR="009230A3">
        <w:t xml:space="preserve">identified </w:t>
      </w:r>
      <w:r w:rsidR="00724A40">
        <w:t xml:space="preserve">deficiency </w:t>
      </w:r>
      <w:r w:rsidR="00896C36">
        <w:t xml:space="preserve">relates to </w:t>
      </w:r>
      <w:r w:rsidR="00080CFE">
        <w:t>the i</w:t>
      </w:r>
      <w:r>
        <w:t>nsu</w:t>
      </w:r>
      <w:r w:rsidR="0018183D">
        <w:t>fficiency of</w:t>
      </w:r>
      <w:r w:rsidR="00080CFE">
        <w:t xml:space="preserve"> </w:t>
      </w:r>
      <w:r w:rsidR="007B592D">
        <w:t>parliamentary participation</w:t>
      </w:r>
      <w:r w:rsidR="00080CFE">
        <w:t xml:space="preserve">, which </w:t>
      </w:r>
      <w:r w:rsidR="00896C36">
        <w:t xml:space="preserve">is </w:t>
      </w:r>
      <w:r w:rsidR="00A01F20">
        <w:t>also</w:t>
      </w:r>
      <w:r w:rsidR="009319CF">
        <w:t xml:space="preserve"> </w:t>
      </w:r>
      <w:r w:rsidR="00896C36">
        <w:t xml:space="preserve">relevant to </w:t>
      </w:r>
      <w:r w:rsidR="009319CF">
        <w:t xml:space="preserve">the achievement of </w:t>
      </w:r>
      <w:r w:rsidR="00A01F20">
        <w:t>democratic legitimation</w:t>
      </w:r>
      <w:r w:rsidR="00080CFE">
        <w:t>.</w:t>
      </w:r>
      <w:r w:rsidR="0018183D">
        <w:rPr>
          <w:rStyle w:val="FootnoteReference"/>
        </w:rPr>
        <w:footnoteReference w:id="209"/>
      </w:r>
      <w:r w:rsidR="00080CFE">
        <w:t xml:space="preserve"> </w:t>
      </w:r>
      <w:r w:rsidR="00C510EF">
        <w:t>While p</w:t>
      </w:r>
      <w:r w:rsidR="00C7018B">
        <w:t xml:space="preserve">arliamentary predetermination of the delegated law making power is the </w:t>
      </w:r>
      <w:r w:rsidR="00080CFE">
        <w:t>principal</w:t>
      </w:r>
      <w:r w:rsidR="009230A3">
        <w:t xml:space="preserve"> method for effecting</w:t>
      </w:r>
      <w:r w:rsidR="00C7018B">
        <w:t xml:space="preserve"> parliamentary involvement </w:t>
      </w:r>
      <w:r w:rsidR="004E1FA2">
        <w:t>a</w:t>
      </w:r>
      <w:r w:rsidR="00DF6F20">
        <w:t xml:space="preserve">nd </w:t>
      </w:r>
      <w:r w:rsidR="00C510EF">
        <w:t xml:space="preserve">achieving </w:t>
      </w:r>
      <w:r w:rsidR="00C7018B">
        <w:t>democratic legitimation</w:t>
      </w:r>
      <w:r w:rsidR="00C510EF">
        <w:t xml:space="preserve"> for </w:t>
      </w:r>
      <w:r w:rsidR="004E1FA2">
        <w:t>delegated legisl</w:t>
      </w:r>
      <w:r w:rsidR="009230A3">
        <w:t>a</w:t>
      </w:r>
      <w:r w:rsidR="00C510EF">
        <w:t xml:space="preserve">tion, </w:t>
      </w:r>
      <w:r w:rsidR="00DF6F20">
        <w:t xml:space="preserve">in the face of weak </w:t>
      </w:r>
      <w:r w:rsidR="00C510EF">
        <w:t>parliamentary pre-determination</w:t>
      </w:r>
      <w:r w:rsidR="00DF6F20">
        <w:t xml:space="preserve"> </w:t>
      </w:r>
      <w:r w:rsidR="009230A3">
        <w:t>a further</w:t>
      </w:r>
      <w:r w:rsidR="00DB5B3E">
        <w:t xml:space="preserve"> option for </w:t>
      </w:r>
      <w:r w:rsidR="00F066D6">
        <w:t xml:space="preserve">bolstering </w:t>
      </w:r>
      <w:r w:rsidR="0018183D">
        <w:t>legitimatio</w:t>
      </w:r>
      <w:r w:rsidR="004E1FA2">
        <w:t xml:space="preserve">n </w:t>
      </w:r>
      <w:r w:rsidR="00F066D6">
        <w:t xml:space="preserve">is through </w:t>
      </w:r>
      <w:r w:rsidR="0018183D">
        <w:t xml:space="preserve">retrospective parliamentary participation during the </w:t>
      </w:r>
      <w:r w:rsidR="009230A3">
        <w:t>regulation making process.</w:t>
      </w:r>
      <w:r w:rsidR="00021EE0">
        <w:rPr>
          <w:rStyle w:val="FootnoteReference"/>
        </w:rPr>
        <w:footnoteReference w:id="210"/>
      </w:r>
      <w:r>
        <w:t xml:space="preserve"> </w:t>
      </w:r>
      <w:r w:rsidR="001F63A9">
        <w:t xml:space="preserve">In the case of the QR&amp;O, </w:t>
      </w:r>
      <w:r w:rsidR="00295840">
        <w:t xml:space="preserve">there is effectively </w:t>
      </w:r>
      <w:r w:rsidR="00DF6F20">
        <w:t xml:space="preserve">no </w:t>
      </w:r>
      <w:r w:rsidR="00837982">
        <w:t xml:space="preserve">mechanism </w:t>
      </w:r>
      <w:r w:rsidR="00CE2275">
        <w:t xml:space="preserve">available </w:t>
      </w:r>
      <w:r w:rsidR="00295840">
        <w:t>for further</w:t>
      </w:r>
      <w:r w:rsidR="00DF6F20">
        <w:t xml:space="preserve"> parliamentary </w:t>
      </w:r>
      <w:r w:rsidR="00295840">
        <w:t xml:space="preserve">participation since </w:t>
      </w:r>
      <w:r w:rsidR="00837982">
        <w:t xml:space="preserve">the </w:t>
      </w:r>
      <w:r w:rsidR="00021EE0">
        <w:t>Standing Joint Committee for the Scrutiny of Regulations</w:t>
      </w:r>
      <w:r w:rsidR="00837982">
        <w:t xml:space="preserve"> does not currently conduct</w:t>
      </w:r>
      <w:r w:rsidR="00924BB3">
        <w:t xml:space="preserve"> </w:t>
      </w:r>
      <w:r w:rsidR="00924BB3" w:rsidRPr="00924BB3">
        <w:rPr>
          <w:i/>
        </w:rPr>
        <w:t>ex post facto</w:t>
      </w:r>
      <w:r w:rsidR="00924BB3">
        <w:t xml:space="preserve"> review</w:t>
      </w:r>
      <w:r w:rsidR="00837982">
        <w:t>s</w:t>
      </w:r>
      <w:r w:rsidR="00924BB3">
        <w:t xml:space="preserve"> </w:t>
      </w:r>
      <w:r w:rsidR="00DF6F20">
        <w:t>of</w:t>
      </w:r>
      <w:r w:rsidR="00837982">
        <w:t xml:space="preserve"> the QR&amp;O despite having the statutory authority to do so.</w:t>
      </w:r>
      <w:r w:rsidR="00021EE0">
        <w:rPr>
          <w:rStyle w:val="FootnoteReference"/>
        </w:rPr>
        <w:footnoteReference w:id="211"/>
      </w:r>
      <w:r w:rsidR="00924BB3">
        <w:t xml:space="preserve"> </w:t>
      </w:r>
      <w:r w:rsidR="00837982">
        <w:t xml:space="preserve">Short of seeking </w:t>
      </w:r>
      <w:r w:rsidR="00295840">
        <w:t xml:space="preserve">an amendment to section 12 </w:t>
      </w:r>
      <w:r w:rsidR="00A20D73">
        <w:t>of the NDA t</w:t>
      </w:r>
      <w:r w:rsidR="00295840">
        <w:t xml:space="preserve">o either </w:t>
      </w:r>
      <w:r w:rsidR="00233F4A">
        <w:t xml:space="preserve">add </w:t>
      </w:r>
      <w:r w:rsidR="00295840">
        <w:t xml:space="preserve">the necessary </w:t>
      </w:r>
      <w:r w:rsidR="00837982">
        <w:t xml:space="preserve">specificity </w:t>
      </w:r>
      <w:r w:rsidR="00D611D3">
        <w:t>or require other measures for parliamentary involvement</w:t>
      </w:r>
      <w:r w:rsidR="00837982">
        <w:t xml:space="preserve">, </w:t>
      </w:r>
      <w:r w:rsidR="00233F4A">
        <w:t xml:space="preserve">the most obvious option for addressing </w:t>
      </w:r>
      <w:r w:rsidR="00D611D3">
        <w:t xml:space="preserve">the </w:t>
      </w:r>
      <w:r w:rsidR="00295840">
        <w:t xml:space="preserve">deficiency </w:t>
      </w:r>
      <w:r w:rsidR="00CE2275">
        <w:t xml:space="preserve">within the existing legal framework </w:t>
      </w:r>
      <w:r w:rsidR="00233F4A">
        <w:t xml:space="preserve">would </w:t>
      </w:r>
      <w:r w:rsidR="00CE2275">
        <w:t xml:space="preserve">involve </w:t>
      </w:r>
      <w:r w:rsidR="00233F4A">
        <w:t xml:space="preserve">the Minister </w:t>
      </w:r>
      <w:r w:rsidR="00CE2275">
        <w:t xml:space="preserve">making a </w:t>
      </w:r>
      <w:r w:rsidR="00233F4A">
        <w:t xml:space="preserve">request </w:t>
      </w:r>
      <w:r w:rsidR="00CE2275">
        <w:t xml:space="preserve">to </w:t>
      </w:r>
      <w:r w:rsidR="00EB4307">
        <w:t xml:space="preserve">the Committee </w:t>
      </w:r>
      <w:r w:rsidR="00CE2275">
        <w:t xml:space="preserve">to </w:t>
      </w:r>
      <w:r w:rsidR="00D611D3">
        <w:t xml:space="preserve">exercise </w:t>
      </w:r>
      <w:r w:rsidR="00295840">
        <w:t>its existing</w:t>
      </w:r>
      <w:r w:rsidR="00233F4A">
        <w:t xml:space="preserve"> </w:t>
      </w:r>
      <w:r w:rsidR="00D611D3">
        <w:t xml:space="preserve">authority </w:t>
      </w:r>
      <w:r w:rsidR="00C510EF">
        <w:t>and proceed to</w:t>
      </w:r>
      <w:r w:rsidR="00295840">
        <w:t xml:space="preserve"> review</w:t>
      </w:r>
      <w:r w:rsidR="00233F4A">
        <w:t xml:space="preserve"> the </w:t>
      </w:r>
      <w:r w:rsidR="00D611D3">
        <w:t>QR&amp;O.</w:t>
      </w:r>
      <w:r w:rsidR="00A20D73">
        <w:rPr>
          <w:rStyle w:val="FootnoteReference"/>
        </w:rPr>
        <w:footnoteReference w:id="212"/>
      </w:r>
      <w:r w:rsidR="00D611D3">
        <w:t xml:space="preserve"> </w:t>
      </w:r>
      <w:r w:rsidR="00295840">
        <w:t xml:space="preserve">On its own or in </w:t>
      </w:r>
      <w:r w:rsidR="00233F4A">
        <w:t xml:space="preserve">concert </w:t>
      </w:r>
      <w:r w:rsidR="00233F4A">
        <w:lastRenderedPageBreak/>
        <w:t xml:space="preserve">with any </w:t>
      </w:r>
      <w:r w:rsidR="00295840">
        <w:t>steps undertaken to increase</w:t>
      </w:r>
      <w:r w:rsidR="00233F4A">
        <w:t xml:space="preserve"> </w:t>
      </w:r>
      <w:r w:rsidR="00D611D3">
        <w:t xml:space="preserve">public </w:t>
      </w:r>
      <w:r w:rsidR="00233F4A">
        <w:t xml:space="preserve">involvement </w:t>
      </w:r>
      <w:r w:rsidR="009230A3">
        <w:t>in QR&amp;O development, having the Committee conduct a retrospective review of the QR&amp;O</w:t>
      </w:r>
      <w:r w:rsidR="00233F4A">
        <w:t xml:space="preserve"> would </w:t>
      </w:r>
      <w:r w:rsidR="009230A3">
        <w:t xml:space="preserve">provide a positive step towards achieving sufficient </w:t>
      </w:r>
      <w:r w:rsidR="00233F4A">
        <w:t>democratic legitimation</w:t>
      </w:r>
      <w:r w:rsidR="00446488">
        <w:t xml:space="preserve"> for the QR&amp;O</w:t>
      </w:r>
      <w:r w:rsidR="004745EB">
        <w:t xml:space="preserve"> and, in turn, increasing its quality of legislation</w:t>
      </w:r>
      <w:r w:rsidR="000E7012">
        <w:t>.</w:t>
      </w:r>
      <w:r w:rsidR="00A20D73">
        <w:rPr>
          <w:rStyle w:val="FootnoteReference"/>
        </w:rPr>
        <w:footnoteReference w:id="213"/>
      </w:r>
    </w:p>
    <w:p w:rsidR="00F67026" w:rsidRDefault="00F67026" w:rsidP="00923F2C">
      <w:pPr>
        <w:spacing w:after="240" w:line="480" w:lineRule="auto"/>
        <w:ind w:firstLine="720"/>
        <w:rPr>
          <w:rFonts w:cs="Verdana"/>
          <w:szCs w:val="26"/>
        </w:rPr>
      </w:pPr>
      <w:r>
        <w:t xml:space="preserve">The final deficiency identified is the insufficient accessibility of the QR&amp;O, which </w:t>
      </w:r>
      <w:r w:rsidR="00233F4A">
        <w:t xml:space="preserve">bears </w:t>
      </w:r>
      <w:r>
        <w:t xml:space="preserve">a direct impact on the QR&amp;O’s </w:t>
      </w:r>
      <w:r w:rsidR="00DA2B67">
        <w:t>achievement of</w:t>
      </w:r>
      <w:r w:rsidR="00233F4A">
        <w:t xml:space="preserve"> legal certainty and can be attribut</w:t>
      </w:r>
      <w:r>
        <w:t>e</w:t>
      </w:r>
      <w:r w:rsidR="00233F4A">
        <w:t>d</w:t>
      </w:r>
      <w:r>
        <w:t xml:space="preserve"> to two matters. </w:t>
      </w:r>
      <w:r w:rsidR="00DC72FD">
        <w:rPr>
          <w:rFonts w:cs="Verdana"/>
          <w:szCs w:val="26"/>
        </w:rPr>
        <w:t>The</w:t>
      </w:r>
      <w:r>
        <w:rPr>
          <w:rFonts w:cs="Verdana"/>
          <w:szCs w:val="26"/>
        </w:rPr>
        <w:t xml:space="preserve"> more critical </w:t>
      </w:r>
      <w:r w:rsidR="00DC72FD">
        <w:rPr>
          <w:rFonts w:cs="Verdana"/>
          <w:szCs w:val="26"/>
        </w:rPr>
        <w:t xml:space="preserve">matter </w:t>
      </w:r>
      <w:r>
        <w:rPr>
          <w:rFonts w:cs="Verdana"/>
          <w:szCs w:val="26"/>
        </w:rPr>
        <w:t xml:space="preserve">arises from the delay in the official publication of QR&amp;O changes on the Defence website, which </w:t>
      </w:r>
      <w:r w:rsidR="00CE3B9E">
        <w:rPr>
          <w:rFonts w:cs="Verdana"/>
          <w:szCs w:val="26"/>
        </w:rPr>
        <w:t>during</w:t>
      </w:r>
      <w:r>
        <w:rPr>
          <w:rFonts w:cs="Verdana"/>
          <w:szCs w:val="26"/>
        </w:rPr>
        <w:t xml:space="preserve"> the period of the delay</w:t>
      </w:r>
      <w:r w:rsidR="00DC72FD">
        <w:rPr>
          <w:rFonts w:cs="Verdana"/>
          <w:szCs w:val="26"/>
        </w:rPr>
        <w:t>,</w:t>
      </w:r>
      <w:r>
        <w:rPr>
          <w:rFonts w:cs="Verdana"/>
          <w:szCs w:val="26"/>
        </w:rPr>
        <w:t xml:space="preserve"> makes the </w:t>
      </w:r>
      <w:r w:rsidR="00DA2B67">
        <w:rPr>
          <w:rFonts w:cs="Verdana"/>
          <w:szCs w:val="26"/>
        </w:rPr>
        <w:t xml:space="preserve">most </w:t>
      </w:r>
      <w:r>
        <w:rPr>
          <w:rFonts w:cs="Verdana"/>
          <w:szCs w:val="26"/>
        </w:rPr>
        <w:t xml:space="preserve">current </w:t>
      </w:r>
      <w:r w:rsidR="00CE3B9E">
        <w:rPr>
          <w:rFonts w:cs="Verdana"/>
          <w:szCs w:val="26"/>
        </w:rPr>
        <w:t xml:space="preserve">version of the </w:t>
      </w:r>
      <w:r>
        <w:rPr>
          <w:rFonts w:cs="Verdana"/>
          <w:szCs w:val="26"/>
        </w:rPr>
        <w:t>QR&amp;O inaccessible to all.</w:t>
      </w:r>
      <w:r>
        <w:rPr>
          <w:rStyle w:val="FootnoteReference"/>
          <w:rFonts w:cs="Verdana"/>
          <w:szCs w:val="26"/>
        </w:rPr>
        <w:footnoteReference w:id="214"/>
      </w:r>
      <w:r w:rsidR="00DC72FD">
        <w:rPr>
          <w:rFonts w:cs="Verdana"/>
          <w:szCs w:val="26"/>
        </w:rPr>
        <w:t xml:space="preserve"> The effect of this inaccessibility is</w:t>
      </w:r>
      <w:r>
        <w:rPr>
          <w:rFonts w:cs="Verdana"/>
          <w:szCs w:val="26"/>
        </w:rPr>
        <w:t xml:space="preserve"> compounded by the lack of information provided </w:t>
      </w:r>
      <w:r w:rsidR="00DC72FD">
        <w:rPr>
          <w:rFonts w:cs="Verdana"/>
          <w:szCs w:val="26"/>
        </w:rPr>
        <w:t xml:space="preserve">to identify </w:t>
      </w:r>
      <w:r>
        <w:rPr>
          <w:rFonts w:cs="Verdana"/>
          <w:szCs w:val="26"/>
        </w:rPr>
        <w:t xml:space="preserve">the </w:t>
      </w:r>
      <w:r w:rsidR="00CE3B9E">
        <w:rPr>
          <w:rFonts w:cs="Verdana"/>
          <w:szCs w:val="26"/>
        </w:rPr>
        <w:t xml:space="preserve">affected QR&amp;O, which </w:t>
      </w:r>
      <w:r>
        <w:rPr>
          <w:rFonts w:cs="Verdana"/>
          <w:szCs w:val="26"/>
        </w:rPr>
        <w:t xml:space="preserve">together </w:t>
      </w:r>
      <w:r w:rsidR="0038017D">
        <w:rPr>
          <w:rFonts w:cs="Verdana"/>
          <w:szCs w:val="26"/>
        </w:rPr>
        <w:t xml:space="preserve">impair predictability and </w:t>
      </w:r>
      <w:r>
        <w:rPr>
          <w:rFonts w:cs="Verdana"/>
          <w:szCs w:val="26"/>
        </w:rPr>
        <w:t xml:space="preserve">certainty </w:t>
      </w:r>
      <w:r w:rsidR="00CE3B9E">
        <w:rPr>
          <w:rFonts w:cs="Verdana"/>
          <w:szCs w:val="26"/>
        </w:rPr>
        <w:t xml:space="preserve">regarding </w:t>
      </w:r>
      <w:r>
        <w:rPr>
          <w:rFonts w:cs="Verdana"/>
          <w:szCs w:val="26"/>
        </w:rPr>
        <w:t xml:space="preserve">the currency of the individual QR&amp;O articles </w:t>
      </w:r>
      <w:r w:rsidR="00CE3B9E">
        <w:rPr>
          <w:rFonts w:cs="Verdana"/>
          <w:szCs w:val="26"/>
        </w:rPr>
        <w:t xml:space="preserve">as well as the </w:t>
      </w:r>
      <w:r>
        <w:rPr>
          <w:rFonts w:cs="Verdana"/>
          <w:szCs w:val="26"/>
        </w:rPr>
        <w:t>state of the law more generally.</w:t>
      </w:r>
      <w:r w:rsidR="0038017D">
        <w:rPr>
          <w:rStyle w:val="FootnoteReference"/>
          <w:rFonts w:cs="Verdana"/>
          <w:szCs w:val="26"/>
        </w:rPr>
        <w:footnoteReference w:id="215"/>
      </w:r>
      <w:r>
        <w:rPr>
          <w:rFonts w:cs="Verdana"/>
          <w:szCs w:val="26"/>
        </w:rPr>
        <w:t xml:space="preserve"> The obvious option f</w:t>
      </w:r>
      <w:r w:rsidR="00CE3B9E">
        <w:rPr>
          <w:rFonts w:cs="Verdana"/>
          <w:szCs w:val="26"/>
        </w:rPr>
        <w:t xml:space="preserve">or addressing this matter </w:t>
      </w:r>
      <w:r>
        <w:rPr>
          <w:rFonts w:cs="Verdana"/>
          <w:szCs w:val="26"/>
        </w:rPr>
        <w:t>would be to elimi</w:t>
      </w:r>
      <w:r w:rsidR="00983889">
        <w:rPr>
          <w:rFonts w:cs="Verdana"/>
          <w:szCs w:val="26"/>
        </w:rPr>
        <w:t xml:space="preserve">nate the publication delay, or </w:t>
      </w:r>
      <w:r>
        <w:rPr>
          <w:rFonts w:cs="Verdana"/>
          <w:szCs w:val="26"/>
        </w:rPr>
        <w:t>if this could not be done</w:t>
      </w:r>
      <w:r w:rsidR="00DC72FD">
        <w:rPr>
          <w:rFonts w:cs="Verdana"/>
          <w:szCs w:val="26"/>
        </w:rPr>
        <w:t>,</w:t>
      </w:r>
      <w:r>
        <w:rPr>
          <w:rFonts w:cs="Verdana"/>
          <w:szCs w:val="26"/>
        </w:rPr>
        <w:t xml:space="preserve"> to </w:t>
      </w:r>
      <w:r w:rsidR="00983889">
        <w:rPr>
          <w:rFonts w:cs="Verdana"/>
          <w:szCs w:val="26"/>
        </w:rPr>
        <w:t>mitigate the uncertainty by</w:t>
      </w:r>
      <w:r w:rsidR="00860440">
        <w:rPr>
          <w:rFonts w:cs="Verdana"/>
          <w:szCs w:val="26"/>
        </w:rPr>
        <w:t xml:space="preserve"> providing </w:t>
      </w:r>
      <w:r w:rsidR="00A20D73">
        <w:rPr>
          <w:rFonts w:cs="Verdana"/>
          <w:szCs w:val="26"/>
        </w:rPr>
        <w:t xml:space="preserve">public </w:t>
      </w:r>
      <w:r w:rsidR="00860440">
        <w:rPr>
          <w:rFonts w:cs="Verdana"/>
          <w:szCs w:val="26"/>
        </w:rPr>
        <w:t xml:space="preserve">notice of all </w:t>
      </w:r>
      <w:r>
        <w:rPr>
          <w:rFonts w:cs="Verdana"/>
          <w:szCs w:val="26"/>
        </w:rPr>
        <w:t xml:space="preserve">articles that </w:t>
      </w:r>
      <w:r w:rsidR="00860440">
        <w:rPr>
          <w:rFonts w:cs="Verdana"/>
          <w:szCs w:val="26"/>
        </w:rPr>
        <w:t>are subject to an unpublished amendment</w:t>
      </w:r>
      <w:r>
        <w:rPr>
          <w:rFonts w:cs="Verdana"/>
          <w:szCs w:val="26"/>
        </w:rPr>
        <w:t>.</w:t>
      </w:r>
      <w:r w:rsidR="00860440">
        <w:rPr>
          <w:rStyle w:val="FootnoteReference"/>
          <w:rFonts w:cs="Verdana"/>
          <w:szCs w:val="26"/>
        </w:rPr>
        <w:footnoteReference w:id="216"/>
      </w:r>
      <w:r>
        <w:rPr>
          <w:rFonts w:cs="Verdana"/>
          <w:szCs w:val="26"/>
        </w:rPr>
        <w:t xml:space="preserve"> A further option that would elimi</w:t>
      </w:r>
      <w:r w:rsidR="00DC72FD">
        <w:rPr>
          <w:rFonts w:cs="Verdana"/>
          <w:szCs w:val="26"/>
        </w:rPr>
        <w:t xml:space="preserve">nate the effect of the delay would be to tie </w:t>
      </w:r>
      <w:r>
        <w:rPr>
          <w:rFonts w:cs="Verdana"/>
          <w:szCs w:val="26"/>
        </w:rPr>
        <w:t>the effective date for QR&amp;O changes to the date of publication.</w:t>
      </w:r>
      <w:r>
        <w:rPr>
          <w:rStyle w:val="FootnoteReference"/>
          <w:rFonts w:cs="Verdana"/>
          <w:szCs w:val="26"/>
        </w:rPr>
        <w:footnoteReference w:id="217"/>
      </w:r>
      <w:r>
        <w:rPr>
          <w:rFonts w:cs="Verdana"/>
          <w:szCs w:val="26"/>
        </w:rPr>
        <w:t xml:space="preserve"> While this option would not eliminate the delay</w:t>
      </w:r>
      <w:r w:rsidR="00DC72FD">
        <w:rPr>
          <w:rFonts w:cs="Verdana"/>
          <w:szCs w:val="26"/>
        </w:rPr>
        <w:t xml:space="preserve"> itself</w:t>
      </w:r>
      <w:r>
        <w:rPr>
          <w:rFonts w:cs="Verdana"/>
          <w:szCs w:val="26"/>
        </w:rPr>
        <w:t xml:space="preserve">, it would </w:t>
      </w:r>
      <w:r w:rsidR="00DC72FD">
        <w:rPr>
          <w:rFonts w:cs="Verdana"/>
          <w:szCs w:val="26"/>
        </w:rPr>
        <w:t xml:space="preserve">largely </w:t>
      </w:r>
      <w:r w:rsidR="0038017D">
        <w:rPr>
          <w:rFonts w:cs="Verdana"/>
          <w:szCs w:val="26"/>
        </w:rPr>
        <w:t>address its negative effects on</w:t>
      </w:r>
      <w:r>
        <w:rPr>
          <w:rFonts w:cs="Verdana"/>
          <w:szCs w:val="26"/>
        </w:rPr>
        <w:t xml:space="preserve"> accessibility and legal certainty</w:t>
      </w:r>
      <w:r w:rsidR="00ED455B">
        <w:rPr>
          <w:rFonts w:cs="Verdana"/>
          <w:szCs w:val="26"/>
        </w:rPr>
        <w:t xml:space="preserve"> by ensu</w:t>
      </w:r>
      <w:r w:rsidR="00CE2275">
        <w:rPr>
          <w:rFonts w:cs="Verdana"/>
          <w:szCs w:val="26"/>
        </w:rPr>
        <w:t>ring that</w:t>
      </w:r>
      <w:r w:rsidR="00ED455B">
        <w:rPr>
          <w:rFonts w:cs="Verdana"/>
          <w:szCs w:val="26"/>
        </w:rPr>
        <w:t xml:space="preserve"> regulatory</w:t>
      </w:r>
      <w:r w:rsidR="00DC72FD">
        <w:rPr>
          <w:rFonts w:cs="Verdana"/>
          <w:szCs w:val="26"/>
        </w:rPr>
        <w:t xml:space="preserve"> change is </w:t>
      </w:r>
      <w:r w:rsidR="00ED455B">
        <w:rPr>
          <w:rFonts w:cs="Verdana"/>
          <w:szCs w:val="26"/>
        </w:rPr>
        <w:t>only in effect once it is accessible.</w:t>
      </w:r>
      <w:r w:rsidR="00860440">
        <w:rPr>
          <w:rStyle w:val="FootnoteReference"/>
          <w:rFonts w:cs="Verdana"/>
          <w:szCs w:val="26"/>
        </w:rPr>
        <w:footnoteReference w:id="218"/>
      </w:r>
      <w:r w:rsidR="00ED455B">
        <w:rPr>
          <w:rFonts w:cs="Verdana"/>
          <w:szCs w:val="26"/>
        </w:rPr>
        <w:t xml:space="preserve"> </w:t>
      </w:r>
      <w:r>
        <w:rPr>
          <w:rFonts w:cs="Verdana"/>
          <w:szCs w:val="26"/>
        </w:rPr>
        <w:t xml:space="preserve"> </w:t>
      </w:r>
      <w:r>
        <w:t xml:space="preserve">The second matter involves the exclusion of </w:t>
      </w:r>
      <w:r>
        <w:rPr>
          <w:rFonts w:cs="Verdana"/>
          <w:szCs w:val="26"/>
        </w:rPr>
        <w:t xml:space="preserve">the small group of individuals </w:t>
      </w:r>
      <w:r w:rsidR="00860440">
        <w:t>from the existing notification and publication framework for the QR&amp;O</w:t>
      </w:r>
      <w:r w:rsidR="00860440">
        <w:rPr>
          <w:rFonts w:cs="Verdana"/>
          <w:szCs w:val="26"/>
        </w:rPr>
        <w:t xml:space="preserve"> who are subject to </w:t>
      </w:r>
      <w:r w:rsidR="00860440">
        <w:rPr>
          <w:rFonts w:cs="Verdana"/>
          <w:szCs w:val="26"/>
        </w:rPr>
        <w:lastRenderedPageBreak/>
        <w:t>the QR&amp;O while</w:t>
      </w:r>
      <w:r>
        <w:rPr>
          <w:rFonts w:cs="Verdana"/>
          <w:szCs w:val="26"/>
        </w:rPr>
        <w:t xml:space="preserve"> not members of the CAF</w:t>
      </w:r>
      <w:r>
        <w:t>.</w:t>
      </w:r>
      <w:r w:rsidR="00342157">
        <w:rPr>
          <w:rStyle w:val="FootnoteReference"/>
        </w:rPr>
        <w:footnoteReference w:id="219"/>
      </w:r>
      <w:r>
        <w:t xml:space="preserve"> This exclusion </w:t>
      </w:r>
      <w:r>
        <w:rPr>
          <w:rFonts w:cs="Verdana"/>
          <w:szCs w:val="26"/>
        </w:rPr>
        <w:t xml:space="preserve">creates a notification gap, which in turn affects </w:t>
      </w:r>
      <w:r w:rsidR="00342157">
        <w:rPr>
          <w:rFonts w:cs="Verdana"/>
          <w:szCs w:val="26"/>
        </w:rPr>
        <w:t>the accessibility of the QR&amp;O for</w:t>
      </w:r>
      <w:r>
        <w:rPr>
          <w:rFonts w:cs="Verdana"/>
          <w:szCs w:val="26"/>
        </w:rPr>
        <w:t xml:space="preserve"> </w:t>
      </w:r>
      <w:r w:rsidR="00DC72FD">
        <w:rPr>
          <w:rFonts w:cs="Verdana"/>
          <w:szCs w:val="26"/>
        </w:rPr>
        <w:t>t</w:t>
      </w:r>
      <w:r>
        <w:rPr>
          <w:rFonts w:cs="Verdana"/>
          <w:szCs w:val="26"/>
        </w:rPr>
        <w:t xml:space="preserve">hose </w:t>
      </w:r>
      <w:r w:rsidR="00A20D73">
        <w:rPr>
          <w:rFonts w:cs="Verdana"/>
          <w:szCs w:val="26"/>
        </w:rPr>
        <w:t xml:space="preserve">in this </w:t>
      </w:r>
      <w:r>
        <w:rPr>
          <w:rFonts w:cs="Verdana"/>
          <w:szCs w:val="26"/>
        </w:rPr>
        <w:t>group.</w:t>
      </w:r>
      <w:r w:rsidR="00E65E42">
        <w:rPr>
          <w:rStyle w:val="FootnoteReference"/>
          <w:rFonts w:cs="Verdana"/>
          <w:szCs w:val="26"/>
        </w:rPr>
        <w:footnoteReference w:id="220"/>
      </w:r>
      <w:r>
        <w:rPr>
          <w:rFonts w:cs="Verdana"/>
          <w:szCs w:val="26"/>
        </w:rPr>
        <w:t xml:space="preserve"> While the practical impact may be small given the relative size of the affected group and the existing mitigation opportunities,</w:t>
      </w:r>
      <w:r>
        <w:rPr>
          <w:rStyle w:val="FootnoteReference"/>
          <w:rFonts w:cs="Verdana"/>
          <w:szCs w:val="26"/>
        </w:rPr>
        <w:footnoteReference w:id="221"/>
      </w:r>
      <w:r>
        <w:rPr>
          <w:rFonts w:cs="Verdana"/>
          <w:szCs w:val="26"/>
        </w:rPr>
        <w:t xml:space="preserve"> </w:t>
      </w:r>
      <w:r w:rsidR="00342157">
        <w:rPr>
          <w:rFonts w:cs="Verdana"/>
          <w:szCs w:val="26"/>
        </w:rPr>
        <w:t xml:space="preserve">the deficiency in accessibility would </w:t>
      </w:r>
      <w:r>
        <w:rPr>
          <w:rFonts w:cs="Verdana"/>
          <w:szCs w:val="26"/>
        </w:rPr>
        <w:t>be effectively elimi</w:t>
      </w:r>
      <w:r w:rsidR="00EB57C4">
        <w:rPr>
          <w:rFonts w:cs="Verdana"/>
          <w:szCs w:val="26"/>
        </w:rPr>
        <w:t>nated</w:t>
      </w:r>
      <w:r w:rsidR="00DC72FD">
        <w:rPr>
          <w:rFonts w:cs="Verdana"/>
          <w:szCs w:val="26"/>
        </w:rPr>
        <w:t xml:space="preserve"> </w:t>
      </w:r>
      <w:r>
        <w:rPr>
          <w:rFonts w:cs="Verdana"/>
          <w:szCs w:val="26"/>
        </w:rPr>
        <w:t>by simply expanding the responsibili</w:t>
      </w:r>
      <w:r w:rsidR="00342157">
        <w:rPr>
          <w:rFonts w:cs="Verdana"/>
          <w:szCs w:val="26"/>
        </w:rPr>
        <w:t>ty that</w:t>
      </w:r>
      <w:r w:rsidR="00DC72FD">
        <w:rPr>
          <w:rFonts w:cs="Verdana"/>
          <w:szCs w:val="26"/>
        </w:rPr>
        <w:t xml:space="preserve"> </w:t>
      </w:r>
      <w:r w:rsidR="00EB57C4">
        <w:rPr>
          <w:rFonts w:cs="Verdana"/>
          <w:szCs w:val="26"/>
        </w:rPr>
        <w:t xml:space="preserve">presently </w:t>
      </w:r>
      <w:r w:rsidR="00DC72FD">
        <w:rPr>
          <w:rFonts w:cs="Verdana"/>
          <w:szCs w:val="26"/>
        </w:rPr>
        <w:t xml:space="preserve">resides with </w:t>
      </w:r>
      <w:r>
        <w:rPr>
          <w:rFonts w:cs="Verdana"/>
          <w:szCs w:val="26"/>
        </w:rPr>
        <w:t xml:space="preserve">commanding officers </w:t>
      </w:r>
      <w:r w:rsidR="00CE2275">
        <w:rPr>
          <w:rFonts w:cs="Verdana"/>
          <w:szCs w:val="26"/>
        </w:rPr>
        <w:t xml:space="preserve">for </w:t>
      </w:r>
      <w:r>
        <w:rPr>
          <w:rFonts w:cs="Verdana"/>
          <w:szCs w:val="26"/>
        </w:rPr>
        <w:t>ensur</w:t>
      </w:r>
      <w:r w:rsidR="00CE2275">
        <w:rPr>
          <w:rFonts w:cs="Verdana"/>
          <w:szCs w:val="26"/>
        </w:rPr>
        <w:t xml:space="preserve">ing </w:t>
      </w:r>
      <w:r>
        <w:rPr>
          <w:rFonts w:cs="Verdana"/>
          <w:szCs w:val="26"/>
        </w:rPr>
        <w:t xml:space="preserve">the QR&amp;O are reasonably accessible to the CAF members serving on their establishments to include </w:t>
      </w:r>
      <w:r w:rsidR="00342157">
        <w:rPr>
          <w:rFonts w:cs="Verdana"/>
          <w:szCs w:val="26"/>
        </w:rPr>
        <w:t xml:space="preserve">any other </w:t>
      </w:r>
      <w:r>
        <w:rPr>
          <w:rFonts w:cs="Verdana"/>
          <w:szCs w:val="26"/>
        </w:rPr>
        <w:t>individuals who are subject to the QR&amp;O and supported by that establishment.</w:t>
      </w:r>
      <w:r>
        <w:rPr>
          <w:rStyle w:val="FootnoteReference"/>
          <w:rFonts w:cs="Verdana"/>
          <w:szCs w:val="26"/>
        </w:rPr>
        <w:footnoteReference w:id="222"/>
      </w:r>
      <w:r>
        <w:rPr>
          <w:rFonts w:cs="Verdana"/>
          <w:szCs w:val="26"/>
        </w:rPr>
        <w:t xml:space="preserve"> </w:t>
      </w:r>
      <w:r w:rsidR="00565656">
        <w:rPr>
          <w:rFonts w:cs="Verdana"/>
          <w:szCs w:val="26"/>
        </w:rPr>
        <w:t xml:space="preserve">Together, these measures would address the principal accessibility issues </w:t>
      </w:r>
      <w:r w:rsidR="00EB57C4">
        <w:rPr>
          <w:rFonts w:cs="Verdana"/>
          <w:szCs w:val="26"/>
        </w:rPr>
        <w:t xml:space="preserve">that </w:t>
      </w:r>
      <w:r w:rsidR="000771FB">
        <w:rPr>
          <w:rFonts w:cs="Verdana"/>
          <w:szCs w:val="26"/>
        </w:rPr>
        <w:t xml:space="preserve">function to </w:t>
      </w:r>
      <w:r w:rsidR="00EB57C4">
        <w:rPr>
          <w:rFonts w:cs="Verdana"/>
          <w:szCs w:val="26"/>
        </w:rPr>
        <w:t xml:space="preserve">impair the legal certainty of </w:t>
      </w:r>
      <w:r w:rsidR="00342157">
        <w:rPr>
          <w:rFonts w:cs="Verdana"/>
          <w:szCs w:val="26"/>
        </w:rPr>
        <w:t>the QR&amp;O</w:t>
      </w:r>
      <w:r w:rsidR="00565656">
        <w:rPr>
          <w:rFonts w:cs="Verdana"/>
          <w:szCs w:val="26"/>
        </w:rPr>
        <w:t>.</w:t>
      </w:r>
      <w:r w:rsidR="00A20D73">
        <w:rPr>
          <w:rStyle w:val="FootnoteReference"/>
          <w:rFonts w:cs="Verdana"/>
          <w:szCs w:val="26"/>
        </w:rPr>
        <w:footnoteReference w:id="223"/>
      </w:r>
    </w:p>
    <w:p w:rsidR="00A334E7" w:rsidRDefault="00D534CA" w:rsidP="00A334E7">
      <w:pPr>
        <w:spacing w:after="240" w:line="480" w:lineRule="auto"/>
        <w:ind w:firstLine="720"/>
      </w:pPr>
      <w:r>
        <w:t xml:space="preserve">In conclusion, </w:t>
      </w:r>
      <w:r w:rsidR="003E504A">
        <w:t xml:space="preserve">the concept of quality legislation </w:t>
      </w:r>
      <w:r w:rsidR="00F0185B">
        <w:t xml:space="preserve">is multifaceted and </w:t>
      </w:r>
      <w:r w:rsidR="003E504A">
        <w:t xml:space="preserve">brings together </w:t>
      </w:r>
      <w:r w:rsidR="00342157">
        <w:t>a number of</w:t>
      </w:r>
      <w:r w:rsidR="003E504A">
        <w:t xml:space="preserve"> ele</w:t>
      </w:r>
      <w:r w:rsidR="00F0185B">
        <w:t>ments that relate to h</w:t>
      </w:r>
      <w:r w:rsidR="004745EB">
        <w:t xml:space="preserve">ow a legislative instrument is </w:t>
      </w:r>
      <w:r w:rsidR="003E504A">
        <w:t xml:space="preserve">drafted, how well it achieves its legislative purpose as well as the legal framework in which it </w:t>
      </w:r>
      <w:r w:rsidR="000B638D">
        <w:t>i</w:t>
      </w:r>
      <w:r w:rsidR="003E504A">
        <w:t>s made and exists.</w:t>
      </w:r>
      <w:r w:rsidR="00B9438B">
        <w:rPr>
          <w:rStyle w:val="FootnoteReference"/>
        </w:rPr>
        <w:footnoteReference w:id="224"/>
      </w:r>
      <w:r w:rsidR="003E504A">
        <w:t xml:space="preserve"> </w:t>
      </w:r>
      <w:r w:rsidR="003E5AC4">
        <w:t>When considered in the context of the l</w:t>
      </w:r>
      <w:r w:rsidR="003E504A">
        <w:t>egal criteria for quality legislation, that is to say, democratic legitimation</w:t>
      </w:r>
      <w:r w:rsidR="00BE49D2">
        <w:t>,</w:t>
      </w:r>
      <w:r w:rsidR="003E504A">
        <w:t xml:space="preserve"> subsidiary and proportionality, </w:t>
      </w:r>
      <w:r w:rsidR="00641E16">
        <w:t>legal security</w:t>
      </w:r>
      <w:r w:rsidR="00BE49D2">
        <w:t xml:space="preserve">/certainty and transparency of the legislative process, this </w:t>
      </w:r>
      <w:r w:rsidR="009B58D8">
        <w:t>dissertation</w:t>
      </w:r>
      <w:r w:rsidR="0009148A">
        <w:t xml:space="preserve"> demonstrates that the legislative quality of the QR&amp;O is weak. </w:t>
      </w:r>
      <w:r w:rsidR="003E5AC4">
        <w:t xml:space="preserve">While this result and the deficiencies identified in the </w:t>
      </w:r>
      <w:r w:rsidR="00E65E42">
        <w:t>QR&amp;O</w:t>
      </w:r>
      <w:r w:rsidR="003E5AC4">
        <w:t>’s</w:t>
      </w:r>
      <w:r w:rsidR="00BE49D2">
        <w:t xml:space="preserve"> legal framework and development process </w:t>
      </w:r>
      <w:r w:rsidR="00B9438B">
        <w:t xml:space="preserve">that </w:t>
      </w:r>
      <w:r w:rsidR="000B07FE">
        <w:t>underlie it</w:t>
      </w:r>
      <w:r w:rsidR="003E5AC4">
        <w:t xml:space="preserve"> are concerning, it has been shown through the options identified </w:t>
      </w:r>
      <w:r w:rsidR="00A21E58">
        <w:t>for</w:t>
      </w:r>
      <w:r w:rsidR="005D194A">
        <w:t xml:space="preserve"> addressing these deficiencies</w:t>
      </w:r>
      <w:r w:rsidR="003E5AC4">
        <w:t xml:space="preserve"> that </w:t>
      </w:r>
      <w:r w:rsidR="000B638D">
        <w:t xml:space="preserve">the majority of the changes </w:t>
      </w:r>
      <w:r w:rsidR="005D194A">
        <w:t>required to improve the quality of the QR&amp;O rest in the organizational hands of the CAF and could be achi</w:t>
      </w:r>
      <w:r w:rsidR="008013A2">
        <w:t xml:space="preserve">eved </w:t>
      </w:r>
      <w:r w:rsidR="00B06D73">
        <w:t>within its</w:t>
      </w:r>
      <w:r w:rsidR="00876B3B">
        <w:t xml:space="preserve"> existing legal framework</w:t>
      </w:r>
      <w:r w:rsidR="005D194A">
        <w:t xml:space="preserve">. </w:t>
      </w:r>
      <w:r w:rsidR="008013A2">
        <w:t>Nevertheless</w:t>
      </w:r>
      <w:r w:rsidR="00E65E42">
        <w:t>, identif</w:t>
      </w:r>
      <w:r w:rsidR="008013A2">
        <w:t>ying solutions is unquestionably</w:t>
      </w:r>
      <w:r w:rsidR="00E65E42">
        <w:t xml:space="preserve"> easier than finding the organizational will to pursue ch</w:t>
      </w:r>
      <w:r w:rsidR="00A334E7">
        <w:t>ange</w:t>
      </w:r>
      <w:r w:rsidR="008013A2">
        <w:t xml:space="preserve"> </w:t>
      </w:r>
      <w:r w:rsidR="00303BDC">
        <w:t>t</w:t>
      </w:r>
      <w:r w:rsidR="008013A2">
        <w:t xml:space="preserve">hat would alter </w:t>
      </w:r>
      <w:r w:rsidR="008013A2">
        <w:lastRenderedPageBreak/>
        <w:t>well-entrenched</w:t>
      </w:r>
      <w:r w:rsidR="00303BDC">
        <w:t xml:space="preserve"> </w:t>
      </w:r>
      <w:r w:rsidR="008013A2">
        <w:t xml:space="preserve">approaches and </w:t>
      </w:r>
      <w:r w:rsidR="00303BDC">
        <w:t>practices</w:t>
      </w:r>
      <w:r w:rsidR="00A334E7">
        <w:t xml:space="preserve">, and in particular, change </w:t>
      </w:r>
      <w:r w:rsidR="00E65E42">
        <w:t xml:space="preserve">that </w:t>
      </w:r>
      <w:r w:rsidR="008013A2">
        <w:t xml:space="preserve">would open the curtains </w:t>
      </w:r>
      <w:r w:rsidR="00836E6F">
        <w:t xml:space="preserve">from </w:t>
      </w:r>
      <w:r w:rsidR="008013A2">
        <w:t xml:space="preserve">around QR&amp;O development and invite </w:t>
      </w:r>
      <w:r w:rsidR="00303BDC">
        <w:t xml:space="preserve">public involvement </w:t>
      </w:r>
      <w:r w:rsidR="008013A2">
        <w:t xml:space="preserve">in a process where none </w:t>
      </w:r>
      <w:r w:rsidR="00836E6F">
        <w:t xml:space="preserve">has </w:t>
      </w:r>
      <w:r w:rsidR="008013A2">
        <w:t>existed before.</w:t>
      </w:r>
    </w:p>
    <w:p w:rsidR="00143C35" w:rsidRDefault="00A334E7" w:rsidP="00A334E7">
      <w:pPr>
        <w:spacing w:after="240" w:line="480" w:lineRule="auto"/>
        <w:ind w:firstLine="720"/>
        <w:jc w:val="center"/>
      </w:pPr>
      <w:r>
        <w:br w:type="page"/>
      </w:r>
      <w:r w:rsidR="00535421" w:rsidRPr="0032011B">
        <w:rPr>
          <w:b/>
        </w:rPr>
        <w:lastRenderedPageBreak/>
        <w:t>BIBLIOGRAPHY</w:t>
      </w:r>
    </w:p>
    <w:p w:rsidR="00601D6C" w:rsidRDefault="001F06FF" w:rsidP="00601D6C">
      <w:pPr>
        <w:pStyle w:val="FootnoteText"/>
        <w:spacing w:after="240"/>
      </w:pPr>
      <w:r>
        <w:t xml:space="preserve">—— </w:t>
      </w:r>
      <w:r w:rsidR="00601D6C">
        <w:t>‘</w:t>
      </w:r>
      <w:r w:rsidRPr="001F06FF">
        <w:t xml:space="preserve">Justice Laws Website’ Department of Justice &lt; </w:t>
      </w:r>
      <w:hyperlink r:id="rId8" w:history="1">
        <w:r w:rsidRPr="001F06FF">
          <w:rPr>
            <w:rStyle w:val="Hyperlink"/>
          </w:rPr>
          <w:t>http://laws.justice.gc.ca/eng/</w:t>
        </w:r>
      </w:hyperlink>
      <w:r w:rsidRPr="001F06FF">
        <w:t xml:space="preserve"> &gt; accessed 23 August 2015.</w:t>
      </w:r>
      <w:r w:rsidR="00601D6C" w:rsidRPr="00601D6C">
        <w:t xml:space="preserve"> </w:t>
      </w:r>
    </w:p>
    <w:p w:rsidR="00CA2E54" w:rsidRDefault="00601D6C" w:rsidP="00601D6C">
      <w:pPr>
        <w:pStyle w:val="FootnoteText"/>
        <w:spacing w:after="240"/>
      </w:pPr>
      <w:r>
        <w:t xml:space="preserve">—— </w:t>
      </w:r>
      <w:r w:rsidRPr="00E617D2">
        <w:t>‘The Sources and Scope of Canadian Military Law’ (</w:t>
      </w:r>
      <w:r w:rsidRPr="00601D6C">
        <w:rPr>
          <w:i/>
        </w:rPr>
        <w:t>Court Martial Appeal Court of Canada</w:t>
      </w:r>
      <w:r>
        <w:t>,</w:t>
      </w:r>
      <w:r w:rsidRPr="00E617D2">
        <w:t xml:space="preserve"> 30 March 2014) &lt; </w:t>
      </w:r>
      <w:hyperlink r:id="rId9" w:history="1">
        <w:r w:rsidRPr="00E617D2">
          <w:rPr>
            <w:rStyle w:val="Hyperlink"/>
          </w:rPr>
          <w:t>http://www.cmac-cacm.ca/business/military_law1-eng.shtml</w:t>
        </w:r>
      </w:hyperlink>
      <w:r w:rsidRPr="00E617D2">
        <w:t xml:space="preserve"> &gt; accessed 23 August 2015</w:t>
      </w:r>
    </w:p>
    <w:p w:rsidR="00601D6C" w:rsidRPr="00CA2E54" w:rsidRDefault="00CA2E54" w:rsidP="00601D6C">
      <w:pPr>
        <w:pStyle w:val="FootnoteText"/>
        <w:spacing w:after="240"/>
      </w:pPr>
      <w:r>
        <w:t xml:space="preserve">—— </w:t>
      </w:r>
      <w:r w:rsidRPr="00CA2E54">
        <w:t xml:space="preserve">‘QR&amp;Os: Amendment List’, </w:t>
      </w:r>
      <w:r>
        <w:t>(</w:t>
      </w:r>
      <w:r w:rsidRPr="00CA2E54">
        <w:rPr>
          <w:i/>
        </w:rPr>
        <w:t>National Defence and the Canadian Armed Forces,</w:t>
      </w:r>
      <w:r w:rsidRPr="00CA2E54">
        <w:t xml:space="preserve"> </w:t>
      </w:r>
      <w:r>
        <w:t xml:space="preserve">01 August 2015) &lt; </w:t>
      </w:r>
      <w:hyperlink r:id="rId10" w:history="1">
        <w:r w:rsidRPr="00CA2E54">
          <w:rPr>
            <w:rStyle w:val="Hyperlink"/>
          </w:rPr>
          <w:t>http://www.forces.gc.ca/en/about-policies-standards-queens-regulations-orders/amendment-list.page</w:t>
        </w:r>
      </w:hyperlink>
      <w:r w:rsidRPr="00CA2E54">
        <w:t xml:space="preserve"> &gt; accessed on 23 August 2015.</w:t>
      </w:r>
    </w:p>
    <w:p w:rsidR="00143C35" w:rsidRDefault="00143C35" w:rsidP="00A334E7">
      <w:pPr>
        <w:pStyle w:val="FootnoteText"/>
        <w:spacing w:after="240"/>
      </w:pPr>
      <w:r w:rsidRPr="00E617D2">
        <w:t>Aitken</w:t>
      </w:r>
      <w:r w:rsidR="00150466">
        <w:t xml:space="preserve"> VE,</w:t>
      </w:r>
      <w:r w:rsidRPr="00E617D2">
        <w:t xml:space="preserve"> ‘An exposition of legislative quality and its relevance for effective development’ (2013) 2 (Loyola University Chicago) &lt;</w:t>
      </w:r>
      <w:hyperlink r:id="rId11" w:history="1">
        <w:r w:rsidRPr="00E617D2">
          <w:rPr>
            <w:rStyle w:val="Hyperlink"/>
          </w:rPr>
          <w:t>http://www.luc.edu/media/lucedu/prolaw/documents/AITKEN%20FINAL%20ARTICLE.pdf</w:t>
        </w:r>
      </w:hyperlink>
      <w:r w:rsidRPr="00E617D2">
        <w:t xml:space="preserve"> &gt; accessed </w:t>
      </w:r>
      <w:r w:rsidR="00150466">
        <w:t>23 August 2015</w:t>
      </w:r>
    </w:p>
    <w:p w:rsidR="001F06FF" w:rsidRDefault="002C460A" w:rsidP="001F06FF">
      <w:pPr>
        <w:spacing w:after="240"/>
      </w:pPr>
      <w:r w:rsidRPr="00E617D2">
        <w:t>Bates</w:t>
      </w:r>
      <w:r w:rsidR="00150466" w:rsidRPr="00150466">
        <w:t xml:space="preserve"> </w:t>
      </w:r>
      <w:r w:rsidR="00150466" w:rsidRPr="00E617D2">
        <w:t>T ST JN</w:t>
      </w:r>
      <w:r w:rsidRPr="00E617D2">
        <w:t>, ‘The Future of Parliamentary Scrutiny of Delegated Legislation: Some Judicial Perspectives’ (1</w:t>
      </w:r>
      <w:r w:rsidR="00150466">
        <w:t>998) 19(3) Stat L Rev 155</w:t>
      </w:r>
      <w:r w:rsidR="001F06FF" w:rsidRPr="001F06FF">
        <w:t xml:space="preserve"> </w:t>
      </w:r>
    </w:p>
    <w:p w:rsidR="001F06FF" w:rsidRPr="00A334E7" w:rsidRDefault="001F06FF" w:rsidP="001F06FF">
      <w:pPr>
        <w:spacing w:after="240"/>
      </w:pPr>
      <w:r w:rsidRPr="00E617D2">
        <w:t>Beetham</w:t>
      </w:r>
      <w:r>
        <w:t xml:space="preserve"> D</w:t>
      </w:r>
      <w:r w:rsidRPr="00E617D2">
        <w:t xml:space="preserve">, </w:t>
      </w:r>
      <w:r w:rsidRPr="00E617D2">
        <w:rPr>
          <w:i/>
        </w:rPr>
        <w:t>The Legitimation of Power</w:t>
      </w:r>
      <w:r w:rsidRPr="00E617D2">
        <w:t xml:space="preserve"> (2</w:t>
      </w:r>
      <w:r w:rsidRPr="00E617D2">
        <w:rPr>
          <w:vertAlign w:val="superscript"/>
        </w:rPr>
        <w:t>nd</w:t>
      </w:r>
      <w:r w:rsidRPr="00E617D2">
        <w:t xml:space="preserve"> edn,</w:t>
      </w:r>
      <w:r>
        <w:t xml:space="preserve"> Palgrave Macmillan 2013)</w:t>
      </w:r>
    </w:p>
    <w:p w:rsidR="006265EC" w:rsidRPr="006265EC" w:rsidRDefault="006265EC" w:rsidP="00E617D2">
      <w:pPr>
        <w:pStyle w:val="FootnoteText"/>
        <w:spacing w:after="240"/>
      </w:pPr>
      <w:r w:rsidRPr="006265EC">
        <w:t>Berry</w:t>
      </w:r>
      <w:r>
        <w:t xml:space="preserve"> D</w:t>
      </w:r>
      <w:r w:rsidRPr="006265EC">
        <w:t>, ‘Keeping the Statute Book up-to-date —A personal view’ (Commonwealth Association of Legislative Counsel Conf</w:t>
      </w:r>
      <w:r>
        <w:t>erence, London, September 2005)</w:t>
      </w:r>
      <w:r w:rsidRPr="006265EC">
        <w:t xml:space="preserve"> </w:t>
      </w:r>
    </w:p>
    <w:p w:rsidR="00546486" w:rsidRDefault="00143C35" w:rsidP="00E617D2">
      <w:pPr>
        <w:pStyle w:val="FootnoteText"/>
        <w:spacing w:after="240"/>
      </w:pPr>
      <w:r w:rsidRPr="00E617D2">
        <w:t>Burnton</w:t>
      </w:r>
      <w:r w:rsidR="00150466" w:rsidRPr="00150466">
        <w:t xml:space="preserve"> </w:t>
      </w:r>
      <w:r w:rsidR="00150466" w:rsidRPr="00E617D2">
        <w:t>Rt Hon Lord Justice S</w:t>
      </w:r>
      <w:r w:rsidRPr="00E617D2">
        <w:t xml:space="preserve">, </w:t>
      </w:r>
      <w:r w:rsidR="00150466">
        <w:t>‘Proportionality’ [2011] JR 179</w:t>
      </w:r>
      <w:r w:rsidRPr="00E617D2">
        <w:t xml:space="preserve"> </w:t>
      </w:r>
    </w:p>
    <w:p w:rsidR="00546486" w:rsidRPr="00A334E7" w:rsidRDefault="002C460A" w:rsidP="00E617D2">
      <w:pPr>
        <w:pStyle w:val="FootnoteText"/>
        <w:spacing w:after="240"/>
        <w:rPr>
          <w:rStyle w:val="FootnoteReference"/>
        </w:rPr>
      </w:pPr>
      <w:r w:rsidRPr="00E617D2">
        <w:t xml:space="preserve">Department of Justice Canada, </w:t>
      </w:r>
      <w:r w:rsidRPr="00E617D2">
        <w:rPr>
          <w:i/>
        </w:rPr>
        <w:t>Federal Regulations Manual</w:t>
      </w:r>
      <w:r w:rsidRPr="00E617D2">
        <w:t xml:space="preserve"> (Minister of Public Works and Government Services Canada 1998) </w:t>
      </w:r>
    </w:p>
    <w:p w:rsidR="00143C35" w:rsidRDefault="002C460A" w:rsidP="00143C35">
      <w:pPr>
        <w:pStyle w:val="FootnoteText"/>
        <w:spacing w:after="240"/>
      </w:pPr>
      <w:r w:rsidRPr="00E617D2">
        <w:t>Doern</w:t>
      </w:r>
      <w:r w:rsidR="00922C77" w:rsidRPr="00922C77">
        <w:t xml:space="preserve"> </w:t>
      </w:r>
      <w:r w:rsidR="00922C77">
        <w:t>G B</w:t>
      </w:r>
      <w:r w:rsidRPr="00E617D2">
        <w:t>, Prince</w:t>
      </w:r>
      <w:r w:rsidR="00922C77">
        <w:t xml:space="preserve"> MJ</w:t>
      </w:r>
      <w:r w:rsidRPr="00E617D2">
        <w:t xml:space="preserve">, </w:t>
      </w:r>
      <w:r w:rsidR="00922C77">
        <w:t xml:space="preserve">and </w:t>
      </w:r>
      <w:r w:rsidRPr="00E617D2">
        <w:t>Schultz</w:t>
      </w:r>
      <w:r w:rsidR="00922C77">
        <w:t xml:space="preserve"> R</w:t>
      </w:r>
      <w:r w:rsidRPr="00E617D2">
        <w:t xml:space="preserve">, </w:t>
      </w:r>
      <w:r w:rsidRPr="00E617D2">
        <w:rPr>
          <w:i/>
        </w:rPr>
        <w:t>Rules and Unruliness – Canadian Regulatory Democracy, Governance, Capitalism and Welfarism</w:t>
      </w:r>
      <w:r w:rsidRPr="00E617D2">
        <w:t xml:space="preserve"> (McGill-Queen’s University Press 2014) </w:t>
      </w:r>
    </w:p>
    <w:p w:rsidR="00143C35" w:rsidRPr="00E617D2" w:rsidRDefault="00143C35" w:rsidP="00143C35">
      <w:pPr>
        <w:pStyle w:val="FootnoteText"/>
        <w:spacing w:after="240"/>
      </w:pPr>
      <w:r w:rsidRPr="00E617D2">
        <w:t>Drinóczi</w:t>
      </w:r>
      <w:r w:rsidR="00922C77">
        <w:t xml:space="preserve"> T</w:t>
      </w:r>
      <w:r w:rsidRPr="00E617D2">
        <w:t xml:space="preserve">, ‘Concept of Quality in Legislation – Revisited: Matter of Perspective and a General Overview’ (2015) Stat L Rev (forthcoming) </w:t>
      </w:r>
    </w:p>
    <w:p w:rsidR="00143C35" w:rsidRDefault="00922C77" w:rsidP="00E617D2">
      <w:pPr>
        <w:pStyle w:val="FootnoteText"/>
        <w:spacing w:after="240"/>
      </w:pPr>
      <w:r>
        <w:t>Interview with</w:t>
      </w:r>
      <w:r w:rsidR="004730B9" w:rsidRPr="00E617D2">
        <w:t xml:space="preserve"> Dufour</w:t>
      </w:r>
      <w:r w:rsidRPr="00922C77">
        <w:t xml:space="preserve"> </w:t>
      </w:r>
      <w:r w:rsidRPr="00E617D2">
        <w:t>Lieutenant-Colonel</w:t>
      </w:r>
      <w:r>
        <w:t xml:space="preserve"> A</w:t>
      </w:r>
      <w:r w:rsidR="004730B9" w:rsidRPr="00E617D2">
        <w:t xml:space="preserve">, Director of Law/ Military Justice Operations, Office of the Judge Advocate General of the Canadian Armed Forces </w:t>
      </w:r>
      <w:r w:rsidR="00825388">
        <w:t>(Ottawa, Canada, 16 July 2015)</w:t>
      </w:r>
    </w:p>
    <w:p w:rsidR="00546486" w:rsidRDefault="002C460A" w:rsidP="00E617D2">
      <w:pPr>
        <w:pStyle w:val="FootnoteText"/>
        <w:spacing w:after="240"/>
      </w:pPr>
      <w:r w:rsidRPr="00E617D2">
        <w:t>Flückiger</w:t>
      </w:r>
      <w:r w:rsidR="00922C77">
        <w:t xml:space="preserve"> A</w:t>
      </w:r>
      <w:r w:rsidRPr="00E617D2">
        <w:t xml:space="preserve">, ‘Can Better Regulations be Achieved by Guiding Parliaments and Governments? How the Definition of the Quality of Legislation Affects Law Improvement Methods’ (2010) 4(2) Legisprudence 213 </w:t>
      </w:r>
    </w:p>
    <w:p w:rsidR="00546486" w:rsidRDefault="004730B9" w:rsidP="00E617D2">
      <w:pPr>
        <w:pStyle w:val="FootnoteText"/>
        <w:spacing w:after="240"/>
      </w:pPr>
      <w:r w:rsidRPr="00E617D2">
        <w:t>Gashabizi</w:t>
      </w:r>
      <w:r w:rsidR="00922C77">
        <w:t xml:space="preserve"> AS</w:t>
      </w:r>
      <w:r w:rsidRPr="00E617D2">
        <w:t>, ‘In pursuit of clarity; how far should the drafter go?’ (2013) 29(3</w:t>
      </w:r>
      <w:r w:rsidR="00922C77">
        <w:t>) Commonwealth Law Bulletin 415</w:t>
      </w:r>
    </w:p>
    <w:p w:rsidR="004730B9" w:rsidRDefault="004730B9" w:rsidP="004730B9">
      <w:pPr>
        <w:pStyle w:val="FootnoteText"/>
        <w:spacing w:after="240"/>
      </w:pPr>
      <w:r w:rsidRPr="00E617D2">
        <w:t>Gibson</w:t>
      </w:r>
      <w:r w:rsidR="00922C77">
        <w:t xml:space="preserve"> M</w:t>
      </w:r>
      <w:r w:rsidRPr="00E617D2">
        <w:t>, ‘Canada’s Military Justice System’ (Spring 2012) 12(2) Ca</w:t>
      </w:r>
      <w:r w:rsidR="00922C77">
        <w:t>nadian Military Law Journal 61</w:t>
      </w:r>
    </w:p>
    <w:p w:rsidR="006265EC" w:rsidRDefault="006265EC" w:rsidP="00E617D2">
      <w:pPr>
        <w:pStyle w:val="FootnoteText"/>
        <w:spacing w:after="240"/>
      </w:pPr>
      <w:r w:rsidRPr="006265EC">
        <w:lastRenderedPageBreak/>
        <w:t>Greenberg</w:t>
      </w:r>
      <w:r>
        <w:t xml:space="preserve"> D</w:t>
      </w:r>
      <w:r w:rsidRPr="006265EC">
        <w:t>, ‘Access to Legislation—the Legislative Counsel’s Role’</w:t>
      </w:r>
      <w:r>
        <w:t xml:space="preserve"> (2003) 3 Loophole 7</w:t>
      </w:r>
    </w:p>
    <w:p w:rsidR="00143C35" w:rsidRDefault="002C460A" w:rsidP="00143C35">
      <w:pPr>
        <w:pStyle w:val="FootnoteText"/>
        <w:spacing w:after="240"/>
      </w:pPr>
      <w:r w:rsidRPr="00E617D2">
        <w:t>Hashim</w:t>
      </w:r>
      <w:r w:rsidR="00922C77">
        <w:t xml:space="preserve"> NA</w:t>
      </w:r>
      <w:r w:rsidRPr="00E617D2">
        <w:t>, ‘Consultation: A Contribution to Efficiency of Drafting Process in Malaysia’ (</w:t>
      </w:r>
      <w:r w:rsidR="00922C77">
        <w:t>2012) 14 Eur JL Reform 142</w:t>
      </w:r>
    </w:p>
    <w:p w:rsidR="002C460A" w:rsidRPr="00E617D2" w:rsidRDefault="00143C35" w:rsidP="00E617D2">
      <w:pPr>
        <w:pStyle w:val="FootnoteText"/>
        <w:spacing w:after="240"/>
      </w:pPr>
      <w:r w:rsidRPr="00E617D2">
        <w:t>Joshi</w:t>
      </w:r>
      <w:r w:rsidR="00922C77">
        <w:t xml:space="preserve"> V</w:t>
      </w:r>
      <w:r w:rsidRPr="00E617D2">
        <w:t>, ‘Should regulations made under section 12 of the National Defence Act continue to be exempt from the procedural requirements relating to the making of subordinate legislation in Canada’ (DCL Paper, University</w:t>
      </w:r>
      <w:r w:rsidR="00922C77">
        <w:t xml:space="preserve"> of Ottawa Faculty of Law 1998)</w:t>
      </w:r>
    </w:p>
    <w:p w:rsidR="00922C77" w:rsidRDefault="00143C35" w:rsidP="00143C35">
      <w:pPr>
        <w:pStyle w:val="FootnoteText"/>
        <w:spacing w:after="240"/>
      </w:pPr>
      <w:r w:rsidRPr="00E617D2">
        <w:t>Kappa</w:t>
      </w:r>
      <w:r w:rsidR="00922C77">
        <w:t xml:space="preserve"> K</w:t>
      </w:r>
      <w:r w:rsidRPr="00E617D2">
        <w:t xml:space="preserve">, ‘Legislatures in Modern States: The Role of Legislatures in Ensuring Good Governancy is Inadequate: A Case Study of the United Kingdom and Sierra Leone’ </w:t>
      </w:r>
      <w:r w:rsidR="00922C77">
        <w:t>(2010) 12 Eur JL Reform 426</w:t>
      </w:r>
    </w:p>
    <w:p w:rsidR="00143C35" w:rsidRDefault="00143C35" w:rsidP="00A334E7">
      <w:pPr>
        <w:pStyle w:val="FootnoteText"/>
      </w:pPr>
      <w:r w:rsidRPr="00E617D2">
        <w:t>Karpen</w:t>
      </w:r>
      <w:r w:rsidR="00922C77">
        <w:t xml:space="preserve"> U</w:t>
      </w:r>
      <w:r w:rsidRPr="00E617D2">
        <w:t>, ‘Instructions for Law Drafting’</w:t>
      </w:r>
      <w:r w:rsidR="00922C77">
        <w:t xml:space="preserve"> (2008) Eur J L Reform 163</w:t>
      </w:r>
    </w:p>
    <w:p w:rsidR="001D6178" w:rsidRDefault="00922C77" w:rsidP="00A334E7">
      <w:pPr>
        <w:pStyle w:val="FootnoteText"/>
      </w:pPr>
      <w:r>
        <w:t>——</w:t>
      </w:r>
      <w:r w:rsidR="00143C35" w:rsidRPr="00E617D2">
        <w:t xml:space="preserve"> ‘Good Governance Through Transparent Application of the Rule of Law’ (200</w:t>
      </w:r>
      <w:r>
        <w:t>9) 11 Eur JL Reform 213</w:t>
      </w:r>
    </w:p>
    <w:p w:rsidR="00A334E7" w:rsidRPr="001D6178" w:rsidRDefault="001D6178" w:rsidP="00A334E7">
      <w:pPr>
        <w:pStyle w:val="FootnoteText"/>
      </w:pPr>
      <w:r w:rsidRPr="001D6178">
        <w:t>—— ‘Comparative Law: Perspectives of Legislation’ (201</w:t>
      </w:r>
      <w:r>
        <w:t>2) 6(2) Legisprudence 149</w:t>
      </w:r>
    </w:p>
    <w:p w:rsidR="00A334E7" w:rsidRDefault="00A334E7" w:rsidP="00A334E7">
      <w:pPr>
        <w:pStyle w:val="FootnoteText"/>
      </w:pPr>
    </w:p>
    <w:p w:rsidR="0068506E" w:rsidRDefault="00922C77" w:rsidP="00E617D2">
      <w:pPr>
        <w:pStyle w:val="FootnoteText"/>
        <w:spacing w:after="240"/>
      </w:pPr>
      <w:r>
        <w:t>Kellerman A</w:t>
      </w:r>
      <w:r w:rsidR="002C460A" w:rsidRPr="00E617D2">
        <w:t xml:space="preserve"> ‘Guidelines on Quality of EU Legislation and Its Impact on Albania’ (200</w:t>
      </w:r>
      <w:r>
        <w:t>8) 10 Eur LJ Reform 183</w:t>
      </w:r>
    </w:p>
    <w:p w:rsidR="00143C35" w:rsidRDefault="004730B9" w:rsidP="00143C35">
      <w:pPr>
        <w:pStyle w:val="FootnoteText"/>
        <w:spacing w:after="240"/>
      </w:pPr>
      <w:r w:rsidRPr="00E617D2">
        <w:t>Kersell</w:t>
      </w:r>
      <w:r w:rsidR="00922C77">
        <w:t xml:space="preserve"> JE</w:t>
      </w:r>
      <w:r w:rsidRPr="00E617D2">
        <w:t xml:space="preserve">, </w:t>
      </w:r>
      <w:r w:rsidRPr="00E617D2">
        <w:rPr>
          <w:i/>
        </w:rPr>
        <w:t xml:space="preserve">Parliamentary Supervision of Delegated Legislation </w:t>
      </w:r>
      <w:r w:rsidRPr="00E617D2">
        <w:t>(</w:t>
      </w:r>
      <w:r w:rsidR="00922C77">
        <w:t xml:space="preserve">Stevens &amp; Sons Limited 1960) </w:t>
      </w:r>
    </w:p>
    <w:p w:rsidR="00143C35" w:rsidRPr="00A334E7" w:rsidRDefault="00143C35" w:rsidP="00143C35">
      <w:pPr>
        <w:pStyle w:val="FootnoteText"/>
        <w:spacing w:after="240"/>
        <w:rPr>
          <w:rStyle w:val="FootnoteReference"/>
        </w:rPr>
      </w:pPr>
      <w:r w:rsidRPr="00E617D2">
        <w:t>Keyes</w:t>
      </w:r>
      <w:r w:rsidR="00922C77">
        <w:t xml:space="preserve"> JM</w:t>
      </w:r>
      <w:r w:rsidRPr="00E617D2">
        <w:t xml:space="preserve">, </w:t>
      </w:r>
      <w:r w:rsidRPr="00E617D2">
        <w:rPr>
          <w:i/>
        </w:rPr>
        <w:t>Executive Legislation</w:t>
      </w:r>
      <w:r w:rsidRPr="00E617D2">
        <w:t xml:space="preserve"> (2</w:t>
      </w:r>
      <w:r w:rsidRPr="00E617D2">
        <w:rPr>
          <w:vertAlign w:val="superscript"/>
        </w:rPr>
        <w:t>nd</w:t>
      </w:r>
      <w:r w:rsidR="00922C77">
        <w:t xml:space="preserve"> edn, LexisNexis 2010) </w:t>
      </w:r>
    </w:p>
    <w:p w:rsidR="00143C35" w:rsidRDefault="00143C35" w:rsidP="00143C35">
      <w:pPr>
        <w:pStyle w:val="FootnoteText"/>
        <w:spacing w:after="240"/>
      </w:pPr>
      <w:r w:rsidRPr="00E617D2">
        <w:t>Kirkby</w:t>
      </w:r>
      <w:r w:rsidR="00922C77">
        <w:t xml:space="preserve"> C</w:t>
      </w:r>
      <w:r w:rsidRPr="00E617D2">
        <w:t>, ‘Legislative Summary – Bill S-2: An Act to amend the Statutory Instruments Act and to make consequential amendments to the Statutory Instrument Regulations’ (20 October 2</w:t>
      </w:r>
      <w:r w:rsidR="002317B4">
        <w:t xml:space="preserve">013) Library of Parliament, </w:t>
      </w:r>
      <w:r w:rsidRPr="00E617D2">
        <w:t xml:space="preserve">&lt; </w:t>
      </w:r>
      <w:hyperlink r:id="rId12" w:history="1">
        <w:r w:rsidRPr="00E617D2">
          <w:rPr>
            <w:rStyle w:val="Hyperlink"/>
          </w:rPr>
          <w:t>http://www.parl.gc.ca/Content/LOP/ResearchPublications/ls412-e.htm</w:t>
        </w:r>
      </w:hyperlink>
      <w:r w:rsidR="00825388">
        <w:t>&gt; accessed 23 August 2015</w:t>
      </w:r>
      <w:r w:rsidRPr="00E617D2">
        <w:t xml:space="preserve"> </w:t>
      </w:r>
    </w:p>
    <w:p w:rsidR="00143C35" w:rsidRDefault="00922C77" w:rsidP="00143C35">
      <w:pPr>
        <w:pStyle w:val="FootnoteText"/>
        <w:spacing w:after="240"/>
      </w:pPr>
      <w:r>
        <w:t>Interview with</w:t>
      </w:r>
      <w:r w:rsidR="00143C35" w:rsidRPr="00E617D2">
        <w:t xml:space="preserve"> Lortie</w:t>
      </w:r>
      <w:r>
        <w:t xml:space="preserve"> Maj</w:t>
      </w:r>
      <w:r w:rsidR="00825388">
        <w:t>or</w:t>
      </w:r>
      <w:r>
        <w:t xml:space="preserve"> G</w:t>
      </w:r>
      <w:r w:rsidR="00143C35" w:rsidRPr="00E617D2">
        <w:t>, Directorate of Law/ Military Justice Operations, Office of the Judge Advocate General of the Canadian Armed Forces</w:t>
      </w:r>
      <w:r w:rsidR="00825388">
        <w:t xml:space="preserve"> (Ottawa, Canada, 17 July 2015)</w:t>
      </w:r>
    </w:p>
    <w:p w:rsidR="00143C35" w:rsidRDefault="00143C35" w:rsidP="00143C35">
      <w:pPr>
        <w:pStyle w:val="FootnoteText"/>
        <w:spacing w:after="240"/>
      </w:pPr>
      <w:r w:rsidRPr="00E617D2">
        <w:t>Majambere</w:t>
      </w:r>
      <w:r w:rsidR="00922C77">
        <w:t xml:space="preserve"> E</w:t>
      </w:r>
      <w:r w:rsidRPr="00E617D2">
        <w:t xml:space="preserve"> ‘Clarity, precision and unambiguity: aspects for effective legislative drafting’ (2011) 37(3)</w:t>
      </w:r>
      <w:r w:rsidR="00922C77">
        <w:t xml:space="preserve"> Commonwealth Law Bulletin 417</w:t>
      </w:r>
    </w:p>
    <w:p w:rsidR="00143C35" w:rsidRDefault="002C460A" w:rsidP="00143C35">
      <w:pPr>
        <w:pStyle w:val="FootnoteText"/>
        <w:spacing w:after="240"/>
      </w:pPr>
      <w:r w:rsidRPr="00E617D2">
        <w:t>Maxeiner</w:t>
      </w:r>
      <w:r w:rsidR="00922C77">
        <w:t xml:space="preserve"> JR</w:t>
      </w:r>
      <w:r w:rsidRPr="00E617D2">
        <w:t>, ‘Legal Certainty: A European Alternative to American Legal Indeterminacy?’ (2006-2007) 15</w:t>
      </w:r>
      <w:r w:rsidR="00922C77">
        <w:t xml:space="preserve"> Tul J Int’l &amp; Comp L 541</w:t>
      </w:r>
    </w:p>
    <w:p w:rsidR="00D679F0" w:rsidRPr="00D679F0" w:rsidRDefault="00D679F0" w:rsidP="00143C35">
      <w:pPr>
        <w:pStyle w:val="FootnoteText"/>
        <w:spacing w:after="240"/>
      </w:pPr>
      <w:r w:rsidRPr="00D679F0">
        <w:t>McGarry</w:t>
      </w:r>
      <w:r>
        <w:t xml:space="preserve"> J, </w:t>
      </w:r>
      <w:r w:rsidRPr="00D679F0">
        <w:t>‘Effecting Legal Certainty under the Human Rights Act’ [2011] JR 66</w:t>
      </w:r>
    </w:p>
    <w:p w:rsidR="00143C35" w:rsidRDefault="00143C35" w:rsidP="00143C35">
      <w:pPr>
        <w:pStyle w:val="FootnoteText"/>
        <w:spacing w:after="240"/>
      </w:pPr>
      <w:r w:rsidRPr="00E617D2">
        <w:t>Mkuye</w:t>
      </w:r>
      <w:r w:rsidR="00922C77">
        <w:t xml:space="preserve"> R</w:t>
      </w:r>
      <w:r w:rsidRPr="00E617D2">
        <w:t>, ‘Controls and Standards of Delegated Legislation: A case study of Tanzania’ (2007) 9 Eur JL Refo</w:t>
      </w:r>
      <w:r w:rsidR="00825388">
        <w:t>rm 205</w:t>
      </w:r>
    </w:p>
    <w:p w:rsidR="00143C35" w:rsidRDefault="00143C35" w:rsidP="00143C35">
      <w:pPr>
        <w:pStyle w:val="FootnoteText"/>
        <w:spacing w:after="240"/>
      </w:pPr>
      <w:r w:rsidRPr="00E617D2">
        <w:t>Mousmati</w:t>
      </w:r>
      <w:r w:rsidR="00922C77">
        <w:t xml:space="preserve"> M</w:t>
      </w:r>
      <w:r w:rsidRPr="00E617D2">
        <w:t>, ‘Operalising Quality of Legislation through the Effectiveness Test’ (20</w:t>
      </w:r>
      <w:r w:rsidR="00922C77">
        <w:t>12) 6(2) Legisprudence 191</w:t>
      </w:r>
    </w:p>
    <w:p w:rsidR="00143C35" w:rsidRDefault="00143C35" w:rsidP="00143C35">
      <w:pPr>
        <w:pStyle w:val="FootnoteText"/>
        <w:spacing w:after="240"/>
      </w:pPr>
      <w:r w:rsidRPr="00E617D2">
        <w:t>Murphy</w:t>
      </w:r>
      <w:r w:rsidR="00922C77">
        <w:t xml:space="preserve"> G</w:t>
      </w:r>
      <w:r w:rsidRPr="00E617D2">
        <w:t>, ‘Extended Parliamentary Power over Regulations in Canad</w:t>
      </w:r>
      <w:r w:rsidR="00922C77">
        <w:t>a’ (2005) 26(3) Stat L Rev 161</w:t>
      </w:r>
    </w:p>
    <w:p w:rsidR="0068506E" w:rsidRDefault="00143C35" w:rsidP="00E617D2">
      <w:pPr>
        <w:pStyle w:val="FootnoteText"/>
        <w:spacing w:after="240"/>
      </w:pPr>
      <w:r w:rsidRPr="00E617D2">
        <w:lastRenderedPageBreak/>
        <w:t xml:space="preserve">Parliament of Canada, </w:t>
      </w:r>
      <w:r w:rsidRPr="00E617D2">
        <w:rPr>
          <w:i/>
        </w:rPr>
        <w:t xml:space="preserve">House of Commons Procedure and Practice </w:t>
      </w:r>
      <w:r w:rsidRPr="00E617D2">
        <w:t>(2</w:t>
      </w:r>
      <w:r w:rsidRPr="00E617D2">
        <w:rPr>
          <w:vertAlign w:val="superscript"/>
        </w:rPr>
        <w:t>nd</w:t>
      </w:r>
      <w:r w:rsidRPr="00E617D2">
        <w:t xml:space="preserve"> </w:t>
      </w:r>
      <w:r w:rsidR="00AB1C85">
        <w:t xml:space="preserve">edn, 2009), ch 17 </w:t>
      </w:r>
      <w:r w:rsidRPr="00E617D2">
        <w:t xml:space="preserve"> &lt; </w:t>
      </w:r>
      <w:hyperlink r:id="rId13" w:history="1">
        <w:r w:rsidRPr="00E617D2">
          <w:rPr>
            <w:rStyle w:val="Hyperlink"/>
          </w:rPr>
          <w:t>http://www.parl.gc.ca/procedure-book-livre/Document.aspx?sbdid=519E5B2B-A6FF-49E1-B5C4-FE9BA384E253&amp;sbpidx=1&amp;Language=E&amp;Mode=1</w:t>
        </w:r>
      </w:hyperlink>
      <w:r w:rsidR="00825388">
        <w:t>&gt; accessed 23 August 2015</w:t>
      </w:r>
    </w:p>
    <w:p w:rsidR="00143C35" w:rsidRPr="00E617D2" w:rsidRDefault="00143C35" w:rsidP="00143C35">
      <w:pPr>
        <w:pStyle w:val="FootnoteText"/>
        <w:spacing w:after="240"/>
      </w:pPr>
      <w:r w:rsidRPr="00E617D2">
        <w:t>Pineau</w:t>
      </w:r>
      <w:r w:rsidR="0034354D">
        <w:t xml:space="preserve"> MA</w:t>
      </w:r>
      <w:r w:rsidRPr="00E617D2">
        <w:t>, ‘Civilians under Military Justice: A Canadian Study’ (1</w:t>
      </w:r>
      <w:r w:rsidR="0034354D">
        <w:t>979) 25 McGill Law Journal 3</w:t>
      </w:r>
    </w:p>
    <w:p w:rsidR="00143C35" w:rsidRDefault="00143C35" w:rsidP="00505430">
      <w:pPr>
        <w:pStyle w:val="FootnoteText"/>
        <w:spacing w:after="240"/>
      </w:pPr>
      <w:r w:rsidRPr="00E617D2">
        <w:t>Poloko</w:t>
      </w:r>
      <w:r w:rsidR="0034354D">
        <w:t xml:space="preserve"> L</w:t>
      </w:r>
      <w:r w:rsidRPr="00E617D2">
        <w:t>, ‘Drafting of Legislation in Compliance with Model Laws (20</w:t>
      </w:r>
      <w:r w:rsidR="0034354D">
        <w:t>13) 15 Eur JL Reform 415</w:t>
      </w:r>
    </w:p>
    <w:p w:rsidR="00505430" w:rsidRDefault="00505430" w:rsidP="00D952D6">
      <w:pPr>
        <w:pStyle w:val="FootnoteText"/>
      </w:pPr>
      <w:r w:rsidRPr="00E617D2">
        <w:t>Popelier</w:t>
      </w:r>
      <w:r w:rsidR="0034354D">
        <w:t xml:space="preserve"> P</w:t>
      </w:r>
      <w:r w:rsidRPr="00E617D2">
        <w:t>, ‘Legal Certainty and Principles of Proper Law Making</w:t>
      </w:r>
      <w:r w:rsidR="0034354D">
        <w:t>’ (2000) 2 Eur JL Reform 321</w:t>
      </w:r>
    </w:p>
    <w:p w:rsidR="00A334E7" w:rsidRDefault="0034354D" w:rsidP="00D952D6">
      <w:pPr>
        <w:pStyle w:val="FootnoteText"/>
        <w:spacing w:after="240"/>
      </w:pPr>
      <w:r>
        <w:t>——</w:t>
      </w:r>
      <w:r w:rsidR="002C460A" w:rsidRPr="00E617D2">
        <w:t xml:space="preserve"> ‘Five Paradoxes on Legal Certainly and the Lawma</w:t>
      </w:r>
      <w:r>
        <w:t>ker’ (2008) 2 Legisprudence 47</w:t>
      </w:r>
    </w:p>
    <w:p w:rsidR="00143C35" w:rsidRDefault="00143C35" w:rsidP="00143C35">
      <w:pPr>
        <w:pStyle w:val="FootnoteText"/>
        <w:spacing w:after="240"/>
      </w:pPr>
      <w:r w:rsidRPr="00E617D2">
        <w:t xml:space="preserve">Privy Council Office, </w:t>
      </w:r>
      <w:r w:rsidRPr="00E617D2">
        <w:rPr>
          <w:i/>
        </w:rPr>
        <w:t xml:space="preserve">Guide to Making Federal Acts and Regulations: Cabinet Directive on Law-Making </w:t>
      </w:r>
      <w:r w:rsidR="002317B4">
        <w:t xml:space="preserve">(2003) </w:t>
      </w:r>
      <w:r w:rsidRPr="00E617D2">
        <w:t>&lt;</w:t>
      </w:r>
      <w:hyperlink r:id="rId14" w:history="1">
        <w:r w:rsidRPr="00E617D2">
          <w:rPr>
            <w:rStyle w:val="Hyperlink"/>
          </w:rPr>
          <w:t xml:space="preserve">http://www.pco.gc.ca/index.asp?lang=eng&amp;page=information&amp;sub=publications&amp;doc=legislation/cabdir-dircab-eng.htm </w:t>
        </w:r>
      </w:hyperlink>
      <w:r w:rsidRPr="00E617D2">
        <w:t xml:space="preserve">&gt; accessed 23 August 2015. </w:t>
      </w:r>
    </w:p>
    <w:p w:rsidR="00143C35" w:rsidRPr="00A334E7" w:rsidRDefault="00143C35" w:rsidP="00143C35">
      <w:pPr>
        <w:pStyle w:val="FootnoteText"/>
        <w:spacing w:after="240"/>
        <w:rPr>
          <w:rStyle w:val="FootnoteReference"/>
        </w:rPr>
      </w:pPr>
      <w:r w:rsidRPr="00E617D2">
        <w:t>Pünder</w:t>
      </w:r>
      <w:r w:rsidR="0034354D">
        <w:t xml:space="preserve"> H</w:t>
      </w:r>
      <w:r w:rsidRPr="00E617D2">
        <w:t xml:space="preserve">, ‘Democratic Legitimation of Delegated Legislation—A Comparative View on the American British and German </w:t>
      </w:r>
      <w:r w:rsidR="0034354D">
        <w:t>Law’ (2009) 58 ICLQ 353</w:t>
      </w:r>
    </w:p>
    <w:p w:rsidR="00143C35" w:rsidRDefault="00143C35" w:rsidP="00143C35">
      <w:pPr>
        <w:pStyle w:val="FootnoteText"/>
        <w:spacing w:after="240"/>
      </w:pPr>
      <w:r w:rsidRPr="00E617D2">
        <w:t>Reid</w:t>
      </w:r>
      <w:r w:rsidR="0034354D">
        <w:t xml:space="preserve"> L</w:t>
      </w:r>
      <w:r w:rsidRPr="00E617D2">
        <w:t xml:space="preserve">, ‘Oversight of Regulations by Parliamentarians’ (Winter 2010) </w:t>
      </w:r>
      <w:r w:rsidR="0034354D">
        <w:t>Canadian Parliamentary Rev 6</w:t>
      </w:r>
    </w:p>
    <w:p w:rsidR="00143C35" w:rsidRPr="00E617D2" w:rsidRDefault="00143C35" w:rsidP="00A334E7">
      <w:pPr>
        <w:pStyle w:val="FootnoteText"/>
      </w:pPr>
      <w:r w:rsidRPr="00E617D2">
        <w:t>Salembier</w:t>
      </w:r>
      <w:r w:rsidR="0034354D">
        <w:t xml:space="preserve"> JP</w:t>
      </w:r>
      <w:r w:rsidRPr="00E617D2">
        <w:t>, ‘Designing Regulatory Systems: A Template for Regulatory Rule-Making —Par</w:t>
      </w:r>
      <w:r w:rsidR="0034354D">
        <w:t>t II’ (2003) 24 Stat L Rev 1</w:t>
      </w:r>
    </w:p>
    <w:p w:rsidR="00143C35" w:rsidRPr="00E617D2" w:rsidRDefault="0034354D" w:rsidP="00A334E7">
      <w:pPr>
        <w:pStyle w:val="FootnoteText"/>
      </w:pPr>
      <w:r>
        <w:t>——</w:t>
      </w:r>
      <w:r w:rsidR="00143C35" w:rsidRPr="00E617D2">
        <w:t xml:space="preserve"> </w:t>
      </w:r>
      <w:r w:rsidR="00143C35" w:rsidRPr="00E617D2">
        <w:rPr>
          <w:i/>
        </w:rPr>
        <w:t>Regulatory Law and Practice in Canada</w:t>
      </w:r>
      <w:r w:rsidR="00143C35" w:rsidRPr="00E617D2">
        <w:t xml:space="preserve"> (Lexi</w:t>
      </w:r>
      <w:r>
        <w:t>sNexis Butterworths 2004) 196</w:t>
      </w:r>
    </w:p>
    <w:p w:rsidR="00143C35" w:rsidRDefault="0034354D" w:rsidP="00A334E7">
      <w:pPr>
        <w:pStyle w:val="FootnoteText"/>
      </w:pPr>
      <w:r>
        <w:t>——</w:t>
      </w:r>
      <w:r w:rsidR="00143C35" w:rsidRPr="00E617D2">
        <w:t xml:space="preserve"> and Peter Bernhardt, ‘Understanding the Regulation Making Process’ (Spring 2002) </w:t>
      </w:r>
      <w:r w:rsidRPr="00E617D2">
        <w:t>Canadian Parliamentary Review 13</w:t>
      </w:r>
    </w:p>
    <w:p w:rsidR="00A334E7" w:rsidRDefault="00A334E7" w:rsidP="00A334E7">
      <w:pPr>
        <w:pStyle w:val="FootnoteText"/>
      </w:pPr>
    </w:p>
    <w:p w:rsidR="00143C35" w:rsidRPr="00E617D2" w:rsidRDefault="00143C35" w:rsidP="00143C35">
      <w:pPr>
        <w:pStyle w:val="FootnoteText"/>
        <w:spacing w:after="240"/>
      </w:pPr>
      <w:r w:rsidRPr="00E617D2">
        <w:t>Schütze</w:t>
      </w:r>
      <w:r w:rsidR="0034354D">
        <w:t xml:space="preserve"> R,</w:t>
      </w:r>
      <w:r w:rsidRPr="00E617D2">
        <w:t xml:space="preserve"> ‘Delegated’ Legislation in the (new) European Union: A Constitutional Analysis’ (2011)</w:t>
      </w:r>
      <w:r w:rsidR="0034354D">
        <w:t xml:space="preserve"> 74(5) The Modern Law Rev 661</w:t>
      </w:r>
    </w:p>
    <w:p w:rsidR="00143C35" w:rsidRDefault="00143C35" w:rsidP="00143C35">
      <w:pPr>
        <w:pStyle w:val="FootnoteText"/>
        <w:spacing w:after="240"/>
      </w:pPr>
      <w:r w:rsidRPr="00E617D2">
        <w:t>Schwartz</w:t>
      </w:r>
      <w:r w:rsidR="0034354D">
        <w:t xml:space="preserve"> BP, </w:t>
      </w:r>
      <w:r w:rsidRPr="00E617D2">
        <w:t>Armstrong</w:t>
      </w:r>
      <w:r w:rsidR="0034354D">
        <w:t xml:space="preserve"> M, </w:t>
      </w:r>
      <w:r w:rsidRPr="00E617D2">
        <w:t>Hildebrand</w:t>
      </w:r>
      <w:r w:rsidR="0034354D">
        <w:t xml:space="preserve"> D, and </w:t>
      </w:r>
      <w:r w:rsidRPr="00E617D2">
        <w:t>Mozeson</w:t>
      </w:r>
      <w:r w:rsidR="0034354D">
        <w:t xml:space="preserve"> J</w:t>
      </w:r>
      <w:r w:rsidRPr="00E617D2">
        <w:t>, ‘Democratizing the Regulation Making Process in Manitoba: Drawing on National and International Best Practice</w:t>
      </w:r>
      <w:r w:rsidR="0034354D">
        <w:t>s’ (2011-2012) 35 Man LJ 1</w:t>
      </w:r>
    </w:p>
    <w:p w:rsidR="00143C35" w:rsidRDefault="00143C35" w:rsidP="00143C35">
      <w:pPr>
        <w:pStyle w:val="FootnoteText"/>
        <w:spacing w:after="240"/>
      </w:pPr>
      <w:r w:rsidRPr="00E617D2">
        <w:t>Timmermans</w:t>
      </w:r>
      <w:r w:rsidR="0034354D">
        <w:t xml:space="preserve"> C</w:t>
      </w:r>
      <w:r w:rsidRPr="00E617D2">
        <w:t>, ‘Subsidiary and Transparency’ (1998-</w:t>
      </w:r>
      <w:r w:rsidR="0034354D">
        <w:t>1999) 22 Fordham Int’l LJ S106</w:t>
      </w:r>
    </w:p>
    <w:p w:rsidR="00143C35" w:rsidRDefault="00143C35" w:rsidP="002317B4">
      <w:pPr>
        <w:pStyle w:val="FootnoteText"/>
      </w:pPr>
      <w:r w:rsidRPr="00E617D2">
        <w:t xml:space="preserve">Treasury Board of Canada Secretariat, </w:t>
      </w:r>
      <w:r w:rsidRPr="00E617D2">
        <w:rPr>
          <w:i/>
        </w:rPr>
        <w:t>Guidelines for Effective Regulatory Consultations</w:t>
      </w:r>
      <w:r w:rsidRPr="00E617D2">
        <w:t xml:space="preserve"> (2007) &lt; </w:t>
      </w:r>
      <w:hyperlink r:id="rId15" w:history="1">
        <w:r w:rsidRPr="00E617D2">
          <w:rPr>
            <w:rStyle w:val="Hyperlink"/>
          </w:rPr>
          <w:t>http://www.tbs-sct.gc.ca/rtrp-parfa/erc-cer/erc-cer01-eng.asp</w:t>
        </w:r>
      </w:hyperlink>
      <w:r w:rsidR="00825388">
        <w:t xml:space="preserve"> &gt; accessed 23 August 2015</w:t>
      </w:r>
      <w:r w:rsidRPr="00143C35">
        <w:t xml:space="preserve"> </w:t>
      </w:r>
    </w:p>
    <w:p w:rsidR="00143C35" w:rsidRDefault="002317B4" w:rsidP="002317B4">
      <w:pPr>
        <w:pStyle w:val="FootnoteText"/>
      </w:pPr>
      <w:r>
        <w:t>——</w:t>
      </w:r>
      <w:r w:rsidR="00143C35" w:rsidRPr="00E617D2">
        <w:t xml:space="preserve"> ‘Cabinet Directive on Regulatory Managem</w:t>
      </w:r>
      <w:r>
        <w:t xml:space="preserve">ent’ (2012) </w:t>
      </w:r>
      <w:r w:rsidR="00143C35" w:rsidRPr="00E617D2">
        <w:t>&lt;</w:t>
      </w:r>
      <w:hyperlink r:id="rId16" w:history="1">
        <w:r w:rsidR="00143C35" w:rsidRPr="00E617D2">
          <w:rPr>
            <w:rStyle w:val="Hyperlink"/>
          </w:rPr>
          <w:t>http://www.tbs-sct.gc.ca/rtrap-parfa/cdrm-dcgr/cdrm-dcgrtb-eng.asp</w:t>
        </w:r>
      </w:hyperlink>
      <w:r w:rsidR="00825388">
        <w:t>&gt; accessed on 21 July 2015</w:t>
      </w:r>
    </w:p>
    <w:p w:rsidR="00143C35" w:rsidRPr="00E617D2" w:rsidRDefault="002317B4" w:rsidP="002317B4">
      <w:pPr>
        <w:pStyle w:val="FootnoteText"/>
      </w:pPr>
      <w:r>
        <w:t>——</w:t>
      </w:r>
      <w:r w:rsidR="00143C35" w:rsidRPr="00E617D2">
        <w:t xml:space="preserve"> ‘Guide to the Federal Regulatory Development Process’</w:t>
      </w:r>
      <w:r w:rsidR="00143C35" w:rsidRPr="00E617D2">
        <w:rPr>
          <w:i/>
        </w:rPr>
        <w:t xml:space="preserve"> </w:t>
      </w:r>
      <w:r w:rsidR="00143C35">
        <w:t xml:space="preserve">(2014) </w:t>
      </w:r>
      <w:r w:rsidR="00143C35" w:rsidRPr="00E617D2">
        <w:t xml:space="preserve"> </w:t>
      </w:r>
      <w:r w:rsidR="00143C35" w:rsidRPr="00E617D2">
        <w:rPr>
          <w:i/>
        </w:rPr>
        <w:t>&lt;</w:t>
      </w:r>
      <w:hyperlink r:id="rId17" w:history="1">
        <w:r w:rsidR="00143C35" w:rsidRPr="00E617D2">
          <w:rPr>
            <w:rStyle w:val="Hyperlink"/>
          </w:rPr>
          <w:t>http://www.tbs-sct.gc.ca/rtrap-parfa/gfrpg-gperf/gfrpg-gperftb-eng.asp</w:t>
        </w:r>
      </w:hyperlink>
      <w:r w:rsidR="00825388">
        <w:t xml:space="preserve"> &gt; accessed on 20 July 2015)</w:t>
      </w:r>
    </w:p>
    <w:p w:rsidR="002317B4" w:rsidRDefault="002317B4" w:rsidP="002317B4">
      <w:pPr>
        <w:pStyle w:val="FootnoteText"/>
      </w:pPr>
    </w:p>
    <w:p w:rsidR="00505430" w:rsidRDefault="00143C35" w:rsidP="00E617D2">
      <w:pPr>
        <w:pStyle w:val="FootnoteText"/>
        <w:spacing w:after="240"/>
      </w:pPr>
      <w:r w:rsidRPr="00E617D2">
        <w:t>Vanterpool</w:t>
      </w:r>
      <w:r w:rsidR="0034354D">
        <w:t xml:space="preserve"> V</w:t>
      </w:r>
      <w:r w:rsidRPr="00E617D2">
        <w:t>, ‘A Critical Look at Achieving Quality in Legislation’ (2007) 9 Eur JL Reform 167</w:t>
      </w:r>
    </w:p>
    <w:p w:rsidR="002C460A" w:rsidRPr="00E617D2" w:rsidRDefault="00505430" w:rsidP="00E617D2">
      <w:pPr>
        <w:pStyle w:val="FootnoteText"/>
        <w:spacing w:after="240"/>
      </w:pPr>
      <w:r w:rsidRPr="00E617D2">
        <w:lastRenderedPageBreak/>
        <w:t>Voermans</w:t>
      </w:r>
      <w:r w:rsidR="0034354D">
        <w:t xml:space="preserve"> W</w:t>
      </w:r>
      <w:r w:rsidRPr="00E617D2">
        <w:t>, ‘Concern about the Quality of EU Legislation: What Kind of Problem by what Kind of Standard’ (2009) 02</w:t>
      </w:r>
      <w:r w:rsidR="0034354D">
        <w:t>(01) Erasmus Law Rev 59</w:t>
      </w:r>
    </w:p>
    <w:p w:rsidR="00505430" w:rsidRDefault="0034354D" w:rsidP="00505430">
      <w:pPr>
        <w:pStyle w:val="FootnoteText"/>
        <w:rPr>
          <w:rFonts w:cs="Arial"/>
          <w:color w:val="1A1A1A"/>
          <w:szCs w:val="26"/>
        </w:rPr>
      </w:pPr>
      <w:r>
        <w:rPr>
          <w:rFonts w:cs="Arial"/>
          <w:color w:val="1A1A1A"/>
          <w:szCs w:val="26"/>
        </w:rPr>
        <w:t>Wiesner C, ‘</w:t>
      </w:r>
      <w:r w:rsidR="00505430" w:rsidRPr="00F75DF0">
        <w:rPr>
          <w:rFonts w:cs="Arial"/>
          <w:color w:val="1A1A1A"/>
          <w:szCs w:val="26"/>
        </w:rPr>
        <w:t>Democratic Legitimacy, Democratisation and Democratic Identity of the European Union-Old Questions, New Chall</w:t>
      </w:r>
      <w:r>
        <w:rPr>
          <w:rFonts w:cs="Arial"/>
          <w:color w:val="1A1A1A"/>
          <w:szCs w:val="26"/>
        </w:rPr>
        <w:t xml:space="preserve">enges.’ (2008) 12(1) </w:t>
      </w:r>
      <w:r w:rsidR="00505430" w:rsidRPr="00F75DF0">
        <w:rPr>
          <w:rFonts w:cs="Arial"/>
          <w:i/>
          <w:iCs/>
          <w:color w:val="1A1A1A"/>
          <w:szCs w:val="26"/>
        </w:rPr>
        <w:t>Redescriptions: Political Thought, Conceptual History and Feminist Theory</w:t>
      </w:r>
      <w:r>
        <w:rPr>
          <w:rFonts w:cs="Arial"/>
          <w:color w:val="1A1A1A"/>
          <w:szCs w:val="26"/>
        </w:rPr>
        <w:t xml:space="preserve"> 96</w:t>
      </w:r>
    </w:p>
    <w:p w:rsidR="00505430" w:rsidRDefault="00505430" w:rsidP="00505430">
      <w:pPr>
        <w:pStyle w:val="FootnoteText"/>
        <w:rPr>
          <w:rFonts w:cs="Arial"/>
          <w:color w:val="1A1A1A"/>
          <w:szCs w:val="26"/>
        </w:rPr>
      </w:pPr>
    </w:p>
    <w:p w:rsidR="0034354D" w:rsidRDefault="0034354D" w:rsidP="00A334E7">
      <w:pPr>
        <w:pStyle w:val="FootnoteText"/>
      </w:pPr>
      <w:r w:rsidRPr="00E617D2">
        <w:t>Xanthaki</w:t>
      </w:r>
      <w:r>
        <w:t xml:space="preserve"> Dr H</w:t>
      </w:r>
      <w:r w:rsidRPr="00E617D2">
        <w:t>, “The Slim Initiative’ (20</w:t>
      </w:r>
      <w:r>
        <w:t xml:space="preserve">01) 22(2) Stat L </w:t>
      </w:r>
      <w:r w:rsidR="00825388">
        <w:t>Rev</w:t>
      </w:r>
      <w:r>
        <w:t xml:space="preserve"> 108</w:t>
      </w:r>
    </w:p>
    <w:p w:rsidR="00505430" w:rsidRDefault="00505430" w:rsidP="00A334E7">
      <w:pPr>
        <w:pStyle w:val="FootnoteText"/>
      </w:pPr>
      <w:r w:rsidRPr="00E617D2">
        <w:t xml:space="preserve"> </w:t>
      </w:r>
      <w:r w:rsidR="00A334E7">
        <w:t>——</w:t>
      </w:r>
      <w:r w:rsidRPr="00E617D2">
        <w:t>‘Drafting Manuals and Quality in Legislation: Positive Contribution towards Certainty in the Law or Impediment to the Necessity for Dynamism of Rules’</w:t>
      </w:r>
      <w:r w:rsidR="00A334E7">
        <w:t xml:space="preserve"> (2010) 4(2) Legisprudence 111</w:t>
      </w:r>
    </w:p>
    <w:p w:rsidR="00BD1206" w:rsidRPr="00F75DF0" w:rsidRDefault="00143C35" w:rsidP="00BC7CE6">
      <w:pPr>
        <w:pStyle w:val="FootnoteText"/>
      </w:pPr>
      <w:r w:rsidRPr="00E617D2">
        <w:t xml:space="preserve"> </w:t>
      </w:r>
      <w:r w:rsidR="00A334E7">
        <w:t>——</w:t>
      </w:r>
      <w:r w:rsidRPr="00E617D2">
        <w:t xml:space="preserve">‘Quality of Legislation: an achievable universal concept or an utopia pursuit?’ in Luzius Mader/ Marta Tavares de Almeida (eds), </w:t>
      </w:r>
      <w:r w:rsidRPr="00E617D2">
        <w:rPr>
          <w:i/>
        </w:rPr>
        <w:t>Quality of Legislation: Principles and Instruments</w:t>
      </w:r>
      <w:r w:rsidR="00A334E7">
        <w:t xml:space="preserve"> (Nomos, 2011) </w:t>
      </w:r>
      <w:r w:rsidR="002317B4">
        <w:t>75</w:t>
      </w:r>
    </w:p>
    <w:sectPr w:rsidR="00BD1206" w:rsidRPr="00F75DF0" w:rsidSect="00010EDF">
      <w:headerReference w:type="default" r:id="rId18"/>
      <w:footerReference w:type="even" r:id="rId19"/>
      <w:footerReference w:type="default" r:id="rId20"/>
      <w:pgSz w:w="11904" w:h="16834"/>
      <w:pgMar w:top="1440" w:right="1440" w:bottom="1440" w:left="1440" w:header="709" w:footer="709" w:gutter="0"/>
      <w:pgNumType w:start="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825" w:rsidRDefault="00EC6A4C">
      <w:r>
        <w:separator/>
      </w:r>
    </w:p>
  </w:endnote>
  <w:endnote w:type="continuationSeparator" w:id="0">
    <w:p w:rsidR="00FF6825" w:rsidRDefault="00EC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911" w:rsidRDefault="00865911" w:rsidP="00921E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5911" w:rsidRDefault="008659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911" w:rsidRDefault="00865911" w:rsidP="00921E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0BAA">
      <w:rPr>
        <w:rStyle w:val="PageNumber"/>
        <w:noProof/>
      </w:rPr>
      <w:t>20</w:t>
    </w:r>
    <w:r>
      <w:rPr>
        <w:rStyle w:val="PageNumber"/>
      </w:rPr>
      <w:fldChar w:fldCharType="end"/>
    </w:r>
  </w:p>
  <w:p w:rsidR="00865911" w:rsidRDefault="008659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825" w:rsidRDefault="00EC6A4C">
      <w:r>
        <w:separator/>
      </w:r>
    </w:p>
  </w:footnote>
  <w:footnote w:type="continuationSeparator" w:id="0">
    <w:p w:rsidR="00FF6825" w:rsidRDefault="00EC6A4C">
      <w:r>
        <w:continuationSeparator/>
      </w:r>
    </w:p>
  </w:footnote>
  <w:footnote w:id="1">
    <w:p w:rsidR="00865911" w:rsidRPr="002C460A" w:rsidRDefault="00865911" w:rsidP="00997CB9">
      <w:pPr>
        <w:pStyle w:val="FootnoteText"/>
        <w:rPr>
          <w:sz w:val="22"/>
        </w:rPr>
      </w:pPr>
      <w:r w:rsidRPr="002C460A">
        <w:rPr>
          <w:rStyle w:val="FootnoteReference"/>
          <w:sz w:val="22"/>
        </w:rPr>
        <w:footnoteRef/>
      </w:r>
      <w:r w:rsidRPr="002C460A">
        <w:rPr>
          <w:sz w:val="22"/>
        </w:rPr>
        <w:t xml:space="preserve"> Gavin Murphy, ‘Extended Parliamentary Power over Regulations in Canada’ (2005) 26(3) Stat L Rev 161; Hermann Pünder, ‘Democratic Legitimation of Delegated Legislation—A Comparative View on the American British and German Law’ (2009) 58 ICLQ 353, 354-5; John Mark Keyes, </w:t>
      </w:r>
      <w:r w:rsidRPr="002C460A">
        <w:rPr>
          <w:i/>
          <w:sz w:val="22"/>
        </w:rPr>
        <w:t>Executive Legislation</w:t>
      </w:r>
      <w:r w:rsidRPr="002C460A">
        <w:rPr>
          <w:sz w:val="22"/>
        </w:rPr>
        <w:t xml:space="preserve"> (2</w:t>
      </w:r>
      <w:r w:rsidRPr="002C460A">
        <w:rPr>
          <w:sz w:val="22"/>
          <w:vertAlign w:val="superscript"/>
        </w:rPr>
        <w:t>nd</w:t>
      </w:r>
      <w:r w:rsidRPr="002C460A">
        <w:rPr>
          <w:sz w:val="22"/>
        </w:rPr>
        <w:t xml:space="preserve"> edn, LexisNexis 2010) 9-17. </w:t>
      </w:r>
    </w:p>
  </w:footnote>
  <w:footnote w:id="2">
    <w:p w:rsidR="00865911" w:rsidRPr="002C460A" w:rsidRDefault="00865911">
      <w:pPr>
        <w:pStyle w:val="FootnoteText"/>
        <w:rPr>
          <w:sz w:val="22"/>
        </w:rPr>
      </w:pPr>
      <w:r w:rsidRPr="002C460A">
        <w:rPr>
          <w:rStyle w:val="FootnoteReference"/>
          <w:sz w:val="22"/>
        </w:rPr>
        <w:footnoteRef/>
      </w:r>
      <w:r w:rsidRPr="002C460A">
        <w:rPr>
          <w:sz w:val="22"/>
        </w:rPr>
        <w:t xml:space="preserve"> ibid; John E Kersell, </w:t>
      </w:r>
      <w:r w:rsidRPr="002C460A">
        <w:rPr>
          <w:i/>
          <w:sz w:val="22"/>
        </w:rPr>
        <w:t xml:space="preserve">Parliamentary Supervision of Delegated Legislation </w:t>
      </w:r>
      <w:r w:rsidRPr="002C460A">
        <w:rPr>
          <w:sz w:val="22"/>
        </w:rPr>
        <w:t>(Stevens &amp; Sons Limited 1960) xi. Robert Schütze, ‘Delegated’ Legislation in the (new) European Union: A Constitutional Analysis’ (2011) 74(5) The Modern Law Rev 661-2;</w:t>
      </w:r>
    </w:p>
  </w:footnote>
  <w:footnote w:id="3">
    <w:p w:rsidR="00865911" w:rsidRPr="002C460A" w:rsidRDefault="00865911" w:rsidP="00FF0F15">
      <w:pPr>
        <w:pStyle w:val="FootnoteText"/>
        <w:rPr>
          <w:sz w:val="22"/>
        </w:rPr>
      </w:pPr>
      <w:r w:rsidRPr="002C460A">
        <w:rPr>
          <w:rStyle w:val="FootnoteReference"/>
          <w:sz w:val="22"/>
        </w:rPr>
        <w:footnoteRef/>
      </w:r>
      <w:r w:rsidRPr="002C460A">
        <w:rPr>
          <w:sz w:val="22"/>
        </w:rPr>
        <w:t xml:space="preserve"> Keyes (n 1) 9-17; Linda Reid, ‘Oversight of Regulations by Parliamentarians’ (Winter 2010) Canadian Parliamentary Rev 6, 7; Murphy (n 1) 161-2; T ST JN Bates, ‘The Future of Parliamentary Scrutiny of Delegated Legislation: Some Judicial Perspectives’ (1998) 19(3) Stat L Rev 155, 157; Department of Justice Canada, </w:t>
      </w:r>
      <w:r w:rsidRPr="002C460A">
        <w:rPr>
          <w:i/>
          <w:sz w:val="22"/>
        </w:rPr>
        <w:t>Federal Regulations Manual</w:t>
      </w:r>
      <w:r w:rsidRPr="002C460A">
        <w:rPr>
          <w:sz w:val="22"/>
        </w:rPr>
        <w:t xml:space="preserve"> (Minister of Public Works and Government Services Canada 1998) pt 1, 1-3 (Federal Regulations Manual). </w:t>
      </w:r>
    </w:p>
  </w:footnote>
  <w:footnote w:id="4">
    <w:p w:rsidR="00865911" w:rsidRPr="002C460A" w:rsidRDefault="00865911">
      <w:pPr>
        <w:pStyle w:val="FootnoteText"/>
        <w:rPr>
          <w:sz w:val="22"/>
        </w:rPr>
      </w:pPr>
      <w:r w:rsidRPr="002C460A">
        <w:rPr>
          <w:rStyle w:val="FootnoteReference"/>
          <w:sz w:val="22"/>
        </w:rPr>
        <w:footnoteRef/>
      </w:r>
      <w:r w:rsidRPr="002C460A">
        <w:rPr>
          <w:sz w:val="22"/>
        </w:rPr>
        <w:t xml:space="preserve"> Bryan P. Schwartz, Matthew Armstrong, Daniel Hildebrand, and Jonah Mozeson, ‘Democratizing the Regulation Making Process in Manitoba: Drawing on National and International Best Practices’ 2011-2012) 35 Man LJ 1, 2-5; Reid (n 3) 8; Murphy (n 1) 162-3. </w:t>
      </w:r>
    </w:p>
  </w:footnote>
  <w:footnote w:id="5">
    <w:p w:rsidR="00865911" w:rsidRPr="001B0048" w:rsidRDefault="00865911">
      <w:pPr>
        <w:pStyle w:val="FootnoteText"/>
        <w:rPr>
          <w:sz w:val="22"/>
        </w:rPr>
      </w:pPr>
      <w:r w:rsidRPr="001B0048">
        <w:rPr>
          <w:rStyle w:val="FootnoteReference"/>
          <w:sz w:val="22"/>
        </w:rPr>
        <w:footnoteRef/>
      </w:r>
      <w:r w:rsidRPr="001B0048">
        <w:rPr>
          <w:sz w:val="22"/>
        </w:rPr>
        <w:t xml:space="preserve"> </w:t>
      </w:r>
      <w:r w:rsidRPr="001B0048">
        <w:rPr>
          <w:i/>
          <w:sz w:val="22"/>
        </w:rPr>
        <w:t>Re Gray</w:t>
      </w:r>
      <w:r w:rsidRPr="001B0048">
        <w:rPr>
          <w:sz w:val="22"/>
        </w:rPr>
        <w:t xml:space="preserve"> (1918) 57 SCR 150 at 170 (SCC) as cited in Keyes (n 1) 109-11; Keyes (n 1) 109-115.</w:t>
      </w:r>
    </w:p>
  </w:footnote>
  <w:footnote w:id="6">
    <w:p w:rsidR="00865911" w:rsidRPr="001B0048" w:rsidRDefault="00865911" w:rsidP="007321CF">
      <w:pPr>
        <w:pStyle w:val="FootnoteText"/>
        <w:rPr>
          <w:sz w:val="22"/>
        </w:rPr>
      </w:pPr>
      <w:r w:rsidRPr="001B0048">
        <w:rPr>
          <w:rStyle w:val="FootnoteReference"/>
          <w:sz w:val="22"/>
        </w:rPr>
        <w:footnoteRef/>
      </w:r>
      <w:r w:rsidRPr="001B0048">
        <w:rPr>
          <w:sz w:val="22"/>
        </w:rPr>
        <w:t xml:space="preserve"> Federal Regulations Manual (n 3) 2; Keyes (n 1) 9-12.</w:t>
      </w:r>
    </w:p>
  </w:footnote>
  <w:footnote w:id="7">
    <w:p w:rsidR="00865911" w:rsidRPr="001B0048" w:rsidRDefault="00865911" w:rsidP="008C6FF1">
      <w:pPr>
        <w:pStyle w:val="FootnoteText"/>
        <w:rPr>
          <w:sz w:val="22"/>
        </w:rPr>
      </w:pPr>
      <w:r w:rsidRPr="001B0048">
        <w:rPr>
          <w:rStyle w:val="FootnoteReference"/>
          <w:sz w:val="22"/>
        </w:rPr>
        <w:footnoteRef/>
      </w:r>
      <w:r w:rsidRPr="001B0048">
        <w:rPr>
          <w:sz w:val="22"/>
        </w:rPr>
        <w:t xml:space="preserve"> G. Brice Doern, Michael J. Prince, and Richard Schultz, </w:t>
      </w:r>
      <w:r w:rsidRPr="001B0048">
        <w:rPr>
          <w:i/>
          <w:sz w:val="22"/>
        </w:rPr>
        <w:t>Rules and Unruliness – Canadian Regulatory Democracy, Governance, Capitalism and Welfarism</w:t>
      </w:r>
      <w:r w:rsidRPr="001B0048">
        <w:rPr>
          <w:sz w:val="22"/>
        </w:rPr>
        <w:t xml:space="preserve"> (McGill-Queen’s University Press 2014) 98-102, 319; Schwartz (n 4) 20-1; Federal Regulations Manual (n 3) pt 2, 1; Treasury Board of Canada Secretariat, ‘Cabinet Directive on Regulatory Management’ (2012) (Cabinet Directive) &lt;</w:t>
      </w:r>
      <w:hyperlink r:id="rId1" w:history="1">
        <w:r w:rsidRPr="001B0048">
          <w:rPr>
            <w:rStyle w:val="Hyperlink"/>
            <w:sz w:val="22"/>
          </w:rPr>
          <w:t>http://www.tbs-sct.gc.ca/rtrap-parfa/cdrm-dcgr/cdrm-dcgrtb-eng.asp</w:t>
        </w:r>
      </w:hyperlink>
      <w:r w:rsidRPr="001B0048">
        <w:rPr>
          <w:sz w:val="22"/>
        </w:rPr>
        <w:t>&gt; accessed on 21 July 2015.</w:t>
      </w:r>
    </w:p>
  </w:footnote>
  <w:footnote w:id="8">
    <w:p w:rsidR="00865911" w:rsidRPr="001B0048" w:rsidRDefault="00865911" w:rsidP="00800BEF">
      <w:pPr>
        <w:pStyle w:val="FootnoteText"/>
        <w:rPr>
          <w:sz w:val="22"/>
        </w:rPr>
      </w:pPr>
      <w:r w:rsidRPr="001B0048">
        <w:rPr>
          <w:rStyle w:val="FootnoteReference"/>
          <w:sz w:val="22"/>
        </w:rPr>
        <w:footnoteRef/>
      </w:r>
      <w:r w:rsidRPr="001B0048">
        <w:rPr>
          <w:sz w:val="22"/>
        </w:rPr>
        <w:t xml:space="preserve"> </w:t>
      </w:r>
      <w:r w:rsidRPr="001B0048">
        <w:rPr>
          <w:i/>
          <w:sz w:val="22"/>
        </w:rPr>
        <w:t xml:space="preserve">Statutory Instruments Act, </w:t>
      </w:r>
      <w:r w:rsidRPr="001B0048">
        <w:rPr>
          <w:sz w:val="22"/>
        </w:rPr>
        <w:t xml:space="preserve">RSC, 1985, c S-22, ss 2, 3, 5, 11, 19 (SIA); Cynthia Kirkby, ‘Legislative Summary – Bill S-2: An Act to amend the Statutory Instruments Act and to make consequential amendments to the Statutory Instrument Regulations’ (20 October 2013) Library of Parliament, 1-2 &lt; </w:t>
      </w:r>
      <w:hyperlink r:id="rId2" w:history="1">
        <w:r w:rsidRPr="001B0048">
          <w:rPr>
            <w:rStyle w:val="Hyperlink"/>
            <w:sz w:val="22"/>
          </w:rPr>
          <w:t>http://www.parl.gc.ca/Content/LOP/ResearchPublications/ls412-e.htm</w:t>
        </w:r>
      </w:hyperlink>
      <w:r w:rsidRPr="001B0048">
        <w:rPr>
          <w:sz w:val="22"/>
        </w:rPr>
        <w:t>&gt; accessed 23 August 2015; Federal Regulations</w:t>
      </w:r>
      <w:r w:rsidRPr="001B0048">
        <w:rPr>
          <w:i/>
          <w:sz w:val="22"/>
        </w:rPr>
        <w:t xml:space="preserve"> </w:t>
      </w:r>
      <w:r w:rsidRPr="001B0048">
        <w:rPr>
          <w:sz w:val="22"/>
        </w:rPr>
        <w:t>Manual (n 2) part 2, 1; Doern (n 7) 100-1.</w:t>
      </w:r>
    </w:p>
  </w:footnote>
  <w:footnote w:id="9">
    <w:p w:rsidR="00865911" w:rsidRPr="001B0048" w:rsidRDefault="00865911">
      <w:pPr>
        <w:pStyle w:val="FootnoteText"/>
        <w:rPr>
          <w:sz w:val="22"/>
        </w:rPr>
      </w:pPr>
      <w:r w:rsidRPr="001B0048">
        <w:rPr>
          <w:rStyle w:val="FootnoteReference"/>
          <w:sz w:val="22"/>
        </w:rPr>
        <w:footnoteRef/>
      </w:r>
      <w:r w:rsidRPr="001B0048">
        <w:rPr>
          <w:sz w:val="22"/>
        </w:rPr>
        <w:t xml:space="preserve"> Governor in Council refers to the Governor General of Canada acting on the advice of the Queen’s Privy Council, which is the Cabinet (Treasury Board of Canada Secretariat, ‘Guide to the Federal Regulatory Development Process’</w:t>
      </w:r>
      <w:r w:rsidRPr="001B0048">
        <w:rPr>
          <w:i/>
          <w:sz w:val="22"/>
        </w:rPr>
        <w:t xml:space="preserve"> </w:t>
      </w:r>
      <w:r w:rsidRPr="001B0048">
        <w:rPr>
          <w:sz w:val="22"/>
        </w:rPr>
        <w:t xml:space="preserve">(2014) 4 (Regulatory Process Guide) </w:t>
      </w:r>
      <w:r w:rsidRPr="001B0048">
        <w:rPr>
          <w:i/>
          <w:sz w:val="22"/>
        </w:rPr>
        <w:t>&lt;</w:t>
      </w:r>
      <w:hyperlink r:id="rId3" w:history="1">
        <w:r w:rsidRPr="001B0048">
          <w:rPr>
            <w:rStyle w:val="Hyperlink"/>
            <w:sz w:val="22"/>
          </w:rPr>
          <w:t>http://www.tbs-sct.gc.ca/rtrap-parfa/gfrpg-gperf/gfrpg-gperftb-eng.asp</w:t>
        </w:r>
      </w:hyperlink>
      <w:r w:rsidRPr="001B0048">
        <w:rPr>
          <w:sz w:val="22"/>
        </w:rPr>
        <w:t xml:space="preserve"> &gt; accessed on 20 July 2015).</w:t>
      </w:r>
    </w:p>
  </w:footnote>
  <w:footnote w:id="10">
    <w:p w:rsidR="00865911" w:rsidRPr="002C460A" w:rsidRDefault="00865911">
      <w:pPr>
        <w:pStyle w:val="FootnoteText"/>
        <w:rPr>
          <w:sz w:val="22"/>
        </w:rPr>
      </w:pPr>
      <w:r w:rsidRPr="001B0048">
        <w:rPr>
          <w:rStyle w:val="FootnoteReference"/>
          <w:sz w:val="22"/>
        </w:rPr>
        <w:footnoteRef/>
      </w:r>
      <w:r w:rsidRPr="001B0048">
        <w:rPr>
          <w:sz w:val="22"/>
        </w:rPr>
        <w:t xml:space="preserve"> Regulatory Process Guide (n 9) 3; Doern (n 7) 98-102.</w:t>
      </w:r>
    </w:p>
  </w:footnote>
  <w:footnote w:id="11">
    <w:p w:rsidR="00865911" w:rsidRPr="001B0048" w:rsidRDefault="00865911" w:rsidP="00677905">
      <w:pPr>
        <w:pStyle w:val="FootnoteText"/>
        <w:rPr>
          <w:sz w:val="22"/>
        </w:rPr>
      </w:pPr>
      <w:r w:rsidRPr="001B0048">
        <w:rPr>
          <w:rStyle w:val="FootnoteReference"/>
          <w:sz w:val="22"/>
        </w:rPr>
        <w:footnoteRef/>
      </w:r>
      <w:r w:rsidRPr="001B0048">
        <w:rPr>
          <w:sz w:val="22"/>
        </w:rPr>
        <w:t xml:space="preserve"> </w:t>
      </w:r>
      <w:r w:rsidRPr="001B0048">
        <w:rPr>
          <w:i/>
          <w:sz w:val="22"/>
        </w:rPr>
        <w:t xml:space="preserve">National Defence Act, </w:t>
      </w:r>
      <w:r>
        <w:rPr>
          <w:sz w:val="22"/>
        </w:rPr>
        <w:t xml:space="preserve">RSC, 1985, c N-5, s </w:t>
      </w:r>
      <w:r w:rsidRPr="001B0048">
        <w:rPr>
          <w:sz w:val="22"/>
        </w:rPr>
        <w:t>12 (NDA).</w:t>
      </w:r>
    </w:p>
  </w:footnote>
  <w:footnote w:id="12">
    <w:p w:rsidR="00865911" w:rsidRPr="001B0048" w:rsidRDefault="00865911">
      <w:pPr>
        <w:pStyle w:val="FootnoteText"/>
        <w:rPr>
          <w:sz w:val="22"/>
        </w:rPr>
      </w:pPr>
      <w:r w:rsidRPr="001B0048">
        <w:rPr>
          <w:rStyle w:val="FootnoteReference"/>
          <w:sz w:val="22"/>
        </w:rPr>
        <w:footnoteRef/>
      </w:r>
      <w:r>
        <w:rPr>
          <w:sz w:val="22"/>
        </w:rPr>
        <w:t xml:space="preserve"> NDA (n 11) s</w:t>
      </w:r>
      <w:r w:rsidRPr="001B0048">
        <w:rPr>
          <w:sz w:val="22"/>
        </w:rPr>
        <w:t xml:space="preserve"> 12; Vihar Joshi, ‘Should regulations made under section 12 of the National Defence Act continue to be exempt from the procedural requirements relating to the making of subordinate legislation in Canada’ (DCL Paper, University of Ottawa Faculty of Law 1998) 2-6. The Treasury Board is a committee of Cabinet ministers, and its </w:t>
      </w:r>
      <w:r w:rsidRPr="001B0048">
        <w:rPr>
          <w:rFonts w:cs="Helvetica Neue"/>
          <w:color w:val="262626"/>
          <w:sz w:val="22"/>
          <w:szCs w:val="32"/>
        </w:rPr>
        <w:t xml:space="preserve">responsibilities include accountability and ethics; financial, personnel and administrative management; and providing advice to the Governor in Council on regulatory proposals </w:t>
      </w:r>
      <w:r w:rsidRPr="001B0048">
        <w:rPr>
          <w:sz w:val="22"/>
        </w:rPr>
        <w:t xml:space="preserve">(Regulatory Process Guide (n 9) 4; Treasury Board of Canada Secretariat website &lt; </w:t>
      </w:r>
      <w:hyperlink r:id="rId4" w:history="1">
        <w:r w:rsidRPr="001B0048">
          <w:rPr>
            <w:rStyle w:val="Hyperlink"/>
            <w:sz w:val="22"/>
          </w:rPr>
          <w:t>http://www.tbs-sct.gc.ca/tbs-sct/abu-ans/tb-ct/abu-ans-eng.asp</w:t>
        </w:r>
      </w:hyperlink>
      <w:r w:rsidRPr="001B0048">
        <w:rPr>
          <w:sz w:val="22"/>
        </w:rPr>
        <w:t xml:space="preserve"> &gt; accessed 23 August 2015).</w:t>
      </w:r>
    </w:p>
  </w:footnote>
  <w:footnote w:id="13">
    <w:p w:rsidR="00865911" w:rsidRPr="001B0048" w:rsidRDefault="00865911" w:rsidP="00D20A77">
      <w:pPr>
        <w:pStyle w:val="FootnoteText"/>
        <w:rPr>
          <w:sz w:val="22"/>
        </w:rPr>
      </w:pPr>
      <w:r w:rsidRPr="001B0048">
        <w:rPr>
          <w:rStyle w:val="FootnoteReference"/>
          <w:sz w:val="22"/>
        </w:rPr>
        <w:footnoteRef/>
      </w:r>
      <w:r w:rsidRPr="001B0048">
        <w:rPr>
          <w:i/>
          <w:sz w:val="22"/>
        </w:rPr>
        <w:t xml:space="preserve"> The Queen’s Regulations and Orders for the Canadian Forces </w:t>
      </w:r>
      <w:r w:rsidRPr="001B0048">
        <w:rPr>
          <w:sz w:val="22"/>
        </w:rPr>
        <w:t>(</w:t>
      </w:r>
      <w:r w:rsidRPr="001B0048">
        <w:rPr>
          <w:i/>
          <w:sz w:val="22"/>
        </w:rPr>
        <w:t>National Defence and the Canadian Armed Forces)</w:t>
      </w:r>
      <w:r w:rsidRPr="001B0048">
        <w:rPr>
          <w:sz w:val="22"/>
        </w:rPr>
        <w:t xml:space="preserve"> (QR&amp;O) National Defence and the Canadian Armed Forces,  &lt;</w:t>
      </w:r>
      <w:hyperlink r:id="rId5" w:history="1">
        <w:r w:rsidRPr="001B0048">
          <w:rPr>
            <w:rStyle w:val="Hyperlink"/>
            <w:sz w:val="22"/>
          </w:rPr>
          <w:t>http://www.forces.gc.ca/en/about-policies-standards-queens-regulations-orders/index.page</w:t>
        </w:r>
      </w:hyperlink>
      <w:r w:rsidRPr="001B0048">
        <w:rPr>
          <w:sz w:val="22"/>
        </w:rPr>
        <w:t>&gt; accessed 23 August 2015.</w:t>
      </w:r>
    </w:p>
  </w:footnote>
  <w:footnote w:id="14">
    <w:p w:rsidR="00865911" w:rsidRPr="002C460A" w:rsidRDefault="00865911" w:rsidP="009C096C">
      <w:pPr>
        <w:pStyle w:val="FootnoteText"/>
        <w:rPr>
          <w:i/>
          <w:sz w:val="22"/>
        </w:rPr>
      </w:pPr>
      <w:r w:rsidRPr="001B0048">
        <w:rPr>
          <w:rStyle w:val="FootnoteReference"/>
          <w:sz w:val="22"/>
        </w:rPr>
        <w:footnoteRef/>
      </w:r>
      <w:r w:rsidRPr="001B0048">
        <w:rPr>
          <w:sz w:val="22"/>
        </w:rPr>
        <w:t xml:space="preserve"> SIA (n 8) ss. 3, 5, and 11; </w:t>
      </w:r>
      <w:r w:rsidRPr="001B0048">
        <w:rPr>
          <w:i/>
          <w:sz w:val="22"/>
        </w:rPr>
        <w:t xml:space="preserve">Statutory Instruments Regulations, </w:t>
      </w:r>
      <w:r w:rsidRPr="001B0048">
        <w:rPr>
          <w:sz w:val="22"/>
        </w:rPr>
        <w:t>CRC,</w:t>
      </w:r>
      <w:r>
        <w:rPr>
          <w:sz w:val="22"/>
        </w:rPr>
        <w:t xml:space="preserve"> c 1509, s</w:t>
      </w:r>
      <w:r w:rsidRPr="001B0048">
        <w:rPr>
          <w:sz w:val="22"/>
        </w:rPr>
        <w:t xml:space="preserve"> 7 (SIR); Joshi (n 12) 9-12.</w:t>
      </w:r>
    </w:p>
  </w:footnote>
  <w:footnote w:id="15">
    <w:p w:rsidR="00865911" w:rsidRPr="001B0048" w:rsidRDefault="00865911" w:rsidP="00A37919">
      <w:pPr>
        <w:pStyle w:val="FootnoteText"/>
        <w:rPr>
          <w:sz w:val="22"/>
        </w:rPr>
      </w:pPr>
      <w:r w:rsidRPr="001B0048">
        <w:rPr>
          <w:rStyle w:val="FootnoteReference"/>
          <w:sz w:val="22"/>
        </w:rPr>
        <w:footnoteRef/>
      </w:r>
      <w:r w:rsidRPr="001B0048">
        <w:rPr>
          <w:sz w:val="22"/>
        </w:rPr>
        <w:t xml:space="preserve"> Interview with Lieutenant-Colonel André Dufour, Director of Law/ Military Justice Operations, Office of the Judge Advocate General of the Canadian Armed Forces (Ottawa, Canada, 16 July 2015); Interview with Major Geneviève Lortie, Directorate of Law/ Military Justice Operations, Office of the Judge Advocate General of the Canadian Armed Forces (Ottawa, Canada, 17 July 2015).</w:t>
      </w:r>
    </w:p>
  </w:footnote>
  <w:footnote w:id="16">
    <w:p w:rsidR="00865911" w:rsidRPr="001B0048" w:rsidRDefault="00865911">
      <w:pPr>
        <w:pStyle w:val="FootnoteText"/>
        <w:rPr>
          <w:sz w:val="22"/>
        </w:rPr>
      </w:pPr>
      <w:r w:rsidRPr="001B0048">
        <w:rPr>
          <w:rStyle w:val="FootnoteReference"/>
          <w:sz w:val="22"/>
        </w:rPr>
        <w:footnoteRef/>
      </w:r>
      <w:r w:rsidRPr="001B0048">
        <w:rPr>
          <w:sz w:val="22"/>
        </w:rPr>
        <w:t xml:space="preserve"> ibid.</w:t>
      </w:r>
    </w:p>
  </w:footnote>
  <w:footnote w:id="17">
    <w:p w:rsidR="00865911" w:rsidRPr="001B0048" w:rsidRDefault="00865911" w:rsidP="00310D03">
      <w:pPr>
        <w:pStyle w:val="FootnoteText"/>
        <w:rPr>
          <w:sz w:val="22"/>
        </w:rPr>
      </w:pPr>
      <w:r w:rsidRPr="001B0048">
        <w:rPr>
          <w:rStyle w:val="FootnoteReference"/>
          <w:sz w:val="22"/>
        </w:rPr>
        <w:footnoteRef/>
      </w:r>
      <w:r w:rsidRPr="001B0048">
        <w:rPr>
          <w:sz w:val="22"/>
        </w:rPr>
        <w:t xml:space="preserve"> Maria Mousmati, ‘Operalising Quality of Legislation through the Effectiveness Test’ (2012) 6(2) Legisprudence 191, 192-3. See also Wim Voermans, ‘Concern about the Quality of EU Legislation: What Kind of Problem by what Kind of Standard’ (2009) 02(01) Erasmus Law Rev, 59, 61-4.</w:t>
      </w:r>
    </w:p>
  </w:footnote>
  <w:footnote w:id="18">
    <w:p w:rsidR="00865911" w:rsidRPr="001B0048" w:rsidRDefault="00865911" w:rsidP="00310D03">
      <w:pPr>
        <w:pStyle w:val="FootnoteText"/>
        <w:rPr>
          <w:sz w:val="22"/>
        </w:rPr>
      </w:pPr>
      <w:r w:rsidRPr="001B0048">
        <w:rPr>
          <w:rStyle w:val="FootnoteReference"/>
          <w:sz w:val="22"/>
        </w:rPr>
        <w:footnoteRef/>
      </w:r>
      <w:r w:rsidRPr="001B0048">
        <w:rPr>
          <w:sz w:val="22"/>
        </w:rPr>
        <w:t xml:space="preserve"> Vareen Vanterpool, ‘A Critical Look at Achieving Quality in Legislation’ (2007) 9 Eur JL Reform 167, 169-71; Helen Xanthaki, ‘Drafting Manuals and Quality in Legislation: Positive Contribution towards Certainty in the Law or Impediment to the Necessity for Dynamism of Rules’ (2010) 4(2) Legisprudence 111; H. Xanthaki, ‘Quality of Legislation: an achievable universal concept or an utopia pursuit?’ in Luzius Mader/ Marta Tavares de Almeida (eds), </w:t>
      </w:r>
      <w:r w:rsidRPr="001B0048">
        <w:rPr>
          <w:i/>
          <w:sz w:val="22"/>
        </w:rPr>
        <w:t>Quality of Legislation: Principles and Instruments</w:t>
      </w:r>
      <w:r w:rsidRPr="001B0048">
        <w:rPr>
          <w:sz w:val="22"/>
        </w:rPr>
        <w:t xml:space="preserve"> (Nomos, 2011) 75, 81-3; Esther Majambere ‘Clarity, precision and unambiguity: aspects for effective legislative drafting’ (2011) 37(3) Commonwealth Law Bulletin 417; Maria Mousmati (n 17) 201; Alain Songa Gashabizi, ‘In pursuit of clarity; how far should the drafter go?’ (2013) 29(3) Commonwealth Law Bulletin 415.</w:t>
      </w:r>
    </w:p>
  </w:footnote>
  <w:footnote w:id="19">
    <w:p w:rsidR="00865911" w:rsidRPr="002C460A" w:rsidRDefault="00865911" w:rsidP="00310D03">
      <w:pPr>
        <w:pStyle w:val="FootnoteText"/>
        <w:rPr>
          <w:sz w:val="22"/>
        </w:rPr>
      </w:pPr>
      <w:r w:rsidRPr="001B0048">
        <w:rPr>
          <w:rStyle w:val="FootnoteReference"/>
          <w:sz w:val="22"/>
        </w:rPr>
        <w:footnoteRef/>
      </w:r>
      <w:r w:rsidRPr="001B0048">
        <w:rPr>
          <w:sz w:val="22"/>
        </w:rPr>
        <w:t xml:space="preserve"> Voermans (n 17) 61-4; Mousmati (n 17) 201; Victoria E. Aitken ‘An exposition of legislative quality and its relevance for effective development’ (2013) 2 (Loyola University Chicago) &lt;</w:t>
      </w:r>
      <w:hyperlink r:id="rId6" w:history="1">
        <w:r w:rsidRPr="001B0048">
          <w:rPr>
            <w:rStyle w:val="Hyperlink"/>
            <w:sz w:val="22"/>
          </w:rPr>
          <w:t>http://www.luc.edu/media/lucedu/prolaw/documents/AITKEN%20FINAL%20ARTICLE.pdf</w:t>
        </w:r>
      </w:hyperlink>
      <w:r w:rsidRPr="001B0048">
        <w:rPr>
          <w:sz w:val="22"/>
        </w:rPr>
        <w:t xml:space="preserve"> &gt; accessed 22 July 2015.</w:t>
      </w:r>
    </w:p>
  </w:footnote>
  <w:footnote w:id="20">
    <w:p w:rsidR="00865911" w:rsidRPr="002C460A" w:rsidRDefault="00865911" w:rsidP="007E561E">
      <w:pPr>
        <w:pStyle w:val="FootnoteText"/>
        <w:rPr>
          <w:sz w:val="22"/>
        </w:rPr>
      </w:pPr>
      <w:r w:rsidRPr="002C460A">
        <w:rPr>
          <w:rStyle w:val="FootnoteReference"/>
          <w:sz w:val="22"/>
        </w:rPr>
        <w:footnoteRef/>
      </w:r>
      <w:r w:rsidRPr="002C460A">
        <w:rPr>
          <w:sz w:val="22"/>
        </w:rPr>
        <w:t xml:space="preserve"> Dr. Helen Xanthaki, “The Slim Initiative’ (2001) 22(2) Stat L Rev. 108, 114; Alexandre Flückiger, ‘Can Better Regulations be Achieved by Guiding Parliaments and Governments? How the Definition of the Quality of Legislation Affects Law Improvement Methods’ (2010</w:t>
      </w:r>
      <w:r>
        <w:rPr>
          <w:sz w:val="22"/>
        </w:rPr>
        <w:t>) 4(2) Legisprudence 213, 214-5</w:t>
      </w:r>
      <w:r w:rsidRPr="002C460A">
        <w:rPr>
          <w:sz w:val="22"/>
        </w:rPr>
        <w:t xml:space="preserve">; Tímea Drinóczi, ‘Concept of Quality in Legislation – Revisited: Matter of Perspective and a General Overview’ (2015) Stat L Rev (forthcoming) 1-3. </w:t>
      </w:r>
    </w:p>
  </w:footnote>
  <w:footnote w:id="21">
    <w:p w:rsidR="00865911" w:rsidRPr="002C460A" w:rsidRDefault="00865911" w:rsidP="00FA7237">
      <w:pPr>
        <w:pStyle w:val="FootnoteText"/>
        <w:rPr>
          <w:sz w:val="22"/>
        </w:rPr>
      </w:pPr>
      <w:r w:rsidRPr="002C460A">
        <w:rPr>
          <w:rStyle w:val="FootnoteReference"/>
          <w:sz w:val="22"/>
        </w:rPr>
        <w:footnoteRef/>
      </w:r>
      <w:r>
        <w:rPr>
          <w:sz w:val="22"/>
        </w:rPr>
        <w:t xml:space="preserve"> Flückiger (n 20</w:t>
      </w:r>
      <w:r w:rsidRPr="002C460A">
        <w:rPr>
          <w:sz w:val="22"/>
        </w:rPr>
        <w:t>) 214.</w:t>
      </w:r>
    </w:p>
  </w:footnote>
  <w:footnote w:id="22">
    <w:p w:rsidR="00865911" w:rsidRPr="002C460A" w:rsidRDefault="00865911" w:rsidP="00476452">
      <w:pPr>
        <w:pStyle w:val="FootnoteText"/>
        <w:rPr>
          <w:sz w:val="22"/>
        </w:rPr>
      </w:pPr>
      <w:r w:rsidRPr="002C460A">
        <w:rPr>
          <w:rStyle w:val="FootnoteReference"/>
          <w:sz w:val="22"/>
        </w:rPr>
        <w:footnoteRef/>
      </w:r>
      <w:r>
        <w:rPr>
          <w:sz w:val="22"/>
        </w:rPr>
        <w:t xml:space="preserve"> Flückiger (n 20</w:t>
      </w:r>
      <w:r w:rsidRPr="002C460A">
        <w:rPr>
          <w:sz w:val="22"/>
        </w:rPr>
        <w:t>) 214-5.</w:t>
      </w:r>
    </w:p>
  </w:footnote>
  <w:footnote w:id="23">
    <w:p w:rsidR="00865911" w:rsidRPr="002C460A" w:rsidRDefault="00865911">
      <w:pPr>
        <w:pStyle w:val="FootnoteText"/>
        <w:rPr>
          <w:sz w:val="22"/>
        </w:rPr>
      </w:pPr>
      <w:r w:rsidRPr="002C460A">
        <w:rPr>
          <w:rStyle w:val="FootnoteReference"/>
          <w:sz w:val="22"/>
        </w:rPr>
        <w:footnoteRef/>
      </w:r>
      <w:r>
        <w:rPr>
          <w:sz w:val="22"/>
        </w:rPr>
        <w:t xml:space="preserve"> QR&amp;O (n 13</w:t>
      </w:r>
      <w:r w:rsidRPr="002C460A">
        <w:rPr>
          <w:sz w:val="22"/>
        </w:rPr>
        <w:t>) art 1.23.</w:t>
      </w:r>
    </w:p>
  </w:footnote>
  <w:footnote w:id="24">
    <w:p w:rsidR="00865911" w:rsidRPr="002C460A" w:rsidRDefault="00865911">
      <w:pPr>
        <w:pStyle w:val="FootnoteText"/>
        <w:rPr>
          <w:sz w:val="22"/>
        </w:rPr>
      </w:pPr>
      <w:r w:rsidRPr="002C460A">
        <w:rPr>
          <w:rStyle w:val="FootnoteReference"/>
          <w:sz w:val="22"/>
        </w:rPr>
        <w:footnoteRef/>
      </w:r>
      <w:r w:rsidRPr="002C460A">
        <w:rPr>
          <w:sz w:val="22"/>
        </w:rPr>
        <w:t xml:space="preserve"> ibid, art 1.095.</w:t>
      </w:r>
    </w:p>
  </w:footnote>
  <w:footnote w:id="25">
    <w:p w:rsidR="00865911" w:rsidRPr="002C460A" w:rsidRDefault="00865911" w:rsidP="00C20BFF">
      <w:pPr>
        <w:pStyle w:val="FootnoteText"/>
        <w:rPr>
          <w:sz w:val="22"/>
        </w:rPr>
      </w:pPr>
      <w:r w:rsidRPr="002C460A">
        <w:rPr>
          <w:rStyle w:val="FootnoteReference"/>
          <w:sz w:val="22"/>
        </w:rPr>
        <w:footnoteRef/>
      </w:r>
      <w:r w:rsidRPr="002C460A">
        <w:rPr>
          <w:sz w:val="22"/>
        </w:rPr>
        <w:t xml:space="preserve"> </w:t>
      </w:r>
      <w:r w:rsidRPr="002C460A">
        <w:rPr>
          <w:i/>
          <w:sz w:val="22"/>
        </w:rPr>
        <w:t xml:space="preserve">The King’s Regulations and Orders for the Canadian Army </w:t>
      </w:r>
      <w:r w:rsidRPr="002C460A">
        <w:rPr>
          <w:sz w:val="22"/>
        </w:rPr>
        <w:t xml:space="preserve">(King’s Printer and Controller of Stationery 1951); </w:t>
      </w:r>
      <w:r w:rsidRPr="002C460A">
        <w:rPr>
          <w:i/>
          <w:sz w:val="22"/>
        </w:rPr>
        <w:t xml:space="preserve">The King’s Regulations and Orders for the Royal Canadian Air Force </w:t>
      </w:r>
      <w:r w:rsidRPr="002C460A">
        <w:rPr>
          <w:sz w:val="22"/>
        </w:rPr>
        <w:t>(King’s Printer and Controller of Stationery 1951);</w:t>
      </w:r>
      <w:r w:rsidRPr="002C460A">
        <w:rPr>
          <w:i/>
          <w:sz w:val="22"/>
        </w:rPr>
        <w:t xml:space="preserve"> The King’s Regulations and Orders for the Royal Canadian Navy </w:t>
      </w:r>
      <w:r w:rsidRPr="002C460A">
        <w:rPr>
          <w:sz w:val="22"/>
        </w:rPr>
        <w:t>(King’s Printer and Controller of Stationery 1951).</w:t>
      </w:r>
    </w:p>
  </w:footnote>
  <w:footnote w:id="26">
    <w:p w:rsidR="00865911" w:rsidRPr="002C460A" w:rsidRDefault="00865911" w:rsidP="00C20BFF">
      <w:pPr>
        <w:pStyle w:val="FootnoteText"/>
        <w:rPr>
          <w:sz w:val="22"/>
        </w:rPr>
      </w:pPr>
      <w:r w:rsidRPr="002C460A">
        <w:rPr>
          <w:rStyle w:val="FootnoteReference"/>
          <w:sz w:val="22"/>
        </w:rPr>
        <w:footnoteRef/>
      </w:r>
      <w:r w:rsidRPr="002C460A">
        <w:rPr>
          <w:sz w:val="22"/>
        </w:rPr>
        <w:t xml:space="preserve"> </w:t>
      </w:r>
      <w:r w:rsidRPr="002C460A">
        <w:rPr>
          <w:i/>
          <w:sz w:val="22"/>
        </w:rPr>
        <w:t>The Queen’s Regulations and Orders for the Canadian Forces</w:t>
      </w:r>
      <w:r w:rsidRPr="002C460A">
        <w:rPr>
          <w:sz w:val="22"/>
        </w:rPr>
        <w:t xml:space="preserve"> (Queen’s Printer and Controller of Stationary 1965).</w:t>
      </w:r>
    </w:p>
  </w:footnote>
  <w:footnote w:id="27">
    <w:p w:rsidR="00865911" w:rsidRPr="002C460A" w:rsidRDefault="00865911">
      <w:pPr>
        <w:pStyle w:val="FootnoteText"/>
        <w:rPr>
          <w:sz w:val="22"/>
        </w:rPr>
      </w:pPr>
      <w:r w:rsidRPr="002C460A">
        <w:rPr>
          <w:rStyle w:val="FootnoteReference"/>
          <w:sz w:val="22"/>
        </w:rPr>
        <w:footnoteRef/>
      </w:r>
      <w:r w:rsidRPr="002C460A">
        <w:rPr>
          <w:sz w:val="22"/>
        </w:rPr>
        <w:t xml:space="preserve"> ibid, art 1.24(2).</w:t>
      </w:r>
    </w:p>
  </w:footnote>
  <w:footnote w:id="28">
    <w:p w:rsidR="00865911" w:rsidRPr="002C460A" w:rsidRDefault="00865911" w:rsidP="00967F6B">
      <w:pPr>
        <w:pStyle w:val="FootnoteText"/>
        <w:rPr>
          <w:sz w:val="22"/>
        </w:rPr>
      </w:pPr>
      <w:r w:rsidRPr="002C460A">
        <w:rPr>
          <w:rStyle w:val="FootnoteReference"/>
          <w:sz w:val="22"/>
        </w:rPr>
        <w:footnoteRef/>
      </w:r>
      <w:r w:rsidRPr="002C460A">
        <w:rPr>
          <w:sz w:val="22"/>
        </w:rPr>
        <w:t xml:space="preserve"> The </w:t>
      </w:r>
      <w:r w:rsidRPr="002C460A">
        <w:rPr>
          <w:i/>
          <w:sz w:val="22"/>
        </w:rPr>
        <w:t xml:space="preserve">Code of Service Discipline </w:t>
      </w:r>
      <w:r w:rsidRPr="002C460A">
        <w:rPr>
          <w:sz w:val="22"/>
        </w:rPr>
        <w:t>comprises Part III of the NDA and provides the legal basis for the military justice syst</w:t>
      </w:r>
      <w:r>
        <w:rPr>
          <w:sz w:val="22"/>
        </w:rPr>
        <w:t>em for the CAF; QR&amp;O (n 13</w:t>
      </w:r>
      <w:r w:rsidRPr="002C460A">
        <w:rPr>
          <w:sz w:val="22"/>
        </w:rPr>
        <w:t>) art. 1.03.</w:t>
      </w:r>
    </w:p>
  </w:footnote>
  <w:footnote w:id="29">
    <w:p w:rsidR="00865911" w:rsidRPr="001B0048" w:rsidRDefault="00865911">
      <w:pPr>
        <w:pStyle w:val="FootnoteText"/>
        <w:rPr>
          <w:sz w:val="22"/>
        </w:rPr>
      </w:pPr>
      <w:r w:rsidRPr="001B0048">
        <w:rPr>
          <w:rStyle w:val="FootnoteReference"/>
          <w:sz w:val="22"/>
        </w:rPr>
        <w:footnoteRef/>
      </w:r>
      <w:r w:rsidRPr="001B0048">
        <w:rPr>
          <w:sz w:val="22"/>
        </w:rPr>
        <w:t xml:space="preserve"> Regulatory Process Guide (n 9) 3.</w:t>
      </w:r>
    </w:p>
  </w:footnote>
  <w:footnote w:id="30">
    <w:p w:rsidR="00865911" w:rsidRPr="001B0048" w:rsidRDefault="00865911" w:rsidP="00792280">
      <w:pPr>
        <w:pStyle w:val="FootnoteText"/>
        <w:rPr>
          <w:sz w:val="22"/>
        </w:rPr>
      </w:pPr>
      <w:r w:rsidRPr="001B0048">
        <w:rPr>
          <w:rStyle w:val="FootnoteReference"/>
          <w:sz w:val="22"/>
        </w:rPr>
        <w:footnoteRef/>
      </w:r>
      <w:r w:rsidRPr="001B0048">
        <w:rPr>
          <w:sz w:val="22"/>
        </w:rPr>
        <w:t xml:space="preserve"> SIA (n 8) ss. 3-11, 19; Federal Regulations Manual (n 2) 5-19; Kirkby (n 8) 1-2.</w:t>
      </w:r>
    </w:p>
  </w:footnote>
  <w:footnote w:id="31">
    <w:p w:rsidR="00865911" w:rsidRPr="001B0048" w:rsidRDefault="00865911">
      <w:pPr>
        <w:pStyle w:val="FootnoteText"/>
        <w:rPr>
          <w:sz w:val="22"/>
        </w:rPr>
      </w:pPr>
      <w:r w:rsidRPr="001B0048">
        <w:rPr>
          <w:rStyle w:val="FootnoteReference"/>
          <w:sz w:val="22"/>
        </w:rPr>
        <w:footnoteRef/>
      </w:r>
      <w:r w:rsidRPr="001B0048">
        <w:rPr>
          <w:sz w:val="22"/>
        </w:rPr>
        <w:t xml:space="preserve"> The Treasury Board Secretariat is the administrative arm of the Treasury Board (Treasury Board of Canada Secretariat website &lt; </w:t>
      </w:r>
      <w:hyperlink r:id="rId7" w:history="1">
        <w:r w:rsidRPr="001B0048">
          <w:rPr>
            <w:rStyle w:val="Hyperlink"/>
            <w:sz w:val="22"/>
          </w:rPr>
          <w:t>http://www.tbs-sct.gc.ca/tbs-sct/abu-ans/tbs-sct/abu-ans-eng.asp</w:t>
        </w:r>
      </w:hyperlink>
      <w:r w:rsidRPr="001B0048">
        <w:rPr>
          <w:sz w:val="22"/>
        </w:rPr>
        <w:t xml:space="preserve"> &gt; accessed 23 August 2015).</w:t>
      </w:r>
    </w:p>
  </w:footnote>
  <w:footnote w:id="32">
    <w:p w:rsidR="00865911" w:rsidRPr="001B0048" w:rsidRDefault="00865911">
      <w:pPr>
        <w:pStyle w:val="FootnoteText"/>
        <w:rPr>
          <w:sz w:val="22"/>
        </w:rPr>
      </w:pPr>
      <w:r w:rsidRPr="001B0048">
        <w:rPr>
          <w:rStyle w:val="FootnoteReference"/>
          <w:sz w:val="22"/>
        </w:rPr>
        <w:footnoteRef/>
      </w:r>
      <w:r w:rsidRPr="001B0048">
        <w:rPr>
          <w:sz w:val="22"/>
        </w:rPr>
        <w:t xml:space="preserve"> The RIAS is a document that provides an accounting of the need for a regulation and includes information on the issue to be regulated, the reason for regulation, the government’s objectives, the costs and benefits of regulation, how performance of the regulation will be measured and details on the consultations conducted (Regulatory Process Guide (n 9) 7.</w:t>
      </w:r>
    </w:p>
  </w:footnote>
  <w:footnote w:id="33">
    <w:p w:rsidR="00865911" w:rsidRPr="001B0048" w:rsidRDefault="00865911">
      <w:pPr>
        <w:pStyle w:val="FootnoteText"/>
        <w:rPr>
          <w:sz w:val="22"/>
        </w:rPr>
      </w:pPr>
      <w:r w:rsidRPr="001B0048">
        <w:rPr>
          <w:rStyle w:val="FootnoteReference"/>
          <w:sz w:val="22"/>
        </w:rPr>
        <w:footnoteRef/>
      </w:r>
      <w:r w:rsidRPr="001B0048">
        <w:rPr>
          <w:sz w:val="22"/>
        </w:rPr>
        <w:t xml:space="preserve"> </w:t>
      </w:r>
      <w:r w:rsidRPr="001B0048">
        <w:rPr>
          <w:rFonts w:cs="Verdana"/>
          <w:i/>
          <w:iCs/>
          <w:sz w:val="22"/>
        </w:rPr>
        <w:t>The Constitution Act, 1982</w:t>
      </w:r>
      <w:r w:rsidRPr="001B0048">
        <w:rPr>
          <w:rFonts w:cs="Verdana"/>
          <w:sz w:val="22"/>
        </w:rPr>
        <w:t xml:space="preserve">, being Schedule B to the </w:t>
      </w:r>
      <w:hyperlink r:id="rId8" w:history="1">
        <w:r w:rsidRPr="001B0048">
          <w:rPr>
            <w:rFonts w:cs="Verdana"/>
            <w:i/>
            <w:iCs/>
            <w:sz w:val="22"/>
          </w:rPr>
          <w:t>Canada Act 1982</w:t>
        </w:r>
        <w:r w:rsidRPr="001B0048">
          <w:rPr>
            <w:rFonts w:cs="Verdana"/>
            <w:sz w:val="22"/>
          </w:rPr>
          <w:t xml:space="preserve"> (UK), 1982, c 11</w:t>
        </w:r>
      </w:hyperlink>
      <w:r w:rsidRPr="001B0048">
        <w:rPr>
          <w:rFonts w:cs="Verdana"/>
          <w:sz w:val="22"/>
        </w:rPr>
        <w:t>.</w:t>
      </w:r>
    </w:p>
  </w:footnote>
  <w:footnote w:id="34">
    <w:p w:rsidR="00865911" w:rsidRPr="001B0048" w:rsidRDefault="00865911">
      <w:pPr>
        <w:pStyle w:val="FootnoteText"/>
        <w:rPr>
          <w:sz w:val="22"/>
        </w:rPr>
      </w:pPr>
      <w:r w:rsidRPr="001B0048">
        <w:rPr>
          <w:rStyle w:val="FootnoteReference"/>
          <w:sz w:val="22"/>
        </w:rPr>
        <w:footnoteRef/>
      </w:r>
      <w:r w:rsidRPr="001B0048">
        <w:rPr>
          <w:sz w:val="22"/>
        </w:rPr>
        <w:t xml:space="preserve"> </w:t>
      </w:r>
      <w:r w:rsidRPr="001B0048">
        <w:rPr>
          <w:rFonts w:cs="Verdana"/>
          <w:color w:val="262626"/>
          <w:sz w:val="22"/>
        </w:rPr>
        <w:t>SC 1960, c 44</w:t>
      </w:r>
      <w:r w:rsidRPr="001B0048">
        <w:rPr>
          <w:rFonts w:cs="Verdana"/>
          <w:sz w:val="22"/>
        </w:rPr>
        <w:t>.</w:t>
      </w:r>
    </w:p>
  </w:footnote>
  <w:footnote w:id="35">
    <w:p w:rsidR="00865911" w:rsidRPr="002C460A" w:rsidRDefault="00865911">
      <w:pPr>
        <w:pStyle w:val="FootnoteText"/>
        <w:rPr>
          <w:i/>
          <w:sz w:val="22"/>
        </w:rPr>
      </w:pPr>
      <w:r w:rsidRPr="002C460A">
        <w:rPr>
          <w:rStyle w:val="FootnoteReference"/>
          <w:sz w:val="22"/>
        </w:rPr>
        <w:footnoteRef/>
      </w:r>
      <w:r w:rsidRPr="002C460A">
        <w:rPr>
          <w:sz w:val="22"/>
        </w:rPr>
        <w:t xml:space="preserve"> The </w:t>
      </w:r>
      <w:r w:rsidRPr="002C460A">
        <w:rPr>
          <w:i/>
          <w:sz w:val="22"/>
        </w:rPr>
        <w:t xml:space="preserve">Canada Gazette </w:t>
      </w:r>
      <w:r w:rsidRPr="002C460A">
        <w:rPr>
          <w:sz w:val="22"/>
        </w:rPr>
        <w:t>is the official gazette of Canada (SIA (n 8) s 10).</w:t>
      </w:r>
    </w:p>
  </w:footnote>
  <w:footnote w:id="36">
    <w:p w:rsidR="00865911" w:rsidRPr="002C460A" w:rsidRDefault="00865911">
      <w:pPr>
        <w:pStyle w:val="FootnoteText"/>
        <w:rPr>
          <w:sz w:val="22"/>
        </w:rPr>
      </w:pPr>
      <w:r w:rsidRPr="002C460A">
        <w:rPr>
          <w:rStyle w:val="FootnoteReference"/>
          <w:sz w:val="22"/>
        </w:rPr>
        <w:footnoteRef/>
      </w:r>
      <w:r w:rsidRPr="002C460A">
        <w:rPr>
          <w:sz w:val="22"/>
        </w:rPr>
        <w:t xml:space="preserve"> Regulatory Process Guide (n 9) 14; Federal Regulations Manual (n 3) pt 2, 5-19; Schwartz (n 4) 20-5.</w:t>
      </w:r>
    </w:p>
  </w:footnote>
  <w:footnote w:id="37">
    <w:p w:rsidR="00865911" w:rsidRPr="002C460A" w:rsidRDefault="00865911" w:rsidP="009B01C7">
      <w:pPr>
        <w:pStyle w:val="FootnoteText"/>
        <w:rPr>
          <w:sz w:val="22"/>
        </w:rPr>
      </w:pPr>
      <w:r w:rsidRPr="002C460A">
        <w:rPr>
          <w:rStyle w:val="FootnoteReference"/>
          <w:sz w:val="22"/>
        </w:rPr>
        <w:footnoteRef/>
      </w:r>
      <w:r>
        <w:rPr>
          <w:sz w:val="22"/>
        </w:rPr>
        <w:t xml:space="preserve"> SIR, (n 14) s. 7; Lortie (n 15</w:t>
      </w:r>
      <w:r w:rsidRPr="002C460A">
        <w:rPr>
          <w:sz w:val="22"/>
        </w:rPr>
        <w:t>).</w:t>
      </w:r>
    </w:p>
  </w:footnote>
  <w:footnote w:id="38">
    <w:p w:rsidR="00865911" w:rsidRPr="002C460A" w:rsidRDefault="00865911" w:rsidP="009740BB">
      <w:pPr>
        <w:pStyle w:val="FootnoteText"/>
        <w:rPr>
          <w:sz w:val="22"/>
        </w:rPr>
      </w:pPr>
      <w:r w:rsidRPr="002C460A">
        <w:rPr>
          <w:rStyle w:val="FootnoteReference"/>
          <w:sz w:val="22"/>
        </w:rPr>
        <w:footnoteRef/>
      </w:r>
      <w:r>
        <w:rPr>
          <w:sz w:val="22"/>
        </w:rPr>
        <w:t xml:space="preserve"> Joshi (n 12) 12-4; Dufour (n 15</w:t>
      </w:r>
      <w:r w:rsidRPr="002C460A">
        <w:rPr>
          <w:sz w:val="22"/>
        </w:rPr>
        <w:t>).</w:t>
      </w:r>
    </w:p>
  </w:footnote>
  <w:footnote w:id="39">
    <w:p w:rsidR="00865911" w:rsidRPr="002C460A" w:rsidRDefault="00865911" w:rsidP="009740BB">
      <w:pPr>
        <w:pStyle w:val="FootnoteText"/>
        <w:rPr>
          <w:sz w:val="22"/>
        </w:rPr>
      </w:pPr>
      <w:r w:rsidRPr="002C460A">
        <w:rPr>
          <w:rStyle w:val="FootnoteReference"/>
          <w:sz w:val="22"/>
        </w:rPr>
        <w:footnoteRef/>
      </w:r>
      <w:r>
        <w:rPr>
          <w:sz w:val="22"/>
        </w:rPr>
        <w:t xml:space="preserve"> Lortie (n 15</w:t>
      </w:r>
      <w:r w:rsidRPr="002C460A">
        <w:rPr>
          <w:sz w:val="22"/>
        </w:rPr>
        <w:t>).</w:t>
      </w:r>
    </w:p>
  </w:footnote>
  <w:footnote w:id="40">
    <w:p w:rsidR="00865911" w:rsidRPr="002C460A" w:rsidRDefault="00865911">
      <w:pPr>
        <w:pStyle w:val="FootnoteText"/>
        <w:rPr>
          <w:sz w:val="22"/>
        </w:rPr>
      </w:pPr>
      <w:r w:rsidRPr="002C460A">
        <w:rPr>
          <w:rStyle w:val="FootnoteReference"/>
          <w:sz w:val="22"/>
        </w:rPr>
        <w:footnoteRef/>
      </w:r>
      <w:r w:rsidRPr="002C460A">
        <w:rPr>
          <w:sz w:val="22"/>
        </w:rPr>
        <w:t xml:space="preserve"> Jos</w:t>
      </w:r>
      <w:r>
        <w:rPr>
          <w:sz w:val="22"/>
        </w:rPr>
        <w:t>hi (n 12) 12-4; Dufour (n 15); Lortie (n 15</w:t>
      </w:r>
      <w:r w:rsidRPr="002C460A">
        <w:rPr>
          <w:sz w:val="22"/>
        </w:rPr>
        <w:t>).</w:t>
      </w:r>
    </w:p>
  </w:footnote>
  <w:footnote w:id="41">
    <w:p w:rsidR="00865911" w:rsidRPr="002C460A" w:rsidRDefault="00865911">
      <w:pPr>
        <w:pStyle w:val="FootnoteText"/>
        <w:rPr>
          <w:sz w:val="22"/>
        </w:rPr>
      </w:pPr>
      <w:r w:rsidRPr="002C460A">
        <w:rPr>
          <w:rStyle w:val="FootnoteReference"/>
          <w:sz w:val="22"/>
        </w:rPr>
        <w:footnoteRef/>
      </w:r>
      <w:r w:rsidRPr="002C460A">
        <w:rPr>
          <w:sz w:val="22"/>
        </w:rPr>
        <w:t xml:space="preserve"> SIA (n </w:t>
      </w:r>
      <w:r>
        <w:rPr>
          <w:sz w:val="22"/>
        </w:rPr>
        <w:t>8) s. 3; SIR</w:t>
      </w:r>
      <w:r w:rsidRPr="002C460A">
        <w:rPr>
          <w:i/>
          <w:sz w:val="22"/>
        </w:rPr>
        <w:t xml:space="preserve"> </w:t>
      </w:r>
      <w:r>
        <w:rPr>
          <w:sz w:val="22"/>
        </w:rPr>
        <w:t>(n 14</w:t>
      </w:r>
      <w:r w:rsidRPr="002C460A">
        <w:rPr>
          <w:sz w:val="22"/>
        </w:rPr>
        <w:t>) s. 7.</w:t>
      </w:r>
    </w:p>
  </w:footnote>
  <w:footnote w:id="42">
    <w:p w:rsidR="00865911" w:rsidRPr="002C460A" w:rsidRDefault="00865911" w:rsidP="003D19D5">
      <w:pPr>
        <w:pStyle w:val="FootnoteText"/>
        <w:rPr>
          <w:sz w:val="22"/>
        </w:rPr>
      </w:pPr>
      <w:r w:rsidRPr="002C460A">
        <w:rPr>
          <w:rStyle w:val="FootnoteReference"/>
          <w:sz w:val="22"/>
        </w:rPr>
        <w:footnoteRef/>
      </w:r>
      <w:r>
        <w:rPr>
          <w:sz w:val="22"/>
        </w:rPr>
        <w:t xml:space="preserve"> Lortie (n 15</w:t>
      </w:r>
      <w:r w:rsidRPr="002C460A">
        <w:rPr>
          <w:sz w:val="22"/>
        </w:rPr>
        <w:t>).</w:t>
      </w:r>
    </w:p>
  </w:footnote>
  <w:footnote w:id="43">
    <w:p w:rsidR="00865911" w:rsidRPr="002C460A" w:rsidRDefault="00865911">
      <w:pPr>
        <w:pStyle w:val="FootnoteText"/>
        <w:rPr>
          <w:sz w:val="22"/>
        </w:rPr>
      </w:pPr>
      <w:r w:rsidRPr="002C460A">
        <w:rPr>
          <w:rStyle w:val="FootnoteReference"/>
          <w:sz w:val="22"/>
        </w:rPr>
        <w:footnoteRef/>
      </w:r>
      <w:r w:rsidRPr="002C460A">
        <w:rPr>
          <w:sz w:val="22"/>
        </w:rPr>
        <w:t xml:space="preserve"> ibid.</w:t>
      </w:r>
    </w:p>
  </w:footnote>
  <w:footnote w:id="44">
    <w:p w:rsidR="00865911" w:rsidRPr="002C460A" w:rsidRDefault="00865911" w:rsidP="009740BB">
      <w:pPr>
        <w:pStyle w:val="FootnoteText"/>
        <w:rPr>
          <w:sz w:val="22"/>
        </w:rPr>
      </w:pPr>
      <w:r w:rsidRPr="002C460A">
        <w:rPr>
          <w:rStyle w:val="FootnoteReference"/>
          <w:sz w:val="22"/>
        </w:rPr>
        <w:footnoteRef/>
      </w:r>
      <w:r w:rsidRPr="002C460A">
        <w:rPr>
          <w:sz w:val="22"/>
        </w:rPr>
        <w:t xml:space="preserve"> ibid.</w:t>
      </w:r>
    </w:p>
  </w:footnote>
  <w:footnote w:id="45">
    <w:p w:rsidR="00865911" w:rsidRPr="00E15389" w:rsidRDefault="00865911">
      <w:pPr>
        <w:pStyle w:val="FootnoteText"/>
        <w:rPr>
          <w:sz w:val="22"/>
        </w:rPr>
      </w:pPr>
      <w:r w:rsidRPr="00E15389">
        <w:rPr>
          <w:rStyle w:val="FootnoteReference"/>
          <w:sz w:val="22"/>
        </w:rPr>
        <w:footnoteRef/>
      </w:r>
      <w:r w:rsidRPr="00E15389">
        <w:rPr>
          <w:sz w:val="22"/>
        </w:rPr>
        <w:t xml:space="preserve"> ibid.</w:t>
      </w:r>
    </w:p>
  </w:footnote>
  <w:footnote w:id="46">
    <w:p w:rsidR="00865911" w:rsidRPr="00E15389" w:rsidRDefault="00865911">
      <w:pPr>
        <w:pStyle w:val="FootnoteText"/>
        <w:rPr>
          <w:sz w:val="22"/>
        </w:rPr>
      </w:pPr>
      <w:r w:rsidRPr="00E15389">
        <w:rPr>
          <w:rStyle w:val="FootnoteReference"/>
          <w:sz w:val="22"/>
        </w:rPr>
        <w:footnoteRef/>
      </w:r>
      <w:r w:rsidRPr="00E15389">
        <w:rPr>
          <w:sz w:val="22"/>
        </w:rPr>
        <w:t xml:space="preserve"> SIA (n 8) s. 3; SIR</w:t>
      </w:r>
      <w:r w:rsidRPr="00E15389">
        <w:rPr>
          <w:i/>
          <w:sz w:val="22"/>
        </w:rPr>
        <w:t xml:space="preserve"> </w:t>
      </w:r>
      <w:r>
        <w:rPr>
          <w:sz w:val="22"/>
        </w:rPr>
        <w:t>(n 14</w:t>
      </w:r>
      <w:r w:rsidRPr="00E15389">
        <w:rPr>
          <w:sz w:val="22"/>
        </w:rPr>
        <w:t>) s. 7.</w:t>
      </w:r>
    </w:p>
  </w:footnote>
  <w:footnote w:id="47">
    <w:p w:rsidR="00865911" w:rsidRPr="00E15389" w:rsidRDefault="00865911">
      <w:pPr>
        <w:pStyle w:val="FootnoteText"/>
        <w:rPr>
          <w:sz w:val="22"/>
        </w:rPr>
      </w:pPr>
      <w:r w:rsidRPr="00E15389">
        <w:rPr>
          <w:rStyle w:val="FootnoteReference"/>
          <w:sz w:val="22"/>
        </w:rPr>
        <w:footnoteRef/>
      </w:r>
      <w:r>
        <w:rPr>
          <w:sz w:val="22"/>
        </w:rPr>
        <w:t xml:space="preserve"> NDA (n 11) s 51; QR&amp;O (n 13</w:t>
      </w:r>
      <w:r w:rsidRPr="00E15389">
        <w:rPr>
          <w:sz w:val="22"/>
        </w:rPr>
        <w:t>) arts 1.21 &amp; 1.22.</w:t>
      </w:r>
    </w:p>
  </w:footnote>
  <w:footnote w:id="48">
    <w:p w:rsidR="00865911" w:rsidRPr="00E15389" w:rsidRDefault="00865911">
      <w:pPr>
        <w:pStyle w:val="FootnoteText"/>
        <w:rPr>
          <w:sz w:val="22"/>
        </w:rPr>
      </w:pPr>
      <w:r w:rsidRPr="00E15389">
        <w:rPr>
          <w:rStyle w:val="FootnoteReference"/>
          <w:sz w:val="22"/>
        </w:rPr>
        <w:footnoteRef/>
      </w:r>
      <w:r>
        <w:rPr>
          <w:sz w:val="22"/>
        </w:rPr>
        <w:t xml:space="preserve"> QR&amp;O (n 13</w:t>
      </w:r>
      <w:r w:rsidRPr="00E15389">
        <w:rPr>
          <w:sz w:val="22"/>
        </w:rPr>
        <w:t>) art 1.21.</w:t>
      </w:r>
    </w:p>
  </w:footnote>
  <w:footnote w:id="49">
    <w:p w:rsidR="00865911" w:rsidRPr="002C460A" w:rsidRDefault="00865911">
      <w:pPr>
        <w:pStyle w:val="FootnoteText"/>
        <w:rPr>
          <w:sz w:val="22"/>
        </w:rPr>
      </w:pPr>
      <w:r w:rsidRPr="00E15389">
        <w:rPr>
          <w:rStyle w:val="FootnoteReference"/>
          <w:sz w:val="22"/>
        </w:rPr>
        <w:footnoteRef/>
      </w:r>
      <w:r w:rsidRPr="00E15389">
        <w:rPr>
          <w:sz w:val="22"/>
        </w:rPr>
        <w:t xml:space="preserve"> David Beetham, </w:t>
      </w:r>
      <w:r w:rsidRPr="00E15389">
        <w:rPr>
          <w:i/>
          <w:sz w:val="22"/>
        </w:rPr>
        <w:t xml:space="preserve">The Legitimation </w:t>
      </w:r>
      <w:r w:rsidRPr="002C460A">
        <w:rPr>
          <w:i/>
          <w:sz w:val="22"/>
        </w:rPr>
        <w:t>of Power</w:t>
      </w:r>
      <w:r w:rsidRPr="002C460A">
        <w:rPr>
          <w:sz w:val="22"/>
        </w:rPr>
        <w:t xml:space="preserve"> (2</w:t>
      </w:r>
      <w:r w:rsidRPr="002C460A">
        <w:rPr>
          <w:sz w:val="22"/>
          <w:vertAlign w:val="superscript"/>
        </w:rPr>
        <w:t>nd</w:t>
      </w:r>
      <w:r w:rsidRPr="002C460A">
        <w:rPr>
          <w:sz w:val="22"/>
        </w:rPr>
        <w:t xml:space="preserve"> edn, Palgrave Macmillan, 2013) 15-8.</w:t>
      </w:r>
    </w:p>
  </w:footnote>
  <w:footnote w:id="50">
    <w:p w:rsidR="00865911" w:rsidRPr="002C460A" w:rsidRDefault="00865911" w:rsidP="004B75F4">
      <w:pPr>
        <w:rPr>
          <w:sz w:val="22"/>
        </w:rPr>
      </w:pPr>
      <w:r w:rsidRPr="002C460A">
        <w:rPr>
          <w:rStyle w:val="FootnoteReference"/>
          <w:sz w:val="22"/>
        </w:rPr>
        <w:footnoteRef/>
      </w:r>
      <w:r w:rsidRPr="002C460A">
        <w:rPr>
          <w:sz w:val="22"/>
        </w:rPr>
        <w:t xml:space="preserve"> ibid 163-4; Claudia Wiesner, ‘Democratic Legitimacy, Democratisation and Democratic Identity of the European Union–Old Questions, New Challenges’ i</w:t>
      </w:r>
      <w:r w:rsidRPr="002C460A">
        <w:rPr>
          <w:rFonts w:cs="Arial"/>
          <w:color w:val="1A1A1A"/>
          <w:sz w:val="22"/>
          <w:szCs w:val="26"/>
        </w:rPr>
        <w:t xml:space="preserve">n (2008) 12(1) </w:t>
      </w:r>
      <w:r w:rsidRPr="002C460A">
        <w:rPr>
          <w:rFonts w:cs="Arial"/>
          <w:i/>
          <w:iCs/>
          <w:color w:val="1A1A1A"/>
          <w:sz w:val="22"/>
          <w:szCs w:val="26"/>
        </w:rPr>
        <w:t>Redescriptions: Political Thought, Conceptual History and Feminist Theory</w:t>
      </w:r>
      <w:r w:rsidRPr="002C460A">
        <w:rPr>
          <w:rFonts w:cs="Arial"/>
          <w:color w:val="1A1A1A"/>
          <w:sz w:val="22"/>
          <w:szCs w:val="26"/>
        </w:rPr>
        <w:t xml:space="preserve"> 96, </w:t>
      </w:r>
      <w:r w:rsidRPr="002C460A">
        <w:rPr>
          <w:sz w:val="22"/>
        </w:rPr>
        <w:t xml:space="preserve">97. </w:t>
      </w:r>
    </w:p>
  </w:footnote>
  <w:footnote w:id="51">
    <w:p w:rsidR="00865911" w:rsidRPr="002C460A" w:rsidRDefault="00865911">
      <w:pPr>
        <w:pStyle w:val="FootnoteText"/>
        <w:rPr>
          <w:sz w:val="22"/>
        </w:rPr>
      </w:pPr>
      <w:r w:rsidRPr="002C460A">
        <w:rPr>
          <w:rStyle w:val="FootnoteReference"/>
          <w:sz w:val="22"/>
        </w:rPr>
        <w:footnoteRef/>
      </w:r>
      <w:r w:rsidRPr="002C460A">
        <w:rPr>
          <w:sz w:val="22"/>
        </w:rPr>
        <w:t xml:space="preserve"> Pünder (n 1) 356</w:t>
      </w:r>
      <w:r>
        <w:rPr>
          <w:sz w:val="22"/>
        </w:rPr>
        <w:t>; Ulrich Karpen, ‘Comparative Law: Perspectives of Legislation’ (2012) 6(2) Legisprudence 149, 154-5</w:t>
      </w:r>
      <w:r w:rsidRPr="002C460A">
        <w:rPr>
          <w:sz w:val="22"/>
        </w:rPr>
        <w:t>.</w:t>
      </w:r>
    </w:p>
  </w:footnote>
  <w:footnote w:id="52">
    <w:p w:rsidR="00865911" w:rsidRPr="002C460A" w:rsidRDefault="00865911">
      <w:pPr>
        <w:pStyle w:val="FootnoteText"/>
        <w:rPr>
          <w:sz w:val="22"/>
        </w:rPr>
      </w:pPr>
      <w:r w:rsidRPr="002C460A">
        <w:rPr>
          <w:rStyle w:val="FootnoteReference"/>
          <w:sz w:val="22"/>
        </w:rPr>
        <w:footnoteRef/>
      </w:r>
      <w:r w:rsidRPr="002C460A">
        <w:rPr>
          <w:sz w:val="22"/>
        </w:rPr>
        <w:t xml:space="preserve"> Murphy (n 1) 162-3; Pünder (n 1) 356.</w:t>
      </w:r>
    </w:p>
  </w:footnote>
  <w:footnote w:id="53">
    <w:p w:rsidR="00865911" w:rsidRPr="002C460A" w:rsidRDefault="00865911">
      <w:pPr>
        <w:pStyle w:val="FootnoteText"/>
        <w:rPr>
          <w:sz w:val="22"/>
        </w:rPr>
      </w:pPr>
      <w:r w:rsidRPr="002C460A">
        <w:rPr>
          <w:rStyle w:val="FootnoteReference"/>
          <w:sz w:val="22"/>
        </w:rPr>
        <w:footnoteRef/>
      </w:r>
      <w:r w:rsidRPr="002C460A">
        <w:rPr>
          <w:sz w:val="22"/>
        </w:rPr>
        <w:t xml:space="preserve"> Pünder (n 1) 356.</w:t>
      </w:r>
    </w:p>
  </w:footnote>
  <w:footnote w:id="54">
    <w:p w:rsidR="00865911" w:rsidRPr="002C460A" w:rsidRDefault="00865911">
      <w:pPr>
        <w:pStyle w:val="FootnoteText"/>
        <w:rPr>
          <w:sz w:val="22"/>
        </w:rPr>
      </w:pPr>
      <w:r w:rsidRPr="002C460A">
        <w:rPr>
          <w:rStyle w:val="FootnoteReference"/>
          <w:sz w:val="22"/>
        </w:rPr>
        <w:footnoteRef/>
      </w:r>
      <w:r w:rsidRPr="002C460A">
        <w:rPr>
          <w:sz w:val="22"/>
        </w:rPr>
        <w:t xml:space="preserve"> </w:t>
      </w:r>
      <w:r>
        <w:rPr>
          <w:sz w:val="22"/>
        </w:rPr>
        <w:t>ibid</w:t>
      </w:r>
      <w:r w:rsidRPr="002C460A">
        <w:rPr>
          <w:sz w:val="22"/>
        </w:rPr>
        <w:t xml:space="preserve"> 364.</w:t>
      </w:r>
    </w:p>
  </w:footnote>
  <w:footnote w:id="55">
    <w:p w:rsidR="00865911" w:rsidRPr="002C460A" w:rsidRDefault="00865911">
      <w:pPr>
        <w:pStyle w:val="FootnoteText"/>
        <w:rPr>
          <w:sz w:val="22"/>
        </w:rPr>
      </w:pPr>
      <w:r w:rsidRPr="002C460A">
        <w:rPr>
          <w:rStyle w:val="FootnoteReference"/>
          <w:sz w:val="22"/>
        </w:rPr>
        <w:footnoteRef/>
      </w:r>
      <w:r w:rsidRPr="002C460A">
        <w:rPr>
          <w:sz w:val="22"/>
        </w:rPr>
        <w:t xml:space="preserve"> </w:t>
      </w:r>
      <w:r>
        <w:rPr>
          <w:sz w:val="22"/>
        </w:rPr>
        <w:t>ibid</w:t>
      </w:r>
      <w:r w:rsidRPr="002C460A">
        <w:rPr>
          <w:sz w:val="22"/>
        </w:rPr>
        <w:t xml:space="preserve"> 369.</w:t>
      </w:r>
    </w:p>
  </w:footnote>
  <w:footnote w:id="56">
    <w:p w:rsidR="00865911" w:rsidRPr="002C460A" w:rsidRDefault="00865911">
      <w:pPr>
        <w:pStyle w:val="FootnoteText"/>
        <w:rPr>
          <w:sz w:val="22"/>
        </w:rPr>
      </w:pPr>
      <w:r w:rsidRPr="002C460A">
        <w:rPr>
          <w:rStyle w:val="FootnoteReference"/>
          <w:sz w:val="22"/>
        </w:rPr>
        <w:footnoteRef/>
      </w:r>
      <w:r w:rsidRPr="002C460A">
        <w:rPr>
          <w:sz w:val="22"/>
        </w:rPr>
        <w:t xml:space="preserve"> </w:t>
      </w:r>
      <w:r>
        <w:rPr>
          <w:sz w:val="22"/>
        </w:rPr>
        <w:t>ibid</w:t>
      </w:r>
      <w:r w:rsidRPr="002C460A">
        <w:rPr>
          <w:sz w:val="22"/>
        </w:rPr>
        <w:t xml:space="preserve"> 356-364.</w:t>
      </w:r>
    </w:p>
  </w:footnote>
  <w:footnote w:id="57">
    <w:p w:rsidR="00865911" w:rsidRPr="002C460A" w:rsidRDefault="00865911" w:rsidP="00415B02">
      <w:pPr>
        <w:pStyle w:val="FootnoteText"/>
        <w:rPr>
          <w:sz w:val="22"/>
        </w:rPr>
      </w:pPr>
      <w:r w:rsidRPr="002C460A">
        <w:rPr>
          <w:rStyle w:val="FootnoteReference"/>
          <w:sz w:val="22"/>
        </w:rPr>
        <w:footnoteRef/>
      </w:r>
      <w:r w:rsidRPr="002C460A">
        <w:rPr>
          <w:sz w:val="22"/>
        </w:rPr>
        <w:t xml:space="preserve"> ibid, 375; Murphy (n 1) 162-3.</w:t>
      </w:r>
    </w:p>
  </w:footnote>
  <w:footnote w:id="58">
    <w:p w:rsidR="00865911" w:rsidRPr="002C460A" w:rsidRDefault="00865911">
      <w:pPr>
        <w:pStyle w:val="FootnoteText"/>
        <w:rPr>
          <w:sz w:val="22"/>
        </w:rPr>
      </w:pPr>
      <w:r w:rsidRPr="002C460A">
        <w:rPr>
          <w:rStyle w:val="FootnoteReference"/>
          <w:sz w:val="22"/>
        </w:rPr>
        <w:footnoteRef/>
      </w:r>
      <w:r w:rsidRPr="002C460A">
        <w:rPr>
          <w:sz w:val="22"/>
        </w:rPr>
        <w:t xml:space="preserve"> Pünder (n 1) 356-364</w:t>
      </w:r>
    </w:p>
  </w:footnote>
  <w:footnote w:id="59">
    <w:p w:rsidR="00865911" w:rsidRPr="002C460A" w:rsidRDefault="00865911">
      <w:pPr>
        <w:pStyle w:val="FootnoteText"/>
        <w:rPr>
          <w:sz w:val="22"/>
        </w:rPr>
      </w:pPr>
      <w:r w:rsidRPr="002C460A">
        <w:rPr>
          <w:rStyle w:val="FootnoteReference"/>
          <w:sz w:val="22"/>
        </w:rPr>
        <w:footnoteRef/>
      </w:r>
      <w:r>
        <w:rPr>
          <w:sz w:val="22"/>
        </w:rPr>
        <w:t xml:space="preserve"> Voermans (n 17) 64, 66-8; Drinóczi (n 20</w:t>
      </w:r>
      <w:r w:rsidRPr="002C460A">
        <w:rPr>
          <w:sz w:val="22"/>
        </w:rPr>
        <w:t>) 7-10.</w:t>
      </w:r>
    </w:p>
  </w:footnote>
  <w:footnote w:id="60">
    <w:p w:rsidR="00865911" w:rsidRPr="002C460A" w:rsidRDefault="00865911" w:rsidP="007E2ACE">
      <w:pPr>
        <w:pStyle w:val="FootnoteText"/>
        <w:rPr>
          <w:sz w:val="22"/>
        </w:rPr>
      </w:pPr>
      <w:r w:rsidRPr="002C460A">
        <w:rPr>
          <w:rStyle w:val="FootnoteReference"/>
          <w:sz w:val="22"/>
        </w:rPr>
        <w:footnoteRef/>
      </w:r>
      <w:r w:rsidRPr="002C460A">
        <w:rPr>
          <w:sz w:val="22"/>
        </w:rPr>
        <w:t xml:space="preserve"> NDA (n 11) sub-ss 12(1)-(3).</w:t>
      </w:r>
    </w:p>
  </w:footnote>
  <w:footnote w:id="61">
    <w:p w:rsidR="00865911" w:rsidRPr="002C460A" w:rsidRDefault="00865911">
      <w:pPr>
        <w:pStyle w:val="FootnoteText"/>
        <w:rPr>
          <w:sz w:val="22"/>
        </w:rPr>
      </w:pPr>
      <w:r w:rsidRPr="002C460A">
        <w:rPr>
          <w:rStyle w:val="FootnoteReference"/>
          <w:sz w:val="22"/>
        </w:rPr>
        <w:footnoteRef/>
      </w:r>
      <w:r w:rsidRPr="002C460A">
        <w:rPr>
          <w:sz w:val="22"/>
        </w:rPr>
        <w:t xml:space="preserve"> Keyes (n 1) 21-2; Federal Regulations Manual (n 3) pt 1, 1-2.</w:t>
      </w:r>
    </w:p>
  </w:footnote>
  <w:footnote w:id="62">
    <w:p w:rsidR="00865911" w:rsidRPr="002C460A" w:rsidRDefault="00865911" w:rsidP="00CF2912">
      <w:pPr>
        <w:pStyle w:val="FootnoteText"/>
        <w:rPr>
          <w:sz w:val="22"/>
        </w:rPr>
      </w:pPr>
      <w:r w:rsidRPr="002C460A">
        <w:rPr>
          <w:rStyle w:val="FootnoteReference"/>
          <w:sz w:val="22"/>
        </w:rPr>
        <w:footnoteRef/>
      </w:r>
      <w:r w:rsidRPr="002C460A">
        <w:rPr>
          <w:sz w:val="22"/>
        </w:rPr>
        <w:t xml:space="preserve"> The </w:t>
      </w:r>
      <w:r w:rsidRPr="002C460A">
        <w:rPr>
          <w:i/>
          <w:sz w:val="22"/>
        </w:rPr>
        <w:t>Constitution Act, 1867</w:t>
      </w:r>
      <w:r w:rsidRPr="002C460A">
        <w:rPr>
          <w:sz w:val="22"/>
        </w:rPr>
        <w:t xml:space="preserve"> (UK) 30 &amp; 31 Vict, c. 3, reprinted in RSC 1985, App II, No 5, ss 91 and 92.</w:t>
      </w:r>
    </w:p>
  </w:footnote>
  <w:footnote w:id="63">
    <w:p w:rsidR="00865911" w:rsidRPr="002C460A" w:rsidRDefault="00865911" w:rsidP="007E2ACE">
      <w:pPr>
        <w:pStyle w:val="FootnoteText"/>
        <w:rPr>
          <w:sz w:val="22"/>
        </w:rPr>
      </w:pPr>
      <w:r w:rsidRPr="002C460A">
        <w:rPr>
          <w:rStyle w:val="FootnoteReference"/>
          <w:sz w:val="22"/>
        </w:rPr>
        <w:footnoteRef/>
      </w:r>
      <w:r w:rsidRPr="002C460A">
        <w:rPr>
          <w:sz w:val="22"/>
        </w:rPr>
        <w:t xml:space="preserve"> Re Gray (n 5) 170; Murphy (n 1) 163; Keyes (n 1) 109-11 and 139. </w:t>
      </w:r>
    </w:p>
  </w:footnote>
  <w:footnote w:id="64">
    <w:p w:rsidR="00865911" w:rsidRPr="002C460A" w:rsidRDefault="00865911" w:rsidP="009C3E4D">
      <w:pPr>
        <w:pStyle w:val="FootnoteText"/>
        <w:rPr>
          <w:sz w:val="22"/>
        </w:rPr>
      </w:pPr>
      <w:r w:rsidRPr="002C460A">
        <w:rPr>
          <w:rStyle w:val="FootnoteReference"/>
          <w:sz w:val="22"/>
        </w:rPr>
        <w:footnoteRef/>
      </w:r>
      <w:r>
        <w:rPr>
          <w:sz w:val="22"/>
        </w:rPr>
        <w:t xml:space="preserve"> Joshi (n 12</w:t>
      </w:r>
      <w:r w:rsidRPr="002C460A">
        <w:rPr>
          <w:sz w:val="22"/>
        </w:rPr>
        <w:t>) 2-6.</w:t>
      </w:r>
    </w:p>
  </w:footnote>
  <w:footnote w:id="65">
    <w:p w:rsidR="00865911" w:rsidRPr="002C460A" w:rsidRDefault="00865911" w:rsidP="009C3E4D">
      <w:pPr>
        <w:pStyle w:val="FootnoteText"/>
        <w:rPr>
          <w:sz w:val="22"/>
        </w:rPr>
      </w:pPr>
      <w:r w:rsidRPr="002C460A">
        <w:rPr>
          <w:rStyle w:val="FootnoteReference"/>
          <w:sz w:val="22"/>
        </w:rPr>
        <w:footnoteRef/>
      </w:r>
      <w:r w:rsidRPr="002C460A">
        <w:rPr>
          <w:sz w:val="22"/>
        </w:rPr>
        <w:t xml:space="preserve"> NDA (n 11) ss 3-11.</w:t>
      </w:r>
    </w:p>
  </w:footnote>
  <w:footnote w:id="66">
    <w:p w:rsidR="00865911" w:rsidRPr="002C460A" w:rsidRDefault="00865911" w:rsidP="009C3E4D">
      <w:pPr>
        <w:pStyle w:val="FootnoteText"/>
        <w:rPr>
          <w:sz w:val="22"/>
        </w:rPr>
      </w:pPr>
      <w:r w:rsidRPr="002C460A">
        <w:rPr>
          <w:rStyle w:val="FootnoteReference"/>
          <w:sz w:val="22"/>
        </w:rPr>
        <w:footnoteRef/>
      </w:r>
      <w:r w:rsidRPr="002C460A">
        <w:rPr>
          <w:sz w:val="22"/>
        </w:rPr>
        <w:t xml:space="preserve"> ibid ss 14-9.</w:t>
      </w:r>
    </w:p>
  </w:footnote>
  <w:footnote w:id="67">
    <w:p w:rsidR="00865911" w:rsidRPr="002C460A" w:rsidRDefault="00865911" w:rsidP="009C3E4D">
      <w:pPr>
        <w:pStyle w:val="FootnoteText"/>
        <w:rPr>
          <w:sz w:val="22"/>
        </w:rPr>
      </w:pPr>
      <w:r w:rsidRPr="002C460A">
        <w:rPr>
          <w:rStyle w:val="FootnoteReference"/>
          <w:sz w:val="22"/>
        </w:rPr>
        <w:footnoteRef/>
      </w:r>
      <w:r w:rsidRPr="002C460A">
        <w:rPr>
          <w:sz w:val="22"/>
        </w:rPr>
        <w:t xml:space="preserve"> ibid ss 20-54.</w:t>
      </w:r>
    </w:p>
  </w:footnote>
  <w:footnote w:id="68">
    <w:p w:rsidR="00865911" w:rsidRPr="002C460A" w:rsidRDefault="00865911">
      <w:pPr>
        <w:pStyle w:val="FootnoteText"/>
        <w:rPr>
          <w:sz w:val="22"/>
        </w:rPr>
      </w:pPr>
      <w:r w:rsidRPr="002C460A">
        <w:rPr>
          <w:rStyle w:val="FootnoteReference"/>
          <w:sz w:val="22"/>
        </w:rPr>
        <w:footnoteRef/>
      </w:r>
      <w:r w:rsidRPr="002C460A">
        <w:rPr>
          <w:sz w:val="22"/>
        </w:rPr>
        <w:t xml:space="preserve"> </w:t>
      </w:r>
      <w:r w:rsidRPr="002C460A">
        <w:rPr>
          <w:i/>
          <w:sz w:val="22"/>
        </w:rPr>
        <w:t xml:space="preserve">Constitution Act, 1867 </w:t>
      </w:r>
      <w:r>
        <w:rPr>
          <w:sz w:val="22"/>
        </w:rPr>
        <w:t>(n 62</w:t>
      </w:r>
      <w:r w:rsidRPr="002C460A">
        <w:rPr>
          <w:sz w:val="22"/>
        </w:rPr>
        <w:t>) s 91.</w:t>
      </w:r>
    </w:p>
  </w:footnote>
  <w:footnote w:id="69">
    <w:p w:rsidR="00865911" w:rsidRPr="002C460A" w:rsidRDefault="00865911">
      <w:pPr>
        <w:pStyle w:val="FootnoteText"/>
        <w:rPr>
          <w:sz w:val="22"/>
        </w:rPr>
      </w:pPr>
      <w:r w:rsidRPr="002C460A">
        <w:rPr>
          <w:rStyle w:val="FootnoteReference"/>
          <w:sz w:val="22"/>
        </w:rPr>
        <w:footnoteRef/>
      </w:r>
      <w:r w:rsidRPr="002C460A">
        <w:rPr>
          <w:sz w:val="22"/>
        </w:rPr>
        <w:t xml:space="preserve"> Keyes (n 1) 109-11; Federal Regulations Manual (n 3) pt. 1, 1-3.</w:t>
      </w:r>
    </w:p>
  </w:footnote>
  <w:footnote w:id="70">
    <w:p w:rsidR="00865911" w:rsidRPr="002C460A" w:rsidRDefault="00865911" w:rsidP="00D00250">
      <w:pPr>
        <w:pStyle w:val="FootnoteText"/>
        <w:rPr>
          <w:sz w:val="22"/>
        </w:rPr>
      </w:pPr>
      <w:r w:rsidRPr="002C460A">
        <w:rPr>
          <w:rStyle w:val="FootnoteReference"/>
          <w:sz w:val="22"/>
        </w:rPr>
        <w:footnoteRef/>
      </w:r>
      <w:r w:rsidRPr="002C460A">
        <w:rPr>
          <w:sz w:val="22"/>
        </w:rPr>
        <w:t xml:space="preserve"> ibid; Keyes (n 1) 22-3; 89-92; 503-8; Paul Salembier, </w:t>
      </w:r>
      <w:r w:rsidRPr="002C460A">
        <w:rPr>
          <w:i/>
          <w:sz w:val="22"/>
        </w:rPr>
        <w:t>Regulatory Law and Practice in Canada</w:t>
      </w:r>
      <w:r w:rsidRPr="002C460A">
        <w:rPr>
          <w:sz w:val="22"/>
        </w:rPr>
        <w:t xml:space="preserve"> (LexisNexis Butterworths 2004) 196-9.</w:t>
      </w:r>
    </w:p>
  </w:footnote>
  <w:footnote w:id="71">
    <w:p w:rsidR="00865911" w:rsidRPr="009B1A1F" w:rsidRDefault="00865911">
      <w:pPr>
        <w:pStyle w:val="FootnoteText"/>
        <w:rPr>
          <w:sz w:val="22"/>
        </w:rPr>
      </w:pPr>
      <w:r w:rsidRPr="009B1A1F">
        <w:rPr>
          <w:rStyle w:val="FootnoteReference"/>
          <w:sz w:val="22"/>
        </w:rPr>
        <w:footnoteRef/>
      </w:r>
      <w:r w:rsidRPr="009B1A1F">
        <w:rPr>
          <w:sz w:val="22"/>
        </w:rPr>
        <w:t xml:space="preserve"> NDA (n 11) sub-ss 12(1)-(2); See text at n 60.</w:t>
      </w:r>
    </w:p>
  </w:footnote>
  <w:footnote w:id="72">
    <w:p w:rsidR="00865911" w:rsidRPr="009B1A1F" w:rsidRDefault="00865911">
      <w:pPr>
        <w:pStyle w:val="FootnoteText"/>
        <w:rPr>
          <w:sz w:val="22"/>
        </w:rPr>
      </w:pPr>
      <w:r w:rsidRPr="009B1A1F">
        <w:rPr>
          <w:rStyle w:val="FootnoteReference"/>
          <w:sz w:val="22"/>
        </w:rPr>
        <w:footnoteRef/>
      </w:r>
      <w:r w:rsidRPr="009B1A1F">
        <w:rPr>
          <w:sz w:val="22"/>
        </w:rPr>
        <w:t xml:space="preserve"> Murphy (n 1) 162-3; Pünder (n 1) 356-357, 361-4.</w:t>
      </w:r>
    </w:p>
  </w:footnote>
  <w:footnote w:id="73">
    <w:p w:rsidR="00865911" w:rsidRPr="009B1A1F" w:rsidRDefault="00865911">
      <w:pPr>
        <w:pStyle w:val="FootnoteText"/>
        <w:rPr>
          <w:sz w:val="22"/>
        </w:rPr>
      </w:pPr>
      <w:r w:rsidRPr="009B1A1F">
        <w:rPr>
          <w:rStyle w:val="FootnoteReference"/>
          <w:sz w:val="22"/>
        </w:rPr>
        <w:footnoteRef/>
      </w:r>
      <w:r w:rsidRPr="009B1A1F">
        <w:rPr>
          <w:sz w:val="22"/>
        </w:rPr>
        <w:t xml:space="preserve"> NDA (n 11).</w:t>
      </w:r>
    </w:p>
  </w:footnote>
  <w:footnote w:id="74">
    <w:p w:rsidR="00865911" w:rsidRPr="009B1A1F" w:rsidRDefault="00865911">
      <w:pPr>
        <w:pStyle w:val="FootnoteText"/>
        <w:rPr>
          <w:sz w:val="22"/>
        </w:rPr>
      </w:pPr>
      <w:r w:rsidRPr="009B1A1F">
        <w:rPr>
          <w:rStyle w:val="FootnoteReference"/>
          <w:sz w:val="22"/>
        </w:rPr>
        <w:footnoteRef/>
      </w:r>
      <w:r w:rsidRPr="009B1A1F">
        <w:rPr>
          <w:sz w:val="22"/>
        </w:rPr>
        <w:t xml:space="preserve"> Murphy (n 1) 162-3; Pünder (n 1) 356-357, 361-4.</w:t>
      </w:r>
    </w:p>
  </w:footnote>
  <w:footnote w:id="75">
    <w:p w:rsidR="00865911" w:rsidRPr="009B1A1F" w:rsidRDefault="00865911">
      <w:pPr>
        <w:pStyle w:val="FootnoteText"/>
        <w:rPr>
          <w:sz w:val="22"/>
        </w:rPr>
      </w:pPr>
      <w:r w:rsidRPr="009B1A1F">
        <w:rPr>
          <w:rStyle w:val="FootnoteReference"/>
          <w:sz w:val="22"/>
        </w:rPr>
        <w:footnoteRef/>
      </w:r>
      <w:r w:rsidRPr="009B1A1F">
        <w:rPr>
          <w:sz w:val="22"/>
        </w:rPr>
        <w:t xml:space="preserve"> ibid sub-s 12(2) &amp; s 13.</w:t>
      </w:r>
    </w:p>
  </w:footnote>
  <w:footnote w:id="76">
    <w:p w:rsidR="00865911" w:rsidRPr="009B1A1F" w:rsidRDefault="00865911">
      <w:pPr>
        <w:pStyle w:val="FootnoteText"/>
        <w:rPr>
          <w:sz w:val="22"/>
        </w:rPr>
      </w:pPr>
      <w:r w:rsidRPr="009B1A1F">
        <w:rPr>
          <w:rStyle w:val="FootnoteReference"/>
          <w:sz w:val="22"/>
        </w:rPr>
        <w:footnoteRef/>
      </w:r>
      <w:r w:rsidRPr="009B1A1F">
        <w:rPr>
          <w:sz w:val="22"/>
        </w:rPr>
        <w:t xml:space="preserve"> ibid sub-s 12(3).</w:t>
      </w:r>
    </w:p>
  </w:footnote>
  <w:footnote w:id="77">
    <w:p w:rsidR="00865911" w:rsidRPr="009B1A1F" w:rsidRDefault="00865911">
      <w:pPr>
        <w:pStyle w:val="FootnoteText"/>
        <w:rPr>
          <w:sz w:val="22"/>
        </w:rPr>
      </w:pPr>
      <w:r w:rsidRPr="009B1A1F">
        <w:rPr>
          <w:rStyle w:val="FootnoteReference"/>
          <w:sz w:val="22"/>
        </w:rPr>
        <w:footnoteRef/>
      </w:r>
      <w:r w:rsidRPr="009B1A1F">
        <w:rPr>
          <w:sz w:val="22"/>
        </w:rPr>
        <w:t xml:space="preserve"> </w:t>
      </w:r>
      <w:r>
        <w:rPr>
          <w:sz w:val="22"/>
        </w:rPr>
        <w:t>i</w:t>
      </w:r>
      <w:r w:rsidRPr="009B1A1F">
        <w:rPr>
          <w:sz w:val="22"/>
        </w:rPr>
        <w:t>bid</w:t>
      </w:r>
      <w:r>
        <w:rPr>
          <w:sz w:val="22"/>
        </w:rPr>
        <w:t xml:space="preserve">; </w:t>
      </w:r>
      <w:r w:rsidRPr="009B1A1F">
        <w:rPr>
          <w:sz w:val="22"/>
        </w:rPr>
        <w:t>Murphy (n 1) 162-3; Pünder (n 1) 356-357, 361-4.</w:t>
      </w:r>
    </w:p>
  </w:footnote>
  <w:footnote w:id="78">
    <w:p w:rsidR="00865911" w:rsidRPr="009B1A1F" w:rsidRDefault="00865911">
      <w:pPr>
        <w:pStyle w:val="FootnoteText"/>
        <w:rPr>
          <w:sz w:val="22"/>
        </w:rPr>
      </w:pPr>
      <w:r w:rsidRPr="009B1A1F">
        <w:rPr>
          <w:rStyle w:val="FootnoteReference"/>
          <w:sz w:val="22"/>
        </w:rPr>
        <w:footnoteRef/>
      </w:r>
      <w:r w:rsidRPr="009B1A1F">
        <w:rPr>
          <w:sz w:val="22"/>
        </w:rPr>
        <w:t xml:space="preserve"> Keyes (n 1) 109-11; Federal Regulations Manual (n 3) pt. 1, 1-3.</w:t>
      </w:r>
    </w:p>
  </w:footnote>
  <w:footnote w:id="79">
    <w:p w:rsidR="00865911" w:rsidRPr="009B1A1F" w:rsidRDefault="00865911" w:rsidP="009B1A1F">
      <w:pPr>
        <w:pStyle w:val="FootnoteText"/>
        <w:rPr>
          <w:sz w:val="22"/>
        </w:rPr>
      </w:pPr>
      <w:r w:rsidRPr="009B1A1F">
        <w:rPr>
          <w:rStyle w:val="FootnoteReference"/>
          <w:sz w:val="22"/>
        </w:rPr>
        <w:footnoteRef/>
      </w:r>
      <w:r w:rsidRPr="009B1A1F">
        <w:rPr>
          <w:sz w:val="22"/>
        </w:rPr>
        <w:t xml:space="preserve"> </w:t>
      </w:r>
      <w:r>
        <w:rPr>
          <w:sz w:val="22"/>
        </w:rPr>
        <w:t xml:space="preserve">NDA (n 11); </w:t>
      </w:r>
      <w:r w:rsidRPr="009B1A1F">
        <w:rPr>
          <w:sz w:val="22"/>
        </w:rPr>
        <w:t>Murphy (n 1) 162-3; Pünder (n 1) 356-357, 361-4, 377-8.</w:t>
      </w:r>
    </w:p>
  </w:footnote>
  <w:footnote w:id="80">
    <w:p w:rsidR="00865911" w:rsidRDefault="00865911">
      <w:pPr>
        <w:pStyle w:val="FootnoteText"/>
      </w:pPr>
      <w:r w:rsidRPr="009B1A1F">
        <w:rPr>
          <w:rStyle w:val="FootnoteReference"/>
          <w:sz w:val="22"/>
        </w:rPr>
        <w:footnoteRef/>
      </w:r>
      <w:r w:rsidRPr="009B1A1F">
        <w:rPr>
          <w:sz w:val="22"/>
        </w:rPr>
        <w:t xml:space="preserve"> </w:t>
      </w:r>
      <w:r>
        <w:rPr>
          <w:sz w:val="22"/>
        </w:rPr>
        <w:t>i</w:t>
      </w:r>
      <w:r w:rsidRPr="009B1A1F">
        <w:rPr>
          <w:sz w:val="22"/>
        </w:rPr>
        <w:t>bid.</w:t>
      </w:r>
    </w:p>
  </w:footnote>
  <w:footnote w:id="81">
    <w:p w:rsidR="00865911" w:rsidRPr="002C460A" w:rsidRDefault="00865911" w:rsidP="0035568A">
      <w:pPr>
        <w:pStyle w:val="FootnoteText"/>
        <w:rPr>
          <w:sz w:val="22"/>
        </w:rPr>
      </w:pPr>
      <w:r w:rsidRPr="002C460A">
        <w:rPr>
          <w:rStyle w:val="FootnoteReference"/>
          <w:sz w:val="22"/>
        </w:rPr>
        <w:footnoteRef/>
      </w:r>
      <w:r>
        <w:rPr>
          <w:sz w:val="22"/>
        </w:rPr>
        <w:t xml:space="preserve"> Pünder (n 1) 361-9, 377-8</w:t>
      </w:r>
      <w:r w:rsidRPr="002C460A">
        <w:rPr>
          <w:sz w:val="22"/>
        </w:rPr>
        <w:t>.</w:t>
      </w:r>
    </w:p>
  </w:footnote>
  <w:footnote w:id="82">
    <w:p w:rsidR="00865911" w:rsidRPr="002C460A" w:rsidRDefault="00865911" w:rsidP="0035568A">
      <w:pPr>
        <w:pStyle w:val="FootnoteText"/>
        <w:rPr>
          <w:sz w:val="22"/>
        </w:rPr>
      </w:pPr>
      <w:r w:rsidRPr="002C460A">
        <w:rPr>
          <w:rStyle w:val="FootnoteReference"/>
          <w:sz w:val="22"/>
        </w:rPr>
        <w:footnoteRef/>
      </w:r>
      <w:r w:rsidRPr="002C460A">
        <w:rPr>
          <w:sz w:val="22"/>
        </w:rPr>
        <w:t xml:space="preserve"> </w:t>
      </w:r>
      <w:r>
        <w:rPr>
          <w:sz w:val="22"/>
        </w:rPr>
        <w:t>ibid</w:t>
      </w:r>
      <w:r w:rsidRPr="002C460A">
        <w:rPr>
          <w:sz w:val="22"/>
        </w:rPr>
        <w:t xml:space="preserve"> </w:t>
      </w:r>
      <w:r>
        <w:rPr>
          <w:sz w:val="22"/>
        </w:rPr>
        <w:t>361-9</w:t>
      </w:r>
      <w:r w:rsidRPr="002C460A">
        <w:rPr>
          <w:sz w:val="22"/>
        </w:rPr>
        <w:t>.</w:t>
      </w:r>
    </w:p>
  </w:footnote>
  <w:footnote w:id="83">
    <w:p w:rsidR="00865911" w:rsidRPr="002C460A" w:rsidRDefault="00865911" w:rsidP="00334B89">
      <w:pPr>
        <w:pStyle w:val="FootnoteText"/>
        <w:rPr>
          <w:sz w:val="22"/>
        </w:rPr>
      </w:pPr>
      <w:r w:rsidRPr="002C460A">
        <w:rPr>
          <w:rStyle w:val="FootnoteReference"/>
          <w:sz w:val="22"/>
        </w:rPr>
        <w:footnoteRef/>
      </w:r>
      <w:r w:rsidRPr="002C460A">
        <w:rPr>
          <w:sz w:val="22"/>
        </w:rPr>
        <w:t xml:space="preserve"> Keyes (n 1) 506-9.</w:t>
      </w:r>
    </w:p>
  </w:footnote>
  <w:footnote w:id="84">
    <w:p w:rsidR="00865911" w:rsidRPr="002C460A" w:rsidRDefault="00865911">
      <w:pPr>
        <w:pStyle w:val="FootnoteText"/>
        <w:rPr>
          <w:sz w:val="22"/>
        </w:rPr>
      </w:pPr>
      <w:r w:rsidRPr="002C460A">
        <w:rPr>
          <w:rStyle w:val="FootnoteReference"/>
          <w:sz w:val="22"/>
        </w:rPr>
        <w:footnoteRef/>
      </w:r>
      <w:r w:rsidRPr="002C460A">
        <w:rPr>
          <w:sz w:val="22"/>
        </w:rPr>
        <w:t xml:space="preserve"> ibid; Paul Salembier and Peter Bernhardt, ‘Understanding the Regulation Making Process’ (Spring 2002) Canadian Parliamentary Review 13, 16; Salembier, </w:t>
      </w:r>
      <w:r w:rsidRPr="002C460A">
        <w:rPr>
          <w:i/>
          <w:sz w:val="22"/>
        </w:rPr>
        <w:t>Regulatory Law</w:t>
      </w:r>
      <w:r>
        <w:rPr>
          <w:sz w:val="22"/>
        </w:rPr>
        <w:t xml:space="preserve"> (n 70</w:t>
      </w:r>
      <w:r w:rsidRPr="002C460A">
        <w:rPr>
          <w:sz w:val="22"/>
        </w:rPr>
        <w:t>) 198-9.</w:t>
      </w:r>
    </w:p>
  </w:footnote>
  <w:footnote w:id="85">
    <w:p w:rsidR="00865911" w:rsidRPr="002C460A" w:rsidRDefault="00865911">
      <w:pPr>
        <w:pStyle w:val="FootnoteText"/>
        <w:rPr>
          <w:sz w:val="22"/>
        </w:rPr>
      </w:pPr>
      <w:r w:rsidRPr="002C460A">
        <w:rPr>
          <w:rStyle w:val="FootnoteReference"/>
          <w:sz w:val="22"/>
        </w:rPr>
        <w:footnoteRef/>
      </w:r>
      <w:r>
        <w:rPr>
          <w:sz w:val="22"/>
        </w:rPr>
        <w:t xml:space="preserve"> NDA (n 11); See text at n 60</w:t>
      </w:r>
      <w:r w:rsidRPr="002C460A">
        <w:rPr>
          <w:sz w:val="22"/>
        </w:rPr>
        <w:t>.</w:t>
      </w:r>
    </w:p>
  </w:footnote>
  <w:footnote w:id="86">
    <w:p w:rsidR="00865911" w:rsidRPr="002C460A" w:rsidRDefault="00865911">
      <w:pPr>
        <w:pStyle w:val="FootnoteText"/>
        <w:rPr>
          <w:sz w:val="22"/>
        </w:rPr>
      </w:pPr>
      <w:r w:rsidRPr="002C460A">
        <w:rPr>
          <w:rStyle w:val="FootnoteReference"/>
          <w:sz w:val="22"/>
        </w:rPr>
        <w:footnoteRef/>
      </w:r>
      <w:r w:rsidRPr="002C460A">
        <w:rPr>
          <w:sz w:val="22"/>
        </w:rPr>
        <w:t xml:space="preserve"> Salembier, </w:t>
      </w:r>
      <w:r w:rsidRPr="002C460A">
        <w:rPr>
          <w:i/>
          <w:sz w:val="22"/>
        </w:rPr>
        <w:t>Regulatory Law</w:t>
      </w:r>
      <w:r>
        <w:rPr>
          <w:sz w:val="22"/>
        </w:rPr>
        <w:t xml:space="preserve"> (n 70</w:t>
      </w:r>
      <w:r w:rsidRPr="002C460A">
        <w:rPr>
          <w:sz w:val="22"/>
        </w:rPr>
        <w:t>) 117; Murphy (n 1) 163-4; Kirkby (n 8) 1-2.</w:t>
      </w:r>
    </w:p>
  </w:footnote>
  <w:footnote w:id="87">
    <w:p w:rsidR="00865911" w:rsidRPr="002C460A" w:rsidRDefault="00865911">
      <w:pPr>
        <w:pStyle w:val="FootnoteText"/>
        <w:rPr>
          <w:sz w:val="22"/>
        </w:rPr>
      </w:pPr>
      <w:r w:rsidRPr="002C460A">
        <w:rPr>
          <w:rStyle w:val="FootnoteReference"/>
          <w:sz w:val="22"/>
        </w:rPr>
        <w:footnoteRef/>
      </w:r>
      <w:r w:rsidRPr="002C460A">
        <w:rPr>
          <w:sz w:val="22"/>
        </w:rPr>
        <w:t xml:space="preserve"> ibid; SIA (n 8), s 19.</w:t>
      </w:r>
    </w:p>
  </w:footnote>
  <w:footnote w:id="88">
    <w:p w:rsidR="00865911" w:rsidRPr="006E729D" w:rsidRDefault="00865911" w:rsidP="00B47C44">
      <w:pPr>
        <w:pStyle w:val="FootnoteText"/>
        <w:rPr>
          <w:sz w:val="22"/>
        </w:rPr>
      </w:pPr>
      <w:r w:rsidRPr="006E729D">
        <w:rPr>
          <w:rStyle w:val="FootnoteReference"/>
          <w:sz w:val="22"/>
        </w:rPr>
        <w:footnoteRef/>
      </w:r>
      <w:r w:rsidRPr="006E729D">
        <w:rPr>
          <w:sz w:val="22"/>
        </w:rPr>
        <w:t xml:space="preserve"> Salembier, ‘Regulation Making Process’ </w:t>
      </w:r>
      <w:r>
        <w:rPr>
          <w:sz w:val="22"/>
        </w:rPr>
        <w:t>(n 84</w:t>
      </w:r>
      <w:r w:rsidRPr="006E729D">
        <w:rPr>
          <w:sz w:val="22"/>
        </w:rPr>
        <w:t>) 17-8</w:t>
      </w:r>
      <w:r w:rsidRPr="00865911">
        <w:rPr>
          <w:sz w:val="22"/>
        </w:rPr>
        <w:t>; See text at n 36.</w:t>
      </w:r>
    </w:p>
  </w:footnote>
  <w:footnote w:id="89">
    <w:p w:rsidR="00865911" w:rsidRPr="006E729D" w:rsidRDefault="00865911" w:rsidP="008473C7">
      <w:pPr>
        <w:pStyle w:val="FootnoteText"/>
        <w:rPr>
          <w:sz w:val="22"/>
        </w:rPr>
      </w:pPr>
      <w:r w:rsidRPr="006E729D">
        <w:rPr>
          <w:rStyle w:val="FootnoteReference"/>
          <w:sz w:val="22"/>
        </w:rPr>
        <w:footnoteRef/>
      </w:r>
      <w:r w:rsidRPr="006E729D">
        <w:rPr>
          <w:sz w:val="22"/>
        </w:rPr>
        <w:t xml:space="preserve"> ibid; SIA (n 8) s 19.1; Parliament of Canada, </w:t>
      </w:r>
      <w:r w:rsidRPr="006E729D">
        <w:rPr>
          <w:i/>
          <w:sz w:val="22"/>
        </w:rPr>
        <w:t xml:space="preserve">House of Commons Procedure and Practice </w:t>
      </w:r>
      <w:r w:rsidRPr="006E729D">
        <w:rPr>
          <w:sz w:val="22"/>
        </w:rPr>
        <w:t>(2</w:t>
      </w:r>
      <w:r w:rsidRPr="006E729D">
        <w:rPr>
          <w:sz w:val="22"/>
          <w:vertAlign w:val="superscript"/>
        </w:rPr>
        <w:t>nd</w:t>
      </w:r>
      <w:r w:rsidRPr="006E729D">
        <w:rPr>
          <w:sz w:val="22"/>
        </w:rPr>
        <w:t xml:space="preserve"> edn, 2009), ch 17, text at fn 34 &lt; </w:t>
      </w:r>
      <w:hyperlink r:id="rId9" w:history="1">
        <w:r w:rsidRPr="006E729D">
          <w:rPr>
            <w:rStyle w:val="Hyperlink"/>
            <w:sz w:val="22"/>
          </w:rPr>
          <w:t>http://www.parl.gc.ca/procedure-book-livre/Document.aspx?sbdid=519E5B2B-A6FF-49E1-B5C4-FE9BA384E253&amp;sbpidx=1&amp;Language=E&amp;Mode=1</w:t>
        </w:r>
      </w:hyperlink>
      <w:r w:rsidRPr="006E729D">
        <w:rPr>
          <w:sz w:val="22"/>
        </w:rPr>
        <w:t>&gt; accessed 23 August 2015.</w:t>
      </w:r>
    </w:p>
  </w:footnote>
  <w:footnote w:id="90">
    <w:p w:rsidR="00865911" w:rsidRPr="006E729D" w:rsidRDefault="00865911" w:rsidP="00E81D77">
      <w:pPr>
        <w:pStyle w:val="FootnoteText"/>
        <w:rPr>
          <w:sz w:val="22"/>
        </w:rPr>
      </w:pPr>
      <w:r w:rsidRPr="006E729D">
        <w:rPr>
          <w:rStyle w:val="FootnoteReference"/>
          <w:sz w:val="22"/>
        </w:rPr>
        <w:footnoteRef/>
      </w:r>
      <w:r w:rsidRPr="006E729D">
        <w:rPr>
          <w:sz w:val="22"/>
        </w:rPr>
        <w:t xml:space="preserve"> SIA (n 8) ss. 3, 5, and 11; SIR (n 14) s 7; Joshi (n 12) 9-12.</w:t>
      </w:r>
    </w:p>
  </w:footnote>
  <w:footnote w:id="91">
    <w:p w:rsidR="00865911" w:rsidRPr="006E729D" w:rsidRDefault="00865911" w:rsidP="00E72012">
      <w:pPr>
        <w:pStyle w:val="FootnoteText"/>
        <w:rPr>
          <w:sz w:val="22"/>
        </w:rPr>
      </w:pPr>
      <w:r w:rsidRPr="006E729D">
        <w:rPr>
          <w:rStyle w:val="FootnoteReference"/>
          <w:sz w:val="22"/>
        </w:rPr>
        <w:footnoteRef/>
      </w:r>
      <w:r w:rsidRPr="006E729D">
        <w:rPr>
          <w:sz w:val="22"/>
        </w:rPr>
        <w:t xml:space="preserve"> SIA (n 8), s. 19; SIR (n 14) s. 22.</w:t>
      </w:r>
    </w:p>
  </w:footnote>
  <w:footnote w:id="92">
    <w:p w:rsidR="00865911" w:rsidRPr="006E729D" w:rsidRDefault="00865911">
      <w:pPr>
        <w:pStyle w:val="FootnoteText"/>
        <w:rPr>
          <w:sz w:val="22"/>
        </w:rPr>
      </w:pPr>
      <w:r w:rsidRPr="006E729D">
        <w:rPr>
          <w:rStyle w:val="FootnoteReference"/>
          <w:sz w:val="22"/>
        </w:rPr>
        <w:footnoteRef/>
      </w:r>
      <w:r w:rsidRPr="006E729D">
        <w:rPr>
          <w:sz w:val="22"/>
        </w:rPr>
        <w:t xml:space="preserve"> Lortie (n 15).</w:t>
      </w:r>
    </w:p>
  </w:footnote>
  <w:footnote w:id="93">
    <w:p w:rsidR="00865911" w:rsidRPr="006E729D" w:rsidRDefault="00865911" w:rsidP="001603AD">
      <w:pPr>
        <w:pStyle w:val="FootnoteText"/>
        <w:rPr>
          <w:sz w:val="22"/>
        </w:rPr>
      </w:pPr>
      <w:r w:rsidRPr="006E729D">
        <w:rPr>
          <w:rStyle w:val="FootnoteReference"/>
          <w:sz w:val="22"/>
        </w:rPr>
        <w:footnoteRef/>
      </w:r>
      <w:r w:rsidRPr="006E729D">
        <w:rPr>
          <w:sz w:val="22"/>
        </w:rPr>
        <w:t xml:space="preserve"> SIA (n 8), s. 19; </w:t>
      </w:r>
      <w:r w:rsidRPr="006E729D">
        <w:rPr>
          <w:i/>
          <w:sz w:val="22"/>
        </w:rPr>
        <w:t xml:space="preserve">House of Commons Procedure and Practice </w:t>
      </w:r>
      <w:r>
        <w:rPr>
          <w:sz w:val="22"/>
        </w:rPr>
        <w:t>(n 89</w:t>
      </w:r>
      <w:r w:rsidRPr="006E729D">
        <w:rPr>
          <w:sz w:val="22"/>
        </w:rPr>
        <w:t xml:space="preserve">), ch 17, text at fnn 16-18. </w:t>
      </w:r>
    </w:p>
  </w:footnote>
  <w:footnote w:id="94">
    <w:p w:rsidR="00865911" w:rsidRPr="006E729D" w:rsidRDefault="00865911">
      <w:pPr>
        <w:pStyle w:val="FootnoteText"/>
        <w:rPr>
          <w:sz w:val="22"/>
        </w:rPr>
      </w:pPr>
      <w:r w:rsidRPr="006E729D">
        <w:rPr>
          <w:rStyle w:val="FootnoteReference"/>
          <w:sz w:val="22"/>
        </w:rPr>
        <w:footnoteRef/>
      </w:r>
      <w:r w:rsidRPr="006E729D">
        <w:rPr>
          <w:sz w:val="22"/>
        </w:rPr>
        <w:t xml:space="preserve"> Lortie (n 15).</w:t>
      </w:r>
    </w:p>
  </w:footnote>
  <w:footnote w:id="95">
    <w:p w:rsidR="00865911" w:rsidRPr="006E729D" w:rsidRDefault="00865911">
      <w:pPr>
        <w:pStyle w:val="FootnoteText"/>
        <w:rPr>
          <w:sz w:val="22"/>
        </w:rPr>
      </w:pPr>
      <w:r w:rsidRPr="006E729D">
        <w:rPr>
          <w:rStyle w:val="FootnoteReference"/>
          <w:sz w:val="22"/>
        </w:rPr>
        <w:footnoteRef/>
      </w:r>
      <w:r w:rsidRPr="006E729D">
        <w:rPr>
          <w:sz w:val="22"/>
        </w:rPr>
        <w:t xml:space="preserve"> ibid.</w:t>
      </w:r>
    </w:p>
  </w:footnote>
  <w:footnote w:id="96">
    <w:p w:rsidR="00865911" w:rsidRPr="002C460A" w:rsidRDefault="00865911">
      <w:pPr>
        <w:pStyle w:val="FootnoteText"/>
        <w:rPr>
          <w:sz w:val="22"/>
        </w:rPr>
      </w:pPr>
      <w:r w:rsidRPr="006E729D">
        <w:rPr>
          <w:rStyle w:val="FootnoteReference"/>
          <w:sz w:val="22"/>
        </w:rPr>
        <w:footnoteRef/>
      </w:r>
      <w:r w:rsidRPr="006E729D">
        <w:rPr>
          <w:sz w:val="22"/>
        </w:rPr>
        <w:t xml:space="preserve"> </w:t>
      </w:r>
      <w:r w:rsidRPr="00705A22">
        <w:rPr>
          <w:sz w:val="22"/>
        </w:rPr>
        <w:t>See text at n 60. See also nn 9 and 12.</w:t>
      </w:r>
    </w:p>
  </w:footnote>
  <w:footnote w:id="97">
    <w:p w:rsidR="00865911" w:rsidRPr="002C460A" w:rsidRDefault="00865911">
      <w:pPr>
        <w:pStyle w:val="FootnoteText"/>
        <w:rPr>
          <w:sz w:val="22"/>
        </w:rPr>
      </w:pPr>
      <w:r w:rsidRPr="002C460A">
        <w:rPr>
          <w:rStyle w:val="FootnoteReference"/>
          <w:sz w:val="22"/>
        </w:rPr>
        <w:footnoteRef/>
      </w:r>
      <w:r w:rsidRPr="002C460A">
        <w:rPr>
          <w:sz w:val="22"/>
        </w:rPr>
        <w:t xml:space="preserve"> Rehema Mkuye, ‘Controls and Standards of Delegated Legislation: A case study of Tanzania’ (2</w:t>
      </w:r>
      <w:r>
        <w:rPr>
          <w:sz w:val="22"/>
        </w:rPr>
        <w:t xml:space="preserve">007) 9 Eur JL Reform 205, 219; </w:t>
      </w:r>
      <w:r w:rsidRPr="002C460A">
        <w:rPr>
          <w:sz w:val="22"/>
        </w:rPr>
        <w:t xml:space="preserve">Keyes (n 1) 501; Reid (n 3) 9-10; </w:t>
      </w:r>
    </w:p>
  </w:footnote>
  <w:footnote w:id="98">
    <w:p w:rsidR="00865911" w:rsidRPr="002C460A" w:rsidRDefault="00865911" w:rsidP="000A55AF">
      <w:pPr>
        <w:pStyle w:val="FootnoteText"/>
        <w:rPr>
          <w:sz w:val="22"/>
        </w:rPr>
      </w:pPr>
      <w:r w:rsidRPr="002C460A">
        <w:rPr>
          <w:rStyle w:val="FootnoteReference"/>
          <w:sz w:val="22"/>
        </w:rPr>
        <w:footnoteRef/>
      </w:r>
      <w:r w:rsidRPr="002C460A">
        <w:rPr>
          <w:sz w:val="22"/>
        </w:rPr>
        <w:t xml:space="preserve"> </w:t>
      </w:r>
      <w:r>
        <w:rPr>
          <w:sz w:val="22"/>
        </w:rPr>
        <w:t xml:space="preserve">ibid; </w:t>
      </w:r>
      <w:r w:rsidRPr="002C460A">
        <w:rPr>
          <w:sz w:val="22"/>
        </w:rPr>
        <w:t>Mur</w:t>
      </w:r>
      <w:r>
        <w:rPr>
          <w:sz w:val="22"/>
        </w:rPr>
        <w:t>phy (n 1) 161-2</w:t>
      </w:r>
      <w:r w:rsidRPr="002C460A">
        <w:rPr>
          <w:sz w:val="22"/>
        </w:rPr>
        <w:t>.</w:t>
      </w:r>
    </w:p>
  </w:footnote>
  <w:footnote w:id="99">
    <w:p w:rsidR="00865911" w:rsidRPr="002C460A" w:rsidRDefault="00865911">
      <w:pPr>
        <w:pStyle w:val="FootnoteText"/>
        <w:rPr>
          <w:sz w:val="22"/>
        </w:rPr>
      </w:pPr>
      <w:r w:rsidRPr="002C460A">
        <w:rPr>
          <w:rStyle w:val="FootnoteReference"/>
          <w:sz w:val="22"/>
        </w:rPr>
        <w:footnoteRef/>
      </w:r>
      <w:r w:rsidRPr="002C460A">
        <w:rPr>
          <w:sz w:val="22"/>
        </w:rPr>
        <w:t xml:space="preserve"> ibid; </w:t>
      </w:r>
      <w:r>
        <w:rPr>
          <w:sz w:val="22"/>
        </w:rPr>
        <w:t>Mkuye, (n 97</w:t>
      </w:r>
      <w:r w:rsidRPr="00F6135E">
        <w:rPr>
          <w:sz w:val="22"/>
        </w:rPr>
        <w:t>)</w:t>
      </w:r>
      <w:r>
        <w:rPr>
          <w:sz w:val="22"/>
        </w:rPr>
        <w:t xml:space="preserve"> 219; Pünder (n 1) 367-9; </w:t>
      </w:r>
      <w:r w:rsidRPr="002C460A">
        <w:rPr>
          <w:sz w:val="22"/>
        </w:rPr>
        <w:t>Keyes (n 1) 501.</w:t>
      </w:r>
    </w:p>
  </w:footnote>
  <w:footnote w:id="100">
    <w:p w:rsidR="00865911" w:rsidRPr="002C460A" w:rsidRDefault="00865911" w:rsidP="00B35712">
      <w:pPr>
        <w:pStyle w:val="FootnoteText"/>
        <w:rPr>
          <w:sz w:val="22"/>
        </w:rPr>
      </w:pPr>
      <w:r w:rsidRPr="002C460A">
        <w:rPr>
          <w:rStyle w:val="FootnoteReference"/>
          <w:sz w:val="22"/>
        </w:rPr>
        <w:footnoteRef/>
      </w:r>
      <w:r>
        <w:rPr>
          <w:sz w:val="22"/>
        </w:rPr>
        <w:t xml:space="preserve"> Pünder (n 1) 367-9</w:t>
      </w:r>
      <w:r w:rsidRPr="002C460A">
        <w:rPr>
          <w:sz w:val="22"/>
        </w:rPr>
        <w:t>.</w:t>
      </w:r>
    </w:p>
  </w:footnote>
  <w:footnote w:id="101">
    <w:p w:rsidR="00865911" w:rsidRPr="002C460A" w:rsidRDefault="00865911">
      <w:pPr>
        <w:pStyle w:val="FootnoteText"/>
        <w:rPr>
          <w:sz w:val="22"/>
        </w:rPr>
      </w:pPr>
      <w:r w:rsidRPr="002C460A">
        <w:rPr>
          <w:rStyle w:val="FootnoteReference"/>
          <w:sz w:val="22"/>
        </w:rPr>
        <w:footnoteRef/>
      </w:r>
      <w:r w:rsidRPr="002C460A">
        <w:rPr>
          <w:sz w:val="22"/>
        </w:rPr>
        <w:t xml:space="preserve"> </w:t>
      </w:r>
      <w:r>
        <w:rPr>
          <w:sz w:val="22"/>
        </w:rPr>
        <w:t>ibid</w:t>
      </w:r>
      <w:r w:rsidRPr="002C460A">
        <w:rPr>
          <w:sz w:val="22"/>
        </w:rPr>
        <w:t xml:space="preserve"> 369</w:t>
      </w:r>
      <w:r>
        <w:rPr>
          <w:sz w:val="22"/>
        </w:rPr>
        <w:t>, 374-6</w:t>
      </w:r>
      <w:r w:rsidRPr="002C460A">
        <w:rPr>
          <w:sz w:val="22"/>
        </w:rPr>
        <w:t>.</w:t>
      </w:r>
    </w:p>
  </w:footnote>
  <w:footnote w:id="102">
    <w:p w:rsidR="00865911" w:rsidRPr="006E729D" w:rsidRDefault="00865911">
      <w:pPr>
        <w:pStyle w:val="FootnoteText"/>
        <w:rPr>
          <w:sz w:val="22"/>
        </w:rPr>
      </w:pPr>
      <w:r w:rsidRPr="00F6135E">
        <w:rPr>
          <w:rStyle w:val="FootnoteReference"/>
          <w:sz w:val="22"/>
        </w:rPr>
        <w:footnoteRef/>
      </w:r>
      <w:r>
        <w:rPr>
          <w:sz w:val="22"/>
        </w:rPr>
        <w:t xml:space="preserve"> Mkuye, (n 97</w:t>
      </w:r>
      <w:r w:rsidRPr="00F6135E">
        <w:rPr>
          <w:sz w:val="22"/>
        </w:rPr>
        <w:t>) 218</w:t>
      </w:r>
      <w:r w:rsidRPr="00DD49ED">
        <w:rPr>
          <w:sz w:val="22"/>
        </w:rPr>
        <w:t xml:space="preserve"> </w:t>
      </w:r>
      <w:r w:rsidRPr="002C460A">
        <w:rPr>
          <w:sz w:val="22"/>
        </w:rPr>
        <w:t>Alfred Kellerman, ‘Guidelines on Quality of EU Legislation and Its Impact on Albania’ (2008) 10 Eur LJ Reform 183</w:t>
      </w:r>
      <w:r>
        <w:rPr>
          <w:sz w:val="22"/>
        </w:rPr>
        <w:t xml:space="preserve">, </w:t>
      </w:r>
      <w:r w:rsidRPr="002C460A">
        <w:rPr>
          <w:sz w:val="22"/>
        </w:rPr>
        <w:t>203-4</w:t>
      </w:r>
      <w:r w:rsidRPr="00F6135E">
        <w:rPr>
          <w:sz w:val="22"/>
        </w:rPr>
        <w:t>;</w:t>
      </w:r>
      <w:r>
        <w:rPr>
          <w:sz w:val="22"/>
        </w:rPr>
        <w:t xml:space="preserve"> Pünder (n 1) 374-6</w:t>
      </w:r>
      <w:r w:rsidRPr="002C460A">
        <w:rPr>
          <w:sz w:val="22"/>
        </w:rPr>
        <w:t>; Noor Azlina Hashim, ‘Consultation: A Contribution to Efficiency of Drafting Process in Malaysia’ (2012) 14 Eur JL Reform 142, 15</w:t>
      </w:r>
      <w:r>
        <w:rPr>
          <w:sz w:val="22"/>
        </w:rPr>
        <w:t>5-</w:t>
      </w:r>
      <w:r w:rsidRPr="002C460A">
        <w:rPr>
          <w:sz w:val="22"/>
        </w:rPr>
        <w:t>6</w:t>
      </w:r>
      <w:r>
        <w:rPr>
          <w:sz w:val="22"/>
        </w:rPr>
        <w:t>;</w:t>
      </w:r>
      <w:r w:rsidRPr="002C460A">
        <w:rPr>
          <w:sz w:val="22"/>
        </w:rPr>
        <w:t xml:space="preserve"> </w:t>
      </w:r>
      <w:r w:rsidRPr="006E729D">
        <w:rPr>
          <w:sz w:val="22"/>
        </w:rPr>
        <w:t>Lesedi Poloko, ‘Drafting of Legislation in Compliance with Model Laws (2013) 15 Eur JL Reform 415, 426-9.</w:t>
      </w:r>
    </w:p>
  </w:footnote>
  <w:footnote w:id="103">
    <w:p w:rsidR="00865911" w:rsidRPr="006E729D" w:rsidRDefault="00865911">
      <w:pPr>
        <w:pStyle w:val="FootnoteText"/>
        <w:rPr>
          <w:sz w:val="22"/>
        </w:rPr>
      </w:pPr>
      <w:r w:rsidRPr="006E729D">
        <w:rPr>
          <w:rStyle w:val="FootnoteReference"/>
          <w:sz w:val="22"/>
        </w:rPr>
        <w:footnoteRef/>
      </w:r>
      <w:r w:rsidRPr="006E729D">
        <w:rPr>
          <w:sz w:val="22"/>
        </w:rPr>
        <w:t xml:space="preserve"> Joshi (n 12) 48; Keyes (n 1) 192-3; 209-12.</w:t>
      </w:r>
    </w:p>
  </w:footnote>
  <w:footnote w:id="104">
    <w:p w:rsidR="00865911" w:rsidRPr="006E729D" w:rsidRDefault="00865911">
      <w:pPr>
        <w:pStyle w:val="FootnoteText"/>
        <w:rPr>
          <w:sz w:val="22"/>
        </w:rPr>
      </w:pPr>
      <w:r w:rsidRPr="006E729D">
        <w:rPr>
          <w:rStyle w:val="FootnoteReference"/>
          <w:sz w:val="22"/>
        </w:rPr>
        <w:footnoteRef/>
      </w:r>
      <w:r w:rsidRPr="006E729D">
        <w:rPr>
          <w:sz w:val="22"/>
        </w:rPr>
        <w:t xml:space="preserve"> Regulatory Process Guide (n 9), 7-8. See text at n 30.</w:t>
      </w:r>
    </w:p>
  </w:footnote>
  <w:footnote w:id="105">
    <w:p w:rsidR="00865911" w:rsidRPr="006E729D" w:rsidRDefault="00865911">
      <w:pPr>
        <w:pStyle w:val="FootnoteText"/>
        <w:rPr>
          <w:sz w:val="22"/>
        </w:rPr>
      </w:pPr>
      <w:r w:rsidRPr="006E729D">
        <w:rPr>
          <w:rStyle w:val="FootnoteReference"/>
          <w:sz w:val="22"/>
        </w:rPr>
        <w:footnoteRef/>
      </w:r>
      <w:r w:rsidRPr="006E729D">
        <w:rPr>
          <w:sz w:val="22"/>
        </w:rPr>
        <w:t xml:space="preserve"> Regulatory Process Guide (n 9), 7-8.</w:t>
      </w:r>
    </w:p>
  </w:footnote>
  <w:footnote w:id="106">
    <w:p w:rsidR="00865911" w:rsidRPr="006E729D" w:rsidRDefault="00865911">
      <w:pPr>
        <w:pStyle w:val="FootnoteText"/>
        <w:rPr>
          <w:sz w:val="22"/>
        </w:rPr>
      </w:pPr>
      <w:r w:rsidRPr="006E729D">
        <w:rPr>
          <w:rStyle w:val="FootnoteReference"/>
          <w:sz w:val="22"/>
        </w:rPr>
        <w:footnoteRef/>
      </w:r>
      <w:r w:rsidRPr="006E729D">
        <w:rPr>
          <w:sz w:val="22"/>
        </w:rPr>
        <w:t xml:space="preserve"> Treasury Board of Canada Secretariat, </w:t>
      </w:r>
      <w:r w:rsidRPr="006E729D">
        <w:rPr>
          <w:i/>
          <w:sz w:val="22"/>
        </w:rPr>
        <w:t>Guidelines for Effective Regulatory Consultations</w:t>
      </w:r>
      <w:r w:rsidRPr="006E729D">
        <w:rPr>
          <w:sz w:val="22"/>
        </w:rPr>
        <w:t xml:space="preserve"> (2007) &lt; </w:t>
      </w:r>
      <w:hyperlink r:id="rId10" w:history="1">
        <w:r w:rsidRPr="006E729D">
          <w:rPr>
            <w:rStyle w:val="Hyperlink"/>
            <w:sz w:val="22"/>
          </w:rPr>
          <w:t>http://www.tbs-sct.gc.ca/rtrp-parfa/erc-cer/erc-cer01-eng.asp</w:t>
        </w:r>
      </w:hyperlink>
      <w:r w:rsidRPr="006E729D">
        <w:rPr>
          <w:sz w:val="22"/>
        </w:rPr>
        <w:t xml:space="preserve"> &gt; accessed 23 August 2015.</w:t>
      </w:r>
    </w:p>
  </w:footnote>
  <w:footnote w:id="107">
    <w:p w:rsidR="00865911" w:rsidRPr="006E729D" w:rsidRDefault="00865911">
      <w:pPr>
        <w:pStyle w:val="FootnoteText"/>
        <w:rPr>
          <w:sz w:val="22"/>
        </w:rPr>
      </w:pPr>
      <w:r w:rsidRPr="006E729D">
        <w:rPr>
          <w:rStyle w:val="FootnoteReference"/>
          <w:sz w:val="22"/>
        </w:rPr>
        <w:footnoteRef/>
      </w:r>
      <w:r w:rsidRPr="006E729D">
        <w:rPr>
          <w:sz w:val="22"/>
        </w:rPr>
        <w:t xml:space="preserve"> Regulatory Process Guide (n 9), 7-8.</w:t>
      </w:r>
    </w:p>
  </w:footnote>
  <w:footnote w:id="108">
    <w:p w:rsidR="00865911" w:rsidRPr="002C460A" w:rsidRDefault="00865911">
      <w:pPr>
        <w:pStyle w:val="FootnoteText"/>
        <w:rPr>
          <w:sz w:val="22"/>
        </w:rPr>
      </w:pPr>
      <w:r w:rsidRPr="006E729D">
        <w:rPr>
          <w:rStyle w:val="FootnoteReference"/>
          <w:sz w:val="22"/>
        </w:rPr>
        <w:footnoteRef/>
      </w:r>
      <w:r w:rsidRPr="006E729D">
        <w:rPr>
          <w:sz w:val="22"/>
        </w:rPr>
        <w:t xml:space="preserve"> Joshi (n 12) 12-14; Dufour (n 15); Lortie (n 15).</w:t>
      </w:r>
    </w:p>
  </w:footnote>
  <w:footnote w:id="109">
    <w:p w:rsidR="00865911" w:rsidRPr="002C460A" w:rsidRDefault="00865911" w:rsidP="007602AB">
      <w:pPr>
        <w:pStyle w:val="FootnoteText"/>
        <w:rPr>
          <w:sz w:val="22"/>
        </w:rPr>
      </w:pPr>
      <w:r w:rsidRPr="002C460A">
        <w:rPr>
          <w:rStyle w:val="FootnoteReference"/>
          <w:sz w:val="22"/>
        </w:rPr>
        <w:footnoteRef/>
      </w:r>
      <w:r w:rsidRPr="002C460A">
        <w:rPr>
          <w:sz w:val="22"/>
        </w:rPr>
        <w:t xml:space="preserve"> ibid.</w:t>
      </w:r>
    </w:p>
  </w:footnote>
  <w:footnote w:id="110">
    <w:p w:rsidR="00865911" w:rsidRPr="002C460A" w:rsidRDefault="00865911" w:rsidP="00EB6670">
      <w:pPr>
        <w:pStyle w:val="FootnoteText"/>
        <w:rPr>
          <w:sz w:val="22"/>
        </w:rPr>
      </w:pPr>
      <w:r w:rsidRPr="002C460A">
        <w:rPr>
          <w:rStyle w:val="FootnoteReference"/>
          <w:sz w:val="22"/>
        </w:rPr>
        <w:footnoteRef/>
      </w:r>
      <w:r>
        <w:rPr>
          <w:sz w:val="22"/>
        </w:rPr>
        <w:t xml:space="preserve"> Dufour (n 15</w:t>
      </w:r>
      <w:r w:rsidRPr="002C460A">
        <w:rPr>
          <w:sz w:val="22"/>
        </w:rPr>
        <w:t>); L</w:t>
      </w:r>
      <w:r>
        <w:rPr>
          <w:sz w:val="22"/>
        </w:rPr>
        <w:t>ortie (n 15</w:t>
      </w:r>
      <w:r w:rsidRPr="002C460A">
        <w:rPr>
          <w:sz w:val="22"/>
        </w:rPr>
        <w:t>).</w:t>
      </w:r>
    </w:p>
  </w:footnote>
  <w:footnote w:id="111">
    <w:p w:rsidR="00865911" w:rsidRPr="002C460A" w:rsidRDefault="00865911" w:rsidP="001D6655">
      <w:pPr>
        <w:pStyle w:val="FootnoteText"/>
        <w:rPr>
          <w:sz w:val="22"/>
        </w:rPr>
      </w:pPr>
      <w:r w:rsidRPr="002C460A">
        <w:rPr>
          <w:rStyle w:val="FootnoteReference"/>
          <w:sz w:val="22"/>
        </w:rPr>
        <w:footnoteRef/>
      </w:r>
      <w:r>
        <w:rPr>
          <w:sz w:val="22"/>
        </w:rPr>
        <w:t xml:space="preserve"> ibid; Joshi (n 12</w:t>
      </w:r>
      <w:r w:rsidRPr="002C460A">
        <w:rPr>
          <w:sz w:val="22"/>
        </w:rPr>
        <w:t>) 12-14.</w:t>
      </w:r>
    </w:p>
  </w:footnote>
  <w:footnote w:id="112">
    <w:p w:rsidR="00865911" w:rsidRPr="002C460A" w:rsidRDefault="00865911" w:rsidP="00EA44E4">
      <w:pPr>
        <w:pStyle w:val="FootnoteText"/>
        <w:rPr>
          <w:sz w:val="22"/>
        </w:rPr>
      </w:pPr>
      <w:r w:rsidRPr="002C460A">
        <w:rPr>
          <w:rStyle w:val="FootnoteReference"/>
          <w:sz w:val="22"/>
        </w:rPr>
        <w:footnoteRef/>
      </w:r>
      <w:r w:rsidRPr="002C460A">
        <w:rPr>
          <w:sz w:val="22"/>
        </w:rPr>
        <w:t xml:space="preserve"> Regulatory Proce</w:t>
      </w:r>
      <w:r>
        <w:rPr>
          <w:sz w:val="22"/>
        </w:rPr>
        <w:t>ss Guide (n 9) 7-8; Lortie (n 15</w:t>
      </w:r>
      <w:r w:rsidRPr="002C460A">
        <w:rPr>
          <w:sz w:val="22"/>
        </w:rPr>
        <w:t>).</w:t>
      </w:r>
    </w:p>
  </w:footnote>
  <w:footnote w:id="113">
    <w:p w:rsidR="00865911" w:rsidRPr="002C460A" w:rsidRDefault="00865911" w:rsidP="0063203D">
      <w:pPr>
        <w:pStyle w:val="FootnoteText"/>
        <w:rPr>
          <w:sz w:val="22"/>
        </w:rPr>
      </w:pPr>
      <w:r w:rsidRPr="002C460A">
        <w:rPr>
          <w:rStyle w:val="FootnoteReference"/>
          <w:sz w:val="22"/>
        </w:rPr>
        <w:footnoteRef/>
      </w:r>
      <w:r>
        <w:rPr>
          <w:sz w:val="22"/>
        </w:rPr>
        <w:t xml:space="preserve"> Joshi (n 12</w:t>
      </w:r>
      <w:r w:rsidRPr="002C460A">
        <w:rPr>
          <w:sz w:val="22"/>
        </w:rPr>
        <w:t>) 49-50.</w:t>
      </w:r>
    </w:p>
  </w:footnote>
  <w:footnote w:id="114">
    <w:p w:rsidR="00865911" w:rsidRPr="002C460A" w:rsidRDefault="00865911" w:rsidP="005F6813">
      <w:pPr>
        <w:pStyle w:val="FootnoteText"/>
        <w:rPr>
          <w:sz w:val="22"/>
        </w:rPr>
      </w:pPr>
      <w:r w:rsidRPr="002C460A">
        <w:rPr>
          <w:rStyle w:val="FootnoteReference"/>
          <w:sz w:val="22"/>
        </w:rPr>
        <w:footnoteRef/>
      </w:r>
      <w:r>
        <w:rPr>
          <w:sz w:val="22"/>
        </w:rPr>
        <w:t xml:space="preserve"> Joshi (n 12) 48; Dufour (n 15</w:t>
      </w:r>
      <w:r w:rsidRPr="002C460A">
        <w:rPr>
          <w:sz w:val="22"/>
        </w:rPr>
        <w:t>).</w:t>
      </w:r>
    </w:p>
  </w:footnote>
  <w:footnote w:id="115">
    <w:p w:rsidR="00865911" w:rsidRPr="002C460A" w:rsidRDefault="00865911" w:rsidP="005F6813">
      <w:pPr>
        <w:pStyle w:val="FootnoteText"/>
        <w:rPr>
          <w:sz w:val="22"/>
        </w:rPr>
      </w:pPr>
      <w:r w:rsidRPr="002C460A">
        <w:rPr>
          <w:rStyle w:val="FootnoteReference"/>
          <w:sz w:val="22"/>
        </w:rPr>
        <w:footnoteRef/>
      </w:r>
      <w:r>
        <w:rPr>
          <w:sz w:val="22"/>
        </w:rPr>
        <w:t xml:space="preserve"> Dufour (n 15</w:t>
      </w:r>
      <w:r w:rsidRPr="002C460A">
        <w:rPr>
          <w:sz w:val="22"/>
        </w:rPr>
        <w:t>).</w:t>
      </w:r>
    </w:p>
  </w:footnote>
  <w:footnote w:id="116">
    <w:p w:rsidR="00865911" w:rsidRPr="002C460A" w:rsidRDefault="00865911" w:rsidP="00546DE8">
      <w:pPr>
        <w:pStyle w:val="FootnoteText"/>
        <w:rPr>
          <w:sz w:val="22"/>
        </w:rPr>
      </w:pPr>
      <w:r w:rsidRPr="002C460A">
        <w:rPr>
          <w:rStyle w:val="FootnoteReference"/>
          <w:sz w:val="22"/>
        </w:rPr>
        <w:footnoteRef/>
      </w:r>
      <w:r w:rsidRPr="002C460A">
        <w:rPr>
          <w:sz w:val="22"/>
        </w:rPr>
        <w:t xml:space="preserve"> Mkuye (</w:t>
      </w:r>
      <w:r>
        <w:rPr>
          <w:sz w:val="22"/>
        </w:rPr>
        <w:t>n 97</w:t>
      </w:r>
      <w:r w:rsidRPr="002C460A">
        <w:rPr>
          <w:sz w:val="22"/>
        </w:rPr>
        <w:t>) 218-9;</w:t>
      </w:r>
      <w:r>
        <w:rPr>
          <w:sz w:val="22"/>
        </w:rPr>
        <w:t xml:space="preserve"> Hashim (n 102</w:t>
      </w:r>
      <w:r w:rsidRPr="002C460A">
        <w:rPr>
          <w:sz w:val="22"/>
        </w:rPr>
        <w:t>) 15</w:t>
      </w:r>
      <w:r>
        <w:rPr>
          <w:sz w:val="22"/>
        </w:rPr>
        <w:t>5-6;</w:t>
      </w:r>
      <w:r w:rsidRPr="00F6135E">
        <w:rPr>
          <w:sz w:val="22"/>
        </w:rPr>
        <w:t xml:space="preserve"> Kellerman</w:t>
      </w:r>
      <w:r>
        <w:rPr>
          <w:sz w:val="22"/>
        </w:rPr>
        <w:t xml:space="preserve"> (n 102) </w:t>
      </w:r>
      <w:r w:rsidRPr="00F6135E">
        <w:rPr>
          <w:sz w:val="22"/>
        </w:rPr>
        <w:t>203-4; Poloko</w:t>
      </w:r>
      <w:r>
        <w:rPr>
          <w:sz w:val="22"/>
        </w:rPr>
        <w:t xml:space="preserve"> (n 102) </w:t>
      </w:r>
      <w:r w:rsidRPr="00F6135E">
        <w:rPr>
          <w:sz w:val="22"/>
        </w:rPr>
        <w:t>426-9.</w:t>
      </w:r>
    </w:p>
  </w:footnote>
  <w:footnote w:id="117">
    <w:p w:rsidR="00865911" w:rsidRPr="006C33EE" w:rsidRDefault="00865911" w:rsidP="00875D2D">
      <w:pPr>
        <w:pStyle w:val="FootnoteText"/>
        <w:rPr>
          <w:sz w:val="22"/>
        </w:rPr>
      </w:pPr>
      <w:r w:rsidRPr="006C33EE">
        <w:rPr>
          <w:rStyle w:val="FootnoteReference"/>
          <w:sz w:val="22"/>
        </w:rPr>
        <w:footnoteRef/>
      </w:r>
      <w:r>
        <w:rPr>
          <w:sz w:val="22"/>
        </w:rPr>
        <w:t xml:space="preserve"> Kellerman (n 102</w:t>
      </w:r>
      <w:r w:rsidRPr="006C33EE">
        <w:rPr>
          <w:sz w:val="22"/>
        </w:rPr>
        <w:t>) 203-4.</w:t>
      </w:r>
    </w:p>
  </w:footnote>
  <w:footnote w:id="118">
    <w:p w:rsidR="00865911" w:rsidRPr="006C33EE" w:rsidRDefault="00865911" w:rsidP="00F23C31">
      <w:pPr>
        <w:pStyle w:val="FootnoteText"/>
        <w:rPr>
          <w:sz w:val="22"/>
        </w:rPr>
      </w:pPr>
      <w:r w:rsidRPr="006C33EE">
        <w:rPr>
          <w:rStyle w:val="FootnoteReference"/>
          <w:sz w:val="22"/>
        </w:rPr>
        <w:footnoteRef/>
      </w:r>
      <w:r w:rsidRPr="006C33EE">
        <w:rPr>
          <w:sz w:val="22"/>
        </w:rPr>
        <w:t xml:space="preserve"> ibid; J. Paul Salembier, ‘Designing Regulatory Systems: A Template for Regulatory Rule-Making —Part II’ (2003) 24 Stat L Rev 1, </w:t>
      </w:r>
      <w:r>
        <w:rPr>
          <w:sz w:val="22"/>
        </w:rPr>
        <w:t>6; Keyes (n 1) 192; Hashim (n 102</w:t>
      </w:r>
      <w:r w:rsidRPr="006C33EE">
        <w:rPr>
          <w:sz w:val="22"/>
        </w:rPr>
        <w:t>) 155-6.</w:t>
      </w:r>
    </w:p>
  </w:footnote>
  <w:footnote w:id="119">
    <w:p w:rsidR="00865911" w:rsidRDefault="00865911">
      <w:pPr>
        <w:pStyle w:val="FootnoteText"/>
      </w:pPr>
      <w:r w:rsidRPr="006C33EE">
        <w:rPr>
          <w:rStyle w:val="FootnoteReference"/>
          <w:sz w:val="22"/>
        </w:rPr>
        <w:footnoteRef/>
      </w:r>
      <w:r w:rsidRPr="006C33EE">
        <w:rPr>
          <w:sz w:val="22"/>
        </w:rPr>
        <w:t xml:space="preserve"> </w:t>
      </w:r>
      <w:r>
        <w:rPr>
          <w:sz w:val="22"/>
        </w:rPr>
        <w:t>ibid</w:t>
      </w:r>
      <w:r w:rsidRPr="006C33EE">
        <w:rPr>
          <w:sz w:val="22"/>
        </w:rPr>
        <w:t>; Pünder (n 1) 374-6.</w:t>
      </w:r>
    </w:p>
  </w:footnote>
  <w:footnote w:id="120">
    <w:p w:rsidR="00865911" w:rsidRPr="002C460A" w:rsidRDefault="00865911">
      <w:pPr>
        <w:pStyle w:val="FootnoteText"/>
        <w:rPr>
          <w:sz w:val="22"/>
        </w:rPr>
      </w:pPr>
      <w:r w:rsidRPr="002C460A">
        <w:rPr>
          <w:rStyle w:val="FootnoteReference"/>
          <w:sz w:val="22"/>
        </w:rPr>
        <w:footnoteRef/>
      </w:r>
      <w:r w:rsidRPr="002C460A">
        <w:rPr>
          <w:sz w:val="22"/>
        </w:rPr>
        <w:t xml:space="preserve"> ibid.</w:t>
      </w:r>
    </w:p>
  </w:footnote>
  <w:footnote w:id="121">
    <w:p w:rsidR="00865911" w:rsidRPr="002C460A" w:rsidRDefault="00865911">
      <w:pPr>
        <w:pStyle w:val="FootnoteText"/>
        <w:rPr>
          <w:sz w:val="22"/>
        </w:rPr>
      </w:pPr>
      <w:r w:rsidRPr="002C460A">
        <w:rPr>
          <w:rStyle w:val="FootnoteReference"/>
          <w:sz w:val="22"/>
        </w:rPr>
        <w:footnoteRef/>
      </w:r>
      <w:r>
        <w:rPr>
          <w:sz w:val="22"/>
        </w:rPr>
        <w:t xml:space="preserve"> Kellerman (n 102) 203-4; Pünder (n 1) 374-6.</w:t>
      </w:r>
    </w:p>
  </w:footnote>
  <w:footnote w:id="122">
    <w:p w:rsidR="00865911" w:rsidRPr="002C460A" w:rsidRDefault="00865911">
      <w:pPr>
        <w:pStyle w:val="FootnoteText"/>
        <w:rPr>
          <w:sz w:val="22"/>
        </w:rPr>
      </w:pPr>
      <w:r w:rsidRPr="002C460A">
        <w:rPr>
          <w:rStyle w:val="FootnoteReference"/>
          <w:sz w:val="22"/>
        </w:rPr>
        <w:footnoteRef/>
      </w:r>
      <w:r w:rsidRPr="002C460A">
        <w:rPr>
          <w:sz w:val="22"/>
        </w:rPr>
        <w:t xml:space="preserve"> </w:t>
      </w:r>
      <w:r w:rsidRPr="00865911">
        <w:rPr>
          <w:sz w:val="22"/>
        </w:rPr>
        <w:t>See text at nn 78-80;</w:t>
      </w:r>
      <w:r w:rsidRPr="002C460A">
        <w:rPr>
          <w:sz w:val="22"/>
        </w:rPr>
        <w:t xml:space="preserve"> Murphy (n 1) 162-3; Pünder (n 1) 356-364, 37</w:t>
      </w:r>
      <w:r>
        <w:rPr>
          <w:sz w:val="22"/>
        </w:rPr>
        <w:t>7-8</w:t>
      </w:r>
      <w:r w:rsidRPr="002C460A">
        <w:rPr>
          <w:sz w:val="22"/>
        </w:rPr>
        <w:t>.</w:t>
      </w:r>
    </w:p>
  </w:footnote>
  <w:footnote w:id="123">
    <w:p w:rsidR="00865911" w:rsidRPr="002C460A" w:rsidRDefault="00865911">
      <w:pPr>
        <w:pStyle w:val="FootnoteText"/>
        <w:rPr>
          <w:sz w:val="22"/>
        </w:rPr>
      </w:pPr>
      <w:r w:rsidRPr="002C460A">
        <w:rPr>
          <w:rStyle w:val="FootnoteReference"/>
          <w:sz w:val="22"/>
        </w:rPr>
        <w:footnoteRef/>
      </w:r>
      <w:r>
        <w:rPr>
          <w:sz w:val="22"/>
        </w:rPr>
        <w:t xml:space="preserve"> Kellerman (n 99</w:t>
      </w:r>
      <w:r w:rsidRPr="002C460A">
        <w:rPr>
          <w:sz w:val="22"/>
        </w:rPr>
        <w:t>) 183.</w:t>
      </w:r>
    </w:p>
  </w:footnote>
  <w:footnote w:id="124">
    <w:p w:rsidR="00865911" w:rsidRPr="002C460A" w:rsidRDefault="00865911">
      <w:pPr>
        <w:pStyle w:val="FootnoteText"/>
        <w:rPr>
          <w:sz w:val="22"/>
        </w:rPr>
      </w:pPr>
      <w:r w:rsidRPr="002C460A">
        <w:rPr>
          <w:rStyle w:val="FootnoteReference"/>
          <w:sz w:val="22"/>
        </w:rPr>
        <w:footnoteRef/>
      </w:r>
      <w:r w:rsidRPr="002C460A">
        <w:rPr>
          <w:sz w:val="22"/>
        </w:rPr>
        <w:t xml:space="preserve"> Christian Timmermans, ‘Subsidiary and Transparency’ (1998-1999) 22 Fordham Int’l LJ S106; Ulrich Karpen, ‘Good Governance Through Transparent Application of the Rule of Law’ (2009) 11 Eur JL Reform 213, 217-8.</w:t>
      </w:r>
    </w:p>
  </w:footnote>
  <w:footnote w:id="125">
    <w:p w:rsidR="00865911" w:rsidRPr="002C460A" w:rsidRDefault="00865911">
      <w:pPr>
        <w:pStyle w:val="FootnoteText"/>
        <w:rPr>
          <w:sz w:val="22"/>
        </w:rPr>
      </w:pPr>
      <w:r w:rsidRPr="002C460A">
        <w:rPr>
          <w:rStyle w:val="FootnoteReference"/>
          <w:sz w:val="22"/>
        </w:rPr>
        <w:footnoteRef/>
      </w:r>
      <w:r>
        <w:rPr>
          <w:sz w:val="22"/>
        </w:rPr>
        <w:t xml:space="preserve"> Kellerman (n 102) 184; Timmermans (n 124</w:t>
      </w:r>
      <w:r w:rsidRPr="002C460A">
        <w:rPr>
          <w:sz w:val="22"/>
        </w:rPr>
        <w:t>) S106.</w:t>
      </w:r>
    </w:p>
  </w:footnote>
  <w:footnote w:id="126">
    <w:p w:rsidR="00865911" w:rsidRPr="002C460A" w:rsidRDefault="00865911">
      <w:pPr>
        <w:pStyle w:val="FootnoteText"/>
        <w:rPr>
          <w:sz w:val="22"/>
        </w:rPr>
      </w:pPr>
      <w:r w:rsidRPr="002C460A">
        <w:rPr>
          <w:rStyle w:val="FootnoteReference"/>
          <w:sz w:val="22"/>
        </w:rPr>
        <w:footnoteRef/>
      </w:r>
      <w:r>
        <w:rPr>
          <w:sz w:val="22"/>
        </w:rPr>
        <w:t xml:space="preserve"> Kellerman (n 102</w:t>
      </w:r>
      <w:r w:rsidRPr="002C460A">
        <w:rPr>
          <w:sz w:val="22"/>
        </w:rPr>
        <w:t>) 184-5.</w:t>
      </w:r>
    </w:p>
  </w:footnote>
  <w:footnote w:id="127">
    <w:p w:rsidR="00865911" w:rsidRPr="002C460A" w:rsidRDefault="00865911" w:rsidP="00716689">
      <w:pPr>
        <w:pStyle w:val="FootnoteText"/>
        <w:rPr>
          <w:sz w:val="22"/>
        </w:rPr>
      </w:pPr>
      <w:r w:rsidRPr="002C460A">
        <w:rPr>
          <w:rStyle w:val="FootnoteReference"/>
          <w:sz w:val="22"/>
        </w:rPr>
        <w:footnoteRef/>
      </w:r>
      <w:r w:rsidRPr="002C460A">
        <w:rPr>
          <w:sz w:val="22"/>
        </w:rPr>
        <w:t xml:space="preserve"> </w:t>
      </w:r>
      <w:r w:rsidRPr="002C460A">
        <w:rPr>
          <w:i/>
          <w:sz w:val="22"/>
        </w:rPr>
        <w:t>Constitution Act, 1867</w:t>
      </w:r>
      <w:r>
        <w:rPr>
          <w:sz w:val="22"/>
        </w:rPr>
        <w:t xml:space="preserve"> (n 62</w:t>
      </w:r>
      <w:r w:rsidRPr="002C460A">
        <w:rPr>
          <w:sz w:val="22"/>
        </w:rPr>
        <w:t>).</w:t>
      </w:r>
    </w:p>
  </w:footnote>
  <w:footnote w:id="128">
    <w:p w:rsidR="00865911" w:rsidRPr="002C460A" w:rsidRDefault="00865911">
      <w:pPr>
        <w:pStyle w:val="FootnoteText"/>
        <w:rPr>
          <w:sz w:val="22"/>
        </w:rPr>
      </w:pPr>
      <w:r w:rsidRPr="002C460A">
        <w:rPr>
          <w:rStyle w:val="FootnoteReference"/>
          <w:sz w:val="22"/>
        </w:rPr>
        <w:footnoteRef/>
      </w:r>
      <w:r w:rsidRPr="002C460A">
        <w:rPr>
          <w:sz w:val="22"/>
        </w:rPr>
        <w:t xml:space="preserve"> </w:t>
      </w:r>
      <w:r w:rsidRPr="002C460A">
        <w:rPr>
          <w:i/>
          <w:sz w:val="22"/>
        </w:rPr>
        <w:t>R.</w:t>
      </w:r>
      <w:r w:rsidRPr="002C460A">
        <w:rPr>
          <w:sz w:val="22"/>
        </w:rPr>
        <w:t xml:space="preserve"> v. </w:t>
      </w:r>
      <w:r w:rsidRPr="002C460A">
        <w:rPr>
          <w:i/>
          <w:sz w:val="22"/>
        </w:rPr>
        <w:t>Hydro-Québec</w:t>
      </w:r>
      <w:r w:rsidRPr="002C460A">
        <w:rPr>
          <w:sz w:val="22"/>
        </w:rPr>
        <w:t>, [1997] 3 SCR 213 at para 113 (SCC); Keyes (n 1) 139.</w:t>
      </w:r>
    </w:p>
  </w:footnote>
  <w:footnote w:id="129">
    <w:p w:rsidR="00865911" w:rsidRPr="002C460A" w:rsidRDefault="00865911" w:rsidP="001A707B">
      <w:pPr>
        <w:pStyle w:val="FootnoteText"/>
        <w:rPr>
          <w:sz w:val="22"/>
        </w:rPr>
      </w:pPr>
      <w:r w:rsidRPr="002C460A">
        <w:rPr>
          <w:rStyle w:val="FootnoteReference"/>
          <w:sz w:val="22"/>
        </w:rPr>
        <w:footnoteRef/>
      </w:r>
      <w:r w:rsidRPr="002C460A">
        <w:rPr>
          <w:sz w:val="22"/>
        </w:rPr>
        <w:t xml:space="preserve"> Keyes (n 1) 139-40 and 263-4.</w:t>
      </w:r>
    </w:p>
  </w:footnote>
  <w:footnote w:id="130">
    <w:p w:rsidR="00865911" w:rsidRPr="006E729D" w:rsidRDefault="00865911">
      <w:pPr>
        <w:pStyle w:val="FootnoteText"/>
        <w:rPr>
          <w:sz w:val="22"/>
        </w:rPr>
      </w:pPr>
      <w:r w:rsidRPr="006E729D">
        <w:rPr>
          <w:rStyle w:val="FootnoteReference"/>
          <w:sz w:val="22"/>
        </w:rPr>
        <w:footnoteRef/>
      </w:r>
      <w:r w:rsidRPr="006E729D">
        <w:rPr>
          <w:sz w:val="22"/>
        </w:rPr>
        <w:t xml:space="preserve"> </w:t>
      </w:r>
      <w:r w:rsidRPr="006E729D">
        <w:rPr>
          <w:i/>
          <w:sz w:val="22"/>
        </w:rPr>
        <w:t>Constitution Act, 1867</w:t>
      </w:r>
      <w:r w:rsidRPr="006E729D">
        <w:rPr>
          <w:sz w:val="22"/>
        </w:rPr>
        <w:t xml:space="preserve"> (n 62), sub-s 91(7); Keyes (n 1) 139-40.</w:t>
      </w:r>
    </w:p>
  </w:footnote>
  <w:footnote w:id="131">
    <w:p w:rsidR="00865911" w:rsidRPr="006E729D" w:rsidRDefault="00865911" w:rsidP="00383DB8">
      <w:pPr>
        <w:pStyle w:val="FootnoteText"/>
        <w:rPr>
          <w:sz w:val="22"/>
        </w:rPr>
      </w:pPr>
      <w:r w:rsidRPr="006E729D">
        <w:rPr>
          <w:rStyle w:val="FootnoteReference"/>
          <w:sz w:val="22"/>
        </w:rPr>
        <w:footnoteRef/>
      </w:r>
      <w:r w:rsidRPr="006E729D">
        <w:rPr>
          <w:sz w:val="22"/>
        </w:rPr>
        <w:t xml:space="preserve"> </w:t>
      </w:r>
      <w:r w:rsidRPr="006E729D">
        <w:rPr>
          <w:i/>
          <w:sz w:val="22"/>
        </w:rPr>
        <w:t>Constitution Act, 1867</w:t>
      </w:r>
      <w:r w:rsidRPr="006E729D">
        <w:rPr>
          <w:sz w:val="22"/>
        </w:rPr>
        <w:t xml:space="preserve"> (n 62), sub-s 92(14).</w:t>
      </w:r>
    </w:p>
  </w:footnote>
  <w:footnote w:id="132">
    <w:p w:rsidR="00865911" w:rsidRPr="006E729D" w:rsidRDefault="00865911" w:rsidP="00383DB8">
      <w:pPr>
        <w:pStyle w:val="FootnoteText"/>
        <w:rPr>
          <w:sz w:val="22"/>
        </w:rPr>
      </w:pPr>
      <w:r w:rsidRPr="006E729D">
        <w:rPr>
          <w:rStyle w:val="FootnoteReference"/>
          <w:sz w:val="22"/>
        </w:rPr>
        <w:footnoteRef/>
      </w:r>
      <w:r w:rsidRPr="006E729D">
        <w:rPr>
          <w:sz w:val="22"/>
        </w:rPr>
        <w:t xml:space="preserve"> QR&amp;O (n 13)</w:t>
      </w:r>
      <w:r>
        <w:rPr>
          <w:sz w:val="22"/>
        </w:rPr>
        <w:t>;</w:t>
      </w:r>
      <w:r w:rsidRPr="006E729D">
        <w:rPr>
          <w:sz w:val="22"/>
        </w:rPr>
        <w:t xml:space="preserve"> Michele A Pineau, ‘Civilians under Military Justice: A Canadian Study’ (1979) 25 McGill Law Journal 3, 5.</w:t>
      </w:r>
    </w:p>
  </w:footnote>
  <w:footnote w:id="133">
    <w:p w:rsidR="00865911" w:rsidRPr="006E729D" w:rsidRDefault="00865911">
      <w:pPr>
        <w:pStyle w:val="FootnoteText"/>
        <w:rPr>
          <w:sz w:val="22"/>
        </w:rPr>
      </w:pPr>
      <w:r w:rsidRPr="006E729D">
        <w:rPr>
          <w:rStyle w:val="FootnoteReference"/>
          <w:sz w:val="22"/>
        </w:rPr>
        <w:footnoteRef/>
      </w:r>
      <w:r>
        <w:rPr>
          <w:sz w:val="22"/>
        </w:rPr>
        <w:t xml:space="preserve"> NDA (n 11) s</w:t>
      </w:r>
      <w:r w:rsidRPr="006E729D">
        <w:rPr>
          <w:sz w:val="22"/>
        </w:rPr>
        <w:t xml:space="preserve"> 68.</w:t>
      </w:r>
    </w:p>
  </w:footnote>
  <w:footnote w:id="134">
    <w:p w:rsidR="00865911" w:rsidRPr="006E729D" w:rsidRDefault="00865911">
      <w:pPr>
        <w:pStyle w:val="FootnoteText"/>
        <w:rPr>
          <w:sz w:val="22"/>
        </w:rPr>
      </w:pPr>
      <w:r w:rsidRPr="006E729D">
        <w:rPr>
          <w:rStyle w:val="FootnoteReference"/>
          <w:sz w:val="22"/>
        </w:rPr>
        <w:footnoteRef/>
      </w:r>
      <w:r w:rsidRPr="006E729D">
        <w:rPr>
          <w:sz w:val="22"/>
        </w:rPr>
        <w:t xml:space="preserve"> Michael Gibson, ‘Canada’s Military Justice System’ (Spring 2012) 12(2) Canadian Military Law Journal 61; ‘The Sources and Scope of Canadian Military Law’ (</w:t>
      </w:r>
      <w:r w:rsidRPr="001F06FF">
        <w:rPr>
          <w:i/>
          <w:sz w:val="22"/>
        </w:rPr>
        <w:t>Court Martial Appeal Court of Canada</w:t>
      </w:r>
      <w:r>
        <w:rPr>
          <w:sz w:val="22"/>
        </w:rPr>
        <w:t xml:space="preserve">, </w:t>
      </w:r>
      <w:r w:rsidRPr="006E729D">
        <w:rPr>
          <w:sz w:val="22"/>
        </w:rPr>
        <w:t xml:space="preserve">30 March 2014) &lt; </w:t>
      </w:r>
      <w:hyperlink r:id="rId11" w:history="1">
        <w:r w:rsidRPr="006E729D">
          <w:rPr>
            <w:rStyle w:val="Hyperlink"/>
            <w:sz w:val="22"/>
          </w:rPr>
          <w:t>http://www.cmac-cacm.ca/business/military_law1-eng.shtml</w:t>
        </w:r>
      </w:hyperlink>
      <w:r w:rsidRPr="006E729D">
        <w:rPr>
          <w:sz w:val="22"/>
        </w:rPr>
        <w:t xml:space="preserve"> &gt; accessed 23 August 2015.</w:t>
      </w:r>
    </w:p>
  </w:footnote>
  <w:footnote w:id="135">
    <w:p w:rsidR="00865911" w:rsidRDefault="00865911">
      <w:pPr>
        <w:pStyle w:val="FootnoteText"/>
      </w:pPr>
      <w:r>
        <w:rPr>
          <w:rStyle w:val="FootnoteReference"/>
        </w:rPr>
        <w:footnoteRef/>
      </w:r>
      <w:r>
        <w:t xml:space="preserve"> </w:t>
      </w:r>
      <w:r w:rsidRPr="002C460A">
        <w:rPr>
          <w:i/>
          <w:sz w:val="22"/>
        </w:rPr>
        <w:t>R.</w:t>
      </w:r>
      <w:r w:rsidRPr="002C460A">
        <w:rPr>
          <w:sz w:val="22"/>
        </w:rPr>
        <w:t xml:space="preserve"> v. </w:t>
      </w:r>
      <w:r w:rsidRPr="002C460A">
        <w:rPr>
          <w:i/>
          <w:sz w:val="22"/>
        </w:rPr>
        <w:t>Hydro-Québec</w:t>
      </w:r>
      <w:r w:rsidRPr="002C460A">
        <w:rPr>
          <w:sz w:val="22"/>
        </w:rPr>
        <w:t xml:space="preserve">, </w:t>
      </w:r>
      <w:r>
        <w:rPr>
          <w:sz w:val="22"/>
        </w:rPr>
        <w:t>(n 128) para 113</w:t>
      </w:r>
      <w:r w:rsidRPr="002C460A">
        <w:rPr>
          <w:sz w:val="22"/>
        </w:rPr>
        <w:t>; Keyes (n 1) 139.</w:t>
      </w:r>
    </w:p>
  </w:footnote>
  <w:footnote w:id="136">
    <w:p w:rsidR="00865911" w:rsidRPr="002C460A" w:rsidRDefault="00865911" w:rsidP="00526B36">
      <w:pPr>
        <w:pStyle w:val="FootnoteText"/>
        <w:rPr>
          <w:sz w:val="22"/>
        </w:rPr>
      </w:pPr>
      <w:r w:rsidRPr="006E729D">
        <w:rPr>
          <w:rStyle w:val="FootnoteReference"/>
          <w:sz w:val="22"/>
        </w:rPr>
        <w:footnoteRef/>
      </w:r>
      <w:r w:rsidRPr="006E729D">
        <w:rPr>
          <w:sz w:val="22"/>
        </w:rPr>
        <w:t xml:space="preserve"> NDA (n 11) </w:t>
      </w:r>
      <w:r>
        <w:rPr>
          <w:sz w:val="22"/>
        </w:rPr>
        <w:t>s 12</w:t>
      </w:r>
      <w:r w:rsidRPr="00E420FF">
        <w:rPr>
          <w:sz w:val="22"/>
        </w:rPr>
        <w:t xml:space="preserve">; </w:t>
      </w:r>
      <w:r>
        <w:rPr>
          <w:sz w:val="22"/>
        </w:rPr>
        <w:t>S</w:t>
      </w:r>
      <w:r w:rsidRPr="00E420FF">
        <w:rPr>
          <w:sz w:val="22"/>
        </w:rPr>
        <w:t>ee text at n 60.</w:t>
      </w:r>
    </w:p>
  </w:footnote>
  <w:footnote w:id="137">
    <w:p w:rsidR="00865911" w:rsidRPr="006E729D" w:rsidRDefault="00865911">
      <w:pPr>
        <w:pStyle w:val="FootnoteText"/>
        <w:rPr>
          <w:sz w:val="22"/>
        </w:rPr>
      </w:pPr>
      <w:r w:rsidRPr="006E729D">
        <w:rPr>
          <w:rStyle w:val="FootnoteReference"/>
          <w:sz w:val="22"/>
        </w:rPr>
        <w:footnoteRef/>
      </w:r>
      <w:r w:rsidRPr="006E729D">
        <w:rPr>
          <w:sz w:val="22"/>
        </w:rPr>
        <w:t xml:space="preserve"> Ulrich Karpen, ‘Instructions for Law Drafting’ (2008) Eur J L Reform 163, 166.</w:t>
      </w:r>
    </w:p>
  </w:footnote>
  <w:footnote w:id="138">
    <w:p w:rsidR="00865911" w:rsidRPr="006E729D" w:rsidRDefault="00865911">
      <w:pPr>
        <w:pStyle w:val="FootnoteText"/>
        <w:rPr>
          <w:sz w:val="22"/>
        </w:rPr>
      </w:pPr>
      <w:r w:rsidRPr="006E729D">
        <w:rPr>
          <w:rStyle w:val="FootnoteReference"/>
          <w:sz w:val="22"/>
        </w:rPr>
        <w:footnoteRef/>
      </w:r>
      <w:r>
        <w:rPr>
          <w:sz w:val="22"/>
        </w:rPr>
        <w:t xml:space="preserve"> Kellerman (n 102</w:t>
      </w:r>
      <w:r w:rsidRPr="006E729D">
        <w:rPr>
          <w:sz w:val="22"/>
        </w:rPr>
        <w:t>) 183.</w:t>
      </w:r>
    </w:p>
  </w:footnote>
  <w:footnote w:id="139">
    <w:p w:rsidR="00865911" w:rsidRPr="006E729D" w:rsidRDefault="00865911">
      <w:pPr>
        <w:pStyle w:val="FootnoteText"/>
        <w:rPr>
          <w:sz w:val="22"/>
        </w:rPr>
      </w:pPr>
      <w:r w:rsidRPr="006E729D">
        <w:rPr>
          <w:rStyle w:val="FootnoteReference"/>
          <w:sz w:val="22"/>
        </w:rPr>
        <w:footnoteRef/>
      </w:r>
      <w:r w:rsidRPr="006E729D">
        <w:rPr>
          <w:sz w:val="22"/>
        </w:rPr>
        <w:t xml:space="preserve"> Rt Hon Lord Justice Stanley Burnton, ‘Proportionality</w:t>
      </w:r>
      <w:r>
        <w:rPr>
          <w:sz w:val="22"/>
        </w:rPr>
        <w:t>’ [2011] JR 179; Kellerman (n 102</w:t>
      </w:r>
      <w:r w:rsidRPr="006E729D">
        <w:rPr>
          <w:sz w:val="22"/>
        </w:rPr>
        <w:t>) 185-6.</w:t>
      </w:r>
    </w:p>
  </w:footnote>
  <w:footnote w:id="140">
    <w:p w:rsidR="00865911" w:rsidRPr="006E729D" w:rsidRDefault="00865911" w:rsidP="00A756C7">
      <w:pPr>
        <w:pStyle w:val="FootnoteText"/>
        <w:rPr>
          <w:sz w:val="22"/>
        </w:rPr>
      </w:pPr>
      <w:r w:rsidRPr="006E729D">
        <w:rPr>
          <w:rStyle w:val="FootnoteReference"/>
          <w:sz w:val="22"/>
        </w:rPr>
        <w:footnoteRef/>
      </w:r>
      <w:r w:rsidRPr="006E729D">
        <w:rPr>
          <w:sz w:val="22"/>
        </w:rPr>
        <w:t xml:space="preserve"> Privy Council Office, </w:t>
      </w:r>
      <w:r w:rsidRPr="006E729D">
        <w:rPr>
          <w:i/>
          <w:sz w:val="22"/>
        </w:rPr>
        <w:t xml:space="preserve">Guide to Making Federal Acts and Regulations: Cabinet Directive on Law-Making </w:t>
      </w:r>
      <w:r w:rsidRPr="006E729D">
        <w:rPr>
          <w:sz w:val="22"/>
        </w:rPr>
        <w:t>(2003) s 2</w:t>
      </w:r>
      <w:r>
        <w:rPr>
          <w:sz w:val="22"/>
        </w:rPr>
        <w:t>.</w:t>
      </w:r>
      <w:r w:rsidRPr="006E729D">
        <w:rPr>
          <w:sz w:val="22"/>
        </w:rPr>
        <w:t xml:space="preserve"> &lt;</w:t>
      </w:r>
      <w:hyperlink r:id="rId12" w:history="1">
        <w:r w:rsidRPr="006E729D">
          <w:rPr>
            <w:rStyle w:val="Hyperlink"/>
            <w:sz w:val="22"/>
          </w:rPr>
          <w:t xml:space="preserve">http://www.pco.gc.ca/index.asp?lang=eng&amp;page=information&amp;sub=publications&amp;doc=legislation/cabdir-dircab-eng.htm </w:t>
        </w:r>
      </w:hyperlink>
      <w:r w:rsidRPr="006E729D">
        <w:rPr>
          <w:sz w:val="22"/>
        </w:rPr>
        <w:t xml:space="preserve">&gt; accessed 23 August 2015. </w:t>
      </w:r>
    </w:p>
  </w:footnote>
  <w:footnote w:id="141">
    <w:p w:rsidR="00865911" w:rsidRPr="006E729D" w:rsidRDefault="00865911" w:rsidP="00BC3D1D">
      <w:pPr>
        <w:pStyle w:val="FootnoteText"/>
        <w:rPr>
          <w:sz w:val="22"/>
        </w:rPr>
      </w:pPr>
      <w:r w:rsidRPr="006E729D">
        <w:rPr>
          <w:rStyle w:val="FootnoteReference"/>
          <w:sz w:val="22"/>
        </w:rPr>
        <w:footnoteRef/>
      </w:r>
      <w:r w:rsidRPr="006E729D">
        <w:rPr>
          <w:sz w:val="22"/>
        </w:rPr>
        <w:t xml:space="preserve"> Cabinet Directive (n 7) </w:t>
      </w:r>
      <w:r>
        <w:rPr>
          <w:sz w:val="22"/>
        </w:rPr>
        <w:t>paras 25-6, 33-7</w:t>
      </w:r>
      <w:r w:rsidRPr="006E729D">
        <w:rPr>
          <w:sz w:val="22"/>
        </w:rPr>
        <w:t>.</w:t>
      </w:r>
    </w:p>
  </w:footnote>
  <w:footnote w:id="142">
    <w:p w:rsidR="00865911" w:rsidRPr="006E729D" w:rsidRDefault="00865911" w:rsidP="00067E8B">
      <w:pPr>
        <w:pStyle w:val="FootnoteText"/>
        <w:rPr>
          <w:sz w:val="22"/>
        </w:rPr>
      </w:pPr>
      <w:r w:rsidRPr="006E729D">
        <w:rPr>
          <w:rStyle w:val="FootnoteReference"/>
          <w:sz w:val="22"/>
        </w:rPr>
        <w:footnoteRef/>
      </w:r>
      <w:r>
        <w:rPr>
          <w:sz w:val="22"/>
        </w:rPr>
        <w:t xml:space="preserve"> ibid</w:t>
      </w:r>
      <w:r w:rsidRPr="006E729D">
        <w:rPr>
          <w:sz w:val="22"/>
        </w:rPr>
        <w:t xml:space="preserve"> sub-</w:t>
      </w:r>
      <w:r>
        <w:rPr>
          <w:sz w:val="22"/>
        </w:rPr>
        <w:t xml:space="preserve">para 26 </w:t>
      </w:r>
      <w:r w:rsidRPr="006E729D">
        <w:rPr>
          <w:sz w:val="22"/>
        </w:rPr>
        <w:t>(v-vii).</w:t>
      </w:r>
    </w:p>
  </w:footnote>
  <w:footnote w:id="143">
    <w:p w:rsidR="00865911" w:rsidRPr="006E729D" w:rsidRDefault="00865911" w:rsidP="003857C9">
      <w:pPr>
        <w:pStyle w:val="FootnoteText"/>
        <w:rPr>
          <w:sz w:val="22"/>
        </w:rPr>
      </w:pPr>
      <w:r w:rsidRPr="006E729D">
        <w:rPr>
          <w:rStyle w:val="FootnoteReference"/>
          <w:sz w:val="22"/>
        </w:rPr>
        <w:footnoteRef/>
      </w:r>
      <w:r w:rsidRPr="006E729D">
        <w:rPr>
          <w:sz w:val="22"/>
        </w:rPr>
        <w:t xml:space="preserve"> ibid </w:t>
      </w:r>
      <w:r>
        <w:rPr>
          <w:sz w:val="22"/>
        </w:rPr>
        <w:t>paras 33-7</w:t>
      </w:r>
      <w:r w:rsidRPr="006E729D">
        <w:rPr>
          <w:sz w:val="22"/>
        </w:rPr>
        <w:t>.</w:t>
      </w:r>
    </w:p>
  </w:footnote>
  <w:footnote w:id="144">
    <w:p w:rsidR="00865911" w:rsidRPr="006E729D" w:rsidRDefault="00865911" w:rsidP="00A05510">
      <w:pPr>
        <w:pStyle w:val="FootnoteText"/>
        <w:rPr>
          <w:sz w:val="22"/>
        </w:rPr>
      </w:pPr>
      <w:r w:rsidRPr="006E729D">
        <w:rPr>
          <w:rStyle w:val="FootnoteReference"/>
          <w:sz w:val="22"/>
        </w:rPr>
        <w:footnoteRef/>
      </w:r>
      <w:r w:rsidRPr="006E729D">
        <w:rPr>
          <w:sz w:val="22"/>
        </w:rPr>
        <w:t xml:space="preserve"> Regulatory Process Guide (n 9) 5-7; </w:t>
      </w:r>
      <w:r w:rsidRPr="002C460A">
        <w:rPr>
          <w:sz w:val="22"/>
        </w:rPr>
        <w:t>Schwartz</w:t>
      </w:r>
      <w:r>
        <w:rPr>
          <w:sz w:val="22"/>
        </w:rPr>
        <w:t xml:space="preserve"> (n 4) 21;</w:t>
      </w:r>
      <w:r w:rsidRPr="006E729D">
        <w:rPr>
          <w:sz w:val="22"/>
        </w:rPr>
        <w:t xml:space="preserve"> Lorti</w:t>
      </w:r>
      <w:r>
        <w:rPr>
          <w:sz w:val="22"/>
        </w:rPr>
        <w:t xml:space="preserve">e (n 15). </w:t>
      </w:r>
    </w:p>
  </w:footnote>
  <w:footnote w:id="145">
    <w:p w:rsidR="00865911" w:rsidRPr="006E729D" w:rsidRDefault="00865911" w:rsidP="00504A43">
      <w:pPr>
        <w:pStyle w:val="FootnoteText"/>
        <w:rPr>
          <w:sz w:val="22"/>
        </w:rPr>
      </w:pPr>
      <w:r w:rsidRPr="006E729D">
        <w:rPr>
          <w:rStyle w:val="FootnoteReference"/>
          <w:sz w:val="22"/>
        </w:rPr>
        <w:footnoteRef/>
      </w:r>
      <w:r w:rsidRPr="006E729D">
        <w:rPr>
          <w:sz w:val="22"/>
        </w:rPr>
        <w:t xml:space="preserve"> Lortie (n 15).</w:t>
      </w:r>
    </w:p>
  </w:footnote>
  <w:footnote w:id="146">
    <w:p w:rsidR="00865911" w:rsidRDefault="00865911">
      <w:pPr>
        <w:pStyle w:val="FootnoteText"/>
      </w:pPr>
      <w:r w:rsidRPr="006E729D">
        <w:rPr>
          <w:rStyle w:val="FootnoteReference"/>
          <w:sz w:val="22"/>
        </w:rPr>
        <w:footnoteRef/>
      </w:r>
      <w:r w:rsidRPr="006E729D">
        <w:rPr>
          <w:sz w:val="22"/>
        </w:rPr>
        <w:t xml:space="preserve"> Cabinet Directive (n 7) </w:t>
      </w:r>
      <w:r>
        <w:rPr>
          <w:sz w:val="22"/>
        </w:rPr>
        <w:t>paras 25-37</w:t>
      </w:r>
      <w:r w:rsidRPr="006E729D">
        <w:rPr>
          <w:sz w:val="22"/>
        </w:rPr>
        <w:t>; Regulatory Process Guide (n 9) 5-7.</w:t>
      </w:r>
    </w:p>
  </w:footnote>
  <w:footnote w:id="147">
    <w:p w:rsidR="00865911" w:rsidRPr="002C460A" w:rsidRDefault="00865911">
      <w:pPr>
        <w:pStyle w:val="FootnoteText"/>
        <w:rPr>
          <w:sz w:val="22"/>
        </w:rPr>
      </w:pPr>
      <w:r w:rsidRPr="002C460A">
        <w:rPr>
          <w:rStyle w:val="FootnoteReference"/>
          <w:sz w:val="22"/>
        </w:rPr>
        <w:footnoteRef/>
      </w:r>
      <w:r w:rsidRPr="002C460A">
        <w:rPr>
          <w:sz w:val="22"/>
        </w:rPr>
        <w:t xml:space="preserve"> ibid.</w:t>
      </w:r>
    </w:p>
  </w:footnote>
  <w:footnote w:id="148">
    <w:p w:rsidR="00865911" w:rsidRPr="002C460A" w:rsidRDefault="00865911">
      <w:pPr>
        <w:pStyle w:val="FootnoteText"/>
        <w:rPr>
          <w:sz w:val="22"/>
        </w:rPr>
      </w:pPr>
      <w:r w:rsidRPr="002C460A">
        <w:rPr>
          <w:rStyle w:val="FootnoteReference"/>
          <w:sz w:val="22"/>
        </w:rPr>
        <w:footnoteRef/>
      </w:r>
      <w:r w:rsidRPr="002C460A">
        <w:rPr>
          <w:sz w:val="22"/>
        </w:rPr>
        <w:t xml:space="preserve"> Fl</w:t>
      </w:r>
      <w:r>
        <w:rPr>
          <w:sz w:val="22"/>
        </w:rPr>
        <w:t>ückiger references this criterion</w:t>
      </w:r>
      <w:r w:rsidRPr="002C460A">
        <w:rPr>
          <w:sz w:val="22"/>
        </w:rPr>
        <w:t xml:space="preserve"> from cl 2 of the 2003 Interinstitutional Agreement on Better Law-making, which uses the term ‘l</w:t>
      </w:r>
      <w:r>
        <w:rPr>
          <w:sz w:val="22"/>
        </w:rPr>
        <w:t>egal certainty’ (Flückiger (n 20</w:t>
      </w:r>
      <w:r w:rsidRPr="002C460A">
        <w:rPr>
          <w:sz w:val="22"/>
        </w:rPr>
        <w:t>) see fn 11).</w:t>
      </w:r>
      <w:r>
        <w:rPr>
          <w:sz w:val="22"/>
        </w:rPr>
        <w:t xml:space="preserve"> See also Karpen (n 51) ‘Comparative Law’ 156.</w:t>
      </w:r>
    </w:p>
  </w:footnote>
  <w:footnote w:id="149">
    <w:p w:rsidR="00865911" w:rsidRPr="002C460A" w:rsidRDefault="00865911" w:rsidP="00BA1263">
      <w:pPr>
        <w:pStyle w:val="FootnoteText"/>
        <w:rPr>
          <w:sz w:val="22"/>
        </w:rPr>
      </w:pPr>
      <w:r w:rsidRPr="002C460A">
        <w:rPr>
          <w:rStyle w:val="FootnoteReference"/>
          <w:sz w:val="22"/>
        </w:rPr>
        <w:footnoteRef/>
      </w:r>
      <w:r w:rsidRPr="002C460A">
        <w:rPr>
          <w:sz w:val="22"/>
        </w:rPr>
        <w:t xml:space="preserve"> Patricia Popelier, ‘Legal Certainty and Principles of Proper Law Making’ (2000) 2 Eur JL Reform 327-8; James R. Maxeiner, ‘Legal Certainty: A European Alternative to American Legal Indeterminacy?’ (2006-2007) 15 Tul J Int’l &amp; Comp L 541, 549; Patricia Popelier, ‘Five Paradoxes on Legal Certainly and the Lawma</w:t>
      </w:r>
      <w:r>
        <w:rPr>
          <w:sz w:val="22"/>
        </w:rPr>
        <w:t>ker’ (2008) 2 Legisprudence 47; John McGarry ‘Effecting Legal Certainty under the Human Rights Act’ [2011] JR 66, 66-7.</w:t>
      </w:r>
    </w:p>
  </w:footnote>
  <w:footnote w:id="150">
    <w:p w:rsidR="00865911" w:rsidRPr="002C460A" w:rsidRDefault="00865911">
      <w:pPr>
        <w:pStyle w:val="FootnoteText"/>
        <w:rPr>
          <w:sz w:val="22"/>
        </w:rPr>
      </w:pPr>
      <w:r w:rsidRPr="002C460A">
        <w:rPr>
          <w:rStyle w:val="FootnoteReference"/>
          <w:sz w:val="22"/>
        </w:rPr>
        <w:footnoteRef/>
      </w:r>
      <w:r>
        <w:rPr>
          <w:sz w:val="22"/>
        </w:rPr>
        <w:t xml:space="preserve"> Popelier (n 149</w:t>
      </w:r>
      <w:r w:rsidRPr="002C460A">
        <w:rPr>
          <w:sz w:val="22"/>
        </w:rPr>
        <w:t>) ‘Legal C</w:t>
      </w:r>
      <w:r>
        <w:rPr>
          <w:sz w:val="22"/>
        </w:rPr>
        <w:t>ertainty’ 327-8; Popelier (n 149</w:t>
      </w:r>
      <w:r w:rsidRPr="002C460A">
        <w:rPr>
          <w:sz w:val="22"/>
        </w:rPr>
        <w:t>) ‘Five Paradoxes’ 48.</w:t>
      </w:r>
    </w:p>
  </w:footnote>
  <w:footnote w:id="151">
    <w:p w:rsidR="00865911" w:rsidRPr="002C460A" w:rsidRDefault="00865911">
      <w:pPr>
        <w:pStyle w:val="FootnoteText"/>
        <w:rPr>
          <w:sz w:val="22"/>
        </w:rPr>
      </w:pPr>
      <w:r w:rsidRPr="002C460A">
        <w:rPr>
          <w:rStyle w:val="FootnoteReference"/>
          <w:sz w:val="22"/>
        </w:rPr>
        <w:footnoteRef/>
      </w:r>
      <w:r w:rsidRPr="002C460A">
        <w:rPr>
          <w:sz w:val="22"/>
        </w:rPr>
        <w:t xml:space="preserve"> SIA (n 8) ss 3, 5, and</w:t>
      </w:r>
      <w:r>
        <w:rPr>
          <w:sz w:val="22"/>
        </w:rPr>
        <w:t xml:space="preserve"> 11; SIR (n 14) s 7; Joshi (n 12</w:t>
      </w:r>
      <w:r w:rsidRPr="002C460A">
        <w:rPr>
          <w:sz w:val="22"/>
        </w:rPr>
        <w:t>) 9-12.</w:t>
      </w:r>
    </w:p>
  </w:footnote>
  <w:footnote w:id="152">
    <w:p w:rsidR="00865911" w:rsidRPr="002C460A" w:rsidRDefault="00865911" w:rsidP="00021AFF">
      <w:pPr>
        <w:pStyle w:val="FootnoteText"/>
        <w:rPr>
          <w:sz w:val="22"/>
        </w:rPr>
      </w:pPr>
      <w:r w:rsidRPr="002C460A">
        <w:rPr>
          <w:rStyle w:val="FootnoteReference"/>
          <w:sz w:val="22"/>
        </w:rPr>
        <w:footnoteRef/>
      </w:r>
      <w:r w:rsidRPr="002C460A">
        <w:rPr>
          <w:sz w:val="22"/>
        </w:rPr>
        <w:t xml:space="preserve"> SIA (n 8) ss </w:t>
      </w:r>
      <w:r>
        <w:rPr>
          <w:sz w:val="22"/>
        </w:rPr>
        <w:t>5-6,11,</w:t>
      </w:r>
      <w:r w:rsidRPr="002C460A">
        <w:rPr>
          <w:sz w:val="22"/>
        </w:rPr>
        <w:t xml:space="preserve">16; </w:t>
      </w:r>
      <w:r>
        <w:rPr>
          <w:sz w:val="22"/>
        </w:rPr>
        <w:t>SIR (n 14</w:t>
      </w:r>
      <w:r w:rsidRPr="002C460A">
        <w:rPr>
          <w:sz w:val="22"/>
        </w:rPr>
        <w:t>) s 5</w:t>
      </w:r>
      <w:r>
        <w:rPr>
          <w:sz w:val="22"/>
        </w:rPr>
        <w:t xml:space="preserve">; </w:t>
      </w:r>
      <w:r w:rsidRPr="002C460A">
        <w:rPr>
          <w:sz w:val="22"/>
        </w:rPr>
        <w:t>NDA (n 11) sub-s 51(3); Keyes (n 1) 230-2.</w:t>
      </w:r>
    </w:p>
  </w:footnote>
  <w:footnote w:id="153">
    <w:p w:rsidR="00865911" w:rsidRPr="002C460A" w:rsidRDefault="00865911" w:rsidP="00645E56">
      <w:pPr>
        <w:pStyle w:val="FootnoteText"/>
        <w:rPr>
          <w:sz w:val="22"/>
        </w:rPr>
      </w:pPr>
      <w:r w:rsidRPr="002C460A">
        <w:rPr>
          <w:rStyle w:val="FootnoteReference"/>
          <w:sz w:val="22"/>
        </w:rPr>
        <w:footnoteRef/>
      </w:r>
      <w:r>
        <w:rPr>
          <w:sz w:val="22"/>
        </w:rPr>
        <w:t xml:space="preserve"> NDA (n 11) sub-s 51(1); QR&amp;O (n 13</w:t>
      </w:r>
      <w:r w:rsidRPr="002C460A">
        <w:rPr>
          <w:sz w:val="22"/>
        </w:rPr>
        <w:t>) art 1.21</w:t>
      </w:r>
      <w:r>
        <w:rPr>
          <w:sz w:val="22"/>
        </w:rPr>
        <w:t>(2)</w:t>
      </w:r>
      <w:r w:rsidRPr="002C460A">
        <w:rPr>
          <w:sz w:val="22"/>
        </w:rPr>
        <w:t>.</w:t>
      </w:r>
    </w:p>
  </w:footnote>
  <w:footnote w:id="154">
    <w:p w:rsidR="00865911" w:rsidRPr="002C460A" w:rsidRDefault="00865911">
      <w:pPr>
        <w:pStyle w:val="FootnoteText"/>
        <w:rPr>
          <w:sz w:val="22"/>
        </w:rPr>
      </w:pPr>
      <w:r w:rsidRPr="002C460A">
        <w:rPr>
          <w:rStyle w:val="FootnoteReference"/>
          <w:sz w:val="22"/>
        </w:rPr>
        <w:footnoteRef/>
      </w:r>
      <w:r>
        <w:rPr>
          <w:sz w:val="22"/>
        </w:rPr>
        <w:t xml:space="preserve"> QR&amp;O (n 13</w:t>
      </w:r>
      <w:r w:rsidRPr="002C460A">
        <w:rPr>
          <w:sz w:val="22"/>
        </w:rPr>
        <w:t>) art 1.21.</w:t>
      </w:r>
    </w:p>
  </w:footnote>
  <w:footnote w:id="155">
    <w:p w:rsidR="00865911" w:rsidRPr="002C460A" w:rsidRDefault="00865911">
      <w:pPr>
        <w:pStyle w:val="FootnoteText"/>
        <w:rPr>
          <w:sz w:val="22"/>
        </w:rPr>
      </w:pPr>
      <w:r w:rsidRPr="002C460A">
        <w:rPr>
          <w:rStyle w:val="FootnoteReference"/>
          <w:sz w:val="22"/>
        </w:rPr>
        <w:footnoteRef/>
      </w:r>
      <w:r w:rsidRPr="002C460A">
        <w:rPr>
          <w:sz w:val="22"/>
        </w:rPr>
        <w:t xml:space="preserve"> NDA (n 11) sub-s 51(2).</w:t>
      </w:r>
    </w:p>
  </w:footnote>
  <w:footnote w:id="156">
    <w:p w:rsidR="00865911" w:rsidRPr="002C460A" w:rsidRDefault="00865911" w:rsidP="00645E56">
      <w:pPr>
        <w:pStyle w:val="FootnoteText"/>
        <w:rPr>
          <w:sz w:val="22"/>
        </w:rPr>
      </w:pPr>
      <w:r w:rsidRPr="002C460A">
        <w:rPr>
          <w:rStyle w:val="FootnoteReference"/>
          <w:sz w:val="22"/>
        </w:rPr>
        <w:footnoteRef/>
      </w:r>
      <w:r>
        <w:rPr>
          <w:sz w:val="22"/>
        </w:rPr>
        <w:t xml:space="preserve"> QR&amp;O (n 13)</w:t>
      </w:r>
      <w:r w:rsidRPr="002C460A">
        <w:rPr>
          <w:sz w:val="22"/>
        </w:rPr>
        <w:t>.</w:t>
      </w:r>
    </w:p>
  </w:footnote>
  <w:footnote w:id="157">
    <w:p w:rsidR="00865911" w:rsidRPr="002C460A" w:rsidRDefault="00865911">
      <w:pPr>
        <w:pStyle w:val="FootnoteText"/>
        <w:rPr>
          <w:sz w:val="22"/>
        </w:rPr>
      </w:pPr>
      <w:r w:rsidRPr="002C460A">
        <w:rPr>
          <w:rStyle w:val="FootnoteReference"/>
          <w:sz w:val="22"/>
        </w:rPr>
        <w:footnoteRef/>
      </w:r>
      <w:r w:rsidRPr="002C460A">
        <w:rPr>
          <w:sz w:val="22"/>
        </w:rPr>
        <w:t xml:space="preserve"> Popelie</w:t>
      </w:r>
      <w:r>
        <w:rPr>
          <w:sz w:val="22"/>
        </w:rPr>
        <w:t>r, ‘Certainty of the Law’ (n 149</w:t>
      </w:r>
      <w:r w:rsidRPr="002C460A">
        <w:rPr>
          <w:sz w:val="22"/>
        </w:rPr>
        <w:t>) 329</w:t>
      </w:r>
      <w:r>
        <w:rPr>
          <w:sz w:val="22"/>
        </w:rPr>
        <w:t xml:space="preserve">; Duncan Berry, ‘Keeping the Statute Book up-to-date —A personal view’ (Commonwealth Association of Legislative Counsel Conference, London, September 2005) 33; Daniel Greenberg, ‘Access to Legislation—the Legislative Counsel’s Role’ (2003) 3 The Loophole 7, 9-10. </w:t>
      </w:r>
    </w:p>
  </w:footnote>
  <w:footnote w:id="158">
    <w:p w:rsidR="00865911" w:rsidRPr="002C460A" w:rsidRDefault="00865911">
      <w:pPr>
        <w:pStyle w:val="FootnoteText"/>
        <w:rPr>
          <w:sz w:val="22"/>
        </w:rPr>
      </w:pPr>
      <w:r w:rsidRPr="002C460A">
        <w:rPr>
          <w:rStyle w:val="FootnoteReference"/>
          <w:sz w:val="22"/>
        </w:rPr>
        <w:footnoteRef/>
      </w:r>
      <w:r>
        <w:rPr>
          <w:sz w:val="22"/>
        </w:rPr>
        <w:t xml:space="preserve"> Joshi (n 12</w:t>
      </w:r>
      <w:r w:rsidRPr="002C460A">
        <w:rPr>
          <w:sz w:val="22"/>
        </w:rPr>
        <w:t xml:space="preserve">) 25-8; </w:t>
      </w:r>
      <w:r>
        <w:rPr>
          <w:sz w:val="22"/>
        </w:rPr>
        <w:t>Berry (n 157) 33; Greenberg (n 157</w:t>
      </w:r>
      <w:r w:rsidRPr="005A119F">
        <w:rPr>
          <w:sz w:val="22"/>
        </w:rPr>
        <w:t>) 9-10</w:t>
      </w:r>
      <w:r>
        <w:rPr>
          <w:sz w:val="22"/>
        </w:rPr>
        <w:t xml:space="preserve">; </w:t>
      </w:r>
      <w:r w:rsidRPr="002C460A">
        <w:rPr>
          <w:sz w:val="22"/>
        </w:rPr>
        <w:t>Keyes (n 1) 232-4.</w:t>
      </w:r>
    </w:p>
  </w:footnote>
  <w:footnote w:id="159">
    <w:p w:rsidR="00865911" w:rsidRPr="002C460A" w:rsidRDefault="00865911" w:rsidP="00305201">
      <w:pPr>
        <w:pStyle w:val="FootnoteText"/>
        <w:rPr>
          <w:sz w:val="22"/>
        </w:rPr>
      </w:pPr>
      <w:r w:rsidRPr="002C460A">
        <w:rPr>
          <w:rStyle w:val="FootnoteReference"/>
          <w:sz w:val="22"/>
        </w:rPr>
        <w:footnoteRef/>
      </w:r>
      <w:r>
        <w:rPr>
          <w:sz w:val="22"/>
        </w:rPr>
        <w:t xml:space="preserve"> QR&amp;O (n 13</w:t>
      </w:r>
      <w:r w:rsidRPr="002C460A">
        <w:rPr>
          <w:sz w:val="22"/>
        </w:rPr>
        <w:t>) art 1.03.</w:t>
      </w:r>
    </w:p>
  </w:footnote>
  <w:footnote w:id="160">
    <w:p w:rsidR="00865911" w:rsidRPr="002C460A" w:rsidRDefault="00865911" w:rsidP="00305201">
      <w:pPr>
        <w:pStyle w:val="FootnoteText"/>
        <w:rPr>
          <w:sz w:val="22"/>
        </w:rPr>
      </w:pPr>
      <w:r w:rsidRPr="002C460A">
        <w:rPr>
          <w:rStyle w:val="FootnoteReference"/>
          <w:sz w:val="22"/>
        </w:rPr>
        <w:footnoteRef/>
      </w:r>
      <w:r w:rsidRPr="002C460A">
        <w:rPr>
          <w:sz w:val="22"/>
        </w:rPr>
        <w:t xml:space="preserve"> NDA (n 11) ss 60(1)(f) and 61(1).</w:t>
      </w:r>
    </w:p>
  </w:footnote>
  <w:footnote w:id="161">
    <w:p w:rsidR="00865911" w:rsidRPr="002C460A" w:rsidRDefault="00865911">
      <w:pPr>
        <w:pStyle w:val="FootnoteText"/>
        <w:rPr>
          <w:sz w:val="22"/>
        </w:rPr>
      </w:pPr>
      <w:r w:rsidRPr="002C460A">
        <w:rPr>
          <w:rStyle w:val="FootnoteReference"/>
          <w:sz w:val="22"/>
        </w:rPr>
        <w:footnoteRef/>
      </w:r>
      <w:r w:rsidRPr="002C460A">
        <w:rPr>
          <w:sz w:val="22"/>
        </w:rPr>
        <w:t xml:space="preserve"> NDA (n 1</w:t>
      </w:r>
      <w:r>
        <w:rPr>
          <w:sz w:val="22"/>
        </w:rPr>
        <w:t>1) s 51; QR&amp;O (n 13</w:t>
      </w:r>
      <w:r w:rsidRPr="002C460A">
        <w:rPr>
          <w:sz w:val="22"/>
        </w:rPr>
        <w:t>) art 1.21.</w:t>
      </w:r>
    </w:p>
  </w:footnote>
  <w:footnote w:id="162">
    <w:p w:rsidR="00865911" w:rsidRPr="002C460A" w:rsidRDefault="00865911">
      <w:pPr>
        <w:pStyle w:val="FootnoteText"/>
        <w:rPr>
          <w:sz w:val="22"/>
        </w:rPr>
      </w:pPr>
      <w:r w:rsidRPr="002C460A">
        <w:rPr>
          <w:rStyle w:val="FootnoteReference"/>
          <w:sz w:val="22"/>
        </w:rPr>
        <w:footnoteRef/>
      </w:r>
      <w:r w:rsidRPr="002C460A">
        <w:rPr>
          <w:sz w:val="22"/>
        </w:rPr>
        <w:t xml:space="preserve"> Popelier, ‘Ce</w:t>
      </w:r>
      <w:r>
        <w:rPr>
          <w:sz w:val="22"/>
        </w:rPr>
        <w:t>rtainty of the Law’ (n 149) 329; Berry (n 157) 33; Greenberg (n 157</w:t>
      </w:r>
      <w:r w:rsidRPr="005A119F">
        <w:rPr>
          <w:sz w:val="22"/>
        </w:rPr>
        <w:t>) 9-10.</w:t>
      </w:r>
    </w:p>
  </w:footnote>
  <w:footnote w:id="163">
    <w:p w:rsidR="00865911" w:rsidRPr="002C460A" w:rsidRDefault="00865911" w:rsidP="00C765EA">
      <w:pPr>
        <w:pStyle w:val="FootnoteText"/>
        <w:rPr>
          <w:sz w:val="22"/>
        </w:rPr>
      </w:pPr>
      <w:r w:rsidRPr="002C460A">
        <w:rPr>
          <w:rStyle w:val="FootnoteReference"/>
          <w:sz w:val="22"/>
        </w:rPr>
        <w:footnoteRef/>
      </w:r>
      <w:r w:rsidRPr="002C460A">
        <w:rPr>
          <w:sz w:val="22"/>
        </w:rPr>
        <w:t xml:space="preserve"> SIA (n 8) 11(2); Keyes (n 1) 233.</w:t>
      </w:r>
    </w:p>
  </w:footnote>
  <w:footnote w:id="164">
    <w:p w:rsidR="00865911" w:rsidRPr="002C460A" w:rsidRDefault="00865911" w:rsidP="00C765EA">
      <w:pPr>
        <w:pStyle w:val="FootnoteText"/>
        <w:rPr>
          <w:sz w:val="22"/>
        </w:rPr>
      </w:pPr>
      <w:r w:rsidRPr="002C460A">
        <w:rPr>
          <w:rStyle w:val="FootnoteReference"/>
          <w:sz w:val="22"/>
        </w:rPr>
        <w:footnoteRef/>
      </w:r>
      <w:r w:rsidRPr="002C460A">
        <w:rPr>
          <w:sz w:val="22"/>
        </w:rPr>
        <w:t xml:space="preserve"> </w:t>
      </w:r>
      <w:r w:rsidRPr="002C460A">
        <w:rPr>
          <w:i/>
          <w:sz w:val="22"/>
        </w:rPr>
        <w:t>Military Rules of Evidence,</w:t>
      </w:r>
      <w:r w:rsidRPr="002C460A">
        <w:rPr>
          <w:sz w:val="22"/>
        </w:rPr>
        <w:t xml:space="preserve"> CRC, c. 1049,</w:t>
      </w:r>
      <w:r w:rsidRPr="002C460A">
        <w:rPr>
          <w:i/>
          <w:sz w:val="22"/>
        </w:rPr>
        <w:t xml:space="preserve"> </w:t>
      </w:r>
      <w:r w:rsidRPr="002C460A">
        <w:rPr>
          <w:sz w:val="22"/>
        </w:rPr>
        <w:t>s. 15(2)</w:t>
      </w:r>
      <w:r>
        <w:rPr>
          <w:sz w:val="22"/>
        </w:rPr>
        <w:t>; Joshi (n 12</w:t>
      </w:r>
      <w:r w:rsidRPr="002C460A">
        <w:rPr>
          <w:sz w:val="22"/>
        </w:rPr>
        <w:t>) 25-6.</w:t>
      </w:r>
    </w:p>
  </w:footnote>
  <w:footnote w:id="165">
    <w:p w:rsidR="00865911" w:rsidRPr="002C460A" w:rsidRDefault="00865911" w:rsidP="00C765EA">
      <w:pPr>
        <w:pStyle w:val="FootnoteText"/>
        <w:rPr>
          <w:sz w:val="22"/>
        </w:rPr>
      </w:pPr>
      <w:r w:rsidRPr="002C460A">
        <w:rPr>
          <w:rStyle w:val="FootnoteReference"/>
          <w:sz w:val="22"/>
        </w:rPr>
        <w:footnoteRef/>
      </w:r>
      <w:r w:rsidRPr="002C460A">
        <w:rPr>
          <w:sz w:val="22"/>
        </w:rPr>
        <w:t xml:space="preserve"> Salembier, ‘Desi</w:t>
      </w:r>
      <w:r>
        <w:rPr>
          <w:sz w:val="22"/>
        </w:rPr>
        <w:t>gning Regulatory Systems’ (n 118</w:t>
      </w:r>
      <w:r w:rsidRPr="002C460A">
        <w:rPr>
          <w:sz w:val="22"/>
        </w:rPr>
        <w:t>) 12.</w:t>
      </w:r>
    </w:p>
  </w:footnote>
  <w:footnote w:id="166">
    <w:p w:rsidR="00865911" w:rsidRPr="002C460A" w:rsidRDefault="00865911" w:rsidP="00173CC6">
      <w:pPr>
        <w:pStyle w:val="FootnoteText"/>
        <w:rPr>
          <w:sz w:val="22"/>
        </w:rPr>
      </w:pPr>
      <w:r w:rsidRPr="002C460A">
        <w:rPr>
          <w:rStyle w:val="FootnoteReference"/>
          <w:sz w:val="22"/>
        </w:rPr>
        <w:footnoteRef/>
      </w:r>
      <w:r>
        <w:rPr>
          <w:sz w:val="22"/>
        </w:rPr>
        <w:t xml:space="preserve"> QR&amp;O (n 13</w:t>
      </w:r>
      <w:r w:rsidRPr="002C460A">
        <w:rPr>
          <w:sz w:val="22"/>
        </w:rPr>
        <w:t>).</w:t>
      </w:r>
    </w:p>
  </w:footnote>
  <w:footnote w:id="167">
    <w:p w:rsidR="00865911" w:rsidRPr="00E80B6B" w:rsidRDefault="00865911">
      <w:pPr>
        <w:pStyle w:val="FootnoteText"/>
        <w:rPr>
          <w:sz w:val="22"/>
        </w:rPr>
      </w:pPr>
      <w:r w:rsidRPr="00E80B6B">
        <w:rPr>
          <w:rStyle w:val="FootnoteReference"/>
          <w:sz w:val="22"/>
        </w:rPr>
        <w:footnoteRef/>
      </w:r>
      <w:r w:rsidRPr="00E80B6B">
        <w:rPr>
          <w:sz w:val="22"/>
        </w:rPr>
        <w:t xml:space="preserve"> Keyes (n 1) 232-3.</w:t>
      </w:r>
    </w:p>
  </w:footnote>
  <w:footnote w:id="168">
    <w:p w:rsidR="00865911" w:rsidRPr="00E80B6B" w:rsidRDefault="00865911" w:rsidP="00CD7666">
      <w:pPr>
        <w:pStyle w:val="FootnoteText"/>
        <w:rPr>
          <w:sz w:val="22"/>
        </w:rPr>
      </w:pPr>
      <w:r w:rsidRPr="00E80B6B">
        <w:rPr>
          <w:rStyle w:val="FootnoteReference"/>
          <w:sz w:val="22"/>
        </w:rPr>
        <w:footnoteRef/>
      </w:r>
      <w:r w:rsidRPr="00E80B6B">
        <w:rPr>
          <w:sz w:val="22"/>
        </w:rPr>
        <w:t xml:space="preserve"> ‘Justice Laws Website’ </w:t>
      </w:r>
      <w:r>
        <w:rPr>
          <w:sz w:val="22"/>
        </w:rPr>
        <w:t>(</w:t>
      </w:r>
      <w:r w:rsidRPr="002A23C8">
        <w:rPr>
          <w:i/>
          <w:sz w:val="22"/>
        </w:rPr>
        <w:t>Department of Justice</w:t>
      </w:r>
      <w:r>
        <w:rPr>
          <w:sz w:val="22"/>
        </w:rPr>
        <w:t>)</w:t>
      </w:r>
      <w:r w:rsidRPr="00E80B6B">
        <w:rPr>
          <w:sz w:val="22"/>
        </w:rPr>
        <w:t xml:space="preserve"> &lt; </w:t>
      </w:r>
      <w:hyperlink r:id="rId13" w:history="1">
        <w:r w:rsidRPr="00E80B6B">
          <w:rPr>
            <w:rStyle w:val="Hyperlink"/>
            <w:sz w:val="22"/>
          </w:rPr>
          <w:t>http://laws.justice.gc.ca/eng/</w:t>
        </w:r>
      </w:hyperlink>
      <w:r w:rsidRPr="00E80B6B">
        <w:rPr>
          <w:sz w:val="22"/>
        </w:rPr>
        <w:t xml:space="preserve"> &gt; accessed 23 August 2015.</w:t>
      </w:r>
    </w:p>
  </w:footnote>
  <w:footnote w:id="169">
    <w:p w:rsidR="00865911" w:rsidRPr="00E80B6B" w:rsidRDefault="00865911">
      <w:pPr>
        <w:pStyle w:val="FootnoteText"/>
        <w:rPr>
          <w:sz w:val="22"/>
        </w:rPr>
      </w:pPr>
      <w:r w:rsidRPr="00E80B6B">
        <w:rPr>
          <w:rStyle w:val="FootnoteReference"/>
          <w:sz w:val="22"/>
        </w:rPr>
        <w:footnoteRef/>
      </w:r>
      <w:r>
        <w:rPr>
          <w:sz w:val="22"/>
        </w:rPr>
        <w:t xml:space="preserve"> Berry (n 157) 33; Greenberg (n 157</w:t>
      </w:r>
      <w:r w:rsidRPr="00E80B6B">
        <w:rPr>
          <w:sz w:val="22"/>
        </w:rPr>
        <w:t>) 9-10.</w:t>
      </w:r>
    </w:p>
  </w:footnote>
  <w:footnote w:id="170">
    <w:p w:rsidR="00865911" w:rsidRPr="00E80B6B" w:rsidRDefault="00865911">
      <w:pPr>
        <w:pStyle w:val="FootnoteText"/>
        <w:rPr>
          <w:sz w:val="22"/>
        </w:rPr>
      </w:pPr>
      <w:r w:rsidRPr="00E80B6B">
        <w:rPr>
          <w:rStyle w:val="FootnoteReference"/>
          <w:sz w:val="22"/>
        </w:rPr>
        <w:footnoteRef/>
      </w:r>
      <w:r w:rsidRPr="00E80B6B">
        <w:rPr>
          <w:sz w:val="22"/>
        </w:rPr>
        <w:t xml:space="preserve"> Lortie (n 15).</w:t>
      </w:r>
    </w:p>
  </w:footnote>
  <w:footnote w:id="171">
    <w:p w:rsidR="00865911" w:rsidRPr="00E80B6B" w:rsidRDefault="00865911">
      <w:pPr>
        <w:pStyle w:val="FootnoteText"/>
        <w:rPr>
          <w:sz w:val="22"/>
        </w:rPr>
      </w:pPr>
      <w:r w:rsidRPr="00E80B6B">
        <w:rPr>
          <w:rStyle w:val="FootnoteReference"/>
          <w:sz w:val="22"/>
        </w:rPr>
        <w:footnoteRef/>
      </w:r>
      <w:r w:rsidRPr="00E80B6B">
        <w:rPr>
          <w:sz w:val="22"/>
        </w:rPr>
        <w:t xml:space="preserve"> </w:t>
      </w:r>
      <w:r w:rsidRPr="00E80B6B">
        <w:rPr>
          <w:i/>
          <w:sz w:val="22"/>
        </w:rPr>
        <w:t xml:space="preserve">Interpretation Act, </w:t>
      </w:r>
      <w:r>
        <w:rPr>
          <w:rFonts w:cs="Verdana"/>
          <w:bCs/>
          <w:sz w:val="22"/>
          <w:szCs w:val="26"/>
        </w:rPr>
        <w:t>RSC, 1985, c. I-21, s</w:t>
      </w:r>
      <w:r w:rsidRPr="00E80B6B">
        <w:rPr>
          <w:rFonts w:cs="Verdana"/>
          <w:bCs/>
          <w:sz w:val="22"/>
          <w:szCs w:val="26"/>
        </w:rPr>
        <w:t xml:space="preserve"> 6.</w:t>
      </w:r>
    </w:p>
  </w:footnote>
  <w:footnote w:id="172">
    <w:p w:rsidR="00865911" w:rsidRPr="002C460A" w:rsidRDefault="00865911" w:rsidP="003F3F3F">
      <w:pPr>
        <w:pStyle w:val="FootnoteText"/>
        <w:rPr>
          <w:sz w:val="22"/>
        </w:rPr>
      </w:pPr>
      <w:r w:rsidRPr="00E80B6B">
        <w:rPr>
          <w:rStyle w:val="FootnoteReference"/>
          <w:sz w:val="22"/>
        </w:rPr>
        <w:footnoteRef/>
      </w:r>
      <w:r w:rsidRPr="00E80B6B">
        <w:rPr>
          <w:sz w:val="22"/>
        </w:rPr>
        <w:t xml:space="preserve"> Lortie (n 15).</w:t>
      </w:r>
    </w:p>
  </w:footnote>
  <w:footnote w:id="173">
    <w:p w:rsidR="00865911" w:rsidRPr="002A23C8" w:rsidRDefault="00865911" w:rsidP="006B17E0">
      <w:pPr>
        <w:pStyle w:val="FootnoteText"/>
        <w:rPr>
          <w:sz w:val="22"/>
        </w:rPr>
      </w:pPr>
      <w:r w:rsidRPr="002A23C8">
        <w:rPr>
          <w:rStyle w:val="FootnoteReference"/>
          <w:sz w:val="22"/>
        </w:rPr>
        <w:footnoteRef/>
      </w:r>
      <w:r w:rsidRPr="002A23C8">
        <w:rPr>
          <w:sz w:val="22"/>
        </w:rPr>
        <w:t xml:space="preserve"> ‘QR&amp;Os: Amendment List’ (</w:t>
      </w:r>
      <w:r w:rsidRPr="002A23C8">
        <w:rPr>
          <w:i/>
          <w:sz w:val="22"/>
        </w:rPr>
        <w:t>National Defence and the Canadian Armed Forces</w:t>
      </w:r>
      <w:r w:rsidRPr="002A23C8">
        <w:rPr>
          <w:sz w:val="22"/>
        </w:rPr>
        <w:t xml:space="preserve">, 01 August 2015) &lt; </w:t>
      </w:r>
      <w:hyperlink r:id="rId14" w:history="1">
        <w:r w:rsidRPr="002A23C8">
          <w:rPr>
            <w:rStyle w:val="Hyperlink"/>
            <w:sz w:val="22"/>
          </w:rPr>
          <w:t>http://www.forces.gc.ca/en/about-policies-standards-queens-regulations-orders/amendment-list.page</w:t>
        </w:r>
      </w:hyperlink>
      <w:r w:rsidRPr="002A23C8">
        <w:rPr>
          <w:sz w:val="22"/>
        </w:rPr>
        <w:t xml:space="preserve"> &gt; accessed on 23 August 2015.</w:t>
      </w:r>
    </w:p>
  </w:footnote>
  <w:footnote w:id="174">
    <w:p w:rsidR="00865911" w:rsidRPr="00E80B6B" w:rsidRDefault="00865911">
      <w:pPr>
        <w:pStyle w:val="FootnoteText"/>
        <w:rPr>
          <w:sz w:val="22"/>
        </w:rPr>
      </w:pPr>
      <w:r w:rsidRPr="00E80B6B">
        <w:rPr>
          <w:rStyle w:val="FootnoteReference"/>
          <w:sz w:val="22"/>
        </w:rPr>
        <w:footnoteRef/>
      </w:r>
      <w:r>
        <w:rPr>
          <w:sz w:val="22"/>
        </w:rPr>
        <w:t xml:space="preserve"> SIA (n 8), s 11</w:t>
      </w:r>
      <w:r w:rsidRPr="00E80B6B">
        <w:rPr>
          <w:sz w:val="22"/>
        </w:rPr>
        <w:t>; Salembier, ‘Designing Regulatory Systems’ (</w:t>
      </w:r>
      <w:r>
        <w:rPr>
          <w:sz w:val="22"/>
        </w:rPr>
        <w:t>n 118</w:t>
      </w:r>
      <w:r w:rsidRPr="00E80B6B">
        <w:rPr>
          <w:sz w:val="22"/>
        </w:rPr>
        <w:t>) 12.</w:t>
      </w:r>
    </w:p>
  </w:footnote>
  <w:footnote w:id="175">
    <w:p w:rsidR="00865911" w:rsidRPr="00E80B6B" w:rsidRDefault="00865911" w:rsidP="00C5569D">
      <w:pPr>
        <w:pStyle w:val="FootnoteText"/>
        <w:rPr>
          <w:sz w:val="22"/>
        </w:rPr>
      </w:pPr>
      <w:r w:rsidRPr="00E80B6B">
        <w:rPr>
          <w:rStyle w:val="FootnoteReference"/>
          <w:sz w:val="22"/>
        </w:rPr>
        <w:footnoteRef/>
      </w:r>
      <w:r w:rsidRPr="00E80B6B">
        <w:rPr>
          <w:sz w:val="22"/>
        </w:rPr>
        <w:t xml:space="preserve"> </w:t>
      </w:r>
      <w:r w:rsidRPr="00865911">
        <w:rPr>
          <w:sz w:val="22"/>
        </w:rPr>
        <w:t>See text at nn 163 and 164.</w:t>
      </w:r>
    </w:p>
  </w:footnote>
  <w:footnote w:id="176">
    <w:p w:rsidR="00865911" w:rsidRPr="00415C99" w:rsidRDefault="00865911">
      <w:pPr>
        <w:pStyle w:val="FootnoteText"/>
        <w:rPr>
          <w:sz w:val="22"/>
        </w:rPr>
      </w:pPr>
      <w:r w:rsidRPr="00415C99">
        <w:rPr>
          <w:rStyle w:val="FootnoteReference"/>
          <w:sz w:val="22"/>
        </w:rPr>
        <w:footnoteRef/>
      </w:r>
      <w:r w:rsidRPr="00415C99">
        <w:rPr>
          <w:sz w:val="22"/>
        </w:rPr>
        <w:t xml:space="preserve"> Lortie (n 15); Popelier, Certainty of the Law (n 149) 329; Berry (n 157) 33; Greenberg (n 157) 9-10.</w:t>
      </w:r>
    </w:p>
  </w:footnote>
  <w:footnote w:id="177">
    <w:p w:rsidR="00865911" w:rsidRPr="00E80B6B" w:rsidRDefault="00865911">
      <w:pPr>
        <w:pStyle w:val="FootnoteText"/>
        <w:rPr>
          <w:sz w:val="22"/>
        </w:rPr>
      </w:pPr>
      <w:r w:rsidRPr="00415C99">
        <w:rPr>
          <w:rStyle w:val="FootnoteReference"/>
          <w:sz w:val="22"/>
        </w:rPr>
        <w:footnoteRef/>
      </w:r>
      <w:r w:rsidRPr="00415C99">
        <w:rPr>
          <w:sz w:val="22"/>
        </w:rPr>
        <w:t xml:space="preserve"> Popelier, ‘Certainty of the Law</w:t>
      </w:r>
      <w:r>
        <w:rPr>
          <w:sz w:val="22"/>
        </w:rPr>
        <w:t>’ (n 149) 327; Berry (n 157</w:t>
      </w:r>
      <w:r w:rsidRPr="00415C99">
        <w:rPr>
          <w:sz w:val="22"/>
        </w:rPr>
        <w:t xml:space="preserve">) 33; </w:t>
      </w:r>
      <w:r>
        <w:rPr>
          <w:sz w:val="22"/>
        </w:rPr>
        <w:t>Greenberg (n 157</w:t>
      </w:r>
      <w:r w:rsidRPr="00415C99">
        <w:rPr>
          <w:sz w:val="22"/>
        </w:rPr>
        <w:t>) 9-10.</w:t>
      </w:r>
    </w:p>
  </w:footnote>
  <w:footnote w:id="178">
    <w:p w:rsidR="00865911" w:rsidRPr="002C460A" w:rsidRDefault="00865911">
      <w:pPr>
        <w:pStyle w:val="FootnoteText"/>
        <w:rPr>
          <w:sz w:val="22"/>
        </w:rPr>
      </w:pPr>
      <w:r w:rsidRPr="00E80B6B">
        <w:rPr>
          <w:rStyle w:val="FootnoteReference"/>
          <w:sz w:val="22"/>
        </w:rPr>
        <w:footnoteRef/>
      </w:r>
      <w:r w:rsidRPr="00E80B6B">
        <w:rPr>
          <w:sz w:val="22"/>
        </w:rPr>
        <w:t xml:space="preserve"> ibid.</w:t>
      </w:r>
      <w:r w:rsidRPr="002C460A">
        <w:rPr>
          <w:sz w:val="22"/>
        </w:rPr>
        <w:t xml:space="preserve"> </w:t>
      </w:r>
    </w:p>
  </w:footnote>
  <w:footnote w:id="179">
    <w:p w:rsidR="00865911" w:rsidRPr="002C460A" w:rsidRDefault="00865911" w:rsidP="00D92713">
      <w:pPr>
        <w:pStyle w:val="FootnoteText"/>
        <w:rPr>
          <w:sz w:val="22"/>
        </w:rPr>
      </w:pPr>
      <w:r w:rsidRPr="002C460A">
        <w:rPr>
          <w:rStyle w:val="FootnoteReference"/>
          <w:sz w:val="22"/>
        </w:rPr>
        <w:footnoteRef/>
      </w:r>
      <w:r w:rsidRPr="002C460A">
        <w:rPr>
          <w:sz w:val="22"/>
        </w:rPr>
        <w:t xml:space="preserve"> ibid.</w:t>
      </w:r>
    </w:p>
  </w:footnote>
  <w:footnote w:id="180">
    <w:p w:rsidR="00865911" w:rsidRPr="002C460A" w:rsidRDefault="00865911" w:rsidP="009934FD">
      <w:pPr>
        <w:pStyle w:val="FootnoteText"/>
        <w:rPr>
          <w:sz w:val="22"/>
        </w:rPr>
      </w:pPr>
      <w:r w:rsidRPr="002C460A">
        <w:rPr>
          <w:rStyle w:val="FootnoteReference"/>
          <w:sz w:val="22"/>
        </w:rPr>
        <w:footnoteRef/>
      </w:r>
      <w:r>
        <w:rPr>
          <w:sz w:val="22"/>
        </w:rPr>
        <w:t xml:space="preserve"> Timmermans (n 124</w:t>
      </w:r>
      <w:r w:rsidRPr="002C460A">
        <w:rPr>
          <w:sz w:val="22"/>
        </w:rPr>
        <w:t>) S120.</w:t>
      </w:r>
    </w:p>
  </w:footnote>
  <w:footnote w:id="181">
    <w:p w:rsidR="00865911" w:rsidRPr="002C460A" w:rsidRDefault="00865911">
      <w:pPr>
        <w:pStyle w:val="FootnoteText"/>
        <w:rPr>
          <w:sz w:val="22"/>
        </w:rPr>
      </w:pPr>
      <w:r w:rsidRPr="002C460A">
        <w:rPr>
          <w:rStyle w:val="FootnoteReference"/>
          <w:sz w:val="22"/>
        </w:rPr>
        <w:footnoteRef/>
      </w:r>
      <w:r w:rsidRPr="002C460A">
        <w:rPr>
          <w:sz w:val="22"/>
        </w:rPr>
        <w:t xml:space="preserve"> Kadija Kappa, ‘Legislatures in Modern States: The Role of Legislatures in Ensuring Good Governancy is Inadequate: A Case Study of the United Kingdom and Sierra Leone’ (20</w:t>
      </w:r>
      <w:r>
        <w:rPr>
          <w:sz w:val="22"/>
        </w:rPr>
        <w:t>10) 12 Eur JL Reform 426, 429; Poloko, (n 102</w:t>
      </w:r>
      <w:r w:rsidRPr="002C460A">
        <w:rPr>
          <w:sz w:val="22"/>
        </w:rPr>
        <w:t>) 426-9.</w:t>
      </w:r>
    </w:p>
  </w:footnote>
  <w:footnote w:id="182">
    <w:p w:rsidR="00865911" w:rsidRPr="002C460A" w:rsidRDefault="00865911">
      <w:pPr>
        <w:pStyle w:val="FootnoteText"/>
        <w:rPr>
          <w:sz w:val="22"/>
        </w:rPr>
      </w:pPr>
      <w:r w:rsidRPr="002C460A">
        <w:rPr>
          <w:rStyle w:val="FootnoteReference"/>
          <w:sz w:val="22"/>
        </w:rPr>
        <w:footnoteRef/>
      </w:r>
      <w:r>
        <w:rPr>
          <w:sz w:val="22"/>
        </w:rPr>
        <w:t xml:space="preserve"> ibid;</w:t>
      </w:r>
      <w:r w:rsidRPr="001812D2">
        <w:rPr>
          <w:sz w:val="22"/>
        </w:rPr>
        <w:t xml:space="preserve"> </w:t>
      </w:r>
      <w:r>
        <w:rPr>
          <w:sz w:val="22"/>
        </w:rPr>
        <w:t>Kellerman (n 102</w:t>
      </w:r>
      <w:r w:rsidRPr="002C460A">
        <w:rPr>
          <w:sz w:val="22"/>
        </w:rPr>
        <w:t>) 203-4</w:t>
      </w:r>
      <w:r>
        <w:rPr>
          <w:sz w:val="22"/>
        </w:rPr>
        <w:t>.</w:t>
      </w:r>
    </w:p>
  </w:footnote>
  <w:footnote w:id="183">
    <w:p w:rsidR="00865911" w:rsidRPr="002C460A" w:rsidRDefault="00865911" w:rsidP="00712CAD">
      <w:pPr>
        <w:pStyle w:val="FootnoteText"/>
        <w:rPr>
          <w:sz w:val="22"/>
        </w:rPr>
      </w:pPr>
      <w:r w:rsidRPr="002C460A">
        <w:rPr>
          <w:rStyle w:val="FootnoteReference"/>
          <w:sz w:val="22"/>
        </w:rPr>
        <w:footnoteRef/>
      </w:r>
      <w:r w:rsidRPr="002C460A">
        <w:rPr>
          <w:sz w:val="22"/>
        </w:rPr>
        <w:t xml:space="preserve"> Kellerma</w:t>
      </w:r>
      <w:r>
        <w:rPr>
          <w:sz w:val="22"/>
        </w:rPr>
        <w:t>n (n 102) 203-4; Poloko (n 102</w:t>
      </w:r>
      <w:r w:rsidRPr="002C460A">
        <w:rPr>
          <w:sz w:val="22"/>
        </w:rPr>
        <w:t>) 426.</w:t>
      </w:r>
    </w:p>
  </w:footnote>
  <w:footnote w:id="184">
    <w:p w:rsidR="00865911" w:rsidRPr="002C460A" w:rsidRDefault="00865911">
      <w:pPr>
        <w:pStyle w:val="FootnoteText"/>
        <w:rPr>
          <w:sz w:val="22"/>
        </w:rPr>
      </w:pPr>
      <w:r w:rsidRPr="002C460A">
        <w:rPr>
          <w:rStyle w:val="FootnoteReference"/>
          <w:sz w:val="22"/>
        </w:rPr>
        <w:footnoteRef/>
      </w:r>
      <w:r w:rsidRPr="002C460A">
        <w:rPr>
          <w:sz w:val="22"/>
        </w:rPr>
        <w:t xml:space="preserve"> SIA </w:t>
      </w:r>
      <w:r>
        <w:rPr>
          <w:sz w:val="22"/>
        </w:rPr>
        <w:t>(n 8) ss 3, 5, and 11; SIR (n 14</w:t>
      </w:r>
      <w:r w:rsidRPr="002C460A">
        <w:rPr>
          <w:sz w:val="22"/>
        </w:rPr>
        <w:t>) s 7.</w:t>
      </w:r>
    </w:p>
  </w:footnote>
  <w:footnote w:id="185">
    <w:p w:rsidR="00865911" w:rsidRPr="002C460A" w:rsidRDefault="00865911">
      <w:pPr>
        <w:pStyle w:val="FootnoteText"/>
        <w:rPr>
          <w:sz w:val="22"/>
        </w:rPr>
      </w:pPr>
      <w:r w:rsidRPr="002C460A">
        <w:rPr>
          <w:rStyle w:val="FootnoteReference"/>
          <w:sz w:val="22"/>
        </w:rPr>
        <w:footnoteRef/>
      </w:r>
      <w:r w:rsidRPr="002C460A">
        <w:rPr>
          <w:sz w:val="22"/>
        </w:rPr>
        <w:t xml:space="preserve"> Lortie (n 1</w:t>
      </w:r>
      <w:r>
        <w:rPr>
          <w:sz w:val="22"/>
        </w:rPr>
        <w:t>5).</w:t>
      </w:r>
    </w:p>
  </w:footnote>
  <w:footnote w:id="186">
    <w:p w:rsidR="00865911" w:rsidRPr="002C460A" w:rsidRDefault="00865911">
      <w:pPr>
        <w:pStyle w:val="FootnoteText"/>
        <w:rPr>
          <w:sz w:val="22"/>
        </w:rPr>
      </w:pPr>
      <w:r w:rsidRPr="002C460A">
        <w:rPr>
          <w:rStyle w:val="FootnoteReference"/>
          <w:sz w:val="22"/>
        </w:rPr>
        <w:footnoteRef/>
      </w:r>
      <w:r>
        <w:rPr>
          <w:sz w:val="22"/>
        </w:rPr>
        <w:t xml:space="preserve"> Ibid.</w:t>
      </w:r>
    </w:p>
  </w:footnote>
  <w:footnote w:id="187">
    <w:p w:rsidR="00865911" w:rsidRPr="002C460A" w:rsidRDefault="00865911" w:rsidP="00C36070">
      <w:pPr>
        <w:pStyle w:val="FootnoteText"/>
        <w:rPr>
          <w:sz w:val="22"/>
        </w:rPr>
      </w:pPr>
      <w:r w:rsidRPr="002C460A">
        <w:rPr>
          <w:rStyle w:val="FootnoteReference"/>
          <w:sz w:val="22"/>
        </w:rPr>
        <w:footnoteRef/>
      </w:r>
      <w:r>
        <w:rPr>
          <w:sz w:val="22"/>
        </w:rPr>
        <w:t xml:space="preserve"> Kappa (n 181</w:t>
      </w:r>
      <w:r w:rsidRPr="002C460A">
        <w:rPr>
          <w:sz w:val="22"/>
        </w:rPr>
        <w:t>) 429.</w:t>
      </w:r>
    </w:p>
  </w:footnote>
  <w:footnote w:id="188">
    <w:p w:rsidR="00865911" w:rsidRPr="002C460A" w:rsidRDefault="00865911">
      <w:pPr>
        <w:pStyle w:val="FootnoteText"/>
        <w:rPr>
          <w:sz w:val="22"/>
        </w:rPr>
      </w:pPr>
      <w:r w:rsidRPr="002C460A">
        <w:rPr>
          <w:rStyle w:val="FootnoteReference"/>
          <w:sz w:val="22"/>
        </w:rPr>
        <w:footnoteRef/>
      </w:r>
      <w:r>
        <w:rPr>
          <w:sz w:val="22"/>
        </w:rPr>
        <w:t xml:space="preserve"> Joshi (n 12) 12-4, Dufour (n 15); Lortie (n 15</w:t>
      </w:r>
      <w:r w:rsidRPr="002C460A">
        <w:rPr>
          <w:sz w:val="22"/>
        </w:rPr>
        <w:t>).</w:t>
      </w:r>
    </w:p>
  </w:footnote>
  <w:footnote w:id="189">
    <w:p w:rsidR="00865911" w:rsidRPr="002C460A" w:rsidRDefault="00865911">
      <w:pPr>
        <w:pStyle w:val="FootnoteText"/>
        <w:rPr>
          <w:sz w:val="22"/>
        </w:rPr>
      </w:pPr>
      <w:r w:rsidRPr="002C460A">
        <w:rPr>
          <w:rStyle w:val="FootnoteReference"/>
          <w:sz w:val="22"/>
        </w:rPr>
        <w:footnoteRef/>
      </w:r>
      <w:r>
        <w:rPr>
          <w:sz w:val="22"/>
        </w:rPr>
        <w:t xml:space="preserve"> Lortie (n 15).</w:t>
      </w:r>
      <w:r w:rsidRPr="002C460A">
        <w:rPr>
          <w:sz w:val="22"/>
        </w:rPr>
        <w:t xml:space="preserve"> </w:t>
      </w:r>
    </w:p>
  </w:footnote>
  <w:footnote w:id="190">
    <w:p w:rsidR="00865911" w:rsidRPr="002C460A" w:rsidRDefault="00865911">
      <w:pPr>
        <w:pStyle w:val="FootnoteText"/>
        <w:rPr>
          <w:sz w:val="22"/>
        </w:rPr>
      </w:pPr>
      <w:r w:rsidRPr="002C460A">
        <w:rPr>
          <w:rStyle w:val="FootnoteReference"/>
          <w:sz w:val="22"/>
        </w:rPr>
        <w:footnoteRef/>
      </w:r>
      <w:r>
        <w:rPr>
          <w:sz w:val="22"/>
        </w:rPr>
        <w:t xml:space="preserve"> ibid.</w:t>
      </w:r>
      <w:r w:rsidRPr="002C460A">
        <w:rPr>
          <w:sz w:val="22"/>
        </w:rPr>
        <w:t xml:space="preserve"> </w:t>
      </w:r>
    </w:p>
  </w:footnote>
  <w:footnote w:id="191">
    <w:p w:rsidR="00865911" w:rsidRPr="002C460A" w:rsidRDefault="00865911" w:rsidP="00E24004">
      <w:pPr>
        <w:pStyle w:val="FootnoteText"/>
        <w:rPr>
          <w:sz w:val="22"/>
        </w:rPr>
      </w:pPr>
      <w:r w:rsidRPr="002C460A">
        <w:rPr>
          <w:rStyle w:val="FootnoteReference"/>
          <w:sz w:val="22"/>
        </w:rPr>
        <w:footnoteRef/>
      </w:r>
      <w:r>
        <w:rPr>
          <w:sz w:val="22"/>
        </w:rPr>
        <w:t xml:space="preserve"> ibid; </w:t>
      </w:r>
      <w:r w:rsidRPr="006E729D">
        <w:rPr>
          <w:sz w:val="22"/>
        </w:rPr>
        <w:t>Regulatory Process Guide (n 9) 5-7</w:t>
      </w:r>
      <w:r>
        <w:rPr>
          <w:sz w:val="22"/>
        </w:rPr>
        <w:t>.</w:t>
      </w:r>
    </w:p>
  </w:footnote>
  <w:footnote w:id="192">
    <w:p w:rsidR="00865911" w:rsidRPr="002C460A" w:rsidRDefault="00865911">
      <w:pPr>
        <w:pStyle w:val="FootnoteText"/>
        <w:rPr>
          <w:sz w:val="22"/>
        </w:rPr>
      </w:pPr>
      <w:r w:rsidRPr="002C460A">
        <w:rPr>
          <w:rStyle w:val="FootnoteReference"/>
          <w:sz w:val="22"/>
        </w:rPr>
        <w:footnoteRef/>
      </w:r>
      <w:r w:rsidRPr="002C460A">
        <w:rPr>
          <w:sz w:val="22"/>
        </w:rPr>
        <w:t xml:space="preserve"> SIA </w:t>
      </w:r>
      <w:r>
        <w:rPr>
          <w:sz w:val="22"/>
        </w:rPr>
        <w:t>(n 8) ss 3, 5, and 11; SIR (n 14</w:t>
      </w:r>
      <w:r w:rsidRPr="002C460A">
        <w:rPr>
          <w:sz w:val="22"/>
        </w:rPr>
        <w:t xml:space="preserve">) s </w:t>
      </w:r>
      <w:r w:rsidRPr="00865911">
        <w:rPr>
          <w:sz w:val="22"/>
        </w:rPr>
        <w:t>7; See text at nn 145, 168.</w:t>
      </w:r>
    </w:p>
  </w:footnote>
  <w:footnote w:id="193">
    <w:p w:rsidR="00865911" w:rsidRPr="002C460A" w:rsidRDefault="00865911">
      <w:pPr>
        <w:pStyle w:val="FootnoteText"/>
        <w:rPr>
          <w:sz w:val="22"/>
        </w:rPr>
      </w:pPr>
      <w:r w:rsidRPr="002C460A">
        <w:rPr>
          <w:rStyle w:val="FootnoteReference"/>
          <w:i/>
          <w:sz w:val="22"/>
        </w:rPr>
        <w:footnoteRef/>
      </w:r>
      <w:r w:rsidRPr="002C460A">
        <w:rPr>
          <w:i/>
          <w:sz w:val="22"/>
        </w:rPr>
        <w:t xml:space="preserve"> Concise Oxford Dictionary</w:t>
      </w:r>
      <w:r w:rsidRPr="002C460A">
        <w:rPr>
          <w:sz w:val="22"/>
        </w:rPr>
        <w:t xml:space="preserve"> (10</w:t>
      </w:r>
      <w:r w:rsidRPr="002C460A">
        <w:rPr>
          <w:sz w:val="22"/>
          <w:vertAlign w:val="superscript"/>
        </w:rPr>
        <w:t>th</w:t>
      </w:r>
      <w:r w:rsidRPr="002C460A">
        <w:rPr>
          <w:sz w:val="22"/>
        </w:rPr>
        <w:t xml:space="preserve"> edn, Oxford University Press 1999).</w:t>
      </w:r>
    </w:p>
  </w:footnote>
  <w:footnote w:id="194">
    <w:p w:rsidR="00865911" w:rsidRPr="002C460A" w:rsidRDefault="00865911" w:rsidP="007B3759">
      <w:pPr>
        <w:pStyle w:val="FootnoteText"/>
        <w:rPr>
          <w:sz w:val="22"/>
        </w:rPr>
      </w:pPr>
      <w:r w:rsidRPr="002C460A">
        <w:rPr>
          <w:rStyle w:val="FootnoteReference"/>
          <w:sz w:val="22"/>
        </w:rPr>
        <w:footnoteRef/>
      </w:r>
      <w:r w:rsidRPr="002C460A">
        <w:rPr>
          <w:sz w:val="22"/>
        </w:rPr>
        <w:t xml:space="preserve"> </w:t>
      </w:r>
      <w:r>
        <w:rPr>
          <w:sz w:val="22"/>
        </w:rPr>
        <w:t>Kappa (n 181) 429; Poloko (n 102</w:t>
      </w:r>
      <w:r w:rsidRPr="002C460A">
        <w:rPr>
          <w:sz w:val="22"/>
        </w:rPr>
        <w:t>) 427.</w:t>
      </w:r>
    </w:p>
  </w:footnote>
  <w:footnote w:id="195">
    <w:p w:rsidR="00865911" w:rsidRPr="006E729D" w:rsidRDefault="00865911">
      <w:pPr>
        <w:pStyle w:val="FootnoteText"/>
        <w:rPr>
          <w:sz w:val="22"/>
        </w:rPr>
      </w:pPr>
      <w:r w:rsidRPr="006E729D">
        <w:rPr>
          <w:rStyle w:val="FootnoteReference"/>
          <w:sz w:val="22"/>
        </w:rPr>
        <w:footnoteRef/>
      </w:r>
      <w:r w:rsidRPr="006E729D">
        <w:rPr>
          <w:sz w:val="22"/>
        </w:rPr>
        <w:t xml:space="preserve"> ibid.</w:t>
      </w:r>
    </w:p>
  </w:footnote>
  <w:footnote w:id="196">
    <w:p w:rsidR="00865911" w:rsidRPr="006E729D" w:rsidRDefault="00865911" w:rsidP="004F1275">
      <w:pPr>
        <w:pStyle w:val="FootnoteText"/>
        <w:rPr>
          <w:sz w:val="22"/>
        </w:rPr>
      </w:pPr>
      <w:r w:rsidRPr="006E729D">
        <w:rPr>
          <w:rStyle w:val="FootnoteReference"/>
          <w:sz w:val="22"/>
        </w:rPr>
        <w:footnoteRef/>
      </w:r>
      <w:r w:rsidRPr="006E729D">
        <w:rPr>
          <w:sz w:val="22"/>
        </w:rPr>
        <w:t xml:space="preserve"> </w:t>
      </w:r>
      <w:r>
        <w:rPr>
          <w:sz w:val="22"/>
        </w:rPr>
        <w:t>Mkuye (n 97) 218-9; Hashim (n 102) 155-6; Kellerman (n 102) 203-4; Poloko (n 102</w:t>
      </w:r>
      <w:r w:rsidRPr="006E729D">
        <w:rPr>
          <w:sz w:val="22"/>
        </w:rPr>
        <w:t xml:space="preserve">) 427. </w:t>
      </w:r>
    </w:p>
  </w:footnote>
  <w:footnote w:id="197">
    <w:p w:rsidR="00865911" w:rsidRPr="006E729D" w:rsidRDefault="00865911">
      <w:pPr>
        <w:pStyle w:val="FootnoteText"/>
        <w:rPr>
          <w:sz w:val="22"/>
        </w:rPr>
      </w:pPr>
      <w:r w:rsidRPr="006E729D">
        <w:rPr>
          <w:rStyle w:val="FootnoteReference"/>
          <w:sz w:val="22"/>
        </w:rPr>
        <w:footnoteRef/>
      </w:r>
      <w:r w:rsidRPr="006E729D">
        <w:rPr>
          <w:sz w:val="22"/>
        </w:rPr>
        <w:t xml:space="preserve"> ibid; Keyes (n 1) 192-3.</w:t>
      </w:r>
    </w:p>
  </w:footnote>
  <w:footnote w:id="198">
    <w:p w:rsidR="00865911" w:rsidRPr="006E729D" w:rsidRDefault="00865911">
      <w:pPr>
        <w:pStyle w:val="FootnoteText"/>
        <w:rPr>
          <w:sz w:val="22"/>
        </w:rPr>
      </w:pPr>
      <w:r w:rsidRPr="006E729D">
        <w:rPr>
          <w:rStyle w:val="FootnoteReference"/>
          <w:sz w:val="22"/>
        </w:rPr>
        <w:footnoteRef/>
      </w:r>
      <w:r w:rsidRPr="006E729D">
        <w:rPr>
          <w:sz w:val="22"/>
        </w:rPr>
        <w:t xml:space="preserve"> ibid.</w:t>
      </w:r>
    </w:p>
  </w:footnote>
  <w:footnote w:id="199">
    <w:p w:rsidR="00865911" w:rsidRPr="006E729D" w:rsidRDefault="00865911">
      <w:pPr>
        <w:pStyle w:val="FootnoteText"/>
        <w:rPr>
          <w:sz w:val="22"/>
        </w:rPr>
      </w:pPr>
      <w:r w:rsidRPr="006E729D">
        <w:rPr>
          <w:rStyle w:val="FootnoteReference"/>
          <w:sz w:val="22"/>
        </w:rPr>
        <w:footnoteRef/>
      </w:r>
      <w:r w:rsidRPr="006E729D">
        <w:rPr>
          <w:sz w:val="22"/>
        </w:rPr>
        <w:t xml:space="preserve"> Flückiger (n 20) 214-5.</w:t>
      </w:r>
    </w:p>
  </w:footnote>
  <w:footnote w:id="200">
    <w:p w:rsidR="00865911" w:rsidRPr="006E729D" w:rsidRDefault="00865911" w:rsidP="004D1BF4">
      <w:pPr>
        <w:pStyle w:val="FootnoteText"/>
        <w:rPr>
          <w:sz w:val="22"/>
        </w:rPr>
      </w:pPr>
      <w:r w:rsidRPr="00865911">
        <w:rPr>
          <w:rStyle w:val="FootnoteReference"/>
          <w:sz w:val="22"/>
        </w:rPr>
        <w:footnoteRef/>
      </w:r>
      <w:r w:rsidRPr="00865911">
        <w:rPr>
          <w:sz w:val="22"/>
        </w:rPr>
        <w:t xml:space="preserve"> See text at nn 120-2 and 195-7.</w:t>
      </w:r>
    </w:p>
  </w:footnote>
  <w:footnote w:id="201">
    <w:p w:rsidR="00865911" w:rsidRPr="006E729D" w:rsidRDefault="00865911" w:rsidP="00010CCE">
      <w:pPr>
        <w:pStyle w:val="FootnoteText"/>
        <w:rPr>
          <w:sz w:val="22"/>
        </w:rPr>
      </w:pPr>
      <w:r w:rsidRPr="006E729D">
        <w:rPr>
          <w:rStyle w:val="FootnoteReference"/>
          <w:sz w:val="22"/>
        </w:rPr>
        <w:footnoteRef/>
      </w:r>
      <w:r w:rsidRPr="006E729D">
        <w:rPr>
          <w:sz w:val="22"/>
        </w:rPr>
        <w:t xml:space="preserve"> NDA (n 11) s 12; Murphy (n 1) 162-3; Pünder (n 1) </w:t>
      </w:r>
      <w:r w:rsidRPr="009B1A1F">
        <w:rPr>
          <w:sz w:val="22"/>
        </w:rPr>
        <w:t>356-357, 361-4, 377-8</w:t>
      </w:r>
      <w:r w:rsidRPr="006E729D">
        <w:rPr>
          <w:sz w:val="22"/>
        </w:rPr>
        <w:t xml:space="preserve">; </w:t>
      </w:r>
      <w:r w:rsidR="00177778">
        <w:rPr>
          <w:sz w:val="22"/>
        </w:rPr>
        <w:t>S</w:t>
      </w:r>
      <w:r w:rsidR="00177778" w:rsidRPr="00177778">
        <w:rPr>
          <w:sz w:val="22"/>
        </w:rPr>
        <w:t>ee text at nn 78-80 and 122</w:t>
      </w:r>
      <w:r w:rsidRPr="00177778">
        <w:rPr>
          <w:sz w:val="22"/>
        </w:rPr>
        <w:t>.</w:t>
      </w:r>
    </w:p>
  </w:footnote>
  <w:footnote w:id="202">
    <w:p w:rsidR="00865911" w:rsidRPr="006E729D" w:rsidRDefault="00865911" w:rsidP="001B454B">
      <w:pPr>
        <w:pStyle w:val="FootnoteText"/>
        <w:rPr>
          <w:sz w:val="22"/>
        </w:rPr>
      </w:pPr>
      <w:r w:rsidRPr="006E729D">
        <w:rPr>
          <w:rStyle w:val="FootnoteReference"/>
          <w:sz w:val="22"/>
        </w:rPr>
        <w:footnoteRef/>
      </w:r>
      <w:r w:rsidRPr="006E729D">
        <w:rPr>
          <w:sz w:val="22"/>
        </w:rPr>
        <w:t xml:space="preserve"> Pünder (n 1) 369.</w:t>
      </w:r>
    </w:p>
  </w:footnote>
  <w:footnote w:id="203">
    <w:p w:rsidR="00865911" w:rsidRPr="006E729D" w:rsidRDefault="00865911" w:rsidP="001B454B">
      <w:pPr>
        <w:pStyle w:val="FootnoteText"/>
        <w:rPr>
          <w:sz w:val="22"/>
        </w:rPr>
      </w:pPr>
      <w:r w:rsidRPr="006E729D">
        <w:rPr>
          <w:rStyle w:val="FootnoteReference"/>
          <w:sz w:val="22"/>
        </w:rPr>
        <w:footnoteRef/>
      </w:r>
      <w:r>
        <w:rPr>
          <w:sz w:val="22"/>
        </w:rPr>
        <w:t xml:space="preserve"> Mkuye (n 97) 218-9; Hashim (n 102</w:t>
      </w:r>
      <w:r w:rsidRPr="006E729D">
        <w:rPr>
          <w:sz w:val="22"/>
        </w:rPr>
        <w:t>) 155-6; Kell</w:t>
      </w:r>
      <w:r>
        <w:rPr>
          <w:sz w:val="22"/>
        </w:rPr>
        <w:t>erman (n 102) 203-4; Kappa (n 181) 429; Poloko (n 102</w:t>
      </w:r>
      <w:r w:rsidRPr="006E729D">
        <w:rPr>
          <w:sz w:val="22"/>
        </w:rPr>
        <w:t>) 426-9.</w:t>
      </w:r>
    </w:p>
  </w:footnote>
  <w:footnote w:id="204">
    <w:p w:rsidR="00865911" w:rsidRPr="006E729D" w:rsidRDefault="00865911" w:rsidP="00D8281B">
      <w:pPr>
        <w:pStyle w:val="FootnoteText"/>
        <w:rPr>
          <w:sz w:val="22"/>
        </w:rPr>
      </w:pPr>
      <w:r w:rsidRPr="006E729D">
        <w:rPr>
          <w:rStyle w:val="FootnoteReference"/>
          <w:sz w:val="22"/>
        </w:rPr>
        <w:footnoteRef/>
      </w:r>
      <w:r w:rsidRPr="006E729D">
        <w:rPr>
          <w:sz w:val="22"/>
        </w:rPr>
        <w:t xml:space="preserve"> Joshi (n 12) 48; Dufour (n 15).</w:t>
      </w:r>
    </w:p>
  </w:footnote>
  <w:footnote w:id="205">
    <w:p w:rsidR="00865911" w:rsidRPr="006E729D" w:rsidRDefault="00865911">
      <w:pPr>
        <w:pStyle w:val="FootnoteText"/>
        <w:rPr>
          <w:sz w:val="22"/>
        </w:rPr>
      </w:pPr>
      <w:r w:rsidRPr="006E729D">
        <w:rPr>
          <w:rStyle w:val="FootnoteReference"/>
          <w:sz w:val="22"/>
        </w:rPr>
        <w:footnoteRef/>
      </w:r>
      <w:r>
        <w:rPr>
          <w:sz w:val="22"/>
        </w:rPr>
        <w:t xml:space="preserve"> Kellerman (n 102</w:t>
      </w:r>
      <w:r w:rsidRPr="006E729D">
        <w:rPr>
          <w:sz w:val="22"/>
        </w:rPr>
        <w:t xml:space="preserve">) 203-4; Salembier ‘Designing Regulatory Systems’ (n </w:t>
      </w:r>
      <w:r>
        <w:rPr>
          <w:sz w:val="22"/>
        </w:rPr>
        <w:t>118</w:t>
      </w:r>
      <w:r w:rsidRPr="006E729D">
        <w:rPr>
          <w:sz w:val="22"/>
        </w:rPr>
        <w:t>) 6.</w:t>
      </w:r>
    </w:p>
  </w:footnote>
  <w:footnote w:id="206">
    <w:p w:rsidR="00865911" w:rsidRPr="006E729D" w:rsidRDefault="00865911">
      <w:pPr>
        <w:pStyle w:val="FootnoteText"/>
        <w:rPr>
          <w:sz w:val="22"/>
        </w:rPr>
      </w:pPr>
      <w:r w:rsidRPr="006E729D">
        <w:rPr>
          <w:rStyle w:val="FootnoteReference"/>
          <w:sz w:val="22"/>
        </w:rPr>
        <w:footnoteRef/>
      </w:r>
      <w:r>
        <w:rPr>
          <w:sz w:val="22"/>
        </w:rPr>
        <w:t xml:space="preserve"> Kellerman (n 102) 203-4; Poloko (n 102</w:t>
      </w:r>
      <w:r w:rsidRPr="006E729D">
        <w:rPr>
          <w:sz w:val="22"/>
        </w:rPr>
        <w:t>) 426-7.</w:t>
      </w:r>
    </w:p>
  </w:footnote>
  <w:footnote w:id="207">
    <w:p w:rsidR="00865911" w:rsidRPr="006E729D" w:rsidRDefault="00865911">
      <w:pPr>
        <w:pStyle w:val="FootnoteText"/>
        <w:rPr>
          <w:sz w:val="22"/>
        </w:rPr>
      </w:pPr>
      <w:r w:rsidRPr="00415C99">
        <w:rPr>
          <w:rStyle w:val="FootnoteReference"/>
          <w:sz w:val="22"/>
        </w:rPr>
        <w:footnoteRef/>
      </w:r>
      <w:r w:rsidRPr="00415C99">
        <w:rPr>
          <w:i/>
          <w:sz w:val="22"/>
        </w:rPr>
        <w:t>Guidelines</w:t>
      </w:r>
      <w:r w:rsidRPr="006E729D">
        <w:rPr>
          <w:i/>
          <w:sz w:val="22"/>
        </w:rPr>
        <w:t xml:space="preserve"> for Effective Regulatory Consultations</w:t>
      </w:r>
      <w:r>
        <w:rPr>
          <w:sz w:val="22"/>
        </w:rPr>
        <w:t xml:space="preserve"> (n 106</w:t>
      </w:r>
      <w:r w:rsidRPr="006E729D">
        <w:rPr>
          <w:sz w:val="22"/>
        </w:rPr>
        <w:t>).</w:t>
      </w:r>
    </w:p>
  </w:footnote>
  <w:footnote w:id="208">
    <w:p w:rsidR="00865911" w:rsidRDefault="00865911">
      <w:pPr>
        <w:pStyle w:val="FootnoteText"/>
      </w:pPr>
      <w:r>
        <w:rPr>
          <w:rStyle w:val="FootnoteReference"/>
        </w:rPr>
        <w:footnoteRef/>
      </w:r>
      <w:r>
        <w:t xml:space="preserve"> </w:t>
      </w:r>
      <w:r>
        <w:rPr>
          <w:sz w:val="22"/>
        </w:rPr>
        <w:t>Kellerman (n 102) 203-4; Poloko (n 102</w:t>
      </w:r>
      <w:r w:rsidRPr="006E729D">
        <w:rPr>
          <w:sz w:val="22"/>
        </w:rPr>
        <w:t>) 426-7</w:t>
      </w:r>
      <w:r>
        <w:rPr>
          <w:sz w:val="22"/>
        </w:rPr>
        <w:t>; Pünder (n 1) 374-7.</w:t>
      </w:r>
    </w:p>
  </w:footnote>
  <w:footnote w:id="209">
    <w:p w:rsidR="00865911" w:rsidRPr="006E729D" w:rsidRDefault="00865911">
      <w:pPr>
        <w:pStyle w:val="FootnoteText"/>
        <w:rPr>
          <w:sz w:val="22"/>
        </w:rPr>
      </w:pPr>
      <w:r w:rsidRPr="006E729D">
        <w:rPr>
          <w:rStyle w:val="FootnoteReference"/>
          <w:sz w:val="22"/>
        </w:rPr>
        <w:footnoteRef/>
      </w:r>
      <w:r>
        <w:rPr>
          <w:sz w:val="22"/>
        </w:rPr>
        <w:t xml:space="preserve"> Pünder (n 1) 356-64,</w:t>
      </w:r>
    </w:p>
  </w:footnote>
  <w:footnote w:id="210">
    <w:p w:rsidR="00865911" w:rsidRPr="006E729D" w:rsidRDefault="00865911">
      <w:pPr>
        <w:pStyle w:val="FootnoteText"/>
        <w:rPr>
          <w:sz w:val="22"/>
        </w:rPr>
      </w:pPr>
      <w:r w:rsidRPr="006E729D">
        <w:rPr>
          <w:rStyle w:val="FootnoteReference"/>
          <w:sz w:val="22"/>
        </w:rPr>
        <w:footnoteRef/>
      </w:r>
      <w:r w:rsidRPr="006E729D">
        <w:rPr>
          <w:sz w:val="22"/>
        </w:rPr>
        <w:t xml:space="preserve"> ibid</w:t>
      </w:r>
      <w:r>
        <w:rPr>
          <w:sz w:val="22"/>
        </w:rPr>
        <w:t>, 364-9</w:t>
      </w:r>
      <w:r w:rsidRPr="006E729D">
        <w:rPr>
          <w:sz w:val="22"/>
        </w:rPr>
        <w:t>.</w:t>
      </w:r>
    </w:p>
  </w:footnote>
  <w:footnote w:id="211">
    <w:p w:rsidR="00865911" w:rsidRPr="006E729D" w:rsidRDefault="00865911">
      <w:pPr>
        <w:pStyle w:val="FootnoteText"/>
        <w:rPr>
          <w:sz w:val="22"/>
        </w:rPr>
      </w:pPr>
      <w:r w:rsidRPr="006E729D">
        <w:rPr>
          <w:rStyle w:val="FootnoteReference"/>
          <w:sz w:val="22"/>
        </w:rPr>
        <w:footnoteRef/>
      </w:r>
      <w:r w:rsidRPr="006E729D">
        <w:rPr>
          <w:sz w:val="22"/>
        </w:rPr>
        <w:t xml:space="preserve"> SIA (n 8) s 19; Lortie (n 15).</w:t>
      </w:r>
    </w:p>
  </w:footnote>
  <w:footnote w:id="212">
    <w:p w:rsidR="00865911" w:rsidRPr="00A20D73" w:rsidRDefault="00865911">
      <w:pPr>
        <w:pStyle w:val="FootnoteText"/>
        <w:rPr>
          <w:sz w:val="22"/>
        </w:rPr>
      </w:pPr>
      <w:r w:rsidRPr="00A20D73">
        <w:rPr>
          <w:rStyle w:val="FootnoteReference"/>
          <w:sz w:val="22"/>
        </w:rPr>
        <w:footnoteRef/>
      </w:r>
      <w:r w:rsidRPr="00A20D73">
        <w:rPr>
          <w:sz w:val="22"/>
        </w:rPr>
        <w:t xml:space="preserve"> ibid; NDA (n 11).</w:t>
      </w:r>
    </w:p>
  </w:footnote>
  <w:footnote w:id="213">
    <w:p w:rsidR="00865911" w:rsidRDefault="00865911">
      <w:pPr>
        <w:pStyle w:val="FootnoteText"/>
      </w:pPr>
      <w:r>
        <w:rPr>
          <w:rStyle w:val="FootnoteReference"/>
        </w:rPr>
        <w:footnoteRef/>
      </w:r>
      <w:r>
        <w:t xml:space="preserve"> </w:t>
      </w:r>
      <w:r>
        <w:rPr>
          <w:sz w:val="22"/>
        </w:rPr>
        <w:t>Pünder (n 1) 364-9, 377-8.</w:t>
      </w:r>
    </w:p>
  </w:footnote>
  <w:footnote w:id="214">
    <w:p w:rsidR="00865911" w:rsidRPr="00A20D73" w:rsidRDefault="00865911" w:rsidP="00F67026">
      <w:pPr>
        <w:pStyle w:val="FootnoteText"/>
        <w:rPr>
          <w:sz w:val="22"/>
        </w:rPr>
      </w:pPr>
      <w:r w:rsidRPr="00A20D73">
        <w:rPr>
          <w:rStyle w:val="FootnoteReference"/>
          <w:sz w:val="22"/>
        </w:rPr>
        <w:footnoteRef/>
      </w:r>
      <w:r w:rsidRPr="00A20D73">
        <w:rPr>
          <w:sz w:val="22"/>
        </w:rPr>
        <w:t xml:space="preserve"> Popelie</w:t>
      </w:r>
      <w:r>
        <w:rPr>
          <w:sz w:val="22"/>
        </w:rPr>
        <w:t>r, ‘Certainty of the Law’ (n 149) 326-9; Berry (n 157) 33; Greenberg (n 157</w:t>
      </w:r>
      <w:r w:rsidRPr="00A20D73">
        <w:rPr>
          <w:sz w:val="22"/>
        </w:rPr>
        <w:t>) 9-10.</w:t>
      </w:r>
    </w:p>
  </w:footnote>
  <w:footnote w:id="215">
    <w:p w:rsidR="00865911" w:rsidRPr="006E729D" w:rsidRDefault="00865911">
      <w:pPr>
        <w:pStyle w:val="FootnoteText"/>
        <w:rPr>
          <w:sz w:val="22"/>
        </w:rPr>
      </w:pPr>
      <w:r w:rsidRPr="00A20D73">
        <w:rPr>
          <w:rStyle w:val="FootnoteReference"/>
          <w:sz w:val="22"/>
        </w:rPr>
        <w:footnoteRef/>
      </w:r>
      <w:r w:rsidRPr="00A20D73">
        <w:rPr>
          <w:sz w:val="22"/>
        </w:rPr>
        <w:t xml:space="preserve"> ibid.</w:t>
      </w:r>
    </w:p>
  </w:footnote>
  <w:footnote w:id="216">
    <w:p w:rsidR="00865911" w:rsidRPr="006E729D" w:rsidRDefault="00865911">
      <w:pPr>
        <w:pStyle w:val="FootnoteText"/>
        <w:rPr>
          <w:sz w:val="22"/>
        </w:rPr>
      </w:pPr>
      <w:r w:rsidRPr="006E729D">
        <w:rPr>
          <w:rStyle w:val="FootnoteReference"/>
          <w:sz w:val="22"/>
        </w:rPr>
        <w:footnoteRef/>
      </w:r>
      <w:r>
        <w:rPr>
          <w:sz w:val="22"/>
        </w:rPr>
        <w:t xml:space="preserve"> Berry (n 157</w:t>
      </w:r>
      <w:r w:rsidRPr="006E729D">
        <w:rPr>
          <w:sz w:val="22"/>
        </w:rPr>
        <w:t>) 33.</w:t>
      </w:r>
    </w:p>
  </w:footnote>
  <w:footnote w:id="217">
    <w:p w:rsidR="00865911" w:rsidRPr="006E729D" w:rsidRDefault="00865911" w:rsidP="00F67026">
      <w:pPr>
        <w:pStyle w:val="FootnoteText"/>
        <w:rPr>
          <w:sz w:val="22"/>
        </w:rPr>
      </w:pPr>
      <w:r w:rsidRPr="006E729D">
        <w:rPr>
          <w:rStyle w:val="FootnoteReference"/>
          <w:sz w:val="22"/>
        </w:rPr>
        <w:footnoteRef/>
      </w:r>
      <w:r w:rsidRPr="006E729D">
        <w:rPr>
          <w:sz w:val="22"/>
        </w:rPr>
        <w:t xml:space="preserve"> Salembier, ‘Designing Regulatory Systems’ (n 11) 12.</w:t>
      </w:r>
    </w:p>
  </w:footnote>
  <w:footnote w:id="218">
    <w:p w:rsidR="00865911" w:rsidRPr="006E729D" w:rsidRDefault="00865911">
      <w:pPr>
        <w:pStyle w:val="FootnoteText"/>
        <w:rPr>
          <w:sz w:val="22"/>
        </w:rPr>
      </w:pPr>
      <w:r w:rsidRPr="006E729D">
        <w:rPr>
          <w:rStyle w:val="FootnoteReference"/>
          <w:sz w:val="22"/>
        </w:rPr>
        <w:footnoteRef/>
      </w:r>
      <w:r>
        <w:rPr>
          <w:sz w:val="22"/>
        </w:rPr>
        <w:t xml:space="preserve"> Berry (n 157) 33; Greenberg (n 157</w:t>
      </w:r>
      <w:r w:rsidRPr="006E729D">
        <w:rPr>
          <w:sz w:val="22"/>
        </w:rPr>
        <w:t>) 9-10.</w:t>
      </w:r>
    </w:p>
  </w:footnote>
  <w:footnote w:id="219">
    <w:p w:rsidR="00865911" w:rsidRPr="006E729D" w:rsidRDefault="00865911">
      <w:pPr>
        <w:pStyle w:val="FootnoteText"/>
        <w:rPr>
          <w:sz w:val="22"/>
        </w:rPr>
      </w:pPr>
      <w:r w:rsidRPr="00177778">
        <w:rPr>
          <w:rStyle w:val="FootnoteReference"/>
          <w:sz w:val="22"/>
        </w:rPr>
        <w:footnoteRef/>
      </w:r>
      <w:r w:rsidR="00177778" w:rsidRPr="00177778">
        <w:rPr>
          <w:sz w:val="22"/>
        </w:rPr>
        <w:t xml:space="preserve"> See text at nn 159-66</w:t>
      </w:r>
      <w:r w:rsidRPr="00177778">
        <w:rPr>
          <w:sz w:val="22"/>
        </w:rPr>
        <w:t>.</w:t>
      </w:r>
    </w:p>
  </w:footnote>
  <w:footnote w:id="220">
    <w:p w:rsidR="00865911" w:rsidRPr="006E729D" w:rsidRDefault="00865911">
      <w:pPr>
        <w:pStyle w:val="FootnoteText"/>
        <w:rPr>
          <w:sz w:val="22"/>
        </w:rPr>
      </w:pPr>
      <w:r w:rsidRPr="006E729D">
        <w:rPr>
          <w:rStyle w:val="FootnoteReference"/>
          <w:sz w:val="22"/>
        </w:rPr>
        <w:footnoteRef/>
      </w:r>
      <w:r w:rsidRPr="006E729D">
        <w:rPr>
          <w:sz w:val="22"/>
        </w:rPr>
        <w:t xml:space="preserve"> Popelie</w:t>
      </w:r>
      <w:r>
        <w:rPr>
          <w:sz w:val="22"/>
        </w:rPr>
        <w:t>r, ‘Certainty of the Law’ (n 149) 329; Berry (n 157) 33; Greenberg (n 157</w:t>
      </w:r>
      <w:r w:rsidRPr="006E729D">
        <w:rPr>
          <w:sz w:val="22"/>
        </w:rPr>
        <w:t>) 9-10.</w:t>
      </w:r>
    </w:p>
  </w:footnote>
  <w:footnote w:id="221">
    <w:p w:rsidR="00865911" w:rsidRPr="006E729D" w:rsidRDefault="00865911" w:rsidP="00F67026">
      <w:pPr>
        <w:pStyle w:val="FootnoteText"/>
        <w:rPr>
          <w:sz w:val="22"/>
        </w:rPr>
      </w:pPr>
      <w:r w:rsidRPr="005C0F31">
        <w:rPr>
          <w:rStyle w:val="FootnoteReference"/>
          <w:sz w:val="22"/>
        </w:rPr>
        <w:footnoteRef/>
      </w:r>
      <w:r w:rsidRPr="005C0F31">
        <w:rPr>
          <w:sz w:val="22"/>
        </w:rPr>
        <w:t xml:space="preserve"> </w:t>
      </w:r>
      <w:r w:rsidR="00177778" w:rsidRPr="005C0F31">
        <w:rPr>
          <w:sz w:val="22"/>
        </w:rPr>
        <w:t>See text between nn 167-9</w:t>
      </w:r>
      <w:r w:rsidRPr="005C0F31">
        <w:rPr>
          <w:sz w:val="22"/>
        </w:rPr>
        <w:t>.</w:t>
      </w:r>
    </w:p>
  </w:footnote>
  <w:footnote w:id="222">
    <w:p w:rsidR="00865911" w:rsidRPr="006E729D" w:rsidRDefault="00865911" w:rsidP="00F67026">
      <w:pPr>
        <w:pStyle w:val="FootnoteText"/>
        <w:rPr>
          <w:sz w:val="22"/>
        </w:rPr>
      </w:pPr>
      <w:r w:rsidRPr="006E729D">
        <w:rPr>
          <w:rStyle w:val="FootnoteReference"/>
          <w:sz w:val="22"/>
        </w:rPr>
        <w:footnoteRef/>
      </w:r>
      <w:r w:rsidRPr="006E729D">
        <w:rPr>
          <w:sz w:val="22"/>
        </w:rPr>
        <w:t xml:space="preserve"> QR&amp;O (</w:t>
      </w:r>
      <w:r>
        <w:rPr>
          <w:sz w:val="22"/>
        </w:rPr>
        <w:t>n 13) art 1.22; Berry (n 157) 33; Greenberg (n 157</w:t>
      </w:r>
      <w:r w:rsidRPr="006E729D">
        <w:rPr>
          <w:sz w:val="22"/>
        </w:rPr>
        <w:t>) 9-10.</w:t>
      </w:r>
    </w:p>
  </w:footnote>
  <w:footnote w:id="223">
    <w:p w:rsidR="00865911" w:rsidRDefault="00865911">
      <w:pPr>
        <w:pStyle w:val="FootnoteText"/>
      </w:pPr>
      <w:r>
        <w:rPr>
          <w:rStyle w:val="FootnoteReference"/>
        </w:rPr>
        <w:footnoteRef/>
      </w:r>
      <w:r>
        <w:t xml:space="preserve"> </w:t>
      </w:r>
      <w:r w:rsidRPr="006E729D">
        <w:rPr>
          <w:sz w:val="22"/>
        </w:rPr>
        <w:t>Popelie</w:t>
      </w:r>
      <w:r>
        <w:rPr>
          <w:sz w:val="22"/>
        </w:rPr>
        <w:t>r, ‘Certainty of the Law’ (n 149) 329; Berry (n 157) 33; Greenberg (n 157</w:t>
      </w:r>
      <w:r w:rsidRPr="006E729D">
        <w:rPr>
          <w:sz w:val="22"/>
        </w:rPr>
        <w:t>) 9-10</w:t>
      </w:r>
      <w:r>
        <w:rPr>
          <w:sz w:val="22"/>
        </w:rPr>
        <w:t>.</w:t>
      </w:r>
    </w:p>
  </w:footnote>
  <w:footnote w:id="224">
    <w:p w:rsidR="00865911" w:rsidRPr="006E729D" w:rsidRDefault="00865911" w:rsidP="00B9438B">
      <w:pPr>
        <w:pStyle w:val="FootnoteText"/>
        <w:rPr>
          <w:sz w:val="22"/>
        </w:rPr>
      </w:pPr>
      <w:r w:rsidRPr="006E729D">
        <w:rPr>
          <w:rStyle w:val="FootnoteReference"/>
          <w:sz w:val="22"/>
        </w:rPr>
        <w:footnoteRef/>
      </w:r>
      <w:r w:rsidRPr="006E729D">
        <w:rPr>
          <w:sz w:val="22"/>
        </w:rPr>
        <w:t xml:space="preserve"> Mousmati (n 17) 192-3; Fluckiger (n 20) 213-4.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911" w:rsidRDefault="00865911" w:rsidP="00FA194D">
    <w:pPr>
      <w:pStyle w:val="Header"/>
    </w:pPr>
    <w:r>
      <w:t>ALS Dissertation</w:t>
    </w:r>
    <w:r>
      <w:tab/>
    </w:r>
  </w:p>
  <w:p w:rsidR="00865911" w:rsidRDefault="00865911" w:rsidP="00FE11F3">
    <w:r>
      <w:t>Student # 1440527</w:t>
    </w:r>
  </w:p>
  <w:p w:rsidR="00865911" w:rsidRDefault="008659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B1222"/>
    <w:multiLevelType w:val="hybridMultilevel"/>
    <w:tmpl w:val="351A974A"/>
    <w:lvl w:ilvl="0" w:tplc="3DB6C80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80546E"/>
    <w:multiLevelType w:val="hybridMultilevel"/>
    <w:tmpl w:val="3D36D0FE"/>
    <w:lvl w:ilvl="0" w:tplc="4056912E">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C035C72"/>
    <w:multiLevelType w:val="hybridMultilevel"/>
    <w:tmpl w:val="F5E04E16"/>
    <w:lvl w:ilvl="0" w:tplc="5456D55E">
      <w:start w:val="1"/>
      <w:numFmt w:val="decimal"/>
      <w:lvlText w:val="%1."/>
      <w:lvlJc w:val="left"/>
      <w:pPr>
        <w:ind w:left="880" w:hanging="8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360"/>
    <w:rsid w:val="000004F4"/>
    <w:rsid w:val="000007F6"/>
    <w:rsid w:val="00000890"/>
    <w:rsid w:val="0000127B"/>
    <w:rsid w:val="00002F39"/>
    <w:rsid w:val="0000441F"/>
    <w:rsid w:val="000047B9"/>
    <w:rsid w:val="00004A72"/>
    <w:rsid w:val="00005022"/>
    <w:rsid w:val="00006290"/>
    <w:rsid w:val="00006442"/>
    <w:rsid w:val="0000694E"/>
    <w:rsid w:val="00006E78"/>
    <w:rsid w:val="000072DC"/>
    <w:rsid w:val="00007B25"/>
    <w:rsid w:val="00007C98"/>
    <w:rsid w:val="00010CCE"/>
    <w:rsid w:val="00010EBE"/>
    <w:rsid w:val="00010EDF"/>
    <w:rsid w:val="000118D5"/>
    <w:rsid w:val="0001192A"/>
    <w:rsid w:val="00011E07"/>
    <w:rsid w:val="00011E1A"/>
    <w:rsid w:val="00012310"/>
    <w:rsid w:val="000126D3"/>
    <w:rsid w:val="00012B94"/>
    <w:rsid w:val="00014F91"/>
    <w:rsid w:val="00015C3A"/>
    <w:rsid w:val="00015D87"/>
    <w:rsid w:val="00015F33"/>
    <w:rsid w:val="00017AAC"/>
    <w:rsid w:val="00017D14"/>
    <w:rsid w:val="000214E5"/>
    <w:rsid w:val="0002162A"/>
    <w:rsid w:val="000216B5"/>
    <w:rsid w:val="000217B1"/>
    <w:rsid w:val="00021AFF"/>
    <w:rsid w:val="00021D93"/>
    <w:rsid w:val="00021EE0"/>
    <w:rsid w:val="00022738"/>
    <w:rsid w:val="00022A21"/>
    <w:rsid w:val="00022F02"/>
    <w:rsid w:val="00023536"/>
    <w:rsid w:val="00023658"/>
    <w:rsid w:val="00023D69"/>
    <w:rsid w:val="00023FE8"/>
    <w:rsid w:val="00024600"/>
    <w:rsid w:val="00025055"/>
    <w:rsid w:val="00026A13"/>
    <w:rsid w:val="00026F3B"/>
    <w:rsid w:val="0002712A"/>
    <w:rsid w:val="000274BA"/>
    <w:rsid w:val="00027CF1"/>
    <w:rsid w:val="000302BF"/>
    <w:rsid w:val="00030F03"/>
    <w:rsid w:val="00030FF0"/>
    <w:rsid w:val="00031909"/>
    <w:rsid w:val="000319EB"/>
    <w:rsid w:val="00031AD8"/>
    <w:rsid w:val="00033694"/>
    <w:rsid w:val="00033CE0"/>
    <w:rsid w:val="00034215"/>
    <w:rsid w:val="00034A4F"/>
    <w:rsid w:val="00034A9A"/>
    <w:rsid w:val="00036A43"/>
    <w:rsid w:val="00037638"/>
    <w:rsid w:val="0004064E"/>
    <w:rsid w:val="00040C0F"/>
    <w:rsid w:val="00041C95"/>
    <w:rsid w:val="00042268"/>
    <w:rsid w:val="00043E37"/>
    <w:rsid w:val="00044BE8"/>
    <w:rsid w:val="00044C6C"/>
    <w:rsid w:val="0004539A"/>
    <w:rsid w:val="00045B8D"/>
    <w:rsid w:val="00045F27"/>
    <w:rsid w:val="00045F97"/>
    <w:rsid w:val="00046CBB"/>
    <w:rsid w:val="000474A2"/>
    <w:rsid w:val="00047A4C"/>
    <w:rsid w:val="000501E6"/>
    <w:rsid w:val="00050223"/>
    <w:rsid w:val="000508A5"/>
    <w:rsid w:val="00050E8E"/>
    <w:rsid w:val="000510EA"/>
    <w:rsid w:val="000522FE"/>
    <w:rsid w:val="00052666"/>
    <w:rsid w:val="0005318D"/>
    <w:rsid w:val="00053A6A"/>
    <w:rsid w:val="0005424B"/>
    <w:rsid w:val="00055209"/>
    <w:rsid w:val="0005542F"/>
    <w:rsid w:val="00055491"/>
    <w:rsid w:val="0005797D"/>
    <w:rsid w:val="000607F5"/>
    <w:rsid w:val="00060848"/>
    <w:rsid w:val="00060B11"/>
    <w:rsid w:val="00061176"/>
    <w:rsid w:val="000611B0"/>
    <w:rsid w:val="00062432"/>
    <w:rsid w:val="0006255E"/>
    <w:rsid w:val="0006266D"/>
    <w:rsid w:val="000628F9"/>
    <w:rsid w:val="00062C0A"/>
    <w:rsid w:val="00062C93"/>
    <w:rsid w:val="00063DE0"/>
    <w:rsid w:val="00063E71"/>
    <w:rsid w:val="000643CF"/>
    <w:rsid w:val="00064DB5"/>
    <w:rsid w:val="00065C0E"/>
    <w:rsid w:val="00065ED0"/>
    <w:rsid w:val="000666AA"/>
    <w:rsid w:val="0006672B"/>
    <w:rsid w:val="0006698F"/>
    <w:rsid w:val="000676E3"/>
    <w:rsid w:val="000678D5"/>
    <w:rsid w:val="00067BF5"/>
    <w:rsid w:val="00067E8B"/>
    <w:rsid w:val="000708BE"/>
    <w:rsid w:val="00070927"/>
    <w:rsid w:val="00071BC6"/>
    <w:rsid w:val="00071ECE"/>
    <w:rsid w:val="00072D9A"/>
    <w:rsid w:val="0007303A"/>
    <w:rsid w:val="000739DC"/>
    <w:rsid w:val="00074EC2"/>
    <w:rsid w:val="00075652"/>
    <w:rsid w:val="00075891"/>
    <w:rsid w:val="000762D1"/>
    <w:rsid w:val="0007660E"/>
    <w:rsid w:val="00076CFE"/>
    <w:rsid w:val="00076EE1"/>
    <w:rsid w:val="000770FD"/>
    <w:rsid w:val="000771FB"/>
    <w:rsid w:val="00077D36"/>
    <w:rsid w:val="00080CFE"/>
    <w:rsid w:val="000813FE"/>
    <w:rsid w:val="00081BCA"/>
    <w:rsid w:val="00082954"/>
    <w:rsid w:val="00082CE9"/>
    <w:rsid w:val="000830E4"/>
    <w:rsid w:val="00083350"/>
    <w:rsid w:val="00083537"/>
    <w:rsid w:val="0008367D"/>
    <w:rsid w:val="0008372C"/>
    <w:rsid w:val="00084820"/>
    <w:rsid w:val="00085A74"/>
    <w:rsid w:val="00085CAD"/>
    <w:rsid w:val="0008608F"/>
    <w:rsid w:val="00086B3B"/>
    <w:rsid w:val="000873E2"/>
    <w:rsid w:val="00090BF8"/>
    <w:rsid w:val="0009148A"/>
    <w:rsid w:val="000914CB"/>
    <w:rsid w:val="000916E5"/>
    <w:rsid w:val="0009224D"/>
    <w:rsid w:val="000928BD"/>
    <w:rsid w:val="0009323B"/>
    <w:rsid w:val="0009337D"/>
    <w:rsid w:val="00094010"/>
    <w:rsid w:val="00094D02"/>
    <w:rsid w:val="00095BE0"/>
    <w:rsid w:val="00095BE6"/>
    <w:rsid w:val="00096521"/>
    <w:rsid w:val="0009697B"/>
    <w:rsid w:val="000979BD"/>
    <w:rsid w:val="00097BFF"/>
    <w:rsid w:val="00097CE9"/>
    <w:rsid w:val="000A0113"/>
    <w:rsid w:val="000A075C"/>
    <w:rsid w:val="000A116A"/>
    <w:rsid w:val="000A1869"/>
    <w:rsid w:val="000A304E"/>
    <w:rsid w:val="000A35C6"/>
    <w:rsid w:val="000A3951"/>
    <w:rsid w:val="000A407C"/>
    <w:rsid w:val="000A49D6"/>
    <w:rsid w:val="000A4BAF"/>
    <w:rsid w:val="000A55AF"/>
    <w:rsid w:val="000A58EE"/>
    <w:rsid w:val="000A61BA"/>
    <w:rsid w:val="000A67E8"/>
    <w:rsid w:val="000A757E"/>
    <w:rsid w:val="000B07FE"/>
    <w:rsid w:val="000B0A1B"/>
    <w:rsid w:val="000B0DE4"/>
    <w:rsid w:val="000B23B7"/>
    <w:rsid w:val="000B2F7E"/>
    <w:rsid w:val="000B3AE2"/>
    <w:rsid w:val="000B638D"/>
    <w:rsid w:val="000B7719"/>
    <w:rsid w:val="000C055D"/>
    <w:rsid w:val="000C0677"/>
    <w:rsid w:val="000C130A"/>
    <w:rsid w:val="000C17CC"/>
    <w:rsid w:val="000C24D8"/>
    <w:rsid w:val="000C348F"/>
    <w:rsid w:val="000C3B88"/>
    <w:rsid w:val="000C40B3"/>
    <w:rsid w:val="000C4980"/>
    <w:rsid w:val="000C4E69"/>
    <w:rsid w:val="000C654E"/>
    <w:rsid w:val="000C6BEB"/>
    <w:rsid w:val="000C7180"/>
    <w:rsid w:val="000C7334"/>
    <w:rsid w:val="000C7EBF"/>
    <w:rsid w:val="000D02A5"/>
    <w:rsid w:val="000D0888"/>
    <w:rsid w:val="000D0F95"/>
    <w:rsid w:val="000D0FCB"/>
    <w:rsid w:val="000D1971"/>
    <w:rsid w:val="000D1A12"/>
    <w:rsid w:val="000D1C2C"/>
    <w:rsid w:val="000D2747"/>
    <w:rsid w:val="000D2943"/>
    <w:rsid w:val="000D3C0A"/>
    <w:rsid w:val="000D3E8F"/>
    <w:rsid w:val="000D414A"/>
    <w:rsid w:val="000D421C"/>
    <w:rsid w:val="000D4BCC"/>
    <w:rsid w:val="000D58E9"/>
    <w:rsid w:val="000D5B46"/>
    <w:rsid w:val="000D5E0D"/>
    <w:rsid w:val="000D64C1"/>
    <w:rsid w:val="000D66DE"/>
    <w:rsid w:val="000D7015"/>
    <w:rsid w:val="000D731B"/>
    <w:rsid w:val="000D7E50"/>
    <w:rsid w:val="000E16C7"/>
    <w:rsid w:val="000E2436"/>
    <w:rsid w:val="000E251F"/>
    <w:rsid w:val="000E29B5"/>
    <w:rsid w:val="000E32AC"/>
    <w:rsid w:val="000E3637"/>
    <w:rsid w:val="000E377B"/>
    <w:rsid w:val="000E416C"/>
    <w:rsid w:val="000E4E10"/>
    <w:rsid w:val="000E611F"/>
    <w:rsid w:val="000E645A"/>
    <w:rsid w:val="000E7012"/>
    <w:rsid w:val="000E7B3F"/>
    <w:rsid w:val="000F0564"/>
    <w:rsid w:val="000F0BAA"/>
    <w:rsid w:val="000F1778"/>
    <w:rsid w:val="000F33B7"/>
    <w:rsid w:val="000F37A5"/>
    <w:rsid w:val="000F4A8D"/>
    <w:rsid w:val="000F4E07"/>
    <w:rsid w:val="000F50E5"/>
    <w:rsid w:val="000F596B"/>
    <w:rsid w:val="000F5BED"/>
    <w:rsid w:val="000F6313"/>
    <w:rsid w:val="000F6C53"/>
    <w:rsid w:val="000F778E"/>
    <w:rsid w:val="000F7DBD"/>
    <w:rsid w:val="00100063"/>
    <w:rsid w:val="001003E6"/>
    <w:rsid w:val="0010101D"/>
    <w:rsid w:val="00101259"/>
    <w:rsid w:val="001018C9"/>
    <w:rsid w:val="00102835"/>
    <w:rsid w:val="00103109"/>
    <w:rsid w:val="00103213"/>
    <w:rsid w:val="001062D2"/>
    <w:rsid w:val="00106DE6"/>
    <w:rsid w:val="00107139"/>
    <w:rsid w:val="00107913"/>
    <w:rsid w:val="0011117E"/>
    <w:rsid w:val="00111316"/>
    <w:rsid w:val="00112D1C"/>
    <w:rsid w:val="001148D3"/>
    <w:rsid w:val="001153B1"/>
    <w:rsid w:val="00116400"/>
    <w:rsid w:val="00116758"/>
    <w:rsid w:val="00116F3B"/>
    <w:rsid w:val="0011744C"/>
    <w:rsid w:val="00117AEA"/>
    <w:rsid w:val="00117DAC"/>
    <w:rsid w:val="001200D4"/>
    <w:rsid w:val="0012024E"/>
    <w:rsid w:val="00120395"/>
    <w:rsid w:val="001204D2"/>
    <w:rsid w:val="00120EE0"/>
    <w:rsid w:val="001217E4"/>
    <w:rsid w:val="00122BA7"/>
    <w:rsid w:val="00123150"/>
    <w:rsid w:val="001247B2"/>
    <w:rsid w:val="001257C5"/>
    <w:rsid w:val="0012738D"/>
    <w:rsid w:val="00130915"/>
    <w:rsid w:val="001309FD"/>
    <w:rsid w:val="00130E50"/>
    <w:rsid w:val="001315EA"/>
    <w:rsid w:val="00131B2B"/>
    <w:rsid w:val="001321E5"/>
    <w:rsid w:val="00132234"/>
    <w:rsid w:val="0013293C"/>
    <w:rsid w:val="001331F6"/>
    <w:rsid w:val="001335F5"/>
    <w:rsid w:val="00133A38"/>
    <w:rsid w:val="0013417A"/>
    <w:rsid w:val="0013651F"/>
    <w:rsid w:val="0013653C"/>
    <w:rsid w:val="00137621"/>
    <w:rsid w:val="00137EFF"/>
    <w:rsid w:val="001400C1"/>
    <w:rsid w:val="001401E7"/>
    <w:rsid w:val="00140538"/>
    <w:rsid w:val="001414A4"/>
    <w:rsid w:val="00141D1F"/>
    <w:rsid w:val="0014322D"/>
    <w:rsid w:val="00143C35"/>
    <w:rsid w:val="001445EE"/>
    <w:rsid w:val="0014476E"/>
    <w:rsid w:val="0014495B"/>
    <w:rsid w:val="00145471"/>
    <w:rsid w:val="00145499"/>
    <w:rsid w:val="00145865"/>
    <w:rsid w:val="00145C8D"/>
    <w:rsid w:val="001470D2"/>
    <w:rsid w:val="00147267"/>
    <w:rsid w:val="00147EE1"/>
    <w:rsid w:val="00150466"/>
    <w:rsid w:val="00150773"/>
    <w:rsid w:val="00151DE3"/>
    <w:rsid w:val="00152328"/>
    <w:rsid w:val="00153804"/>
    <w:rsid w:val="00153C8B"/>
    <w:rsid w:val="00154DEA"/>
    <w:rsid w:val="00155682"/>
    <w:rsid w:val="001562D9"/>
    <w:rsid w:val="0015643A"/>
    <w:rsid w:val="00156D68"/>
    <w:rsid w:val="00157BE9"/>
    <w:rsid w:val="001601C2"/>
    <w:rsid w:val="001603AD"/>
    <w:rsid w:val="00160E27"/>
    <w:rsid w:val="00161192"/>
    <w:rsid w:val="0016287E"/>
    <w:rsid w:val="00164032"/>
    <w:rsid w:val="00165E3A"/>
    <w:rsid w:val="00166247"/>
    <w:rsid w:val="001666AB"/>
    <w:rsid w:val="00166F60"/>
    <w:rsid w:val="00167258"/>
    <w:rsid w:val="00170078"/>
    <w:rsid w:val="001700CE"/>
    <w:rsid w:val="00170AF0"/>
    <w:rsid w:val="001711B4"/>
    <w:rsid w:val="00171B56"/>
    <w:rsid w:val="001720BA"/>
    <w:rsid w:val="001733A0"/>
    <w:rsid w:val="00173CC6"/>
    <w:rsid w:val="00174BB3"/>
    <w:rsid w:val="00174F4D"/>
    <w:rsid w:val="00175434"/>
    <w:rsid w:val="00176134"/>
    <w:rsid w:val="001763E7"/>
    <w:rsid w:val="001767CE"/>
    <w:rsid w:val="00176B83"/>
    <w:rsid w:val="00177778"/>
    <w:rsid w:val="00177F0E"/>
    <w:rsid w:val="001805F9"/>
    <w:rsid w:val="001809BD"/>
    <w:rsid w:val="00180AD8"/>
    <w:rsid w:val="00180FD5"/>
    <w:rsid w:val="001812D2"/>
    <w:rsid w:val="0018183D"/>
    <w:rsid w:val="00181B94"/>
    <w:rsid w:val="001826E2"/>
    <w:rsid w:val="001829EA"/>
    <w:rsid w:val="00182D73"/>
    <w:rsid w:val="00183A45"/>
    <w:rsid w:val="00183E0D"/>
    <w:rsid w:val="00184943"/>
    <w:rsid w:val="00185155"/>
    <w:rsid w:val="001854DB"/>
    <w:rsid w:val="001855AE"/>
    <w:rsid w:val="00185CBA"/>
    <w:rsid w:val="001862EF"/>
    <w:rsid w:val="00186732"/>
    <w:rsid w:val="001868F0"/>
    <w:rsid w:val="00186B33"/>
    <w:rsid w:val="00186E73"/>
    <w:rsid w:val="00190FF0"/>
    <w:rsid w:val="00191394"/>
    <w:rsid w:val="001913CB"/>
    <w:rsid w:val="0019163F"/>
    <w:rsid w:val="00192896"/>
    <w:rsid w:val="00193285"/>
    <w:rsid w:val="001939FF"/>
    <w:rsid w:val="00193CDE"/>
    <w:rsid w:val="00193D28"/>
    <w:rsid w:val="00193DFE"/>
    <w:rsid w:val="0019577F"/>
    <w:rsid w:val="00196CCF"/>
    <w:rsid w:val="00196D1F"/>
    <w:rsid w:val="0019719A"/>
    <w:rsid w:val="001A0059"/>
    <w:rsid w:val="001A0B90"/>
    <w:rsid w:val="001A0D18"/>
    <w:rsid w:val="001A2A0B"/>
    <w:rsid w:val="001A3079"/>
    <w:rsid w:val="001A3195"/>
    <w:rsid w:val="001A33CB"/>
    <w:rsid w:val="001A707B"/>
    <w:rsid w:val="001A74FC"/>
    <w:rsid w:val="001B0048"/>
    <w:rsid w:val="001B10CD"/>
    <w:rsid w:val="001B182C"/>
    <w:rsid w:val="001B1C13"/>
    <w:rsid w:val="001B2409"/>
    <w:rsid w:val="001B2BCB"/>
    <w:rsid w:val="001B3431"/>
    <w:rsid w:val="001B34D6"/>
    <w:rsid w:val="001B3699"/>
    <w:rsid w:val="001B454B"/>
    <w:rsid w:val="001B4999"/>
    <w:rsid w:val="001B4D5B"/>
    <w:rsid w:val="001B5348"/>
    <w:rsid w:val="001B5472"/>
    <w:rsid w:val="001B5E44"/>
    <w:rsid w:val="001B5EDE"/>
    <w:rsid w:val="001C02BB"/>
    <w:rsid w:val="001C0B70"/>
    <w:rsid w:val="001C16BD"/>
    <w:rsid w:val="001C1862"/>
    <w:rsid w:val="001C1D8E"/>
    <w:rsid w:val="001C2336"/>
    <w:rsid w:val="001C29E4"/>
    <w:rsid w:val="001C2DC4"/>
    <w:rsid w:val="001C2DD0"/>
    <w:rsid w:val="001C2F05"/>
    <w:rsid w:val="001C386D"/>
    <w:rsid w:val="001C4B61"/>
    <w:rsid w:val="001C5CCE"/>
    <w:rsid w:val="001C5FE5"/>
    <w:rsid w:val="001C60CF"/>
    <w:rsid w:val="001C62D3"/>
    <w:rsid w:val="001C6B24"/>
    <w:rsid w:val="001C6F7C"/>
    <w:rsid w:val="001D20F1"/>
    <w:rsid w:val="001D22C1"/>
    <w:rsid w:val="001D2B64"/>
    <w:rsid w:val="001D51F1"/>
    <w:rsid w:val="001D5A34"/>
    <w:rsid w:val="001D6178"/>
    <w:rsid w:val="001D6655"/>
    <w:rsid w:val="001D6737"/>
    <w:rsid w:val="001D6B12"/>
    <w:rsid w:val="001D7310"/>
    <w:rsid w:val="001D7CEF"/>
    <w:rsid w:val="001E0929"/>
    <w:rsid w:val="001E09B7"/>
    <w:rsid w:val="001E1136"/>
    <w:rsid w:val="001E11D3"/>
    <w:rsid w:val="001E15B9"/>
    <w:rsid w:val="001E1E26"/>
    <w:rsid w:val="001E1FE9"/>
    <w:rsid w:val="001E220B"/>
    <w:rsid w:val="001E2B61"/>
    <w:rsid w:val="001E3753"/>
    <w:rsid w:val="001E3A07"/>
    <w:rsid w:val="001E4701"/>
    <w:rsid w:val="001E532E"/>
    <w:rsid w:val="001E5508"/>
    <w:rsid w:val="001E5554"/>
    <w:rsid w:val="001E58B7"/>
    <w:rsid w:val="001E5E8D"/>
    <w:rsid w:val="001E61AE"/>
    <w:rsid w:val="001E67FF"/>
    <w:rsid w:val="001E6A85"/>
    <w:rsid w:val="001E6CAA"/>
    <w:rsid w:val="001E72EB"/>
    <w:rsid w:val="001E73AB"/>
    <w:rsid w:val="001E773F"/>
    <w:rsid w:val="001E7783"/>
    <w:rsid w:val="001E7AC3"/>
    <w:rsid w:val="001F06FF"/>
    <w:rsid w:val="001F3CFB"/>
    <w:rsid w:val="001F4081"/>
    <w:rsid w:val="001F445E"/>
    <w:rsid w:val="001F4D14"/>
    <w:rsid w:val="001F54A9"/>
    <w:rsid w:val="001F5D1C"/>
    <w:rsid w:val="001F63A9"/>
    <w:rsid w:val="001F6492"/>
    <w:rsid w:val="001F6F5B"/>
    <w:rsid w:val="001F784B"/>
    <w:rsid w:val="001F7A8C"/>
    <w:rsid w:val="002004F4"/>
    <w:rsid w:val="00201A25"/>
    <w:rsid w:val="00201B29"/>
    <w:rsid w:val="0020267C"/>
    <w:rsid w:val="00202B57"/>
    <w:rsid w:val="00202F3E"/>
    <w:rsid w:val="00203039"/>
    <w:rsid w:val="00203A4A"/>
    <w:rsid w:val="00203A6F"/>
    <w:rsid w:val="00203E9C"/>
    <w:rsid w:val="002057EC"/>
    <w:rsid w:val="002060ED"/>
    <w:rsid w:val="00207027"/>
    <w:rsid w:val="00207C79"/>
    <w:rsid w:val="00207FEE"/>
    <w:rsid w:val="0021018D"/>
    <w:rsid w:val="00210E23"/>
    <w:rsid w:val="002117F4"/>
    <w:rsid w:val="00212565"/>
    <w:rsid w:val="00212F3E"/>
    <w:rsid w:val="00213278"/>
    <w:rsid w:val="002136DB"/>
    <w:rsid w:val="00214646"/>
    <w:rsid w:val="002148E0"/>
    <w:rsid w:val="00214CB8"/>
    <w:rsid w:val="00215EBC"/>
    <w:rsid w:val="00216946"/>
    <w:rsid w:val="00216D75"/>
    <w:rsid w:val="00216F16"/>
    <w:rsid w:val="002177B5"/>
    <w:rsid w:val="00220810"/>
    <w:rsid w:val="00221AB7"/>
    <w:rsid w:val="00221DEA"/>
    <w:rsid w:val="00222289"/>
    <w:rsid w:val="00222B26"/>
    <w:rsid w:val="00222E8F"/>
    <w:rsid w:val="002232FA"/>
    <w:rsid w:val="002233DE"/>
    <w:rsid w:val="002237A1"/>
    <w:rsid w:val="00223B4D"/>
    <w:rsid w:val="002245F3"/>
    <w:rsid w:val="002247A1"/>
    <w:rsid w:val="002253FA"/>
    <w:rsid w:val="0022625F"/>
    <w:rsid w:val="00226B72"/>
    <w:rsid w:val="00226CF1"/>
    <w:rsid w:val="0022703D"/>
    <w:rsid w:val="002270B5"/>
    <w:rsid w:val="002317B4"/>
    <w:rsid w:val="00231AA4"/>
    <w:rsid w:val="00231B30"/>
    <w:rsid w:val="00231F96"/>
    <w:rsid w:val="00232126"/>
    <w:rsid w:val="0023217F"/>
    <w:rsid w:val="002324A4"/>
    <w:rsid w:val="00232C5B"/>
    <w:rsid w:val="00233429"/>
    <w:rsid w:val="00233E91"/>
    <w:rsid w:val="00233F4A"/>
    <w:rsid w:val="00234576"/>
    <w:rsid w:val="0023470B"/>
    <w:rsid w:val="00234790"/>
    <w:rsid w:val="00234C5F"/>
    <w:rsid w:val="00234DBB"/>
    <w:rsid w:val="00236367"/>
    <w:rsid w:val="00236479"/>
    <w:rsid w:val="00236495"/>
    <w:rsid w:val="00237639"/>
    <w:rsid w:val="002403E0"/>
    <w:rsid w:val="002409F7"/>
    <w:rsid w:val="0024136C"/>
    <w:rsid w:val="002420E5"/>
    <w:rsid w:val="00244038"/>
    <w:rsid w:val="00244063"/>
    <w:rsid w:val="002441C9"/>
    <w:rsid w:val="00244D35"/>
    <w:rsid w:val="002451FD"/>
    <w:rsid w:val="002457D7"/>
    <w:rsid w:val="00245A45"/>
    <w:rsid w:val="002462A2"/>
    <w:rsid w:val="00246FFE"/>
    <w:rsid w:val="00247744"/>
    <w:rsid w:val="002477C1"/>
    <w:rsid w:val="00247F97"/>
    <w:rsid w:val="0025015B"/>
    <w:rsid w:val="002502A2"/>
    <w:rsid w:val="0025074B"/>
    <w:rsid w:val="00250D95"/>
    <w:rsid w:val="00251556"/>
    <w:rsid w:val="00251AC2"/>
    <w:rsid w:val="00253EB6"/>
    <w:rsid w:val="0025569F"/>
    <w:rsid w:val="002556A8"/>
    <w:rsid w:val="00255729"/>
    <w:rsid w:val="00256323"/>
    <w:rsid w:val="00256546"/>
    <w:rsid w:val="00256C65"/>
    <w:rsid w:val="00257942"/>
    <w:rsid w:val="002602F0"/>
    <w:rsid w:val="00261D13"/>
    <w:rsid w:val="00261D1D"/>
    <w:rsid w:val="00261E90"/>
    <w:rsid w:val="00261F01"/>
    <w:rsid w:val="002622F8"/>
    <w:rsid w:val="00263137"/>
    <w:rsid w:val="00263224"/>
    <w:rsid w:val="00264460"/>
    <w:rsid w:val="002644C7"/>
    <w:rsid w:val="00264860"/>
    <w:rsid w:val="00264923"/>
    <w:rsid w:val="0026505D"/>
    <w:rsid w:val="00265343"/>
    <w:rsid w:val="002660E0"/>
    <w:rsid w:val="002665C4"/>
    <w:rsid w:val="00266757"/>
    <w:rsid w:val="0027083E"/>
    <w:rsid w:val="00270C88"/>
    <w:rsid w:val="00270EA6"/>
    <w:rsid w:val="00271A1A"/>
    <w:rsid w:val="00271E77"/>
    <w:rsid w:val="0027291E"/>
    <w:rsid w:val="00272DC0"/>
    <w:rsid w:val="00274662"/>
    <w:rsid w:val="00274944"/>
    <w:rsid w:val="00274BA1"/>
    <w:rsid w:val="002750B0"/>
    <w:rsid w:val="00275648"/>
    <w:rsid w:val="0027631B"/>
    <w:rsid w:val="002765CC"/>
    <w:rsid w:val="00276FF1"/>
    <w:rsid w:val="00280787"/>
    <w:rsid w:val="00280924"/>
    <w:rsid w:val="0028109B"/>
    <w:rsid w:val="00281247"/>
    <w:rsid w:val="002819B6"/>
    <w:rsid w:val="0028248A"/>
    <w:rsid w:val="002832CA"/>
    <w:rsid w:val="00283606"/>
    <w:rsid w:val="00285B59"/>
    <w:rsid w:val="00285E4C"/>
    <w:rsid w:val="00286255"/>
    <w:rsid w:val="00286275"/>
    <w:rsid w:val="00286DD1"/>
    <w:rsid w:val="00287918"/>
    <w:rsid w:val="00287B23"/>
    <w:rsid w:val="0029072E"/>
    <w:rsid w:val="00290896"/>
    <w:rsid w:val="00290F4C"/>
    <w:rsid w:val="002928B2"/>
    <w:rsid w:val="00294157"/>
    <w:rsid w:val="002944BE"/>
    <w:rsid w:val="00294A6A"/>
    <w:rsid w:val="00295077"/>
    <w:rsid w:val="00295629"/>
    <w:rsid w:val="00295840"/>
    <w:rsid w:val="002963CF"/>
    <w:rsid w:val="00296553"/>
    <w:rsid w:val="002A0617"/>
    <w:rsid w:val="002A0AF9"/>
    <w:rsid w:val="002A0C0A"/>
    <w:rsid w:val="002A1A7D"/>
    <w:rsid w:val="002A1EE7"/>
    <w:rsid w:val="002A22A8"/>
    <w:rsid w:val="002A23C8"/>
    <w:rsid w:val="002A316C"/>
    <w:rsid w:val="002A363E"/>
    <w:rsid w:val="002A3712"/>
    <w:rsid w:val="002A47D8"/>
    <w:rsid w:val="002A4A52"/>
    <w:rsid w:val="002A5A5F"/>
    <w:rsid w:val="002A5DED"/>
    <w:rsid w:val="002A5E65"/>
    <w:rsid w:val="002A617C"/>
    <w:rsid w:val="002A6377"/>
    <w:rsid w:val="002A6B9D"/>
    <w:rsid w:val="002A747F"/>
    <w:rsid w:val="002B0D63"/>
    <w:rsid w:val="002B2616"/>
    <w:rsid w:val="002B2D56"/>
    <w:rsid w:val="002B3143"/>
    <w:rsid w:val="002B34E7"/>
    <w:rsid w:val="002B3ED3"/>
    <w:rsid w:val="002B3F57"/>
    <w:rsid w:val="002B4121"/>
    <w:rsid w:val="002B41E2"/>
    <w:rsid w:val="002B4AD0"/>
    <w:rsid w:val="002B5314"/>
    <w:rsid w:val="002B689C"/>
    <w:rsid w:val="002B6CCC"/>
    <w:rsid w:val="002B785D"/>
    <w:rsid w:val="002B78EF"/>
    <w:rsid w:val="002C0F3B"/>
    <w:rsid w:val="002C164E"/>
    <w:rsid w:val="002C23E0"/>
    <w:rsid w:val="002C2A57"/>
    <w:rsid w:val="002C3A2D"/>
    <w:rsid w:val="002C45AA"/>
    <w:rsid w:val="002C460A"/>
    <w:rsid w:val="002C509F"/>
    <w:rsid w:val="002C52EE"/>
    <w:rsid w:val="002C595E"/>
    <w:rsid w:val="002C5D34"/>
    <w:rsid w:val="002C6C79"/>
    <w:rsid w:val="002C6D29"/>
    <w:rsid w:val="002C7948"/>
    <w:rsid w:val="002D14DA"/>
    <w:rsid w:val="002D1862"/>
    <w:rsid w:val="002D196D"/>
    <w:rsid w:val="002D1A26"/>
    <w:rsid w:val="002D2062"/>
    <w:rsid w:val="002D35F8"/>
    <w:rsid w:val="002D3E1A"/>
    <w:rsid w:val="002D40ED"/>
    <w:rsid w:val="002D4AA4"/>
    <w:rsid w:val="002D5009"/>
    <w:rsid w:val="002D541D"/>
    <w:rsid w:val="002D58C7"/>
    <w:rsid w:val="002D7802"/>
    <w:rsid w:val="002D7C46"/>
    <w:rsid w:val="002D7EC3"/>
    <w:rsid w:val="002E08C4"/>
    <w:rsid w:val="002E0C9E"/>
    <w:rsid w:val="002E1F43"/>
    <w:rsid w:val="002E1FC6"/>
    <w:rsid w:val="002E2B2D"/>
    <w:rsid w:val="002E2B44"/>
    <w:rsid w:val="002E2DB0"/>
    <w:rsid w:val="002E2F5A"/>
    <w:rsid w:val="002E39F1"/>
    <w:rsid w:val="002E4035"/>
    <w:rsid w:val="002E693D"/>
    <w:rsid w:val="002E6C9F"/>
    <w:rsid w:val="002E75A6"/>
    <w:rsid w:val="002E7ADC"/>
    <w:rsid w:val="002F20D0"/>
    <w:rsid w:val="002F2812"/>
    <w:rsid w:val="002F2C6C"/>
    <w:rsid w:val="002F34B3"/>
    <w:rsid w:val="002F36C5"/>
    <w:rsid w:val="002F393E"/>
    <w:rsid w:val="002F3F57"/>
    <w:rsid w:val="002F3FB5"/>
    <w:rsid w:val="002F4473"/>
    <w:rsid w:val="002F4C0B"/>
    <w:rsid w:val="002F5BE8"/>
    <w:rsid w:val="002F5F95"/>
    <w:rsid w:val="002F6233"/>
    <w:rsid w:val="002F6361"/>
    <w:rsid w:val="002F67B9"/>
    <w:rsid w:val="002F690C"/>
    <w:rsid w:val="002F6B01"/>
    <w:rsid w:val="002F6BAC"/>
    <w:rsid w:val="002F6F89"/>
    <w:rsid w:val="002F738D"/>
    <w:rsid w:val="00300384"/>
    <w:rsid w:val="00301262"/>
    <w:rsid w:val="00301757"/>
    <w:rsid w:val="00301DFC"/>
    <w:rsid w:val="00302914"/>
    <w:rsid w:val="0030292C"/>
    <w:rsid w:val="00303472"/>
    <w:rsid w:val="00303A6B"/>
    <w:rsid w:val="00303BDC"/>
    <w:rsid w:val="00303C04"/>
    <w:rsid w:val="00303C86"/>
    <w:rsid w:val="00303FC6"/>
    <w:rsid w:val="003044C4"/>
    <w:rsid w:val="0030480A"/>
    <w:rsid w:val="00305201"/>
    <w:rsid w:val="003055FF"/>
    <w:rsid w:val="00305670"/>
    <w:rsid w:val="0030593F"/>
    <w:rsid w:val="00305E0C"/>
    <w:rsid w:val="00306770"/>
    <w:rsid w:val="00306E0B"/>
    <w:rsid w:val="0030744F"/>
    <w:rsid w:val="0030749D"/>
    <w:rsid w:val="00307624"/>
    <w:rsid w:val="00307969"/>
    <w:rsid w:val="003108C4"/>
    <w:rsid w:val="00310905"/>
    <w:rsid w:val="00310D03"/>
    <w:rsid w:val="0031120E"/>
    <w:rsid w:val="00311312"/>
    <w:rsid w:val="0031177A"/>
    <w:rsid w:val="003119C0"/>
    <w:rsid w:val="003119E6"/>
    <w:rsid w:val="00311C36"/>
    <w:rsid w:val="0031484A"/>
    <w:rsid w:val="00314F43"/>
    <w:rsid w:val="00314F84"/>
    <w:rsid w:val="00315357"/>
    <w:rsid w:val="003153BE"/>
    <w:rsid w:val="00315D61"/>
    <w:rsid w:val="00316E5C"/>
    <w:rsid w:val="00317861"/>
    <w:rsid w:val="003179E7"/>
    <w:rsid w:val="00317CF8"/>
    <w:rsid w:val="0032010E"/>
    <w:rsid w:val="0032011B"/>
    <w:rsid w:val="0032187C"/>
    <w:rsid w:val="003219E2"/>
    <w:rsid w:val="00321C05"/>
    <w:rsid w:val="00321DEA"/>
    <w:rsid w:val="00322396"/>
    <w:rsid w:val="00323D8D"/>
    <w:rsid w:val="00323E7E"/>
    <w:rsid w:val="0032477D"/>
    <w:rsid w:val="003248B0"/>
    <w:rsid w:val="0032580F"/>
    <w:rsid w:val="00325995"/>
    <w:rsid w:val="00326CE9"/>
    <w:rsid w:val="00327F37"/>
    <w:rsid w:val="00330316"/>
    <w:rsid w:val="0033091D"/>
    <w:rsid w:val="00332215"/>
    <w:rsid w:val="00332786"/>
    <w:rsid w:val="00332981"/>
    <w:rsid w:val="00332AC1"/>
    <w:rsid w:val="00333FDD"/>
    <w:rsid w:val="00334110"/>
    <w:rsid w:val="00334B7F"/>
    <w:rsid w:val="00334B89"/>
    <w:rsid w:val="00334DDE"/>
    <w:rsid w:val="003350AE"/>
    <w:rsid w:val="003359DD"/>
    <w:rsid w:val="00336DED"/>
    <w:rsid w:val="003377C3"/>
    <w:rsid w:val="003409D9"/>
    <w:rsid w:val="00341544"/>
    <w:rsid w:val="003415BA"/>
    <w:rsid w:val="0034161E"/>
    <w:rsid w:val="00341CE5"/>
    <w:rsid w:val="00342157"/>
    <w:rsid w:val="0034281A"/>
    <w:rsid w:val="00342F36"/>
    <w:rsid w:val="00343530"/>
    <w:rsid w:val="0034354D"/>
    <w:rsid w:val="00343861"/>
    <w:rsid w:val="0034387A"/>
    <w:rsid w:val="00343B14"/>
    <w:rsid w:val="0034426B"/>
    <w:rsid w:val="00344B22"/>
    <w:rsid w:val="00344C70"/>
    <w:rsid w:val="003457F2"/>
    <w:rsid w:val="00347124"/>
    <w:rsid w:val="003474A0"/>
    <w:rsid w:val="003474F5"/>
    <w:rsid w:val="00347FBB"/>
    <w:rsid w:val="0035013D"/>
    <w:rsid w:val="00350887"/>
    <w:rsid w:val="00350C67"/>
    <w:rsid w:val="00350F82"/>
    <w:rsid w:val="00351CDE"/>
    <w:rsid w:val="00351FC4"/>
    <w:rsid w:val="0035223A"/>
    <w:rsid w:val="0035242A"/>
    <w:rsid w:val="003525C4"/>
    <w:rsid w:val="00353278"/>
    <w:rsid w:val="0035368E"/>
    <w:rsid w:val="00353B8E"/>
    <w:rsid w:val="00353E34"/>
    <w:rsid w:val="0035475E"/>
    <w:rsid w:val="0035520A"/>
    <w:rsid w:val="0035535F"/>
    <w:rsid w:val="0035568A"/>
    <w:rsid w:val="003567ED"/>
    <w:rsid w:val="00356997"/>
    <w:rsid w:val="003569E6"/>
    <w:rsid w:val="003578C2"/>
    <w:rsid w:val="00357EBA"/>
    <w:rsid w:val="00360097"/>
    <w:rsid w:val="0036055A"/>
    <w:rsid w:val="0036078A"/>
    <w:rsid w:val="00362A89"/>
    <w:rsid w:val="00362A8C"/>
    <w:rsid w:val="00362D5A"/>
    <w:rsid w:val="003645FF"/>
    <w:rsid w:val="003649A3"/>
    <w:rsid w:val="00364A8C"/>
    <w:rsid w:val="00364E47"/>
    <w:rsid w:val="003653C6"/>
    <w:rsid w:val="003657AB"/>
    <w:rsid w:val="00367692"/>
    <w:rsid w:val="00367EEC"/>
    <w:rsid w:val="00370703"/>
    <w:rsid w:val="003718D5"/>
    <w:rsid w:val="00371BE4"/>
    <w:rsid w:val="00371C4B"/>
    <w:rsid w:val="00372E75"/>
    <w:rsid w:val="00372F43"/>
    <w:rsid w:val="00373B0F"/>
    <w:rsid w:val="00373FB8"/>
    <w:rsid w:val="00374CB0"/>
    <w:rsid w:val="00374F14"/>
    <w:rsid w:val="003753CE"/>
    <w:rsid w:val="003760D4"/>
    <w:rsid w:val="00376541"/>
    <w:rsid w:val="00377D56"/>
    <w:rsid w:val="00377E41"/>
    <w:rsid w:val="00377EF0"/>
    <w:rsid w:val="0038017D"/>
    <w:rsid w:val="003805D1"/>
    <w:rsid w:val="00380E99"/>
    <w:rsid w:val="003810CF"/>
    <w:rsid w:val="003814D2"/>
    <w:rsid w:val="003817EC"/>
    <w:rsid w:val="0038193D"/>
    <w:rsid w:val="00381E12"/>
    <w:rsid w:val="003823F9"/>
    <w:rsid w:val="00382416"/>
    <w:rsid w:val="00382AF9"/>
    <w:rsid w:val="003830DE"/>
    <w:rsid w:val="00383767"/>
    <w:rsid w:val="00383DB8"/>
    <w:rsid w:val="0038402A"/>
    <w:rsid w:val="00384493"/>
    <w:rsid w:val="003844BD"/>
    <w:rsid w:val="00384B4E"/>
    <w:rsid w:val="00385734"/>
    <w:rsid w:val="003857C9"/>
    <w:rsid w:val="00385D04"/>
    <w:rsid w:val="00385D90"/>
    <w:rsid w:val="00385EB3"/>
    <w:rsid w:val="00386989"/>
    <w:rsid w:val="003870B7"/>
    <w:rsid w:val="0039000D"/>
    <w:rsid w:val="00391C22"/>
    <w:rsid w:val="00393451"/>
    <w:rsid w:val="003936FA"/>
    <w:rsid w:val="0039548F"/>
    <w:rsid w:val="00395C60"/>
    <w:rsid w:val="00395E38"/>
    <w:rsid w:val="00396DF9"/>
    <w:rsid w:val="00397524"/>
    <w:rsid w:val="00397A1E"/>
    <w:rsid w:val="00397AAD"/>
    <w:rsid w:val="00397C51"/>
    <w:rsid w:val="003A00E0"/>
    <w:rsid w:val="003A0179"/>
    <w:rsid w:val="003A0464"/>
    <w:rsid w:val="003A0699"/>
    <w:rsid w:val="003A06AD"/>
    <w:rsid w:val="003A08D0"/>
    <w:rsid w:val="003A0938"/>
    <w:rsid w:val="003A1EB7"/>
    <w:rsid w:val="003A1F57"/>
    <w:rsid w:val="003A2831"/>
    <w:rsid w:val="003A28AB"/>
    <w:rsid w:val="003A2F7F"/>
    <w:rsid w:val="003A4F37"/>
    <w:rsid w:val="003A5903"/>
    <w:rsid w:val="003A5B82"/>
    <w:rsid w:val="003A5E14"/>
    <w:rsid w:val="003A6575"/>
    <w:rsid w:val="003A6B23"/>
    <w:rsid w:val="003A7F04"/>
    <w:rsid w:val="003B1C36"/>
    <w:rsid w:val="003B1C4B"/>
    <w:rsid w:val="003B1C5B"/>
    <w:rsid w:val="003B2D03"/>
    <w:rsid w:val="003B3392"/>
    <w:rsid w:val="003B48CE"/>
    <w:rsid w:val="003B55A7"/>
    <w:rsid w:val="003B5CE3"/>
    <w:rsid w:val="003B682B"/>
    <w:rsid w:val="003B6ADF"/>
    <w:rsid w:val="003B6BFF"/>
    <w:rsid w:val="003B7C0B"/>
    <w:rsid w:val="003B7E18"/>
    <w:rsid w:val="003C0137"/>
    <w:rsid w:val="003C0396"/>
    <w:rsid w:val="003C0926"/>
    <w:rsid w:val="003C0D26"/>
    <w:rsid w:val="003C1067"/>
    <w:rsid w:val="003C178C"/>
    <w:rsid w:val="003C23B1"/>
    <w:rsid w:val="003C3646"/>
    <w:rsid w:val="003C473F"/>
    <w:rsid w:val="003C476C"/>
    <w:rsid w:val="003C52AB"/>
    <w:rsid w:val="003C6BEC"/>
    <w:rsid w:val="003C7678"/>
    <w:rsid w:val="003D143D"/>
    <w:rsid w:val="003D146F"/>
    <w:rsid w:val="003D19D5"/>
    <w:rsid w:val="003D1BE6"/>
    <w:rsid w:val="003D2583"/>
    <w:rsid w:val="003D32C6"/>
    <w:rsid w:val="003D36D4"/>
    <w:rsid w:val="003D4102"/>
    <w:rsid w:val="003D471F"/>
    <w:rsid w:val="003D4B4A"/>
    <w:rsid w:val="003D534D"/>
    <w:rsid w:val="003D57CA"/>
    <w:rsid w:val="003D5ED7"/>
    <w:rsid w:val="003D6084"/>
    <w:rsid w:val="003D71A3"/>
    <w:rsid w:val="003D726D"/>
    <w:rsid w:val="003D75DF"/>
    <w:rsid w:val="003D788B"/>
    <w:rsid w:val="003D7C8F"/>
    <w:rsid w:val="003D7F0F"/>
    <w:rsid w:val="003E052A"/>
    <w:rsid w:val="003E0FB3"/>
    <w:rsid w:val="003E10AF"/>
    <w:rsid w:val="003E16AA"/>
    <w:rsid w:val="003E2EF2"/>
    <w:rsid w:val="003E32F4"/>
    <w:rsid w:val="003E3D33"/>
    <w:rsid w:val="003E3DF7"/>
    <w:rsid w:val="003E45C1"/>
    <w:rsid w:val="003E504A"/>
    <w:rsid w:val="003E56D9"/>
    <w:rsid w:val="003E5AC4"/>
    <w:rsid w:val="003E5E42"/>
    <w:rsid w:val="003E5E64"/>
    <w:rsid w:val="003E6D06"/>
    <w:rsid w:val="003E6E46"/>
    <w:rsid w:val="003E711E"/>
    <w:rsid w:val="003E7A79"/>
    <w:rsid w:val="003E7BFC"/>
    <w:rsid w:val="003E7C7A"/>
    <w:rsid w:val="003E7CA9"/>
    <w:rsid w:val="003F0F45"/>
    <w:rsid w:val="003F1198"/>
    <w:rsid w:val="003F11F3"/>
    <w:rsid w:val="003F1DF2"/>
    <w:rsid w:val="003F1E73"/>
    <w:rsid w:val="003F1F04"/>
    <w:rsid w:val="003F2017"/>
    <w:rsid w:val="003F2573"/>
    <w:rsid w:val="003F2713"/>
    <w:rsid w:val="003F3648"/>
    <w:rsid w:val="003F3F3F"/>
    <w:rsid w:val="003F4849"/>
    <w:rsid w:val="003F4911"/>
    <w:rsid w:val="003F4A39"/>
    <w:rsid w:val="003F531F"/>
    <w:rsid w:val="003F5806"/>
    <w:rsid w:val="003F6BF2"/>
    <w:rsid w:val="003F6D5C"/>
    <w:rsid w:val="003F7055"/>
    <w:rsid w:val="004006AB"/>
    <w:rsid w:val="0040071B"/>
    <w:rsid w:val="00402E3A"/>
    <w:rsid w:val="00403253"/>
    <w:rsid w:val="00403890"/>
    <w:rsid w:val="00403D7D"/>
    <w:rsid w:val="004051A3"/>
    <w:rsid w:val="00405753"/>
    <w:rsid w:val="00405C94"/>
    <w:rsid w:val="004066BF"/>
    <w:rsid w:val="004069C5"/>
    <w:rsid w:val="00406EAB"/>
    <w:rsid w:val="004070D1"/>
    <w:rsid w:val="00407FB8"/>
    <w:rsid w:val="0041346B"/>
    <w:rsid w:val="004136A2"/>
    <w:rsid w:val="00413994"/>
    <w:rsid w:val="00414497"/>
    <w:rsid w:val="0041474A"/>
    <w:rsid w:val="00414BA4"/>
    <w:rsid w:val="00414F3B"/>
    <w:rsid w:val="00415B02"/>
    <w:rsid w:val="00415C99"/>
    <w:rsid w:val="00415DF8"/>
    <w:rsid w:val="00417433"/>
    <w:rsid w:val="00421319"/>
    <w:rsid w:val="004217D5"/>
    <w:rsid w:val="00423147"/>
    <w:rsid w:val="004231B2"/>
    <w:rsid w:val="00423EC0"/>
    <w:rsid w:val="0042415C"/>
    <w:rsid w:val="0042417E"/>
    <w:rsid w:val="0042418A"/>
    <w:rsid w:val="00424C2E"/>
    <w:rsid w:val="00424E39"/>
    <w:rsid w:val="00424FFA"/>
    <w:rsid w:val="00425CD1"/>
    <w:rsid w:val="004264A2"/>
    <w:rsid w:val="00427645"/>
    <w:rsid w:val="00427694"/>
    <w:rsid w:val="004300EB"/>
    <w:rsid w:val="004303E8"/>
    <w:rsid w:val="00431DFD"/>
    <w:rsid w:val="004320C4"/>
    <w:rsid w:val="004322BC"/>
    <w:rsid w:val="00432391"/>
    <w:rsid w:val="00432549"/>
    <w:rsid w:val="00432A74"/>
    <w:rsid w:val="00432A87"/>
    <w:rsid w:val="004335DA"/>
    <w:rsid w:val="0043381B"/>
    <w:rsid w:val="0043425E"/>
    <w:rsid w:val="004356AD"/>
    <w:rsid w:val="00435D33"/>
    <w:rsid w:val="00435E9C"/>
    <w:rsid w:val="0043700A"/>
    <w:rsid w:val="0043727C"/>
    <w:rsid w:val="0043762A"/>
    <w:rsid w:val="0043778F"/>
    <w:rsid w:val="00437CBC"/>
    <w:rsid w:val="004403ED"/>
    <w:rsid w:val="00440DFA"/>
    <w:rsid w:val="004421C0"/>
    <w:rsid w:val="004429CF"/>
    <w:rsid w:val="00442AB9"/>
    <w:rsid w:val="004439D9"/>
    <w:rsid w:val="004441A6"/>
    <w:rsid w:val="00444F41"/>
    <w:rsid w:val="00446078"/>
    <w:rsid w:val="00446488"/>
    <w:rsid w:val="00446509"/>
    <w:rsid w:val="00446551"/>
    <w:rsid w:val="00446958"/>
    <w:rsid w:val="00446F0B"/>
    <w:rsid w:val="00447017"/>
    <w:rsid w:val="004476D9"/>
    <w:rsid w:val="00447725"/>
    <w:rsid w:val="004479F6"/>
    <w:rsid w:val="00447C53"/>
    <w:rsid w:val="00447D23"/>
    <w:rsid w:val="00447D94"/>
    <w:rsid w:val="00447DFD"/>
    <w:rsid w:val="004500CB"/>
    <w:rsid w:val="00450405"/>
    <w:rsid w:val="0045052F"/>
    <w:rsid w:val="0045166A"/>
    <w:rsid w:val="004521B1"/>
    <w:rsid w:val="004522D8"/>
    <w:rsid w:val="00452477"/>
    <w:rsid w:val="004534E5"/>
    <w:rsid w:val="004537F7"/>
    <w:rsid w:val="004561E9"/>
    <w:rsid w:val="00457A25"/>
    <w:rsid w:val="004606B5"/>
    <w:rsid w:val="00460D5E"/>
    <w:rsid w:val="004618A1"/>
    <w:rsid w:val="0046258C"/>
    <w:rsid w:val="00462DE9"/>
    <w:rsid w:val="004633C7"/>
    <w:rsid w:val="00463C56"/>
    <w:rsid w:val="00464CA6"/>
    <w:rsid w:val="00464E6C"/>
    <w:rsid w:val="004656C4"/>
    <w:rsid w:val="0046596B"/>
    <w:rsid w:val="00465BBF"/>
    <w:rsid w:val="00466AE2"/>
    <w:rsid w:val="00466F45"/>
    <w:rsid w:val="00467190"/>
    <w:rsid w:val="00467450"/>
    <w:rsid w:val="004674CA"/>
    <w:rsid w:val="004676C5"/>
    <w:rsid w:val="00467D4E"/>
    <w:rsid w:val="00470589"/>
    <w:rsid w:val="00470944"/>
    <w:rsid w:val="00470B8A"/>
    <w:rsid w:val="00471507"/>
    <w:rsid w:val="00471FF4"/>
    <w:rsid w:val="004720EC"/>
    <w:rsid w:val="00472D70"/>
    <w:rsid w:val="00472FD5"/>
    <w:rsid w:val="004730B9"/>
    <w:rsid w:val="00473530"/>
    <w:rsid w:val="004745EB"/>
    <w:rsid w:val="00475C30"/>
    <w:rsid w:val="00475F77"/>
    <w:rsid w:val="00476452"/>
    <w:rsid w:val="00477BD8"/>
    <w:rsid w:val="00480196"/>
    <w:rsid w:val="004807A1"/>
    <w:rsid w:val="00480B3D"/>
    <w:rsid w:val="00480F6C"/>
    <w:rsid w:val="00480FFA"/>
    <w:rsid w:val="0048178D"/>
    <w:rsid w:val="00481A97"/>
    <w:rsid w:val="00482C47"/>
    <w:rsid w:val="00482EBB"/>
    <w:rsid w:val="00483BF4"/>
    <w:rsid w:val="00484C6F"/>
    <w:rsid w:val="0048518F"/>
    <w:rsid w:val="00485243"/>
    <w:rsid w:val="00485CCC"/>
    <w:rsid w:val="00485E49"/>
    <w:rsid w:val="00486F71"/>
    <w:rsid w:val="004873DF"/>
    <w:rsid w:val="00487B13"/>
    <w:rsid w:val="00487B91"/>
    <w:rsid w:val="00487EF0"/>
    <w:rsid w:val="004902D0"/>
    <w:rsid w:val="0049033E"/>
    <w:rsid w:val="004920A6"/>
    <w:rsid w:val="00493AFF"/>
    <w:rsid w:val="00494149"/>
    <w:rsid w:val="00494BE6"/>
    <w:rsid w:val="00495A22"/>
    <w:rsid w:val="004963D9"/>
    <w:rsid w:val="00496653"/>
    <w:rsid w:val="00496B87"/>
    <w:rsid w:val="00497926"/>
    <w:rsid w:val="004A00A7"/>
    <w:rsid w:val="004A01DC"/>
    <w:rsid w:val="004A0997"/>
    <w:rsid w:val="004A12EE"/>
    <w:rsid w:val="004A1352"/>
    <w:rsid w:val="004A2879"/>
    <w:rsid w:val="004A3246"/>
    <w:rsid w:val="004A3776"/>
    <w:rsid w:val="004A3FCE"/>
    <w:rsid w:val="004A4515"/>
    <w:rsid w:val="004A4588"/>
    <w:rsid w:val="004A524A"/>
    <w:rsid w:val="004A55D6"/>
    <w:rsid w:val="004A623D"/>
    <w:rsid w:val="004A652A"/>
    <w:rsid w:val="004A6546"/>
    <w:rsid w:val="004A7A79"/>
    <w:rsid w:val="004A7DD2"/>
    <w:rsid w:val="004B0239"/>
    <w:rsid w:val="004B0E1D"/>
    <w:rsid w:val="004B1339"/>
    <w:rsid w:val="004B3E27"/>
    <w:rsid w:val="004B43ED"/>
    <w:rsid w:val="004B4668"/>
    <w:rsid w:val="004B562F"/>
    <w:rsid w:val="004B5C28"/>
    <w:rsid w:val="004B5C60"/>
    <w:rsid w:val="004B5D4D"/>
    <w:rsid w:val="004B642B"/>
    <w:rsid w:val="004B66A7"/>
    <w:rsid w:val="004B6A91"/>
    <w:rsid w:val="004B6D8A"/>
    <w:rsid w:val="004B75F4"/>
    <w:rsid w:val="004B78DF"/>
    <w:rsid w:val="004B7D01"/>
    <w:rsid w:val="004B7D7D"/>
    <w:rsid w:val="004B7FC4"/>
    <w:rsid w:val="004C20AB"/>
    <w:rsid w:val="004C33DB"/>
    <w:rsid w:val="004C351C"/>
    <w:rsid w:val="004C3EEC"/>
    <w:rsid w:val="004C4220"/>
    <w:rsid w:val="004C4DE7"/>
    <w:rsid w:val="004C4E52"/>
    <w:rsid w:val="004C50A2"/>
    <w:rsid w:val="004C53A1"/>
    <w:rsid w:val="004C66B7"/>
    <w:rsid w:val="004C7013"/>
    <w:rsid w:val="004C7704"/>
    <w:rsid w:val="004C7EA5"/>
    <w:rsid w:val="004D0162"/>
    <w:rsid w:val="004D026C"/>
    <w:rsid w:val="004D0486"/>
    <w:rsid w:val="004D0645"/>
    <w:rsid w:val="004D170C"/>
    <w:rsid w:val="004D1BF4"/>
    <w:rsid w:val="004D1F9F"/>
    <w:rsid w:val="004D21A3"/>
    <w:rsid w:val="004D3711"/>
    <w:rsid w:val="004D425B"/>
    <w:rsid w:val="004D531C"/>
    <w:rsid w:val="004D664C"/>
    <w:rsid w:val="004D667F"/>
    <w:rsid w:val="004D75E6"/>
    <w:rsid w:val="004E03C5"/>
    <w:rsid w:val="004E0944"/>
    <w:rsid w:val="004E1E7D"/>
    <w:rsid w:val="004E1EA7"/>
    <w:rsid w:val="004E1FA2"/>
    <w:rsid w:val="004E2B56"/>
    <w:rsid w:val="004E32BE"/>
    <w:rsid w:val="004E33A3"/>
    <w:rsid w:val="004E445E"/>
    <w:rsid w:val="004E4CFA"/>
    <w:rsid w:val="004E67AC"/>
    <w:rsid w:val="004E704A"/>
    <w:rsid w:val="004E719B"/>
    <w:rsid w:val="004E732C"/>
    <w:rsid w:val="004E7829"/>
    <w:rsid w:val="004F08D7"/>
    <w:rsid w:val="004F0B5F"/>
    <w:rsid w:val="004F1275"/>
    <w:rsid w:val="004F198D"/>
    <w:rsid w:val="004F277E"/>
    <w:rsid w:val="004F3B08"/>
    <w:rsid w:val="004F4164"/>
    <w:rsid w:val="004F4421"/>
    <w:rsid w:val="004F5066"/>
    <w:rsid w:val="004F538E"/>
    <w:rsid w:val="004F55C6"/>
    <w:rsid w:val="004F5FD0"/>
    <w:rsid w:val="004F651A"/>
    <w:rsid w:val="004F682E"/>
    <w:rsid w:val="004F6B82"/>
    <w:rsid w:val="00500BA8"/>
    <w:rsid w:val="00501A47"/>
    <w:rsid w:val="00501F45"/>
    <w:rsid w:val="00502BEF"/>
    <w:rsid w:val="00503256"/>
    <w:rsid w:val="005040DE"/>
    <w:rsid w:val="00504A43"/>
    <w:rsid w:val="00504A84"/>
    <w:rsid w:val="00504B89"/>
    <w:rsid w:val="00504F1E"/>
    <w:rsid w:val="00505430"/>
    <w:rsid w:val="0050563C"/>
    <w:rsid w:val="00505789"/>
    <w:rsid w:val="005058F5"/>
    <w:rsid w:val="005058F6"/>
    <w:rsid w:val="00505DDF"/>
    <w:rsid w:val="00505EF0"/>
    <w:rsid w:val="005067BA"/>
    <w:rsid w:val="00506A4C"/>
    <w:rsid w:val="00506C44"/>
    <w:rsid w:val="00507695"/>
    <w:rsid w:val="005104A1"/>
    <w:rsid w:val="00511973"/>
    <w:rsid w:val="00512310"/>
    <w:rsid w:val="00512670"/>
    <w:rsid w:val="00512E63"/>
    <w:rsid w:val="005131B7"/>
    <w:rsid w:val="00513366"/>
    <w:rsid w:val="0051384B"/>
    <w:rsid w:val="00513C14"/>
    <w:rsid w:val="00514A0F"/>
    <w:rsid w:val="00514E6A"/>
    <w:rsid w:val="00514F30"/>
    <w:rsid w:val="00515139"/>
    <w:rsid w:val="00517752"/>
    <w:rsid w:val="00521EEF"/>
    <w:rsid w:val="00522986"/>
    <w:rsid w:val="00522B2E"/>
    <w:rsid w:val="00522C2C"/>
    <w:rsid w:val="005230E4"/>
    <w:rsid w:val="0052320E"/>
    <w:rsid w:val="00523A20"/>
    <w:rsid w:val="0052438A"/>
    <w:rsid w:val="005246DB"/>
    <w:rsid w:val="00524770"/>
    <w:rsid w:val="00524A06"/>
    <w:rsid w:val="00524EBD"/>
    <w:rsid w:val="0052508F"/>
    <w:rsid w:val="00525C11"/>
    <w:rsid w:val="00526A55"/>
    <w:rsid w:val="00526B36"/>
    <w:rsid w:val="00527168"/>
    <w:rsid w:val="00527528"/>
    <w:rsid w:val="0053121A"/>
    <w:rsid w:val="00531404"/>
    <w:rsid w:val="00531EEF"/>
    <w:rsid w:val="00532896"/>
    <w:rsid w:val="005331A6"/>
    <w:rsid w:val="00534085"/>
    <w:rsid w:val="005340F7"/>
    <w:rsid w:val="005349A0"/>
    <w:rsid w:val="00535421"/>
    <w:rsid w:val="00535996"/>
    <w:rsid w:val="00536251"/>
    <w:rsid w:val="0053672A"/>
    <w:rsid w:val="0053689C"/>
    <w:rsid w:val="005370D1"/>
    <w:rsid w:val="00537F33"/>
    <w:rsid w:val="00540872"/>
    <w:rsid w:val="00541D5E"/>
    <w:rsid w:val="00542854"/>
    <w:rsid w:val="005428EF"/>
    <w:rsid w:val="005430E8"/>
    <w:rsid w:val="005438A5"/>
    <w:rsid w:val="005447CF"/>
    <w:rsid w:val="005450BC"/>
    <w:rsid w:val="0054529C"/>
    <w:rsid w:val="005459E2"/>
    <w:rsid w:val="00545D6B"/>
    <w:rsid w:val="00546486"/>
    <w:rsid w:val="00546DE8"/>
    <w:rsid w:val="00547B5D"/>
    <w:rsid w:val="005512BD"/>
    <w:rsid w:val="005517C5"/>
    <w:rsid w:val="00551EBD"/>
    <w:rsid w:val="005521A2"/>
    <w:rsid w:val="0055275A"/>
    <w:rsid w:val="00552762"/>
    <w:rsid w:val="00552C13"/>
    <w:rsid w:val="005530E7"/>
    <w:rsid w:val="005545B8"/>
    <w:rsid w:val="00554E6C"/>
    <w:rsid w:val="00555014"/>
    <w:rsid w:val="0055755A"/>
    <w:rsid w:val="00557A7D"/>
    <w:rsid w:val="005601F6"/>
    <w:rsid w:val="0056057F"/>
    <w:rsid w:val="0056065A"/>
    <w:rsid w:val="005607D5"/>
    <w:rsid w:val="00560D74"/>
    <w:rsid w:val="00561A68"/>
    <w:rsid w:val="005623A5"/>
    <w:rsid w:val="005624D1"/>
    <w:rsid w:val="00562917"/>
    <w:rsid w:val="00563831"/>
    <w:rsid w:val="00563FFD"/>
    <w:rsid w:val="005644B0"/>
    <w:rsid w:val="00564605"/>
    <w:rsid w:val="00565656"/>
    <w:rsid w:val="00565BAC"/>
    <w:rsid w:val="005669A1"/>
    <w:rsid w:val="0056755D"/>
    <w:rsid w:val="00567B63"/>
    <w:rsid w:val="00567BD8"/>
    <w:rsid w:val="005700DE"/>
    <w:rsid w:val="005701CC"/>
    <w:rsid w:val="00570900"/>
    <w:rsid w:val="00571608"/>
    <w:rsid w:val="0057180A"/>
    <w:rsid w:val="0057237C"/>
    <w:rsid w:val="00573786"/>
    <w:rsid w:val="00574719"/>
    <w:rsid w:val="00574B08"/>
    <w:rsid w:val="005755A7"/>
    <w:rsid w:val="005755C0"/>
    <w:rsid w:val="005758F9"/>
    <w:rsid w:val="00576190"/>
    <w:rsid w:val="005763E5"/>
    <w:rsid w:val="00576FDE"/>
    <w:rsid w:val="0058020E"/>
    <w:rsid w:val="005804BE"/>
    <w:rsid w:val="0058051F"/>
    <w:rsid w:val="00580CA7"/>
    <w:rsid w:val="005810E2"/>
    <w:rsid w:val="0058194D"/>
    <w:rsid w:val="00581E8E"/>
    <w:rsid w:val="005827B2"/>
    <w:rsid w:val="00582CC0"/>
    <w:rsid w:val="00583483"/>
    <w:rsid w:val="00583D27"/>
    <w:rsid w:val="00583FB9"/>
    <w:rsid w:val="00584422"/>
    <w:rsid w:val="005845B9"/>
    <w:rsid w:val="00584DC7"/>
    <w:rsid w:val="005862F6"/>
    <w:rsid w:val="00586520"/>
    <w:rsid w:val="00586E7E"/>
    <w:rsid w:val="00587726"/>
    <w:rsid w:val="00587FAE"/>
    <w:rsid w:val="005906A7"/>
    <w:rsid w:val="005908DB"/>
    <w:rsid w:val="00590AE6"/>
    <w:rsid w:val="00591835"/>
    <w:rsid w:val="00591F54"/>
    <w:rsid w:val="00592AE3"/>
    <w:rsid w:val="00593AD8"/>
    <w:rsid w:val="00593CF3"/>
    <w:rsid w:val="005948DF"/>
    <w:rsid w:val="00594ABD"/>
    <w:rsid w:val="00595555"/>
    <w:rsid w:val="0059561B"/>
    <w:rsid w:val="00595823"/>
    <w:rsid w:val="00595E97"/>
    <w:rsid w:val="00596085"/>
    <w:rsid w:val="0059669D"/>
    <w:rsid w:val="00596CA7"/>
    <w:rsid w:val="00597218"/>
    <w:rsid w:val="005972A3"/>
    <w:rsid w:val="00597336"/>
    <w:rsid w:val="005976DA"/>
    <w:rsid w:val="00597B8A"/>
    <w:rsid w:val="005A119F"/>
    <w:rsid w:val="005A1E49"/>
    <w:rsid w:val="005A2F45"/>
    <w:rsid w:val="005A30E9"/>
    <w:rsid w:val="005A35E7"/>
    <w:rsid w:val="005A3987"/>
    <w:rsid w:val="005A3DB2"/>
    <w:rsid w:val="005A4714"/>
    <w:rsid w:val="005A4A8A"/>
    <w:rsid w:val="005A4D2A"/>
    <w:rsid w:val="005A4DAF"/>
    <w:rsid w:val="005A4FE4"/>
    <w:rsid w:val="005A5D09"/>
    <w:rsid w:val="005A5E52"/>
    <w:rsid w:val="005A6154"/>
    <w:rsid w:val="005A616A"/>
    <w:rsid w:val="005A7E66"/>
    <w:rsid w:val="005B0417"/>
    <w:rsid w:val="005B06C5"/>
    <w:rsid w:val="005B1D78"/>
    <w:rsid w:val="005B1EBF"/>
    <w:rsid w:val="005B2827"/>
    <w:rsid w:val="005B2832"/>
    <w:rsid w:val="005B361A"/>
    <w:rsid w:val="005B5248"/>
    <w:rsid w:val="005B6344"/>
    <w:rsid w:val="005B6898"/>
    <w:rsid w:val="005B6D61"/>
    <w:rsid w:val="005B74CF"/>
    <w:rsid w:val="005B79A3"/>
    <w:rsid w:val="005C0F31"/>
    <w:rsid w:val="005C1176"/>
    <w:rsid w:val="005C168E"/>
    <w:rsid w:val="005C1AEA"/>
    <w:rsid w:val="005C2C4A"/>
    <w:rsid w:val="005C3481"/>
    <w:rsid w:val="005C42B5"/>
    <w:rsid w:val="005C4B66"/>
    <w:rsid w:val="005C6715"/>
    <w:rsid w:val="005C6AFB"/>
    <w:rsid w:val="005C7009"/>
    <w:rsid w:val="005C7AC7"/>
    <w:rsid w:val="005C7CF5"/>
    <w:rsid w:val="005C7D10"/>
    <w:rsid w:val="005D116B"/>
    <w:rsid w:val="005D194A"/>
    <w:rsid w:val="005D19C6"/>
    <w:rsid w:val="005D19F6"/>
    <w:rsid w:val="005D1CC2"/>
    <w:rsid w:val="005D3810"/>
    <w:rsid w:val="005D4271"/>
    <w:rsid w:val="005D45E9"/>
    <w:rsid w:val="005D4D65"/>
    <w:rsid w:val="005D4FB3"/>
    <w:rsid w:val="005D5102"/>
    <w:rsid w:val="005D53B3"/>
    <w:rsid w:val="005D666C"/>
    <w:rsid w:val="005D73BF"/>
    <w:rsid w:val="005D7C1A"/>
    <w:rsid w:val="005E0284"/>
    <w:rsid w:val="005E0698"/>
    <w:rsid w:val="005E06EA"/>
    <w:rsid w:val="005E0840"/>
    <w:rsid w:val="005E10FE"/>
    <w:rsid w:val="005E2167"/>
    <w:rsid w:val="005E2D50"/>
    <w:rsid w:val="005E33D9"/>
    <w:rsid w:val="005E5915"/>
    <w:rsid w:val="005E5DB5"/>
    <w:rsid w:val="005E605C"/>
    <w:rsid w:val="005E65EF"/>
    <w:rsid w:val="005E6987"/>
    <w:rsid w:val="005E6E3D"/>
    <w:rsid w:val="005E6E80"/>
    <w:rsid w:val="005E7F1F"/>
    <w:rsid w:val="005E7FE0"/>
    <w:rsid w:val="005F04E4"/>
    <w:rsid w:val="005F0640"/>
    <w:rsid w:val="005F0A01"/>
    <w:rsid w:val="005F22C2"/>
    <w:rsid w:val="005F316F"/>
    <w:rsid w:val="005F35A0"/>
    <w:rsid w:val="005F3BD2"/>
    <w:rsid w:val="005F3CCC"/>
    <w:rsid w:val="005F4859"/>
    <w:rsid w:val="005F4D68"/>
    <w:rsid w:val="005F5A3C"/>
    <w:rsid w:val="005F5B31"/>
    <w:rsid w:val="005F61CB"/>
    <w:rsid w:val="005F624B"/>
    <w:rsid w:val="005F6813"/>
    <w:rsid w:val="005F7102"/>
    <w:rsid w:val="005F71AD"/>
    <w:rsid w:val="005F7B55"/>
    <w:rsid w:val="005F7F88"/>
    <w:rsid w:val="006003DF"/>
    <w:rsid w:val="00600892"/>
    <w:rsid w:val="00600B4C"/>
    <w:rsid w:val="00600B73"/>
    <w:rsid w:val="00600FB4"/>
    <w:rsid w:val="00601D6C"/>
    <w:rsid w:val="00602562"/>
    <w:rsid w:val="00602931"/>
    <w:rsid w:val="00602945"/>
    <w:rsid w:val="00602EDB"/>
    <w:rsid w:val="00602F0A"/>
    <w:rsid w:val="00603F84"/>
    <w:rsid w:val="0060499C"/>
    <w:rsid w:val="006057DD"/>
    <w:rsid w:val="00606199"/>
    <w:rsid w:val="006067C6"/>
    <w:rsid w:val="006075D9"/>
    <w:rsid w:val="00610691"/>
    <w:rsid w:val="00610AEC"/>
    <w:rsid w:val="00611912"/>
    <w:rsid w:val="00611CD4"/>
    <w:rsid w:val="00611E0E"/>
    <w:rsid w:val="00612022"/>
    <w:rsid w:val="0061202A"/>
    <w:rsid w:val="00613736"/>
    <w:rsid w:val="00613819"/>
    <w:rsid w:val="006144F5"/>
    <w:rsid w:val="006149F1"/>
    <w:rsid w:val="00615182"/>
    <w:rsid w:val="00615333"/>
    <w:rsid w:val="0061584A"/>
    <w:rsid w:val="00615D4B"/>
    <w:rsid w:val="00616648"/>
    <w:rsid w:val="006169A3"/>
    <w:rsid w:val="00616B66"/>
    <w:rsid w:val="006222FC"/>
    <w:rsid w:val="00623301"/>
    <w:rsid w:val="00625746"/>
    <w:rsid w:val="006260DA"/>
    <w:rsid w:val="006265EC"/>
    <w:rsid w:val="00626926"/>
    <w:rsid w:val="006276F0"/>
    <w:rsid w:val="00627B49"/>
    <w:rsid w:val="0063065F"/>
    <w:rsid w:val="006306C0"/>
    <w:rsid w:val="00630705"/>
    <w:rsid w:val="006309C2"/>
    <w:rsid w:val="00631942"/>
    <w:rsid w:val="0063203D"/>
    <w:rsid w:val="00632349"/>
    <w:rsid w:val="006327EF"/>
    <w:rsid w:val="00633A81"/>
    <w:rsid w:val="00634705"/>
    <w:rsid w:val="00634BAF"/>
    <w:rsid w:val="006357AF"/>
    <w:rsid w:val="006358C8"/>
    <w:rsid w:val="00635943"/>
    <w:rsid w:val="00635AD5"/>
    <w:rsid w:val="0063647E"/>
    <w:rsid w:val="006401A4"/>
    <w:rsid w:val="006405A2"/>
    <w:rsid w:val="006407AF"/>
    <w:rsid w:val="00640ED7"/>
    <w:rsid w:val="00641210"/>
    <w:rsid w:val="0064134D"/>
    <w:rsid w:val="00641E16"/>
    <w:rsid w:val="006423A6"/>
    <w:rsid w:val="006431BA"/>
    <w:rsid w:val="00643BBE"/>
    <w:rsid w:val="00643C3F"/>
    <w:rsid w:val="0064400F"/>
    <w:rsid w:val="006443EE"/>
    <w:rsid w:val="00644837"/>
    <w:rsid w:val="00645E56"/>
    <w:rsid w:val="0064609A"/>
    <w:rsid w:val="00646596"/>
    <w:rsid w:val="00646B94"/>
    <w:rsid w:val="00646F84"/>
    <w:rsid w:val="0064756B"/>
    <w:rsid w:val="0064794A"/>
    <w:rsid w:val="00647A82"/>
    <w:rsid w:val="00647FB3"/>
    <w:rsid w:val="00647FDD"/>
    <w:rsid w:val="00650404"/>
    <w:rsid w:val="00650681"/>
    <w:rsid w:val="006510E8"/>
    <w:rsid w:val="00651BEC"/>
    <w:rsid w:val="00651D14"/>
    <w:rsid w:val="006520A6"/>
    <w:rsid w:val="006521D9"/>
    <w:rsid w:val="006521E1"/>
    <w:rsid w:val="00652DD5"/>
    <w:rsid w:val="006539CD"/>
    <w:rsid w:val="00654EA0"/>
    <w:rsid w:val="00654F57"/>
    <w:rsid w:val="00654FD6"/>
    <w:rsid w:val="00656EA1"/>
    <w:rsid w:val="006603E1"/>
    <w:rsid w:val="00660843"/>
    <w:rsid w:val="00663090"/>
    <w:rsid w:val="006630C3"/>
    <w:rsid w:val="006639C3"/>
    <w:rsid w:val="00663C6E"/>
    <w:rsid w:val="00664875"/>
    <w:rsid w:val="006655FF"/>
    <w:rsid w:val="006657EC"/>
    <w:rsid w:val="00665A8F"/>
    <w:rsid w:val="00665DC1"/>
    <w:rsid w:val="00666D77"/>
    <w:rsid w:val="00667125"/>
    <w:rsid w:val="0066733A"/>
    <w:rsid w:val="00670CEA"/>
    <w:rsid w:val="006710D5"/>
    <w:rsid w:val="00671718"/>
    <w:rsid w:val="00672083"/>
    <w:rsid w:val="00672442"/>
    <w:rsid w:val="00672B44"/>
    <w:rsid w:val="00672CEC"/>
    <w:rsid w:val="00674629"/>
    <w:rsid w:val="0067489C"/>
    <w:rsid w:val="00674B1A"/>
    <w:rsid w:val="00674B47"/>
    <w:rsid w:val="00674B7B"/>
    <w:rsid w:val="00674CBE"/>
    <w:rsid w:val="00675726"/>
    <w:rsid w:val="00675C70"/>
    <w:rsid w:val="00676278"/>
    <w:rsid w:val="00677455"/>
    <w:rsid w:val="006777C5"/>
    <w:rsid w:val="00677895"/>
    <w:rsid w:val="00677905"/>
    <w:rsid w:val="0068065D"/>
    <w:rsid w:val="00680EE3"/>
    <w:rsid w:val="00680F62"/>
    <w:rsid w:val="00680F68"/>
    <w:rsid w:val="00681624"/>
    <w:rsid w:val="006818CE"/>
    <w:rsid w:val="00681A00"/>
    <w:rsid w:val="00681FE2"/>
    <w:rsid w:val="006827E0"/>
    <w:rsid w:val="00682DFB"/>
    <w:rsid w:val="00684585"/>
    <w:rsid w:val="0068506E"/>
    <w:rsid w:val="006850F1"/>
    <w:rsid w:val="00686C9B"/>
    <w:rsid w:val="00686E52"/>
    <w:rsid w:val="006905DD"/>
    <w:rsid w:val="00690A76"/>
    <w:rsid w:val="00690B1A"/>
    <w:rsid w:val="00691BCC"/>
    <w:rsid w:val="00693EC2"/>
    <w:rsid w:val="00694221"/>
    <w:rsid w:val="00695F1C"/>
    <w:rsid w:val="006972FA"/>
    <w:rsid w:val="00697504"/>
    <w:rsid w:val="00697748"/>
    <w:rsid w:val="00697D3B"/>
    <w:rsid w:val="006A0A97"/>
    <w:rsid w:val="006A0B8F"/>
    <w:rsid w:val="006A1680"/>
    <w:rsid w:val="006A1BB6"/>
    <w:rsid w:val="006A1D09"/>
    <w:rsid w:val="006A3494"/>
    <w:rsid w:val="006A48B2"/>
    <w:rsid w:val="006A4E47"/>
    <w:rsid w:val="006A61C1"/>
    <w:rsid w:val="006A6441"/>
    <w:rsid w:val="006A667F"/>
    <w:rsid w:val="006A722D"/>
    <w:rsid w:val="006A73F4"/>
    <w:rsid w:val="006A75B3"/>
    <w:rsid w:val="006A7B7E"/>
    <w:rsid w:val="006A7D58"/>
    <w:rsid w:val="006B0389"/>
    <w:rsid w:val="006B08D3"/>
    <w:rsid w:val="006B17E0"/>
    <w:rsid w:val="006B1C46"/>
    <w:rsid w:val="006B1DD7"/>
    <w:rsid w:val="006B2113"/>
    <w:rsid w:val="006B2E92"/>
    <w:rsid w:val="006B340A"/>
    <w:rsid w:val="006B38A6"/>
    <w:rsid w:val="006B3B8B"/>
    <w:rsid w:val="006B5280"/>
    <w:rsid w:val="006B5746"/>
    <w:rsid w:val="006B6744"/>
    <w:rsid w:val="006B6F03"/>
    <w:rsid w:val="006C0A75"/>
    <w:rsid w:val="006C0C8B"/>
    <w:rsid w:val="006C0D2B"/>
    <w:rsid w:val="006C1398"/>
    <w:rsid w:val="006C33EE"/>
    <w:rsid w:val="006C34B7"/>
    <w:rsid w:val="006C35E0"/>
    <w:rsid w:val="006C5036"/>
    <w:rsid w:val="006C55FF"/>
    <w:rsid w:val="006C56D1"/>
    <w:rsid w:val="006C5A60"/>
    <w:rsid w:val="006C5BA1"/>
    <w:rsid w:val="006C5E43"/>
    <w:rsid w:val="006C6793"/>
    <w:rsid w:val="006C71F1"/>
    <w:rsid w:val="006C7ED7"/>
    <w:rsid w:val="006D0264"/>
    <w:rsid w:val="006D04B7"/>
    <w:rsid w:val="006D0568"/>
    <w:rsid w:val="006D0ED9"/>
    <w:rsid w:val="006D2909"/>
    <w:rsid w:val="006D3DD1"/>
    <w:rsid w:val="006D40EB"/>
    <w:rsid w:val="006D4F5F"/>
    <w:rsid w:val="006D55BC"/>
    <w:rsid w:val="006D5FA6"/>
    <w:rsid w:val="006D79B4"/>
    <w:rsid w:val="006D7CAE"/>
    <w:rsid w:val="006E1151"/>
    <w:rsid w:val="006E146B"/>
    <w:rsid w:val="006E17FF"/>
    <w:rsid w:val="006E19DA"/>
    <w:rsid w:val="006E28BF"/>
    <w:rsid w:val="006E2D61"/>
    <w:rsid w:val="006E30B7"/>
    <w:rsid w:val="006E3EA0"/>
    <w:rsid w:val="006E4054"/>
    <w:rsid w:val="006E53E7"/>
    <w:rsid w:val="006E644F"/>
    <w:rsid w:val="006E68E8"/>
    <w:rsid w:val="006E6F84"/>
    <w:rsid w:val="006E70A4"/>
    <w:rsid w:val="006E729D"/>
    <w:rsid w:val="006E7360"/>
    <w:rsid w:val="006E73D7"/>
    <w:rsid w:val="006E74D7"/>
    <w:rsid w:val="006F0200"/>
    <w:rsid w:val="006F0409"/>
    <w:rsid w:val="006F06AE"/>
    <w:rsid w:val="006F085C"/>
    <w:rsid w:val="006F0F18"/>
    <w:rsid w:val="006F1CD2"/>
    <w:rsid w:val="006F1DA6"/>
    <w:rsid w:val="006F2368"/>
    <w:rsid w:val="006F317A"/>
    <w:rsid w:val="006F418C"/>
    <w:rsid w:val="006F4CB7"/>
    <w:rsid w:val="006F5501"/>
    <w:rsid w:val="006F5CAB"/>
    <w:rsid w:val="006F6DD0"/>
    <w:rsid w:val="007001EF"/>
    <w:rsid w:val="0070029D"/>
    <w:rsid w:val="00700746"/>
    <w:rsid w:val="007014B5"/>
    <w:rsid w:val="00701883"/>
    <w:rsid w:val="007020B6"/>
    <w:rsid w:val="007023E9"/>
    <w:rsid w:val="00703818"/>
    <w:rsid w:val="00703C9F"/>
    <w:rsid w:val="00704E01"/>
    <w:rsid w:val="00705A22"/>
    <w:rsid w:val="007061AA"/>
    <w:rsid w:val="007066F6"/>
    <w:rsid w:val="00707292"/>
    <w:rsid w:val="00707DE7"/>
    <w:rsid w:val="0071100F"/>
    <w:rsid w:val="0071133A"/>
    <w:rsid w:val="0071137A"/>
    <w:rsid w:val="007115D3"/>
    <w:rsid w:val="007116D4"/>
    <w:rsid w:val="00711C48"/>
    <w:rsid w:val="0071258D"/>
    <w:rsid w:val="0071297B"/>
    <w:rsid w:val="00712CAD"/>
    <w:rsid w:val="00712FD8"/>
    <w:rsid w:val="00713096"/>
    <w:rsid w:val="007133BC"/>
    <w:rsid w:val="007143B2"/>
    <w:rsid w:val="007154ED"/>
    <w:rsid w:val="00716689"/>
    <w:rsid w:val="00716E92"/>
    <w:rsid w:val="007171D5"/>
    <w:rsid w:val="00717248"/>
    <w:rsid w:val="00717630"/>
    <w:rsid w:val="007205AE"/>
    <w:rsid w:val="00720604"/>
    <w:rsid w:val="00720E21"/>
    <w:rsid w:val="00720EB8"/>
    <w:rsid w:val="00722A6C"/>
    <w:rsid w:val="00722C78"/>
    <w:rsid w:val="007230C8"/>
    <w:rsid w:val="0072481B"/>
    <w:rsid w:val="00724903"/>
    <w:rsid w:val="00724A40"/>
    <w:rsid w:val="00725738"/>
    <w:rsid w:val="00725B00"/>
    <w:rsid w:val="00725EDD"/>
    <w:rsid w:val="00725FAE"/>
    <w:rsid w:val="00726774"/>
    <w:rsid w:val="007272F3"/>
    <w:rsid w:val="00727C83"/>
    <w:rsid w:val="00730203"/>
    <w:rsid w:val="007307CF"/>
    <w:rsid w:val="00730D7C"/>
    <w:rsid w:val="00731FE4"/>
    <w:rsid w:val="007321CF"/>
    <w:rsid w:val="0073301D"/>
    <w:rsid w:val="007334CD"/>
    <w:rsid w:val="00733F20"/>
    <w:rsid w:val="00733F24"/>
    <w:rsid w:val="00734A80"/>
    <w:rsid w:val="007353B7"/>
    <w:rsid w:val="007357F7"/>
    <w:rsid w:val="007365C1"/>
    <w:rsid w:val="00737323"/>
    <w:rsid w:val="00737439"/>
    <w:rsid w:val="00740E26"/>
    <w:rsid w:val="007411CC"/>
    <w:rsid w:val="007422F4"/>
    <w:rsid w:val="007426FE"/>
    <w:rsid w:val="00742A65"/>
    <w:rsid w:val="007432D0"/>
    <w:rsid w:val="00743384"/>
    <w:rsid w:val="00743AE0"/>
    <w:rsid w:val="0074410D"/>
    <w:rsid w:val="00744187"/>
    <w:rsid w:val="00744417"/>
    <w:rsid w:val="00744E4C"/>
    <w:rsid w:val="007459A8"/>
    <w:rsid w:val="0074611C"/>
    <w:rsid w:val="007461C6"/>
    <w:rsid w:val="0074624F"/>
    <w:rsid w:val="007470AE"/>
    <w:rsid w:val="007470F0"/>
    <w:rsid w:val="007472CA"/>
    <w:rsid w:val="00747EA3"/>
    <w:rsid w:val="00750B22"/>
    <w:rsid w:val="00751397"/>
    <w:rsid w:val="007519F3"/>
    <w:rsid w:val="0075313B"/>
    <w:rsid w:val="00753D43"/>
    <w:rsid w:val="007544E7"/>
    <w:rsid w:val="007550B3"/>
    <w:rsid w:val="0075619F"/>
    <w:rsid w:val="00756275"/>
    <w:rsid w:val="00756F5D"/>
    <w:rsid w:val="0075729B"/>
    <w:rsid w:val="00757DE1"/>
    <w:rsid w:val="007602AB"/>
    <w:rsid w:val="0076063F"/>
    <w:rsid w:val="00761F6A"/>
    <w:rsid w:val="00762915"/>
    <w:rsid w:val="00762EBA"/>
    <w:rsid w:val="00762F5B"/>
    <w:rsid w:val="00764418"/>
    <w:rsid w:val="00765335"/>
    <w:rsid w:val="00766D07"/>
    <w:rsid w:val="00767A1F"/>
    <w:rsid w:val="00770119"/>
    <w:rsid w:val="00770625"/>
    <w:rsid w:val="00770681"/>
    <w:rsid w:val="00770BB4"/>
    <w:rsid w:val="00770CC0"/>
    <w:rsid w:val="007717EE"/>
    <w:rsid w:val="00771AC0"/>
    <w:rsid w:val="00771CE6"/>
    <w:rsid w:val="0077249B"/>
    <w:rsid w:val="007729FC"/>
    <w:rsid w:val="00772D55"/>
    <w:rsid w:val="0077324C"/>
    <w:rsid w:val="0077346C"/>
    <w:rsid w:val="00773553"/>
    <w:rsid w:val="00773607"/>
    <w:rsid w:val="007740C6"/>
    <w:rsid w:val="00774A1A"/>
    <w:rsid w:val="00774ED6"/>
    <w:rsid w:val="0077561F"/>
    <w:rsid w:val="00775A0D"/>
    <w:rsid w:val="00776F60"/>
    <w:rsid w:val="00776FFE"/>
    <w:rsid w:val="007771F9"/>
    <w:rsid w:val="00777705"/>
    <w:rsid w:val="00777FCD"/>
    <w:rsid w:val="0078266B"/>
    <w:rsid w:val="0078312A"/>
    <w:rsid w:val="007842C2"/>
    <w:rsid w:val="00784D09"/>
    <w:rsid w:val="00785ADC"/>
    <w:rsid w:val="00785AF8"/>
    <w:rsid w:val="007860B4"/>
    <w:rsid w:val="00787108"/>
    <w:rsid w:val="007872DD"/>
    <w:rsid w:val="0079202B"/>
    <w:rsid w:val="00792280"/>
    <w:rsid w:val="007934A5"/>
    <w:rsid w:val="007939CD"/>
    <w:rsid w:val="00793BD6"/>
    <w:rsid w:val="00795032"/>
    <w:rsid w:val="0079587B"/>
    <w:rsid w:val="00795B17"/>
    <w:rsid w:val="00796A46"/>
    <w:rsid w:val="00796C3C"/>
    <w:rsid w:val="00797A3F"/>
    <w:rsid w:val="007A0B70"/>
    <w:rsid w:val="007A2CC8"/>
    <w:rsid w:val="007A2D4E"/>
    <w:rsid w:val="007A2D7B"/>
    <w:rsid w:val="007A2FB1"/>
    <w:rsid w:val="007A3B4E"/>
    <w:rsid w:val="007A3DDF"/>
    <w:rsid w:val="007A44C8"/>
    <w:rsid w:val="007A5773"/>
    <w:rsid w:val="007A57C4"/>
    <w:rsid w:val="007A5889"/>
    <w:rsid w:val="007A5C5D"/>
    <w:rsid w:val="007A6213"/>
    <w:rsid w:val="007A6E84"/>
    <w:rsid w:val="007A74DA"/>
    <w:rsid w:val="007A752A"/>
    <w:rsid w:val="007A7F68"/>
    <w:rsid w:val="007B04D4"/>
    <w:rsid w:val="007B051E"/>
    <w:rsid w:val="007B0E6A"/>
    <w:rsid w:val="007B19E7"/>
    <w:rsid w:val="007B3759"/>
    <w:rsid w:val="007B3FD8"/>
    <w:rsid w:val="007B4244"/>
    <w:rsid w:val="007B43EA"/>
    <w:rsid w:val="007B4D93"/>
    <w:rsid w:val="007B513E"/>
    <w:rsid w:val="007B592D"/>
    <w:rsid w:val="007B67DF"/>
    <w:rsid w:val="007C0535"/>
    <w:rsid w:val="007C0BAA"/>
    <w:rsid w:val="007C0D53"/>
    <w:rsid w:val="007C1741"/>
    <w:rsid w:val="007C2303"/>
    <w:rsid w:val="007C25CD"/>
    <w:rsid w:val="007C322A"/>
    <w:rsid w:val="007C33AA"/>
    <w:rsid w:val="007C347F"/>
    <w:rsid w:val="007C3A32"/>
    <w:rsid w:val="007C4023"/>
    <w:rsid w:val="007C414F"/>
    <w:rsid w:val="007C4D34"/>
    <w:rsid w:val="007C4F0A"/>
    <w:rsid w:val="007C5099"/>
    <w:rsid w:val="007C7AC1"/>
    <w:rsid w:val="007C7DFE"/>
    <w:rsid w:val="007C7E6C"/>
    <w:rsid w:val="007D1369"/>
    <w:rsid w:val="007D1F53"/>
    <w:rsid w:val="007D2758"/>
    <w:rsid w:val="007D2849"/>
    <w:rsid w:val="007D49A3"/>
    <w:rsid w:val="007D4B01"/>
    <w:rsid w:val="007D4D6C"/>
    <w:rsid w:val="007D547A"/>
    <w:rsid w:val="007D7059"/>
    <w:rsid w:val="007D7B53"/>
    <w:rsid w:val="007D7FB9"/>
    <w:rsid w:val="007E063C"/>
    <w:rsid w:val="007E0693"/>
    <w:rsid w:val="007E0994"/>
    <w:rsid w:val="007E0A74"/>
    <w:rsid w:val="007E1005"/>
    <w:rsid w:val="007E123D"/>
    <w:rsid w:val="007E18A9"/>
    <w:rsid w:val="007E1A87"/>
    <w:rsid w:val="007E2ACE"/>
    <w:rsid w:val="007E3D00"/>
    <w:rsid w:val="007E503F"/>
    <w:rsid w:val="007E531C"/>
    <w:rsid w:val="007E539A"/>
    <w:rsid w:val="007E561E"/>
    <w:rsid w:val="007E5813"/>
    <w:rsid w:val="007E5C17"/>
    <w:rsid w:val="007E5E1E"/>
    <w:rsid w:val="007E6669"/>
    <w:rsid w:val="007E6F8C"/>
    <w:rsid w:val="007E77B0"/>
    <w:rsid w:val="007F0C09"/>
    <w:rsid w:val="007F1102"/>
    <w:rsid w:val="007F1C79"/>
    <w:rsid w:val="007F1FE2"/>
    <w:rsid w:val="007F27AC"/>
    <w:rsid w:val="007F303E"/>
    <w:rsid w:val="007F373B"/>
    <w:rsid w:val="007F3EDC"/>
    <w:rsid w:val="007F3FAC"/>
    <w:rsid w:val="007F48F6"/>
    <w:rsid w:val="007F5625"/>
    <w:rsid w:val="007F61BF"/>
    <w:rsid w:val="007F634B"/>
    <w:rsid w:val="007F7347"/>
    <w:rsid w:val="007F7577"/>
    <w:rsid w:val="007F7655"/>
    <w:rsid w:val="007F7C54"/>
    <w:rsid w:val="007F7D7D"/>
    <w:rsid w:val="00800174"/>
    <w:rsid w:val="00800BEF"/>
    <w:rsid w:val="008013A2"/>
    <w:rsid w:val="00801FA5"/>
    <w:rsid w:val="0080222E"/>
    <w:rsid w:val="00802574"/>
    <w:rsid w:val="00802BD5"/>
    <w:rsid w:val="00804B1B"/>
    <w:rsid w:val="008079EA"/>
    <w:rsid w:val="00807E9E"/>
    <w:rsid w:val="00812108"/>
    <w:rsid w:val="00812CAE"/>
    <w:rsid w:val="00813C30"/>
    <w:rsid w:val="00813EBF"/>
    <w:rsid w:val="0081403A"/>
    <w:rsid w:val="00814589"/>
    <w:rsid w:val="00815689"/>
    <w:rsid w:val="00815D69"/>
    <w:rsid w:val="00815EB5"/>
    <w:rsid w:val="00816033"/>
    <w:rsid w:val="008167B7"/>
    <w:rsid w:val="008169DF"/>
    <w:rsid w:val="00817853"/>
    <w:rsid w:val="00817A84"/>
    <w:rsid w:val="00817C4E"/>
    <w:rsid w:val="008208DC"/>
    <w:rsid w:val="00820C3A"/>
    <w:rsid w:val="00824351"/>
    <w:rsid w:val="00824A9C"/>
    <w:rsid w:val="00825388"/>
    <w:rsid w:val="00825915"/>
    <w:rsid w:val="00825CDC"/>
    <w:rsid w:val="00826200"/>
    <w:rsid w:val="008277ED"/>
    <w:rsid w:val="00827C96"/>
    <w:rsid w:val="00827E32"/>
    <w:rsid w:val="0083049F"/>
    <w:rsid w:val="008313E6"/>
    <w:rsid w:val="00831682"/>
    <w:rsid w:val="00831C27"/>
    <w:rsid w:val="008326EA"/>
    <w:rsid w:val="008328AF"/>
    <w:rsid w:val="00832BD9"/>
    <w:rsid w:val="0083334E"/>
    <w:rsid w:val="008336C0"/>
    <w:rsid w:val="0083398A"/>
    <w:rsid w:val="00833FF0"/>
    <w:rsid w:val="0083525E"/>
    <w:rsid w:val="00835F38"/>
    <w:rsid w:val="00835FAA"/>
    <w:rsid w:val="00836C14"/>
    <w:rsid w:val="00836E6F"/>
    <w:rsid w:val="00836FA4"/>
    <w:rsid w:val="008377A5"/>
    <w:rsid w:val="00837982"/>
    <w:rsid w:val="00840327"/>
    <w:rsid w:val="008408B8"/>
    <w:rsid w:val="008408C5"/>
    <w:rsid w:val="00842717"/>
    <w:rsid w:val="0084290F"/>
    <w:rsid w:val="00842E44"/>
    <w:rsid w:val="008444EF"/>
    <w:rsid w:val="0084524E"/>
    <w:rsid w:val="00845AB7"/>
    <w:rsid w:val="00845E93"/>
    <w:rsid w:val="00846692"/>
    <w:rsid w:val="008473A5"/>
    <w:rsid w:val="008473C7"/>
    <w:rsid w:val="00847479"/>
    <w:rsid w:val="008474D2"/>
    <w:rsid w:val="00847D03"/>
    <w:rsid w:val="00847FDC"/>
    <w:rsid w:val="00850CD4"/>
    <w:rsid w:val="00850EE6"/>
    <w:rsid w:val="00850F6E"/>
    <w:rsid w:val="008521FE"/>
    <w:rsid w:val="0085508C"/>
    <w:rsid w:val="0085511D"/>
    <w:rsid w:val="00855217"/>
    <w:rsid w:val="00855918"/>
    <w:rsid w:val="008561FD"/>
    <w:rsid w:val="008564CA"/>
    <w:rsid w:val="00856747"/>
    <w:rsid w:val="0086016C"/>
    <w:rsid w:val="00860440"/>
    <w:rsid w:val="008605DF"/>
    <w:rsid w:val="0086099C"/>
    <w:rsid w:val="00860DB7"/>
    <w:rsid w:val="008611FC"/>
    <w:rsid w:val="008615BF"/>
    <w:rsid w:val="0086239A"/>
    <w:rsid w:val="008634DA"/>
    <w:rsid w:val="008636AE"/>
    <w:rsid w:val="00863C7B"/>
    <w:rsid w:val="00864749"/>
    <w:rsid w:val="00864D91"/>
    <w:rsid w:val="00865911"/>
    <w:rsid w:val="0086745C"/>
    <w:rsid w:val="008674C4"/>
    <w:rsid w:val="00867914"/>
    <w:rsid w:val="00870003"/>
    <w:rsid w:val="008703C8"/>
    <w:rsid w:val="00870E49"/>
    <w:rsid w:val="008718E9"/>
    <w:rsid w:val="00872C58"/>
    <w:rsid w:val="00873643"/>
    <w:rsid w:val="00873B93"/>
    <w:rsid w:val="00873BED"/>
    <w:rsid w:val="00875683"/>
    <w:rsid w:val="008757BC"/>
    <w:rsid w:val="00875D2D"/>
    <w:rsid w:val="008765B3"/>
    <w:rsid w:val="00876B3B"/>
    <w:rsid w:val="008803EB"/>
    <w:rsid w:val="00880576"/>
    <w:rsid w:val="008807D0"/>
    <w:rsid w:val="008807D7"/>
    <w:rsid w:val="00881258"/>
    <w:rsid w:val="00881CFA"/>
    <w:rsid w:val="00881FC2"/>
    <w:rsid w:val="00882216"/>
    <w:rsid w:val="0088255A"/>
    <w:rsid w:val="00882D3D"/>
    <w:rsid w:val="0088508A"/>
    <w:rsid w:val="008856BB"/>
    <w:rsid w:val="00885E52"/>
    <w:rsid w:val="0088669E"/>
    <w:rsid w:val="00887C2F"/>
    <w:rsid w:val="00887DF6"/>
    <w:rsid w:val="00887E92"/>
    <w:rsid w:val="00887FF2"/>
    <w:rsid w:val="0089061D"/>
    <w:rsid w:val="00890763"/>
    <w:rsid w:val="00890CB9"/>
    <w:rsid w:val="008912EF"/>
    <w:rsid w:val="00891838"/>
    <w:rsid w:val="00891B89"/>
    <w:rsid w:val="008929AD"/>
    <w:rsid w:val="00892BBD"/>
    <w:rsid w:val="00892DC8"/>
    <w:rsid w:val="008934DB"/>
    <w:rsid w:val="008938A5"/>
    <w:rsid w:val="00893B16"/>
    <w:rsid w:val="00894407"/>
    <w:rsid w:val="008961AA"/>
    <w:rsid w:val="00896C36"/>
    <w:rsid w:val="00897727"/>
    <w:rsid w:val="008978B1"/>
    <w:rsid w:val="00897FCE"/>
    <w:rsid w:val="008A0025"/>
    <w:rsid w:val="008A0133"/>
    <w:rsid w:val="008A02A4"/>
    <w:rsid w:val="008A1429"/>
    <w:rsid w:val="008A1A36"/>
    <w:rsid w:val="008A1ECE"/>
    <w:rsid w:val="008A3F62"/>
    <w:rsid w:val="008A4398"/>
    <w:rsid w:val="008A4526"/>
    <w:rsid w:val="008A5018"/>
    <w:rsid w:val="008A62AE"/>
    <w:rsid w:val="008A642F"/>
    <w:rsid w:val="008A6581"/>
    <w:rsid w:val="008A7D92"/>
    <w:rsid w:val="008B0489"/>
    <w:rsid w:val="008B0A79"/>
    <w:rsid w:val="008B0DF6"/>
    <w:rsid w:val="008B17DC"/>
    <w:rsid w:val="008B26F6"/>
    <w:rsid w:val="008B2857"/>
    <w:rsid w:val="008B2D5C"/>
    <w:rsid w:val="008B3098"/>
    <w:rsid w:val="008B314D"/>
    <w:rsid w:val="008B327D"/>
    <w:rsid w:val="008B3895"/>
    <w:rsid w:val="008B3BC7"/>
    <w:rsid w:val="008B4049"/>
    <w:rsid w:val="008B7DC2"/>
    <w:rsid w:val="008C121F"/>
    <w:rsid w:val="008C1578"/>
    <w:rsid w:val="008C1D9D"/>
    <w:rsid w:val="008C27B0"/>
    <w:rsid w:val="008C3944"/>
    <w:rsid w:val="008C4022"/>
    <w:rsid w:val="008C5297"/>
    <w:rsid w:val="008C53D1"/>
    <w:rsid w:val="008C5821"/>
    <w:rsid w:val="008C5A59"/>
    <w:rsid w:val="008C5ADC"/>
    <w:rsid w:val="008C5F25"/>
    <w:rsid w:val="008C6289"/>
    <w:rsid w:val="008C6FF1"/>
    <w:rsid w:val="008C7AC9"/>
    <w:rsid w:val="008C7D8F"/>
    <w:rsid w:val="008D1886"/>
    <w:rsid w:val="008D1894"/>
    <w:rsid w:val="008D2CEA"/>
    <w:rsid w:val="008D322F"/>
    <w:rsid w:val="008D34AC"/>
    <w:rsid w:val="008D356C"/>
    <w:rsid w:val="008D50C7"/>
    <w:rsid w:val="008D5489"/>
    <w:rsid w:val="008D55B0"/>
    <w:rsid w:val="008D5D29"/>
    <w:rsid w:val="008D78EA"/>
    <w:rsid w:val="008D7C9E"/>
    <w:rsid w:val="008E0918"/>
    <w:rsid w:val="008E12B2"/>
    <w:rsid w:val="008E25FC"/>
    <w:rsid w:val="008E2877"/>
    <w:rsid w:val="008E32A2"/>
    <w:rsid w:val="008E384E"/>
    <w:rsid w:val="008E429F"/>
    <w:rsid w:val="008E563F"/>
    <w:rsid w:val="008E5645"/>
    <w:rsid w:val="008E619D"/>
    <w:rsid w:val="008E676E"/>
    <w:rsid w:val="008E6962"/>
    <w:rsid w:val="008E7071"/>
    <w:rsid w:val="008E79B1"/>
    <w:rsid w:val="008E7A01"/>
    <w:rsid w:val="008F06AD"/>
    <w:rsid w:val="008F08C2"/>
    <w:rsid w:val="008F24F1"/>
    <w:rsid w:val="008F268D"/>
    <w:rsid w:val="008F2F64"/>
    <w:rsid w:val="008F3065"/>
    <w:rsid w:val="008F3794"/>
    <w:rsid w:val="008F436B"/>
    <w:rsid w:val="008F4464"/>
    <w:rsid w:val="008F4F7D"/>
    <w:rsid w:val="008F56D6"/>
    <w:rsid w:val="008F6932"/>
    <w:rsid w:val="008F7592"/>
    <w:rsid w:val="00900EB4"/>
    <w:rsid w:val="0090123F"/>
    <w:rsid w:val="00901D9E"/>
    <w:rsid w:val="00903148"/>
    <w:rsid w:val="00903184"/>
    <w:rsid w:val="0090386E"/>
    <w:rsid w:val="00904829"/>
    <w:rsid w:val="00906274"/>
    <w:rsid w:val="00906B09"/>
    <w:rsid w:val="00906E12"/>
    <w:rsid w:val="00907258"/>
    <w:rsid w:val="00907824"/>
    <w:rsid w:val="0091030B"/>
    <w:rsid w:val="00910343"/>
    <w:rsid w:val="009107B7"/>
    <w:rsid w:val="00910B1C"/>
    <w:rsid w:val="00910E3C"/>
    <w:rsid w:val="00911029"/>
    <w:rsid w:val="00911B21"/>
    <w:rsid w:val="009136AA"/>
    <w:rsid w:val="00913AE0"/>
    <w:rsid w:val="009140E3"/>
    <w:rsid w:val="00914346"/>
    <w:rsid w:val="009147BE"/>
    <w:rsid w:val="00914A4B"/>
    <w:rsid w:val="0091549B"/>
    <w:rsid w:val="009154BC"/>
    <w:rsid w:val="0091600B"/>
    <w:rsid w:val="0091676E"/>
    <w:rsid w:val="00916C62"/>
    <w:rsid w:val="00917D48"/>
    <w:rsid w:val="009205ED"/>
    <w:rsid w:val="009207DA"/>
    <w:rsid w:val="00920BBD"/>
    <w:rsid w:val="00920BF4"/>
    <w:rsid w:val="00921B87"/>
    <w:rsid w:val="00921E33"/>
    <w:rsid w:val="00922821"/>
    <w:rsid w:val="00922C77"/>
    <w:rsid w:val="009230A3"/>
    <w:rsid w:val="00923426"/>
    <w:rsid w:val="0092384B"/>
    <w:rsid w:val="00923BCF"/>
    <w:rsid w:val="00923F2C"/>
    <w:rsid w:val="00924BB3"/>
    <w:rsid w:val="009252E4"/>
    <w:rsid w:val="009252EF"/>
    <w:rsid w:val="00925F35"/>
    <w:rsid w:val="0092708C"/>
    <w:rsid w:val="009311F4"/>
    <w:rsid w:val="00931267"/>
    <w:rsid w:val="009317A6"/>
    <w:rsid w:val="009319CF"/>
    <w:rsid w:val="00931EAC"/>
    <w:rsid w:val="009327CC"/>
    <w:rsid w:val="00932D35"/>
    <w:rsid w:val="00932DA4"/>
    <w:rsid w:val="00932FD5"/>
    <w:rsid w:val="0093366C"/>
    <w:rsid w:val="0093369D"/>
    <w:rsid w:val="00933FB4"/>
    <w:rsid w:val="00933FE5"/>
    <w:rsid w:val="00934BDA"/>
    <w:rsid w:val="009365A0"/>
    <w:rsid w:val="00936B2E"/>
    <w:rsid w:val="00936D80"/>
    <w:rsid w:val="00936EA6"/>
    <w:rsid w:val="009375A2"/>
    <w:rsid w:val="0094014D"/>
    <w:rsid w:val="009403F6"/>
    <w:rsid w:val="00940B17"/>
    <w:rsid w:val="00940E80"/>
    <w:rsid w:val="0094233D"/>
    <w:rsid w:val="009425D9"/>
    <w:rsid w:val="0094278B"/>
    <w:rsid w:val="00942963"/>
    <w:rsid w:val="00943565"/>
    <w:rsid w:val="00943ABD"/>
    <w:rsid w:val="009447AA"/>
    <w:rsid w:val="00945721"/>
    <w:rsid w:val="00947385"/>
    <w:rsid w:val="009479D0"/>
    <w:rsid w:val="00947C61"/>
    <w:rsid w:val="00947CCE"/>
    <w:rsid w:val="009512CB"/>
    <w:rsid w:val="0095145C"/>
    <w:rsid w:val="00953167"/>
    <w:rsid w:val="00953248"/>
    <w:rsid w:val="00954FA8"/>
    <w:rsid w:val="00955511"/>
    <w:rsid w:val="00955FAB"/>
    <w:rsid w:val="00956424"/>
    <w:rsid w:val="00956702"/>
    <w:rsid w:val="00956C86"/>
    <w:rsid w:val="009576FB"/>
    <w:rsid w:val="00960277"/>
    <w:rsid w:val="009603E2"/>
    <w:rsid w:val="009616AF"/>
    <w:rsid w:val="00961B24"/>
    <w:rsid w:val="00961FED"/>
    <w:rsid w:val="009626AD"/>
    <w:rsid w:val="009629C0"/>
    <w:rsid w:val="00963A61"/>
    <w:rsid w:val="00964A47"/>
    <w:rsid w:val="00964CC0"/>
    <w:rsid w:val="0096563E"/>
    <w:rsid w:val="00965AEF"/>
    <w:rsid w:val="0096626B"/>
    <w:rsid w:val="00966582"/>
    <w:rsid w:val="009667F8"/>
    <w:rsid w:val="00966D13"/>
    <w:rsid w:val="00967A66"/>
    <w:rsid w:val="00967F6B"/>
    <w:rsid w:val="00970B55"/>
    <w:rsid w:val="00970E94"/>
    <w:rsid w:val="0097187E"/>
    <w:rsid w:val="009718F8"/>
    <w:rsid w:val="0097273D"/>
    <w:rsid w:val="00973029"/>
    <w:rsid w:val="00973899"/>
    <w:rsid w:val="00973CF8"/>
    <w:rsid w:val="009740BB"/>
    <w:rsid w:val="00974423"/>
    <w:rsid w:val="0097487F"/>
    <w:rsid w:val="00974B2F"/>
    <w:rsid w:val="00974C0D"/>
    <w:rsid w:val="009758D9"/>
    <w:rsid w:val="00975D82"/>
    <w:rsid w:val="00976B20"/>
    <w:rsid w:val="00977255"/>
    <w:rsid w:val="0097785A"/>
    <w:rsid w:val="0098066B"/>
    <w:rsid w:val="00980DCE"/>
    <w:rsid w:val="0098168A"/>
    <w:rsid w:val="009829C5"/>
    <w:rsid w:val="00983552"/>
    <w:rsid w:val="00983889"/>
    <w:rsid w:val="00983D56"/>
    <w:rsid w:val="009846BF"/>
    <w:rsid w:val="0098501C"/>
    <w:rsid w:val="00985899"/>
    <w:rsid w:val="00985F8A"/>
    <w:rsid w:val="00987175"/>
    <w:rsid w:val="00987F78"/>
    <w:rsid w:val="00991E55"/>
    <w:rsid w:val="00992D39"/>
    <w:rsid w:val="00992F78"/>
    <w:rsid w:val="009934FD"/>
    <w:rsid w:val="00993B6F"/>
    <w:rsid w:val="00993CD5"/>
    <w:rsid w:val="00993E75"/>
    <w:rsid w:val="0099539C"/>
    <w:rsid w:val="009963ED"/>
    <w:rsid w:val="00996CC0"/>
    <w:rsid w:val="00996E5E"/>
    <w:rsid w:val="00997380"/>
    <w:rsid w:val="00997822"/>
    <w:rsid w:val="00997A0A"/>
    <w:rsid w:val="00997CB9"/>
    <w:rsid w:val="009A0659"/>
    <w:rsid w:val="009A09F6"/>
    <w:rsid w:val="009A0C57"/>
    <w:rsid w:val="009A172D"/>
    <w:rsid w:val="009A198B"/>
    <w:rsid w:val="009A199F"/>
    <w:rsid w:val="009A327E"/>
    <w:rsid w:val="009A351E"/>
    <w:rsid w:val="009A375D"/>
    <w:rsid w:val="009A418F"/>
    <w:rsid w:val="009A4313"/>
    <w:rsid w:val="009A4B59"/>
    <w:rsid w:val="009A4ED0"/>
    <w:rsid w:val="009A4EF4"/>
    <w:rsid w:val="009A5515"/>
    <w:rsid w:val="009A75D0"/>
    <w:rsid w:val="009A776E"/>
    <w:rsid w:val="009B01C7"/>
    <w:rsid w:val="009B1A1F"/>
    <w:rsid w:val="009B1DFA"/>
    <w:rsid w:val="009B2039"/>
    <w:rsid w:val="009B2114"/>
    <w:rsid w:val="009B242C"/>
    <w:rsid w:val="009B2496"/>
    <w:rsid w:val="009B265E"/>
    <w:rsid w:val="009B26C6"/>
    <w:rsid w:val="009B280A"/>
    <w:rsid w:val="009B2DAA"/>
    <w:rsid w:val="009B358A"/>
    <w:rsid w:val="009B3CF3"/>
    <w:rsid w:val="009B40DE"/>
    <w:rsid w:val="009B41A0"/>
    <w:rsid w:val="009B4E5C"/>
    <w:rsid w:val="009B58D8"/>
    <w:rsid w:val="009B6615"/>
    <w:rsid w:val="009B6964"/>
    <w:rsid w:val="009B6AB5"/>
    <w:rsid w:val="009B701D"/>
    <w:rsid w:val="009C096C"/>
    <w:rsid w:val="009C0B9C"/>
    <w:rsid w:val="009C1ACD"/>
    <w:rsid w:val="009C2444"/>
    <w:rsid w:val="009C3306"/>
    <w:rsid w:val="009C341D"/>
    <w:rsid w:val="009C36EF"/>
    <w:rsid w:val="009C389A"/>
    <w:rsid w:val="009C38A9"/>
    <w:rsid w:val="009C3DB1"/>
    <w:rsid w:val="009C3E4D"/>
    <w:rsid w:val="009C4149"/>
    <w:rsid w:val="009C5B41"/>
    <w:rsid w:val="009C5CF7"/>
    <w:rsid w:val="009C5DD4"/>
    <w:rsid w:val="009C6545"/>
    <w:rsid w:val="009C6A08"/>
    <w:rsid w:val="009C6BCD"/>
    <w:rsid w:val="009C6D45"/>
    <w:rsid w:val="009C706B"/>
    <w:rsid w:val="009C7FF2"/>
    <w:rsid w:val="009D0778"/>
    <w:rsid w:val="009D125A"/>
    <w:rsid w:val="009D1B2F"/>
    <w:rsid w:val="009D2C33"/>
    <w:rsid w:val="009D309B"/>
    <w:rsid w:val="009D331F"/>
    <w:rsid w:val="009D3AB2"/>
    <w:rsid w:val="009D3B96"/>
    <w:rsid w:val="009D402D"/>
    <w:rsid w:val="009D458C"/>
    <w:rsid w:val="009D4EC0"/>
    <w:rsid w:val="009D4F94"/>
    <w:rsid w:val="009D5251"/>
    <w:rsid w:val="009D65F2"/>
    <w:rsid w:val="009D68B6"/>
    <w:rsid w:val="009D6924"/>
    <w:rsid w:val="009D747B"/>
    <w:rsid w:val="009D7947"/>
    <w:rsid w:val="009D7D6F"/>
    <w:rsid w:val="009D7DF6"/>
    <w:rsid w:val="009E0E0D"/>
    <w:rsid w:val="009E1261"/>
    <w:rsid w:val="009E1650"/>
    <w:rsid w:val="009E182F"/>
    <w:rsid w:val="009E225D"/>
    <w:rsid w:val="009E2A66"/>
    <w:rsid w:val="009E3128"/>
    <w:rsid w:val="009E36F0"/>
    <w:rsid w:val="009E449B"/>
    <w:rsid w:val="009E4ED4"/>
    <w:rsid w:val="009E5047"/>
    <w:rsid w:val="009E5936"/>
    <w:rsid w:val="009E6402"/>
    <w:rsid w:val="009E7617"/>
    <w:rsid w:val="009E7CA7"/>
    <w:rsid w:val="009F0612"/>
    <w:rsid w:val="009F072C"/>
    <w:rsid w:val="009F120B"/>
    <w:rsid w:val="009F1274"/>
    <w:rsid w:val="009F3690"/>
    <w:rsid w:val="009F3BD8"/>
    <w:rsid w:val="009F3C9B"/>
    <w:rsid w:val="009F4047"/>
    <w:rsid w:val="009F5585"/>
    <w:rsid w:val="009F6337"/>
    <w:rsid w:val="009F644D"/>
    <w:rsid w:val="009F7317"/>
    <w:rsid w:val="009F77A0"/>
    <w:rsid w:val="00A0052A"/>
    <w:rsid w:val="00A005D4"/>
    <w:rsid w:val="00A01364"/>
    <w:rsid w:val="00A0193C"/>
    <w:rsid w:val="00A01F20"/>
    <w:rsid w:val="00A020EB"/>
    <w:rsid w:val="00A02104"/>
    <w:rsid w:val="00A03467"/>
    <w:rsid w:val="00A0350B"/>
    <w:rsid w:val="00A039C2"/>
    <w:rsid w:val="00A03B71"/>
    <w:rsid w:val="00A04A28"/>
    <w:rsid w:val="00A04AF4"/>
    <w:rsid w:val="00A04F63"/>
    <w:rsid w:val="00A05510"/>
    <w:rsid w:val="00A05A00"/>
    <w:rsid w:val="00A064EB"/>
    <w:rsid w:val="00A06D75"/>
    <w:rsid w:val="00A072CB"/>
    <w:rsid w:val="00A077C0"/>
    <w:rsid w:val="00A0781E"/>
    <w:rsid w:val="00A07DFF"/>
    <w:rsid w:val="00A10EF4"/>
    <w:rsid w:val="00A11E5C"/>
    <w:rsid w:val="00A1208A"/>
    <w:rsid w:val="00A1286C"/>
    <w:rsid w:val="00A12C72"/>
    <w:rsid w:val="00A174A0"/>
    <w:rsid w:val="00A17688"/>
    <w:rsid w:val="00A17C22"/>
    <w:rsid w:val="00A17E43"/>
    <w:rsid w:val="00A20470"/>
    <w:rsid w:val="00A20A55"/>
    <w:rsid w:val="00A20D73"/>
    <w:rsid w:val="00A21291"/>
    <w:rsid w:val="00A21E58"/>
    <w:rsid w:val="00A226C7"/>
    <w:rsid w:val="00A235CD"/>
    <w:rsid w:val="00A2379D"/>
    <w:rsid w:val="00A2419D"/>
    <w:rsid w:val="00A25BFE"/>
    <w:rsid w:val="00A260D9"/>
    <w:rsid w:val="00A2640C"/>
    <w:rsid w:val="00A278AC"/>
    <w:rsid w:val="00A27988"/>
    <w:rsid w:val="00A27D10"/>
    <w:rsid w:val="00A27F36"/>
    <w:rsid w:val="00A30AEA"/>
    <w:rsid w:val="00A3126B"/>
    <w:rsid w:val="00A31DEA"/>
    <w:rsid w:val="00A31FF1"/>
    <w:rsid w:val="00A32046"/>
    <w:rsid w:val="00A326EC"/>
    <w:rsid w:val="00A3282C"/>
    <w:rsid w:val="00A3315C"/>
    <w:rsid w:val="00A33345"/>
    <w:rsid w:val="00A334E7"/>
    <w:rsid w:val="00A3481B"/>
    <w:rsid w:val="00A34AC9"/>
    <w:rsid w:val="00A3549D"/>
    <w:rsid w:val="00A3604B"/>
    <w:rsid w:val="00A3638A"/>
    <w:rsid w:val="00A3645C"/>
    <w:rsid w:val="00A3666E"/>
    <w:rsid w:val="00A372BE"/>
    <w:rsid w:val="00A3748B"/>
    <w:rsid w:val="00A37919"/>
    <w:rsid w:val="00A37BFA"/>
    <w:rsid w:val="00A411E0"/>
    <w:rsid w:val="00A41ADE"/>
    <w:rsid w:val="00A41B7F"/>
    <w:rsid w:val="00A41EA6"/>
    <w:rsid w:val="00A42161"/>
    <w:rsid w:val="00A4306B"/>
    <w:rsid w:val="00A43376"/>
    <w:rsid w:val="00A43996"/>
    <w:rsid w:val="00A445DD"/>
    <w:rsid w:val="00A44E74"/>
    <w:rsid w:val="00A45B79"/>
    <w:rsid w:val="00A46049"/>
    <w:rsid w:val="00A46F13"/>
    <w:rsid w:val="00A4761F"/>
    <w:rsid w:val="00A47A23"/>
    <w:rsid w:val="00A47DD7"/>
    <w:rsid w:val="00A50F57"/>
    <w:rsid w:val="00A510F7"/>
    <w:rsid w:val="00A5117C"/>
    <w:rsid w:val="00A51967"/>
    <w:rsid w:val="00A51A7B"/>
    <w:rsid w:val="00A51F40"/>
    <w:rsid w:val="00A5354D"/>
    <w:rsid w:val="00A538F7"/>
    <w:rsid w:val="00A53D88"/>
    <w:rsid w:val="00A54037"/>
    <w:rsid w:val="00A55E97"/>
    <w:rsid w:val="00A56532"/>
    <w:rsid w:val="00A56AA6"/>
    <w:rsid w:val="00A60279"/>
    <w:rsid w:val="00A60BD3"/>
    <w:rsid w:val="00A6139C"/>
    <w:rsid w:val="00A617CF"/>
    <w:rsid w:val="00A618E1"/>
    <w:rsid w:val="00A619BC"/>
    <w:rsid w:val="00A62280"/>
    <w:rsid w:val="00A625C4"/>
    <w:rsid w:val="00A632F4"/>
    <w:rsid w:val="00A633D4"/>
    <w:rsid w:val="00A6380C"/>
    <w:rsid w:val="00A63B60"/>
    <w:rsid w:val="00A64388"/>
    <w:rsid w:val="00A64D7F"/>
    <w:rsid w:val="00A64E85"/>
    <w:rsid w:val="00A65239"/>
    <w:rsid w:val="00A72895"/>
    <w:rsid w:val="00A72978"/>
    <w:rsid w:val="00A72D89"/>
    <w:rsid w:val="00A73E10"/>
    <w:rsid w:val="00A741C6"/>
    <w:rsid w:val="00A74C3A"/>
    <w:rsid w:val="00A75602"/>
    <w:rsid w:val="00A756C7"/>
    <w:rsid w:val="00A76852"/>
    <w:rsid w:val="00A76CDE"/>
    <w:rsid w:val="00A77B16"/>
    <w:rsid w:val="00A80FFE"/>
    <w:rsid w:val="00A81A16"/>
    <w:rsid w:val="00A81B42"/>
    <w:rsid w:val="00A81BE5"/>
    <w:rsid w:val="00A81D93"/>
    <w:rsid w:val="00A82036"/>
    <w:rsid w:val="00A821F2"/>
    <w:rsid w:val="00A826A1"/>
    <w:rsid w:val="00A82878"/>
    <w:rsid w:val="00A82A64"/>
    <w:rsid w:val="00A82AF2"/>
    <w:rsid w:val="00A83CF5"/>
    <w:rsid w:val="00A83D04"/>
    <w:rsid w:val="00A84181"/>
    <w:rsid w:val="00A848CF"/>
    <w:rsid w:val="00A85B6B"/>
    <w:rsid w:val="00A869F4"/>
    <w:rsid w:val="00A86B26"/>
    <w:rsid w:val="00A86F91"/>
    <w:rsid w:val="00A87693"/>
    <w:rsid w:val="00A87D4B"/>
    <w:rsid w:val="00A90780"/>
    <w:rsid w:val="00A90C49"/>
    <w:rsid w:val="00A912A9"/>
    <w:rsid w:val="00A922F8"/>
    <w:rsid w:val="00A92801"/>
    <w:rsid w:val="00A93046"/>
    <w:rsid w:val="00A93776"/>
    <w:rsid w:val="00A93852"/>
    <w:rsid w:val="00A94414"/>
    <w:rsid w:val="00A94ED1"/>
    <w:rsid w:val="00A958EE"/>
    <w:rsid w:val="00A9677B"/>
    <w:rsid w:val="00A96A2E"/>
    <w:rsid w:val="00A97171"/>
    <w:rsid w:val="00A97981"/>
    <w:rsid w:val="00A97FA0"/>
    <w:rsid w:val="00A97FF9"/>
    <w:rsid w:val="00AA0142"/>
    <w:rsid w:val="00AA0187"/>
    <w:rsid w:val="00AA020D"/>
    <w:rsid w:val="00AA024B"/>
    <w:rsid w:val="00AA0A53"/>
    <w:rsid w:val="00AA0A81"/>
    <w:rsid w:val="00AA0CCA"/>
    <w:rsid w:val="00AA10D2"/>
    <w:rsid w:val="00AA11CF"/>
    <w:rsid w:val="00AA1B11"/>
    <w:rsid w:val="00AA1B23"/>
    <w:rsid w:val="00AA3303"/>
    <w:rsid w:val="00AA358B"/>
    <w:rsid w:val="00AA38A6"/>
    <w:rsid w:val="00AA3A81"/>
    <w:rsid w:val="00AA41D2"/>
    <w:rsid w:val="00AA4CCF"/>
    <w:rsid w:val="00AA4D4D"/>
    <w:rsid w:val="00AA5D41"/>
    <w:rsid w:val="00AA67D1"/>
    <w:rsid w:val="00AA6B13"/>
    <w:rsid w:val="00AA6DC7"/>
    <w:rsid w:val="00AA729E"/>
    <w:rsid w:val="00AA74E0"/>
    <w:rsid w:val="00AA7816"/>
    <w:rsid w:val="00AA78A7"/>
    <w:rsid w:val="00AA78E0"/>
    <w:rsid w:val="00AA7A17"/>
    <w:rsid w:val="00AA7ADF"/>
    <w:rsid w:val="00AA7D5E"/>
    <w:rsid w:val="00AB0780"/>
    <w:rsid w:val="00AB089E"/>
    <w:rsid w:val="00AB0BA1"/>
    <w:rsid w:val="00AB0D3A"/>
    <w:rsid w:val="00AB19D3"/>
    <w:rsid w:val="00AB1C85"/>
    <w:rsid w:val="00AB2002"/>
    <w:rsid w:val="00AB207F"/>
    <w:rsid w:val="00AB2ACF"/>
    <w:rsid w:val="00AB32F8"/>
    <w:rsid w:val="00AB3411"/>
    <w:rsid w:val="00AB3AB2"/>
    <w:rsid w:val="00AB43F7"/>
    <w:rsid w:val="00AB4965"/>
    <w:rsid w:val="00AB4E85"/>
    <w:rsid w:val="00AB5EFD"/>
    <w:rsid w:val="00AB6272"/>
    <w:rsid w:val="00AB6B27"/>
    <w:rsid w:val="00AB714A"/>
    <w:rsid w:val="00AB71B8"/>
    <w:rsid w:val="00AC16BB"/>
    <w:rsid w:val="00AC1F97"/>
    <w:rsid w:val="00AC2CFD"/>
    <w:rsid w:val="00AC3642"/>
    <w:rsid w:val="00AC3F74"/>
    <w:rsid w:val="00AC4228"/>
    <w:rsid w:val="00AC4363"/>
    <w:rsid w:val="00AC4AC9"/>
    <w:rsid w:val="00AC4EFD"/>
    <w:rsid w:val="00AC509F"/>
    <w:rsid w:val="00AC6391"/>
    <w:rsid w:val="00AC655D"/>
    <w:rsid w:val="00AC6A7E"/>
    <w:rsid w:val="00AC73CE"/>
    <w:rsid w:val="00AC7DA0"/>
    <w:rsid w:val="00AD0655"/>
    <w:rsid w:val="00AD145D"/>
    <w:rsid w:val="00AD1978"/>
    <w:rsid w:val="00AD1B1E"/>
    <w:rsid w:val="00AD2B65"/>
    <w:rsid w:val="00AD2BC0"/>
    <w:rsid w:val="00AD3A99"/>
    <w:rsid w:val="00AD428A"/>
    <w:rsid w:val="00AD429D"/>
    <w:rsid w:val="00AD4407"/>
    <w:rsid w:val="00AD4D93"/>
    <w:rsid w:val="00AD5438"/>
    <w:rsid w:val="00AD5B0B"/>
    <w:rsid w:val="00AD5BBD"/>
    <w:rsid w:val="00AD6015"/>
    <w:rsid w:val="00AD67B8"/>
    <w:rsid w:val="00AD67E1"/>
    <w:rsid w:val="00AD7179"/>
    <w:rsid w:val="00AD7260"/>
    <w:rsid w:val="00AD7631"/>
    <w:rsid w:val="00AE0076"/>
    <w:rsid w:val="00AE0127"/>
    <w:rsid w:val="00AE0384"/>
    <w:rsid w:val="00AE0E20"/>
    <w:rsid w:val="00AE0F7E"/>
    <w:rsid w:val="00AE1148"/>
    <w:rsid w:val="00AE1BD0"/>
    <w:rsid w:val="00AE23FA"/>
    <w:rsid w:val="00AE26B6"/>
    <w:rsid w:val="00AE2894"/>
    <w:rsid w:val="00AE2D0E"/>
    <w:rsid w:val="00AE2F8B"/>
    <w:rsid w:val="00AE31AC"/>
    <w:rsid w:val="00AE3F5F"/>
    <w:rsid w:val="00AE4031"/>
    <w:rsid w:val="00AE4168"/>
    <w:rsid w:val="00AE49C2"/>
    <w:rsid w:val="00AE4BA6"/>
    <w:rsid w:val="00AE4C8D"/>
    <w:rsid w:val="00AE5325"/>
    <w:rsid w:val="00AE59E4"/>
    <w:rsid w:val="00AE5CE3"/>
    <w:rsid w:val="00AE5E41"/>
    <w:rsid w:val="00AE6CDF"/>
    <w:rsid w:val="00AE7089"/>
    <w:rsid w:val="00AE7908"/>
    <w:rsid w:val="00AF18CC"/>
    <w:rsid w:val="00AF2D82"/>
    <w:rsid w:val="00AF2DA0"/>
    <w:rsid w:val="00AF34E2"/>
    <w:rsid w:val="00AF3C17"/>
    <w:rsid w:val="00AF3CD6"/>
    <w:rsid w:val="00AF682D"/>
    <w:rsid w:val="00AF6E02"/>
    <w:rsid w:val="00AF71F0"/>
    <w:rsid w:val="00AF7F6F"/>
    <w:rsid w:val="00B002E4"/>
    <w:rsid w:val="00B0052B"/>
    <w:rsid w:val="00B006A4"/>
    <w:rsid w:val="00B0122D"/>
    <w:rsid w:val="00B0133C"/>
    <w:rsid w:val="00B014A6"/>
    <w:rsid w:val="00B0157E"/>
    <w:rsid w:val="00B01B46"/>
    <w:rsid w:val="00B02678"/>
    <w:rsid w:val="00B038ED"/>
    <w:rsid w:val="00B03B76"/>
    <w:rsid w:val="00B03F19"/>
    <w:rsid w:val="00B049D3"/>
    <w:rsid w:val="00B0548E"/>
    <w:rsid w:val="00B0555F"/>
    <w:rsid w:val="00B05843"/>
    <w:rsid w:val="00B06229"/>
    <w:rsid w:val="00B069D0"/>
    <w:rsid w:val="00B06D73"/>
    <w:rsid w:val="00B06F55"/>
    <w:rsid w:val="00B102ED"/>
    <w:rsid w:val="00B10512"/>
    <w:rsid w:val="00B11003"/>
    <w:rsid w:val="00B11261"/>
    <w:rsid w:val="00B11862"/>
    <w:rsid w:val="00B11D01"/>
    <w:rsid w:val="00B1201E"/>
    <w:rsid w:val="00B12418"/>
    <w:rsid w:val="00B1249A"/>
    <w:rsid w:val="00B1282F"/>
    <w:rsid w:val="00B131C7"/>
    <w:rsid w:val="00B135B5"/>
    <w:rsid w:val="00B139EE"/>
    <w:rsid w:val="00B14004"/>
    <w:rsid w:val="00B157DD"/>
    <w:rsid w:val="00B17E4E"/>
    <w:rsid w:val="00B21AD7"/>
    <w:rsid w:val="00B22BC1"/>
    <w:rsid w:val="00B22C01"/>
    <w:rsid w:val="00B2314E"/>
    <w:rsid w:val="00B23C0A"/>
    <w:rsid w:val="00B24FBB"/>
    <w:rsid w:val="00B25BEF"/>
    <w:rsid w:val="00B26F5A"/>
    <w:rsid w:val="00B274FE"/>
    <w:rsid w:val="00B275FF"/>
    <w:rsid w:val="00B302DC"/>
    <w:rsid w:val="00B30AD4"/>
    <w:rsid w:val="00B30B31"/>
    <w:rsid w:val="00B31057"/>
    <w:rsid w:val="00B33124"/>
    <w:rsid w:val="00B34E5E"/>
    <w:rsid w:val="00B34ED5"/>
    <w:rsid w:val="00B35712"/>
    <w:rsid w:val="00B35A8B"/>
    <w:rsid w:val="00B35BAA"/>
    <w:rsid w:val="00B35D13"/>
    <w:rsid w:val="00B36B53"/>
    <w:rsid w:val="00B377DA"/>
    <w:rsid w:val="00B37E1F"/>
    <w:rsid w:val="00B40A16"/>
    <w:rsid w:val="00B41149"/>
    <w:rsid w:val="00B4179C"/>
    <w:rsid w:val="00B41C07"/>
    <w:rsid w:val="00B42600"/>
    <w:rsid w:val="00B4269F"/>
    <w:rsid w:val="00B43487"/>
    <w:rsid w:val="00B436AD"/>
    <w:rsid w:val="00B440E8"/>
    <w:rsid w:val="00B4439F"/>
    <w:rsid w:val="00B44FF5"/>
    <w:rsid w:val="00B45F6D"/>
    <w:rsid w:val="00B46287"/>
    <w:rsid w:val="00B46885"/>
    <w:rsid w:val="00B47AC9"/>
    <w:rsid w:val="00B47C44"/>
    <w:rsid w:val="00B47DD5"/>
    <w:rsid w:val="00B50408"/>
    <w:rsid w:val="00B50530"/>
    <w:rsid w:val="00B5122C"/>
    <w:rsid w:val="00B512EA"/>
    <w:rsid w:val="00B533B6"/>
    <w:rsid w:val="00B539FC"/>
    <w:rsid w:val="00B53FD3"/>
    <w:rsid w:val="00B54059"/>
    <w:rsid w:val="00B54FD0"/>
    <w:rsid w:val="00B55D70"/>
    <w:rsid w:val="00B5603B"/>
    <w:rsid w:val="00B562BC"/>
    <w:rsid w:val="00B57191"/>
    <w:rsid w:val="00B575B3"/>
    <w:rsid w:val="00B575FB"/>
    <w:rsid w:val="00B57C38"/>
    <w:rsid w:val="00B57DD2"/>
    <w:rsid w:val="00B6116F"/>
    <w:rsid w:val="00B616B9"/>
    <w:rsid w:val="00B618DD"/>
    <w:rsid w:val="00B61B7C"/>
    <w:rsid w:val="00B62643"/>
    <w:rsid w:val="00B62DC9"/>
    <w:rsid w:val="00B6372F"/>
    <w:rsid w:val="00B63B97"/>
    <w:rsid w:val="00B64732"/>
    <w:rsid w:val="00B64E63"/>
    <w:rsid w:val="00B65871"/>
    <w:rsid w:val="00B70031"/>
    <w:rsid w:val="00B70389"/>
    <w:rsid w:val="00B70426"/>
    <w:rsid w:val="00B710A7"/>
    <w:rsid w:val="00B71173"/>
    <w:rsid w:val="00B71B76"/>
    <w:rsid w:val="00B7290D"/>
    <w:rsid w:val="00B73788"/>
    <w:rsid w:val="00B744F0"/>
    <w:rsid w:val="00B74644"/>
    <w:rsid w:val="00B747B7"/>
    <w:rsid w:val="00B75661"/>
    <w:rsid w:val="00B75D98"/>
    <w:rsid w:val="00B75F0B"/>
    <w:rsid w:val="00B76511"/>
    <w:rsid w:val="00B769AA"/>
    <w:rsid w:val="00B76C72"/>
    <w:rsid w:val="00B7704E"/>
    <w:rsid w:val="00B770D1"/>
    <w:rsid w:val="00B771F0"/>
    <w:rsid w:val="00B77C46"/>
    <w:rsid w:val="00B804B2"/>
    <w:rsid w:val="00B80C05"/>
    <w:rsid w:val="00B818C2"/>
    <w:rsid w:val="00B81907"/>
    <w:rsid w:val="00B819E8"/>
    <w:rsid w:val="00B83A6A"/>
    <w:rsid w:val="00B84A46"/>
    <w:rsid w:val="00B85B41"/>
    <w:rsid w:val="00B86065"/>
    <w:rsid w:val="00B862AF"/>
    <w:rsid w:val="00B86CDA"/>
    <w:rsid w:val="00B87635"/>
    <w:rsid w:val="00B878E3"/>
    <w:rsid w:val="00B87ED7"/>
    <w:rsid w:val="00B9087A"/>
    <w:rsid w:val="00B91066"/>
    <w:rsid w:val="00B9310F"/>
    <w:rsid w:val="00B93DE9"/>
    <w:rsid w:val="00B9438B"/>
    <w:rsid w:val="00B94AB4"/>
    <w:rsid w:val="00B94B95"/>
    <w:rsid w:val="00B94DB6"/>
    <w:rsid w:val="00B94EB9"/>
    <w:rsid w:val="00B95784"/>
    <w:rsid w:val="00B95AC1"/>
    <w:rsid w:val="00B95F6E"/>
    <w:rsid w:val="00B96FA5"/>
    <w:rsid w:val="00BA03EF"/>
    <w:rsid w:val="00BA1263"/>
    <w:rsid w:val="00BA1D25"/>
    <w:rsid w:val="00BA2521"/>
    <w:rsid w:val="00BA2801"/>
    <w:rsid w:val="00BA2E98"/>
    <w:rsid w:val="00BA34EA"/>
    <w:rsid w:val="00BA3C81"/>
    <w:rsid w:val="00BA3E71"/>
    <w:rsid w:val="00BA422E"/>
    <w:rsid w:val="00BA44F3"/>
    <w:rsid w:val="00BA4527"/>
    <w:rsid w:val="00BA5159"/>
    <w:rsid w:val="00BA524B"/>
    <w:rsid w:val="00BA5B76"/>
    <w:rsid w:val="00BA62BF"/>
    <w:rsid w:val="00BA642F"/>
    <w:rsid w:val="00BA6D56"/>
    <w:rsid w:val="00BA6D7A"/>
    <w:rsid w:val="00BA709B"/>
    <w:rsid w:val="00BA73DF"/>
    <w:rsid w:val="00BA7990"/>
    <w:rsid w:val="00BB0A79"/>
    <w:rsid w:val="00BB19C4"/>
    <w:rsid w:val="00BB2E6C"/>
    <w:rsid w:val="00BB32A3"/>
    <w:rsid w:val="00BB3A05"/>
    <w:rsid w:val="00BB45F0"/>
    <w:rsid w:val="00BB4F83"/>
    <w:rsid w:val="00BB5A06"/>
    <w:rsid w:val="00BB6EB9"/>
    <w:rsid w:val="00BB7885"/>
    <w:rsid w:val="00BB7A44"/>
    <w:rsid w:val="00BC059A"/>
    <w:rsid w:val="00BC0AF7"/>
    <w:rsid w:val="00BC0B81"/>
    <w:rsid w:val="00BC1B29"/>
    <w:rsid w:val="00BC1C1C"/>
    <w:rsid w:val="00BC20AD"/>
    <w:rsid w:val="00BC2734"/>
    <w:rsid w:val="00BC354B"/>
    <w:rsid w:val="00BC36A2"/>
    <w:rsid w:val="00BC3CBB"/>
    <w:rsid w:val="00BC3D1D"/>
    <w:rsid w:val="00BC40AF"/>
    <w:rsid w:val="00BC4609"/>
    <w:rsid w:val="00BC47EF"/>
    <w:rsid w:val="00BC4B62"/>
    <w:rsid w:val="00BC5930"/>
    <w:rsid w:val="00BC615E"/>
    <w:rsid w:val="00BC6505"/>
    <w:rsid w:val="00BC6514"/>
    <w:rsid w:val="00BC71F9"/>
    <w:rsid w:val="00BC7CE6"/>
    <w:rsid w:val="00BC7EE5"/>
    <w:rsid w:val="00BD011A"/>
    <w:rsid w:val="00BD0324"/>
    <w:rsid w:val="00BD05C9"/>
    <w:rsid w:val="00BD091D"/>
    <w:rsid w:val="00BD0A54"/>
    <w:rsid w:val="00BD1206"/>
    <w:rsid w:val="00BD18A5"/>
    <w:rsid w:val="00BD1D5F"/>
    <w:rsid w:val="00BD2C89"/>
    <w:rsid w:val="00BD2CEE"/>
    <w:rsid w:val="00BD44D9"/>
    <w:rsid w:val="00BD4BB8"/>
    <w:rsid w:val="00BD5268"/>
    <w:rsid w:val="00BD64F5"/>
    <w:rsid w:val="00BD6EE8"/>
    <w:rsid w:val="00BE0645"/>
    <w:rsid w:val="00BE0C50"/>
    <w:rsid w:val="00BE16C2"/>
    <w:rsid w:val="00BE1973"/>
    <w:rsid w:val="00BE1D5C"/>
    <w:rsid w:val="00BE1F09"/>
    <w:rsid w:val="00BE22EF"/>
    <w:rsid w:val="00BE261C"/>
    <w:rsid w:val="00BE44D6"/>
    <w:rsid w:val="00BE4794"/>
    <w:rsid w:val="00BE47EA"/>
    <w:rsid w:val="00BE49D2"/>
    <w:rsid w:val="00BE4AE6"/>
    <w:rsid w:val="00BE4DC0"/>
    <w:rsid w:val="00BE62AC"/>
    <w:rsid w:val="00BE7CB3"/>
    <w:rsid w:val="00BF0252"/>
    <w:rsid w:val="00BF08D3"/>
    <w:rsid w:val="00BF0FB3"/>
    <w:rsid w:val="00BF1248"/>
    <w:rsid w:val="00BF1823"/>
    <w:rsid w:val="00BF1C83"/>
    <w:rsid w:val="00BF1EEF"/>
    <w:rsid w:val="00BF27AD"/>
    <w:rsid w:val="00BF288E"/>
    <w:rsid w:val="00BF2967"/>
    <w:rsid w:val="00BF35DF"/>
    <w:rsid w:val="00BF3A30"/>
    <w:rsid w:val="00BF51E6"/>
    <w:rsid w:val="00BF51E7"/>
    <w:rsid w:val="00BF5231"/>
    <w:rsid w:val="00BF65C1"/>
    <w:rsid w:val="00BF6F96"/>
    <w:rsid w:val="00BF7284"/>
    <w:rsid w:val="00BF7564"/>
    <w:rsid w:val="00BF7BDD"/>
    <w:rsid w:val="00C00197"/>
    <w:rsid w:val="00C00563"/>
    <w:rsid w:val="00C006C4"/>
    <w:rsid w:val="00C00A1E"/>
    <w:rsid w:val="00C00B14"/>
    <w:rsid w:val="00C00C22"/>
    <w:rsid w:val="00C00C7E"/>
    <w:rsid w:val="00C018F8"/>
    <w:rsid w:val="00C01924"/>
    <w:rsid w:val="00C01CB7"/>
    <w:rsid w:val="00C01F15"/>
    <w:rsid w:val="00C023B5"/>
    <w:rsid w:val="00C03910"/>
    <w:rsid w:val="00C041E3"/>
    <w:rsid w:val="00C051E0"/>
    <w:rsid w:val="00C05A77"/>
    <w:rsid w:val="00C05AF1"/>
    <w:rsid w:val="00C05F08"/>
    <w:rsid w:val="00C0629C"/>
    <w:rsid w:val="00C066F0"/>
    <w:rsid w:val="00C067DF"/>
    <w:rsid w:val="00C06ED1"/>
    <w:rsid w:val="00C1014C"/>
    <w:rsid w:val="00C103A7"/>
    <w:rsid w:val="00C10A24"/>
    <w:rsid w:val="00C10CD3"/>
    <w:rsid w:val="00C11ABE"/>
    <w:rsid w:val="00C11EA5"/>
    <w:rsid w:val="00C11ED8"/>
    <w:rsid w:val="00C12242"/>
    <w:rsid w:val="00C1233F"/>
    <w:rsid w:val="00C12519"/>
    <w:rsid w:val="00C12894"/>
    <w:rsid w:val="00C12D79"/>
    <w:rsid w:val="00C157ED"/>
    <w:rsid w:val="00C16B68"/>
    <w:rsid w:val="00C175D7"/>
    <w:rsid w:val="00C1777E"/>
    <w:rsid w:val="00C17C49"/>
    <w:rsid w:val="00C204CE"/>
    <w:rsid w:val="00C2090A"/>
    <w:rsid w:val="00C20940"/>
    <w:rsid w:val="00C20BFF"/>
    <w:rsid w:val="00C2133F"/>
    <w:rsid w:val="00C2144E"/>
    <w:rsid w:val="00C22548"/>
    <w:rsid w:val="00C22E7B"/>
    <w:rsid w:val="00C239B1"/>
    <w:rsid w:val="00C24246"/>
    <w:rsid w:val="00C244D5"/>
    <w:rsid w:val="00C249C8"/>
    <w:rsid w:val="00C24FBE"/>
    <w:rsid w:val="00C256FB"/>
    <w:rsid w:val="00C25832"/>
    <w:rsid w:val="00C26A31"/>
    <w:rsid w:val="00C26A3B"/>
    <w:rsid w:val="00C26BB3"/>
    <w:rsid w:val="00C274A0"/>
    <w:rsid w:val="00C274D1"/>
    <w:rsid w:val="00C27AA4"/>
    <w:rsid w:val="00C31374"/>
    <w:rsid w:val="00C31AF6"/>
    <w:rsid w:val="00C32A89"/>
    <w:rsid w:val="00C32D20"/>
    <w:rsid w:val="00C33618"/>
    <w:rsid w:val="00C33B04"/>
    <w:rsid w:val="00C33CAB"/>
    <w:rsid w:val="00C346CC"/>
    <w:rsid w:val="00C349BA"/>
    <w:rsid w:val="00C35167"/>
    <w:rsid w:val="00C356A2"/>
    <w:rsid w:val="00C35FFA"/>
    <w:rsid w:val="00C36070"/>
    <w:rsid w:val="00C366EE"/>
    <w:rsid w:val="00C37056"/>
    <w:rsid w:val="00C372D9"/>
    <w:rsid w:val="00C403BF"/>
    <w:rsid w:val="00C40707"/>
    <w:rsid w:val="00C41305"/>
    <w:rsid w:val="00C414B3"/>
    <w:rsid w:val="00C4244E"/>
    <w:rsid w:val="00C42610"/>
    <w:rsid w:val="00C428EA"/>
    <w:rsid w:val="00C43992"/>
    <w:rsid w:val="00C43ADC"/>
    <w:rsid w:val="00C43B85"/>
    <w:rsid w:val="00C44020"/>
    <w:rsid w:val="00C44B9F"/>
    <w:rsid w:val="00C44CD5"/>
    <w:rsid w:val="00C45712"/>
    <w:rsid w:val="00C4586C"/>
    <w:rsid w:val="00C46188"/>
    <w:rsid w:val="00C46467"/>
    <w:rsid w:val="00C46471"/>
    <w:rsid w:val="00C47727"/>
    <w:rsid w:val="00C47B0D"/>
    <w:rsid w:val="00C50388"/>
    <w:rsid w:val="00C510EF"/>
    <w:rsid w:val="00C513B5"/>
    <w:rsid w:val="00C51B60"/>
    <w:rsid w:val="00C52326"/>
    <w:rsid w:val="00C52951"/>
    <w:rsid w:val="00C52BD5"/>
    <w:rsid w:val="00C53BD5"/>
    <w:rsid w:val="00C53C83"/>
    <w:rsid w:val="00C53D4A"/>
    <w:rsid w:val="00C5418D"/>
    <w:rsid w:val="00C54674"/>
    <w:rsid w:val="00C54B35"/>
    <w:rsid w:val="00C55484"/>
    <w:rsid w:val="00C5569D"/>
    <w:rsid w:val="00C55B10"/>
    <w:rsid w:val="00C5659F"/>
    <w:rsid w:val="00C56FE5"/>
    <w:rsid w:val="00C579C5"/>
    <w:rsid w:val="00C57A34"/>
    <w:rsid w:val="00C57A37"/>
    <w:rsid w:val="00C603C7"/>
    <w:rsid w:val="00C60D91"/>
    <w:rsid w:val="00C61D9E"/>
    <w:rsid w:val="00C6224E"/>
    <w:rsid w:val="00C6315E"/>
    <w:rsid w:val="00C636A0"/>
    <w:rsid w:val="00C63A32"/>
    <w:rsid w:val="00C643A9"/>
    <w:rsid w:val="00C6469E"/>
    <w:rsid w:val="00C64980"/>
    <w:rsid w:val="00C65636"/>
    <w:rsid w:val="00C656C1"/>
    <w:rsid w:val="00C67B4A"/>
    <w:rsid w:val="00C67D2A"/>
    <w:rsid w:val="00C67E54"/>
    <w:rsid w:val="00C67E73"/>
    <w:rsid w:val="00C7013F"/>
    <w:rsid w:val="00C7018B"/>
    <w:rsid w:val="00C702C0"/>
    <w:rsid w:val="00C7054A"/>
    <w:rsid w:val="00C706FF"/>
    <w:rsid w:val="00C71991"/>
    <w:rsid w:val="00C71B39"/>
    <w:rsid w:val="00C729AA"/>
    <w:rsid w:val="00C72A1D"/>
    <w:rsid w:val="00C73102"/>
    <w:rsid w:val="00C733B0"/>
    <w:rsid w:val="00C73740"/>
    <w:rsid w:val="00C7379B"/>
    <w:rsid w:val="00C73CA2"/>
    <w:rsid w:val="00C73D85"/>
    <w:rsid w:val="00C751F6"/>
    <w:rsid w:val="00C765EA"/>
    <w:rsid w:val="00C76DBD"/>
    <w:rsid w:val="00C807B5"/>
    <w:rsid w:val="00C80A8B"/>
    <w:rsid w:val="00C80D8B"/>
    <w:rsid w:val="00C80E82"/>
    <w:rsid w:val="00C81ADC"/>
    <w:rsid w:val="00C82C50"/>
    <w:rsid w:val="00C84691"/>
    <w:rsid w:val="00C846AC"/>
    <w:rsid w:val="00C86793"/>
    <w:rsid w:val="00C86C96"/>
    <w:rsid w:val="00C86EE0"/>
    <w:rsid w:val="00C875E3"/>
    <w:rsid w:val="00C8767E"/>
    <w:rsid w:val="00C87818"/>
    <w:rsid w:val="00C87CA5"/>
    <w:rsid w:val="00C910EB"/>
    <w:rsid w:val="00C914C8"/>
    <w:rsid w:val="00C91902"/>
    <w:rsid w:val="00C91F7D"/>
    <w:rsid w:val="00C92C59"/>
    <w:rsid w:val="00C92D94"/>
    <w:rsid w:val="00C93153"/>
    <w:rsid w:val="00C938FC"/>
    <w:rsid w:val="00C94533"/>
    <w:rsid w:val="00C9530C"/>
    <w:rsid w:val="00C953E5"/>
    <w:rsid w:val="00C955F6"/>
    <w:rsid w:val="00C95BC5"/>
    <w:rsid w:val="00C95D4A"/>
    <w:rsid w:val="00C95E39"/>
    <w:rsid w:val="00C977DE"/>
    <w:rsid w:val="00C97F0D"/>
    <w:rsid w:val="00CA00DB"/>
    <w:rsid w:val="00CA17F7"/>
    <w:rsid w:val="00CA1B6E"/>
    <w:rsid w:val="00CA29F2"/>
    <w:rsid w:val="00CA2E47"/>
    <w:rsid w:val="00CA2E54"/>
    <w:rsid w:val="00CA3161"/>
    <w:rsid w:val="00CA4129"/>
    <w:rsid w:val="00CA41CF"/>
    <w:rsid w:val="00CA45FA"/>
    <w:rsid w:val="00CA4DE9"/>
    <w:rsid w:val="00CA527C"/>
    <w:rsid w:val="00CA593A"/>
    <w:rsid w:val="00CA6644"/>
    <w:rsid w:val="00CA7C3F"/>
    <w:rsid w:val="00CA7F68"/>
    <w:rsid w:val="00CB0847"/>
    <w:rsid w:val="00CB19C1"/>
    <w:rsid w:val="00CB1EFA"/>
    <w:rsid w:val="00CB2986"/>
    <w:rsid w:val="00CB2F34"/>
    <w:rsid w:val="00CB3ABB"/>
    <w:rsid w:val="00CB3FF3"/>
    <w:rsid w:val="00CB4286"/>
    <w:rsid w:val="00CB455E"/>
    <w:rsid w:val="00CB4910"/>
    <w:rsid w:val="00CB4C51"/>
    <w:rsid w:val="00CB5460"/>
    <w:rsid w:val="00CB5E60"/>
    <w:rsid w:val="00CB73BB"/>
    <w:rsid w:val="00CB760A"/>
    <w:rsid w:val="00CB7EE2"/>
    <w:rsid w:val="00CC0CD5"/>
    <w:rsid w:val="00CC0D6E"/>
    <w:rsid w:val="00CC0E70"/>
    <w:rsid w:val="00CC0EE9"/>
    <w:rsid w:val="00CC147D"/>
    <w:rsid w:val="00CC1948"/>
    <w:rsid w:val="00CC1BCE"/>
    <w:rsid w:val="00CC1C10"/>
    <w:rsid w:val="00CC1CA7"/>
    <w:rsid w:val="00CC3C42"/>
    <w:rsid w:val="00CC3C7D"/>
    <w:rsid w:val="00CC4272"/>
    <w:rsid w:val="00CC460F"/>
    <w:rsid w:val="00CC510A"/>
    <w:rsid w:val="00CC54FC"/>
    <w:rsid w:val="00CC556D"/>
    <w:rsid w:val="00CC5FEE"/>
    <w:rsid w:val="00CC63AD"/>
    <w:rsid w:val="00CD095B"/>
    <w:rsid w:val="00CD1578"/>
    <w:rsid w:val="00CD1840"/>
    <w:rsid w:val="00CD1B56"/>
    <w:rsid w:val="00CD1BC9"/>
    <w:rsid w:val="00CD33F4"/>
    <w:rsid w:val="00CD3FA9"/>
    <w:rsid w:val="00CD44B6"/>
    <w:rsid w:val="00CD45F7"/>
    <w:rsid w:val="00CD4B3D"/>
    <w:rsid w:val="00CD4B5F"/>
    <w:rsid w:val="00CD4E0F"/>
    <w:rsid w:val="00CD4EEF"/>
    <w:rsid w:val="00CD54E6"/>
    <w:rsid w:val="00CD555B"/>
    <w:rsid w:val="00CD5905"/>
    <w:rsid w:val="00CD6837"/>
    <w:rsid w:val="00CD73CC"/>
    <w:rsid w:val="00CD7666"/>
    <w:rsid w:val="00CE00E0"/>
    <w:rsid w:val="00CE0E1A"/>
    <w:rsid w:val="00CE2275"/>
    <w:rsid w:val="00CE28A0"/>
    <w:rsid w:val="00CE3B9E"/>
    <w:rsid w:val="00CE507C"/>
    <w:rsid w:val="00CE540A"/>
    <w:rsid w:val="00CE5659"/>
    <w:rsid w:val="00CE5A1E"/>
    <w:rsid w:val="00CE613A"/>
    <w:rsid w:val="00CE6444"/>
    <w:rsid w:val="00CF048F"/>
    <w:rsid w:val="00CF0588"/>
    <w:rsid w:val="00CF0A95"/>
    <w:rsid w:val="00CF10E9"/>
    <w:rsid w:val="00CF1279"/>
    <w:rsid w:val="00CF1B65"/>
    <w:rsid w:val="00CF24C9"/>
    <w:rsid w:val="00CF2912"/>
    <w:rsid w:val="00CF3933"/>
    <w:rsid w:val="00CF4A88"/>
    <w:rsid w:val="00CF683E"/>
    <w:rsid w:val="00CF78EE"/>
    <w:rsid w:val="00CF7BC4"/>
    <w:rsid w:val="00D00250"/>
    <w:rsid w:val="00D0030F"/>
    <w:rsid w:val="00D005E0"/>
    <w:rsid w:val="00D00A39"/>
    <w:rsid w:val="00D0252F"/>
    <w:rsid w:val="00D0289F"/>
    <w:rsid w:val="00D03064"/>
    <w:rsid w:val="00D03118"/>
    <w:rsid w:val="00D0493A"/>
    <w:rsid w:val="00D04F4D"/>
    <w:rsid w:val="00D059BE"/>
    <w:rsid w:val="00D066E7"/>
    <w:rsid w:val="00D069BF"/>
    <w:rsid w:val="00D06A91"/>
    <w:rsid w:val="00D078F8"/>
    <w:rsid w:val="00D10480"/>
    <w:rsid w:val="00D110EB"/>
    <w:rsid w:val="00D116B3"/>
    <w:rsid w:val="00D11A20"/>
    <w:rsid w:val="00D11C6E"/>
    <w:rsid w:val="00D12814"/>
    <w:rsid w:val="00D13290"/>
    <w:rsid w:val="00D13567"/>
    <w:rsid w:val="00D14768"/>
    <w:rsid w:val="00D15007"/>
    <w:rsid w:val="00D150FF"/>
    <w:rsid w:val="00D15B52"/>
    <w:rsid w:val="00D1658A"/>
    <w:rsid w:val="00D17079"/>
    <w:rsid w:val="00D17738"/>
    <w:rsid w:val="00D20818"/>
    <w:rsid w:val="00D20A77"/>
    <w:rsid w:val="00D20B96"/>
    <w:rsid w:val="00D20CC6"/>
    <w:rsid w:val="00D20E1F"/>
    <w:rsid w:val="00D20ECF"/>
    <w:rsid w:val="00D213CA"/>
    <w:rsid w:val="00D21773"/>
    <w:rsid w:val="00D21BF1"/>
    <w:rsid w:val="00D21EBB"/>
    <w:rsid w:val="00D21FCF"/>
    <w:rsid w:val="00D24C00"/>
    <w:rsid w:val="00D25240"/>
    <w:rsid w:val="00D25266"/>
    <w:rsid w:val="00D25541"/>
    <w:rsid w:val="00D2591E"/>
    <w:rsid w:val="00D2636D"/>
    <w:rsid w:val="00D277EA"/>
    <w:rsid w:val="00D303D7"/>
    <w:rsid w:val="00D307D3"/>
    <w:rsid w:val="00D308B9"/>
    <w:rsid w:val="00D31065"/>
    <w:rsid w:val="00D31372"/>
    <w:rsid w:val="00D31809"/>
    <w:rsid w:val="00D31A07"/>
    <w:rsid w:val="00D31B55"/>
    <w:rsid w:val="00D31EB2"/>
    <w:rsid w:val="00D32859"/>
    <w:rsid w:val="00D3333F"/>
    <w:rsid w:val="00D33B98"/>
    <w:rsid w:val="00D33CFA"/>
    <w:rsid w:val="00D3412B"/>
    <w:rsid w:val="00D34337"/>
    <w:rsid w:val="00D34543"/>
    <w:rsid w:val="00D34E65"/>
    <w:rsid w:val="00D353C6"/>
    <w:rsid w:val="00D35692"/>
    <w:rsid w:val="00D37345"/>
    <w:rsid w:val="00D37588"/>
    <w:rsid w:val="00D37628"/>
    <w:rsid w:val="00D37788"/>
    <w:rsid w:val="00D37BA4"/>
    <w:rsid w:val="00D4353E"/>
    <w:rsid w:val="00D43683"/>
    <w:rsid w:val="00D4492A"/>
    <w:rsid w:val="00D449F6"/>
    <w:rsid w:val="00D46DFB"/>
    <w:rsid w:val="00D473B9"/>
    <w:rsid w:val="00D47783"/>
    <w:rsid w:val="00D477B7"/>
    <w:rsid w:val="00D47EAE"/>
    <w:rsid w:val="00D50AEF"/>
    <w:rsid w:val="00D50FE8"/>
    <w:rsid w:val="00D52425"/>
    <w:rsid w:val="00D533C0"/>
    <w:rsid w:val="00D534CA"/>
    <w:rsid w:val="00D53674"/>
    <w:rsid w:val="00D53940"/>
    <w:rsid w:val="00D5436E"/>
    <w:rsid w:val="00D547BD"/>
    <w:rsid w:val="00D5494F"/>
    <w:rsid w:val="00D54AA3"/>
    <w:rsid w:val="00D54D4D"/>
    <w:rsid w:val="00D54F2B"/>
    <w:rsid w:val="00D552FF"/>
    <w:rsid w:val="00D55C12"/>
    <w:rsid w:val="00D56B07"/>
    <w:rsid w:val="00D56D04"/>
    <w:rsid w:val="00D600D2"/>
    <w:rsid w:val="00D611D3"/>
    <w:rsid w:val="00D61256"/>
    <w:rsid w:val="00D616F5"/>
    <w:rsid w:val="00D63119"/>
    <w:rsid w:val="00D63173"/>
    <w:rsid w:val="00D6319E"/>
    <w:rsid w:val="00D631AC"/>
    <w:rsid w:val="00D64208"/>
    <w:rsid w:val="00D644D4"/>
    <w:rsid w:val="00D64D4C"/>
    <w:rsid w:val="00D65887"/>
    <w:rsid w:val="00D66693"/>
    <w:rsid w:val="00D679F0"/>
    <w:rsid w:val="00D70744"/>
    <w:rsid w:val="00D70B92"/>
    <w:rsid w:val="00D71159"/>
    <w:rsid w:val="00D71223"/>
    <w:rsid w:val="00D71695"/>
    <w:rsid w:val="00D7204A"/>
    <w:rsid w:val="00D724A0"/>
    <w:rsid w:val="00D73E3B"/>
    <w:rsid w:val="00D73EE1"/>
    <w:rsid w:val="00D746EB"/>
    <w:rsid w:val="00D74D4B"/>
    <w:rsid w:val="00D755F5"/>
    <w:rsid w:val="00D757D3"/>
    <w:rsid w:val="00D75EF8"/>
    <w:rsid w:val="00D769EF"/>
    <w:rsid w:val="00D76BDE"/>
    <w:rsid w:val="00D76DAF"/>
    <w:rsid w:val="00D7724C"/>
    <w:rsid w:val="00D772CC"/>
    <w:rsid w:val="00D775B3"/>
    <w:rsid w:val="00D77C14"/>
    <w:rsid w:val="00D77CD7"/>
    <w:rsid w:val="00D77EE5"/>
    <w:rsid w:val="00D800C1"/>
    <w:rsid w:val="00D804BF"/>
    <w:rsid w:val="00D809C3"/>
    <w:rsid w:val="00D8141C"/>
    <w:rsid w:val="00D82180"/>
    <w:rsid w:val="00D8281B"/>
    <w:rsid w:val="00D833BB"/>
    <w:rsid w:val="00D83939"/>
    <w:rsid w:val="00D84A91"/>
    <w:rsid w:val="00D85ABE"/>
    <w:rsid w:val="00D85FC2"/>
    <w:rsid w:val="00D8665C"/>
    <w:rsid w:val="00D90126"/>
    <w:rsid w:val="00D9090D"/>
    <w:rsid w:val="00D90F7B"/>
    <w:rsid w:val="00D91519"/>
    <w:rsid w:val="00D91B3C"/>
    <w:rsid w:val="00D924F4"/>
    <w:rsid w:val="00D92713"/>
    <w:rsid w:val="00D928A6"/>
    <w:rsid w:val="00D92A27"/>
    <w:rsid w:val="00D92DFA"/>
    <w:rsid w:val="00D92EFE"/>
    <w:rsid w:val="00D93008"/>
    <w:rsid w:val="00D9333E"/>
    <w:rsid w:val="00D939D2"/>
    <w:rsid w:val="00D94240"/>
    <w:rsid w:val="00D945CD"/>
    <w:rsid w:val="00D952D6"/>
    <w:rsid w:val="00D957CB"/>
    <w:rsid w:val="00D95852"/>
    <w:rsid w:val="00D97C11"/>
    <w:rsid w:val="00D97E40"/>
    <w:rsid w:val="00DA0405"/>
    <w:rsid w:val="00DA0E94"/>
    <w:rsid w:val="00DA1B28"/>
    <w:rsid w:val="00DA1E1D"/>
    <w:rsid w:val="00DA26EB"/>
    <w:rsid w:val="00DA2B67"/>
    <w:rsid w:val="00DA3523"/>
    <w:rsid w:val="00DA3AB1"/>
    <w:rsid w:val="00DA3AEC"/>
    <w:rsid w:val="00DA3F8F"/>
    <w:rsid w:val="00DA4026"/>
    <w:rsid w:val="00DA5994"/>
    <w:rsid w:val="00DA59B2"/>
    <w:rsid w:val="00DA5CD2"/>
    <w:rsid w:val="00DA66EA"/>
    <w:rsid w:val="00DA6CB3"/>
    <w:rsid w:val="00DA6EC6"/>
    <w:rsid w:val="00DA709F"/>
    <w:rsid w:val="00DB2C49"/>
    <w:rsid w:val="00DB2F83"/>
    <w:rsid w:val="00DB36CD"/>
    <w:rsid w:val="00DB478C"/>
    <w:rsid w:val="00DB57C8"/>
    <w:rsid w:val="00DB5B3E"/>
    <w:rsid w:val="00DB5D1F"/>
    <w:rsid w:val="00DB624B"/>
    <w:rsid w:val="00DB6498"/>
    <w:rsid w:val="00DB73A6"/>
    <w:rsid w:val="00DB75F1"/>
    <w:rsid w:val="00DC03A6"/>
    <w:rsid w:val="00DC0A4A"/>
    <w:rsid w:val="00DC1B0F"/>
    <w:rsid w:val="00DC28A7"/>
    <w:rsid w:val="00DC2BEA"/>
    <w:rsid w:val="00DC356A"/>
    <w:rsid w:val="00DC41D1"/>
    <w:rsid w:val="00DC42C6"/>
    <w:rsid w:val="00DC46E8"/>
    <w:rsid w:val="00DC4EDC"/>
    <w:rsid w:val="00DC5074"/>
    <w:rsid w:val="00DC5251"/>
    <w:rsid w:val="00DC5480"/>
    <w:rsid w:val="00DC56D0"/>
    <w:rsid w:val="00DC5D95"/>
    <w:rsid w:val="00DC6122"/>
    <w:rsid w:val="00DC656F"/>
    <w:rsid w:val="00DC70AD"/>
    <w:rsid w:val="00DC72FD"/>
    <w:rsid w:val="00DC7507"/>
    <w:rsid w:val="00DD00E9"/>
    <w:rsid w:val="00DD1800"/>
    <w:rsid w:val="00DD2B8B"/>
    <w:rsid w:val="00DD307D"/>
    <w:rsid w:val="00DD3814"/>
    <w:rsid w:val="00DD49ED"/>
    <w:rsid w:val="00DD4EEE"/>
    <w:rsid w:val="00DD53E3"/>
    <w:rsid w:val="00DD54A9"/>
    <w:rsid w:val="00DD61D6"/>
    <w:rsid w:val="00DD6F73"/>
    <w:rsid w:val="00DD7019"/>
    <w:rsid w:val="00DD73F7"/>
    <w:rsid w:val="00DD7492"/>
    <w:rsid w:val="00DD7DF3"/>
    <w:rsid w:val="00DD7E66"/>
    <w:rsid w:val="00DE053B"/>
    <w:rsid w:val="00DE0780"/>
    <w:rsid w:val="00DE094C"/>
    <w:rsid w:val="00DE1091"/>
    <w:rsid w:val="00DE1969"/>
    <w:rsid w:val="00DE24FF"/>
    <w:rsid w:val="00DE26CB"/>
    <w:rsid w:val="00DE3011"/>
    <w:rsid w:val="00DE346C"/>
    <w:rsid w:val="00DE43F9"/>
    <w:rsid w:val="00DE44E0"/>
    <w:rsid w:val="00DE4528"/>
    <w:rsid w:val="00DE455D"/>
    <w:rsid w:val="00DE46AD"/>
    <w:rsid w:val="00DE5166"/>
    <w:rsid w:val="00DE5ED1"/>
    <w:rsid w:val="00DE6391"/>
    <w:rsid w:val="00DE6D4F"/>
    <w:rsid w:val="00DF0413"/>
    <w:rsid w:val="00DF2288"/>
    <w:rsid w:val="00DF2317"/>
    <w:rsid w:val="00DF2827"/>
    <w:rsid w:val="00DF34C1"/>
    <w:rsid w:val="00DF37D1"/>
    <w:rsid w:val="00DF4BC6"/>
    <w:rsid w:val="00DF4E44"/>
    <w:rsid w:val="00DF53AD"/>
    <w:rsid w:val="00DF53C4"/>
    <w:rsid w:val="00DF5FCB"/>
    <w:rsid w:val="00DF61BD"/>
    <w:rsid w:val="00DF65B1"/>
    <w:rsid w:val="00DF6F20"/>
    <w:rsid w:val="00DF735B"/>
    <w:rsid w:val="00DF7AD8"/>
    <w:rsid w:val="00DF7E5C"/>
    <w:rsid w:val="00E000EA"/>
    <w:rsid w:val="00E00385"/>
    <w:rsid w:val="00E006F0"/>
    <w:rsid w:val="00E00A3B"/>
    <w:rsid w:val="00E00A7E"/>
    <w:rsid w:val="00E016B8"/>
    <w:rsid w:val="00E028D6"/>
    <w:rsid w:val="00E02EEF"/>
    <w:rsid w:val="00E02FD8"/>
    <w:rsid w:val="00E03C17"/>
    <w:rsid w:val="00E0486D"/>
    <w:rsid w:val="00E04E19"/>
    <w:rsid w:val="00E05345"/>
    <w:rsid w:val="00E0539C"/>
    <w:rsid w:val="00E055F1"/>
    <w:rsid w:val="00E063A2"/>
    <w:rsid w:val="00E063DB"/>
    <w:rsid w:val="00E0696F"/>
    <w:rsid w:val="00E07F82"/>
    <w:rsid w:val="00E1017F"/>
    <w:rsid w:val="00E104F7"/>
    <w:rsid w:val="00E1109A"/>
    <w:rsid w:val="00E1155D"/>
    <w:rsid w:val="00E115AD"/>
    <w:rsid w:val="00E11BBD"/>
    <w:rsid w:val="00E1213A"/>
    <w:rsid w:val="00E12EEF"/>
    <w:rsid w:val="00E134BB"/>
    <w:rsid w:val="00E14284"/>
    <w:rsid w:val="00E146C2"/>
    <w:rsid w:val="00E15389"/>
    <w:rsid w:val="00E156B9"/>
    <w:rsid w:val="00E156E0"/>
    <w:rsid w:val="00E166C1"/>
    <w:rsid w:val="00E16A4A"/>
    <w:rsid w:val="00E16CBD"/>
    <w:rsid w:val="00E17955"/>
    <w:rsid w:val="00E17B97"/>
    <w:rsid w:val="00E17F26"/>
    <w:rsid w:val="00E20204"/>
    <w:rsid w:val="00E2039B"/>
    <w:rsid w:val="00E20A21"/>
    <w:rsid w:val="00E20B42"/>
    <w:rsid w:val="00E214FD"/>
    <w:rsid w:val="00E21D45"/>
    <w:rsid w:val="00E22CE8"/>
    <w:rsid w:val="00E22D32"/>
    <w:rsid w:val="00E22EE6"/>
    <w:rsid w:val="00E235B7"/>
    <w:rsid w:val="00E24004"/>
    <w:rsid w:val="00E249C2"/>
    <w:rsid w:val="00E24A00"/>
    <w:rsid w:val="00E24D92"/>
    <w:rsid w:val="00E25AC8"/>
    <w:rsid w:val="00E26119"/>
    <w:rsid w:val="00E2706A"/>
    <w:rsid w:val="00E2706B"/>
    <w:rsid w:val="00E275EF"/>
    <w:rsid w:val="00E279C9"/>
    <w:rsid w:val="00E30071"/>
    <w:rsid w:val="00E3035D"/>
    <w:rsid w:val="00E30AE1"/>
    <w:rsid w:val="00E30B0B"/>
    <w:rsid w:val="00E31CC9"/>
    <w:rsid w:val="00E31FDB"/>
    <w:rsid w:val="00E322DB"/>
    <w:rsid w:val="00E327AE"/>
    <w:rsid w:val="00E32A1B"/>
    <w:rsid w:val="00E33B24"/>
    <w:rsid w:val="00E35BA6"/>
    <w:rsid w:val="00E375DD"/>
    <w:rsid w:val="00E37740"/>
    <w:rsid w:val="00E405D4"/>
    <w:rsid w:val="00E42075"/>
    <w:rsid w:val="00E420C6"/>
    <w:rsid w:val="00E420D7"/>
    <w:rsid w:val="00E420F8"/>
    <w:rsid w:val="00E420FF"/>
    <w:rsid w:val="00E42168"/>
    <w:rsid w:val="00E42240"/>
    <w:rsid w:val="00E42906"/>
    <w:rsid w:val="00E42C46"/>
    <w:rsid w:val="00E4312D"/>
    <w:rsid w:val="00E43312"/>
    <w:rsid w:val="00E43373"/>
    <w:rsid w:val="00E43529"/>
    <w:rsid w:val="00E455A0"/>
    <w:rsid w:val="00E45778"/>
    <w:rsid w:val="00E45797"/>
    <w:rsid w:val="00E46E8E"/>
    <w:rsid w:val="00E47054"/>
    <w:rsid w:val="00E47ADE"/>
    <w:rsid w:val="00E502BF"/>
    <w:rsid w:val="00E50495"/>
    <w:rsid w:val="00E507CA"/>
    <w:rsid w:val="00E52BD0"/>
    <w:rsid w:val="00E52BF9"/>
    <w:rsid w:val="00E53195"/>
    <w:rsid w:val="00E54144"/>
    <w:rsid w:val="00E5585E"/>
    <w:rsid w:val="00E5615E"/>
    <w:rsid w:val="00E566A1"/>
    <w:rsid w:val="00E603A7"/>
    <w:rsid w:val="00E60886"/>
    <w:rsid w:val="00E617D2"/>
    <w:rsid w:val="00E62C49"/>
    <w:rsid w:val="00E62CC5"/>
    <w:rsid w:val="00E63A66"/>
    <w:rsid w:val="00E64D65"/>
    <w:rsid w:val="00E659D3"/>
    <w:rsid w:val="00E65D37"/>
    <w:rsid w:val="00E65E42"/>
    <w:rsid w:val="00E66529"/>
    <w:rsid w:val="00E66988"/>
    <w:rsid w:val="00E66E09"/>
    <w:rsid w:val="00E673BD"/>
    <w:rsid w:val="00E678BF"/>
    <w:rsid w:val="00E67AA1"/>
    <w:rsid w:val="00E70C1B"/>
    <w:rsid w:val="00E71581"/>
    <w:rsid w:val="00E71801"/>
    <w:rsid w:val="00E71A5E"/>
    <w:rsid w:val="00E72012"/>
    <w:rsid w:val="00E72494"/>
    <w:rsid w:val="00E7249F"/>
    <w:rsid w:val="00E72E6C"/>
    <w:rsid w:val="00E739E2"/>
    <w:rsid w:val="00E73C05"/>
    <w:rsid w:val="00E741DF"/>
    <w:rsid w:val="00E75820"/>
    <w:rsid w:val="00E762EC"/>
    <w:rsid w:val="00E763B4"/>
    <w:rsid w:val="00E7681F"/>
    <w:rsid w:val="00E76F78"/>
    <w:rsid w:val="00E77F32"/>
    <w:rsid w:val="00E803CA"/>
    <w:rsid w:val="00E8071A"/>
    <w:rsid w:val="00E80B6B"/>
    <w:rsid w:val="00E81314"/>
    <w:rsid w:val="00E81457"/>
    <w:rsid w:val="00E817FC"/>
    <w:rsid w:val="00E819E9"/>
    <w:rsid w:val="00E81B21"/>
    <w:rsid w:val="00E81D77"/>
    <w:rsid w:val="00E81E71"/>
    <w:rsid w:val="00E82763"/>
    <w:rsid w:val="00E828C1"/>
    <w:rsid w:val="00E8300E"/>
    <w:rsid w:val="00E8396A"/>
    <w:rsid w:val="00E83F91"/>
    <w:rsid w:val="00E84AFE"/>
    <w:rsid w:val="00E84BEE"/>
    <w:rsid w:val="00E8504E"/>
    <w:rsid w:val="00E856F6"/>
    <w:rsid w:val="00E858F0"/>
    <w:rsid w:val="00E85CF2"/>
    <w:rsid w:val="00E86052"/>
    <w:rsid w:val="00E902F9"/>
    <w:rsid w:val="00E916CD"/>
    <w:rsid w:val="00E92E67"/>
    <w:rsid w:val="00E93A0C"/>
    <w:rsid w:val="00E93D6F"/>
    <w:rsid w:val="00E94375"/>
    <w:rsid w:val="00E9494D"/>
    <w:rsid w:val="00E95A18"/>
    <w:rsid w:val="00E95D11"/>
    <w:rsid w:val="00E96255"/>
    <w:rsid w:val="00E97AD3"/>
    <w:rsid w:val="00E97D6C"/>
    <w:rsid w:val="00EA078E"/>
    <w:rsid w:val="00EA07CF"/>
    <w:rsid w:val="00EA11FD"/>
    <w:rsid w:val="00EA14E0"/>
    <w:rsid w:val="00EA1FD1"/>
    <w:rsid w:val="00EA2C5B"/>
    <w:rsid w:val="00EA4287"/>
    <w:rsid w:val="00EA44E4"/>
    <w:rsid w:val="00EA45E1"/>
    <w:rsid w:val="00EA4E36"/>
    <w:rsid w:val="00EA4F3D"/>
    <w:rsid w:val="00EA5C52"/>
    <w:rsid w:val="00EA5DCE"/>
    <w:rsid w:val="00EA63B8"/>
    <w:rsid w:val="00EA70E3"/>
    <w:rsid w:val="00EA73F4"/>
    <w:rsid w:val="00EA7555"/>
    <w:rsid w:val="00EA789D"/>
    <w:rsid w:val="00EB03EE"/>
    <w:rsid w:val="00EB0553"/>
    <w:rsid w:val="00EB34CA"/>
    <w:rsid w:val="00EB37E1"/>
    <w:rsid w:val="00EB38F6"/>
    <w:rsid w:val="00EB38FE"/>
    <w:rsid w:val="00EB3973"/>
    <w:rsid w:val="00EB3C77"/>
    <w:rsid w:val="00EB3E69"/>
    <w:rsid w:val="00EB4307"/>
    <w:rsid w:val="00EB4F14"/>
    <w:rsid w:val="00EB4FB7"/>
    <w:rsid w:val="00EB572E"/>
    <w:rsid w:val="00EB57C4"/>
    <w:rsid w:val="00EB57F5"/>
    <w:rsid w:val="00EB5A80"/>
    <w:rsid w:val="00EB5B37"/>
    <w:rsid w:val="00EB6670"/>
    <w:rsid w:val="00EB6D94"/>
    <w:rsid w:val="00EB6F02"/>
    <w:rsid w:val="00EC06FB"/>
    <w:rsid w:val="00EC2226"/>
    <w:rsid w:val="00EC252F"/>
    <w:rsid w:val="00EC2DA9"/>
    <w:rsid w:val="00EC3CA5"/>
    <w:rsid w:val="00EC49A8"/>
    <w:rsid w:val="00EC58DD"/>
    <w:rsid w:val="00EC5C49"/>
    <w:rsid w:val="00EC600B"/>
    <w:rsid w:val="00EC612D"/>
    <w:rsid w:val="00EC65FE"/>
    <w:rsid w:val="00EC6A4C"/>
    <w:rsid w:val="00EC6B0A"/>
    <w:rsid w:val="00EC6CAD"/>
    <w:rsid w:val="00EC6D96"/>
    <w:rsid w:val="00EC7A20"/>
    <w:rsid w:val="00ED0D7D"/>
    <w:rsid w:val="00ED0DC3"/>
    <w:rsid w:val="00ED1023"/>
    <w:rsid w:val="00ED1307"/>
    <w:rsid w:val="00ED2C3A"/>
    <w:rsid w:val="00ED2D76"/>
    <w:rsid w:val="00ED349F"/>
    <w:rsid w:val="00ED3B3E"/>
    <w:rsid w:val="00ED455B"/>
    <w:rsid w:val="00ED4584"/>
    <w:rsid w:val="00ED55F7"/>
    <w:rsid w:val="00ED5969"/>
    <w:rsid w:val="00ED6713"/>
    <w:rsid w:val="00ED67D8"/>
    <w:rsid w:val="00ED6810"/>
    <w:rsid w:val="00ED6DC9"/>
    <w:rsid w:val="00ED755B"/>
    <w:rsid w:val="00ED7565"/>
    <w:rsid w:val="00ED7B9E"/>
    <w:rsid w:val="00EE233B"/>
    <w:rsid w:val="00EE2BCE"/>
    <w:rsid w:val="00EE2E2C"/>
    <w:rsid w:val="00EE35D8"/>
    <w:rsid w:val="00EE3821"/>
    <w:rsid w:val="00EE3D52"/>
    <w:rsid w:val="00EE45B8"/>
    <w:rsid w:val="00EE4809"/>
    <w:rsid w:val="00EE4D37"/>
    <w:rsid w:val="00EE4D77"/>
    <w:rsid w:val="00EE5EF4"/>
    <w:rsid w:val="00EE665A"/>
    <w:rsid w:val="00EE6C4A"/>
    <w:rsid w:val="00EE77F7"/>
    <w:rsid w:val="00EE7FF8"/>
    <w:rsid w:val="00EF0777"/>
    <w:rsid w:val="00EF0C51"/>
    <w:rsid w:val="00EF1621"/>
    <w:rsid w:val="00EF30BA"/>
    <w:rsid w:val="00EF3515"/>
    <w:rsid w:val="00EF4088"/>
    <w:rsid w:val="00EF479F"/>
    <w:rsid w:val="00EF4CA6"/>
    <w:rsid w:val="00EF532C"/>
    <w:rsid w:val="00EF5C43"/>
    <w:rsid w:val="00EF6238"/>
    <w:rsid w:val="00EF6484"/>
    <w:rsid w:val="00EF6C8F"/>
    <w:rsid w:val="00EF6E9F"/>
    <w:rsid w:val="00EF73D4"/>
    <w:rsid w:val="00EF78C7"/>
    <w:rsid w:val="00EF7CD8"/>
    <w:rsid w:val="00F00CFF"/>
    <w:rsid w:val="00F01739"/>
    <w:rsid w:val="00F0181D"/>
    <w:rsid w:val="00F0185B"/>
    <w:rsid w:val="00F02E07"/>
    <w:rsid w:val="00F0316B"/>
    <w:rsid w:val="00F03199"/>
    <w:rsid w:val="00F039B8"/>
    <w:rsid w:val="00F0515A"/>
    <w:rsid w:val="00F0524B"/>
    <w:rsid w:val="00F0637D"/>
    <w:rsid w:val="00F066D6"/>
    <w:rsid w:val="00F0764A"/>
    <w:rsid w:val="00F07A2A"/>
    <w:rsid w:val="00F07C22"/>
    <w:rsid w:val="00F106BE"/>
    <w:rsid w:val="00F10D42"/>
    <w:rsid w:val="00F11F02"/>
    <w:rsid w:val="00F1220A"/>
    <w:rsid w:val="00F1334E"/>
    <w:rsid w:val="00F1459A"/>
    <w:rsid w:val="00F148CC"/>
    <w:rsid w:val="00F14D2E"/>
    <w:rsid w:val="00F14D87"/>
    <w:rsid w:val="00F155AC"/>
    <w:rsid w:val="00F155C3"/>
    <w:rsid w:val="00F1623A"/>
    <w:rsid w:val="00F1639C"/>
    <w:rsid w:val="00F163FD"/>
    <w:rsid w:val="00F1657D"/>
    <w:rsid w:val="00F16657"/>
    <w:rsid w:val="00F16751"/>
    <w:rsid w:val="00F16995"/>
    <w:rsid w:val="00F17A23"/>
    <w:rsid w:val="00F17F56"/>
    <w:rsid w:val="00F20194"/>
    <w:rsid w:val="00F21021"/>
    <w:rsid w:val="00F21A09"/>
    <w:rsid w:val="00F21D1A"/>
    <w:rsid w:val="00F22769"/>
    <w:rsid w:val="00F22999"/>
    <w:rsid w:val="00F23C31"/>
    <w:rsid w:val="00F2437B"/>
    <w:rsid w:val="00F253A9"/>
    <w:rsid w:val="00F259D3"/>
    <w:rsid w:val="00F260A2"/>
    <w:rsid w:val="00F26168"/>
    <w:rsid w:val="00F2655C"/>
    <w:rsid w:val="00F26812"/>
    <w:rsid w:val="00F2729E"/>
    <w:rsid w:val="00F27E48"/>
    <w:rsid w:val="00F33AAB"/>
    <w:rsid w:val="00F35DA9"/>
    <w:rsid w:val="00F36A33"/>
    <w:rsid w:val="00F373CA"/>
    <w:rsid w:val="00F37956"/>
    <w:rsid w:val="00F40634"/>
    <w:rsid w:val="00F43FAA"/>
    <w:rsid w:val="00F44F2D"/>
    <w:rsid w:val="00F45A7A"/>
    <w:rsid w:val="00F45D88"/>
    <w:rsid w:val="00F45E5A"/>
    <w:rsid w:val="00F461D9"/>
    <w:rsid w:val="00F4697D"/>
    <w:rsid w:val="00F46E6C"/>
    <w:rsid w:val="00F470F1"/>
    <w:rsid w:val="00F478F2"/>
    <w:rsid w:val="00F50AB6"/>
    <w:rsid w:val="00F50EA9"/>
    <w:rsid w:val="00F51CE9"/>
    <w:rsid w:val="00F529CF"/>
    <w:rsid w:val="00F53344"/>
    <w:rsid w:val="00F5334D"/>
    <w:rsid w:val="00F53C92"/>
    <w:rsid w:val="00F54357"/>
    <w:rsid w:val="00F5461C"/>
    <w:rsid w:val="00F54C65"/>
    <w:rsid w:val="00F55A80"/>
    <w:rsid w:val="00F55D3C"/>
    <w:rsid w:val="00F55F79"/>
    <w:rsid w:val="00F568AA"/>
    <w:rsid w:val="00F56F66"/>
    <w:rsid w:val="00F570D3"/>
    <w:rsid w:val="00F5780D"/>
    <w:rsid w:val="00F578BF"/>
    <w:rsid w:val="00F57BEB"/>
    <w:rsid w:val="00F6058E"/>
    <w:rsid w:val="00F6074D"/>
    <w:rsid w:val="00F610ED"/>
    <w:rsid w:val="00F6135E"/>
    <w:rsid w:val="00F62158"/>
    <w:rsid w:val="00F6352A"/>
    <w:rsid w:val="00F63AF8"/>
    <w:rsid w:val="00F63DF2"/>
    <w:rsid w:val="00F651EC"/>
    <w:rsid w:val="00F652E8"/>
    <w:rsid w:val="00F65561"/>
    <w:rsid w:val="00F66B4D"/>
    <w:rsid w:val="00F66C8B"/>
    <w:rsid w:val="00F66CB8"/>
    <w:rsid w:val="00F67026"/>
    <w:rsid w:val="00F674C2"/>
    <w:rsid w:val="00F7016C"/>
    <w:rsid w:val="00F70525"/>
    <w:rsid w:val="00F710C7"/>
    <w:rsid w:val="00F71410"/>
    <w:rsid w:val="00F7163E"/>
    <w:rsid w:val="00F73688"/>
    <w:rsid w:val="00F74B46"/>
    <w:rsid w:val="00F7522E"/>
    <w:rsid w:val="00F75658"/>
    <w:rsid w:val="00F75B08"/>
    <w:rsid w:val="00F75B19"/>
    <w:rsid w:val="00F75DF0"/>
    <w:rsid w:val="00F75F0B"/>
    <w:rsid w:val="00F7602C"/>
    <w:rsid w:val="00F80764"/>
    <w:rsid w:val="00F80F9A"/>
    <w:rsid w:val="00F8169E"/>
    <w:rsid w:val="00F81DC8"/>
    <w:rsid w:val="00F81ECE"/>
    <w:rsid w:val="00F82AF7"/>
    <w:rsid w:val="00F82E5E"/>
    <w:rsid w:val="00F82FD5"/>
    <w:rsid w:val="00F83BAE"/>
    <w:rsid w:val="00F844C2"/>
    <w:rsid w:val="00F846A2"/>
    <w:rsid w:val="00F84713"/>
    <w:rsid w:val="00F8549D"/>
    <w:rsid w:val="00F858B1"/>
    <w:rsid w:val="00F859E5"/>
    <w:rsid w:val="00F85DBF"/>
    <w:rsid w:val="00F85F01"/>
    <w:rsid w:val="00F85F65"/>
    <w:rsid w:val="00F8782C"/>
    <w:rsid w:val="00F878CD"/>
    <w:rsid w:val="00F912BC"/>
    <w:rsid w:val="00F91D87"/>
    <w:rsid w:val="00F925C0"/>
    <w:rsid w:val="00F9293D"/>
    <w:rsid w:val="00F92E8A"/>
    <w:rsid w:val="00F9452C"/>
    <w:rsid w:val="00F9604A"/>
    <w:rsid w:val="00F9695C"/>
    <w:rsid w:val="00F96F41"/>
    <w:rsid w:val="00F97176"/>
    <w:rsid w:val="00F97727"/>
    <w:rsid w:val="00FA01F6"/>
    <w:rsid w:val="00FA0784"/>
    <w:rsid w:val="00FA0922"/>
    <w:rsid w:val="00FA0B9A"/>
    <w:rsid w:val="00FA0DB7"/>
    <w:rsid w:val="00FA1326"/>
    <w:rsid w:val="00FA14F2"/>
    <w:rsid w:val="00FA194D"/>
    <w:rsid w:val="00FA1A9F"/>
    <w:rsid w:val="00FA1DB4"/>
    <w:rsid w:val="00FA1E69"/>
    <w:rsid w:val="00FA21DE"/>
    <w:rsid w:val="00FA23BA"/>
    <w:rsid w:val="00FA2916"/>
    <w:rsid w:val="00FA317C"/>
    <w:rsid w:val="00FA3C9C"/>
    <w:rsid w:val="00FA4C31"/>
    <w:rsid w:val="00FA513D"/>
    <w:rsid w:val="00FA6667"/>
    <w:rsid w:val="00FA672C"/>
    <w:rsid w:val="00FA7078"/>
    <w:rsid w:val="00FA7237"/>
    <w:rsid w:val="00FA7280"/>
    <w:rsid w:val="00FA7346"/>
    <w:rsid w:val="00FA7F66"/>
    <w:rsid w:val="00FB0FCA"/>
    <w:rsid w:val="00FB12BB"/>
    <w:rsid w:val="00FB14B0"/>
    <w:rsid w:val="00FB16C3"/>
    <w:rsid w:val="00FB1F8C"/>
    <w:rsid w:val="00FB27E6"/>
    <w:rsid w:val="00FB2FF4"/>
    <w:rsid w:val="00FB2FF5"/>
    <w:rsid w:val="00FB3645"/>
    <w:rsid w:val="00FB3BD8"/>
    <w:rsid w:val="00FB3FE7"/>
    <w:rsid w:val="00FB48AD"/>
    <w:rsid w:val="00FB51E4"/>
    <w:rsid w:val="00FB58AA"/>
    <w:rsid w:val="00FB59A4"/>
    <w:rsid w:val="00FB5A64"/>
    <w:rsid w:val="00FB6026"/>
    <w:rsid w:val="00FC01EE"/>
    <w:rsid w:val="00FC0497"/>
    <w:rsid w:val="00FC0F9A"/>
    <w:rsid w:val="00FC173B"/>
    <w:rsid w:val="00FC2313"/>
    <w:rsid w:val="00FC2AD7"/>
    <w:rsid w:val="00FC2BED"/>
    <w:rsid w:val="00FC30B0"/>
    <w:rsid w:val="00FC3195"/>
    <w:rsid w:val="00FC324D"/>
    <w:rsid w:val="00FC4880"/>
    <w:rsid w:val="00FC4EEE"/>
    <w:rsid w:val="00FC54F0"/>
    <w:rsid w:val="00FC5848"/>
    <w:rsid w:val="00FC5A6A"/>
    <w:rsid w:val="00FC6D06"/>
    <w:rsid w:val="00FC6E86"/>
    <w:rsid w:val="00FC7207"/>
    <w:rsid w:val="00FC724F"/>
    <w:rsid w:val="00FC7524"/>
    <w:rsid w:val="00FC754D"/>
    <w:rsid w:val="00FC7737"/>
    <w:rsid w:val="00FC79D4"/>
    <w:rsid w:val="00FD0D9A"/>
    <w:rsid w:val="00FD1140"/>
    <w:rsid w:val="00FD1A5D"/>
    <w:rsid w:val="00FD1CC8"/>
    <w:rsid w:val="00FD23EE"/>
    <w:rsid w:val="00FD2AA4"/>
    <w:rsid w:val="00FD339C"/>
    <w:rsid w:val="00FD35BB"/>
    <w:rsid w:val="00FD3C71"/>
    <w:rsid w:val="00FD437C"/>
    <w:rsid w:val="00FD4938"/>
    <w:rsid w:val="00FD4CCA"/>
    <w:rsid w:val="00FD5566"/>
    <w:rsid w:val="00FD576F"/>
    <w:rsid w:val="00FD6D26"/>
    <w:rsid w:val="00FD7A2A"/>
    <w:rsid w:val="00FD7A93"/>
    <w:rsid w:val="00FD7EAF"/>
    <w:rsid w:val="00FE11F3"/>
    <w:rsid w:val="00FE2141"/>
    <w:rsid w:val="00FE2B59"/>
    <w:rsid w:val="00FE2F13"/>
    <w:rsid w:val="00FE336B"/>
    <w:rsid w:val="00FE3578"/>
    <w:rsid w:val="00FE391F"/>
    <w:rsid w:val="00FE46E3"/>
    <w:rsid w:val="00FE4D12"/>
    <w:rsid w:val="00FE6904"/>
    <w:rsid w:val="00FE6AB2"/>
    <w:rsid w:val="00FE6DA5"/>
    <w:rsid w:val="00FE70B1"/>
    <w:rsid w:val="00FE735B"/>
    <w:rsid w:val="00FE7B8A"/>
    <w:rsid w:val="00FF0926"/>
    <w:rsid w:val="00FF0E71"/>
    <w:rsid w:val="00FF0EDF"/>
    <w:rsid w:val="00FF0F15"/>
    <w:rsid w:val="00FF16B1"/>
    <w:rsid w:val="00FF18E3"/>
    <w:rsid w:val="00FF1989"/>
    <w:rsid w:val="00FF2B45"/>
    <w:rsid w:val="00FF30D6"/>
    <w:rsid w:val="00FF393D"/>
    <w:rsid w:val="00FF3EBF"/>
    <w:rsid w:val="00FF47E7"/>
    <w:rsid w:val="00FF6441"/>
    <w:rsid w:val="00FF6825"/>
    <w:rsid w:val="00FF6C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9A8FF2-E0C7-4533-BC96-A7CDA0A6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3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B48CE"/>
  </w:style>
  <w:style w:type="character" w:customStyle="1" w:styleId="FootnoteTextChar">
    <w:name w:val="Footnote Text Char"/>
    <w:basedOn w:val="DefaultParagraphFont"/>
    <w:link w:val="FootnoteText"/>
    <w:uiPriority w:val="99"/>
    <w:rsid w:val="003B48CE"/>
    <w:rPr>
      <w:rFonts w:ascii="Times New Roman" w:hAnsi="Times New Roman"/>
    </w:rPr>
  </w:style>
  <w:style w:type="character" w:styleId="FootnoteReference">
    <w:name w:val="footnote reference"/>
    <w:basedOn w:val="DefaultParagraphFont"/>
    <w:uiPriority w:val="99"/>
    <w:semiHidden/>
    <w:unhideWhenUsed/>
    <w:rsid w:val="003B48CE"/>
    <w:rPr>
      <w:vertAlign w:val="superscript"/>
    </w:rPr>
  </w:style>
  <w:style w:type="paragraph" w:styleId="ListParagraph">
    <w:name w:val="List Paragraph"/>
    <w:basedOn w:val="Normal"/>
    <w:uiPriority w:val="34"/>
    <w:qFormat/>
    <w:rsid w:val="009E4ED4"/>
    <w:pPr>
      <w:ind w:left="720"/>
      <w:contextualSpacing/>
    </w:pPr>
  </w:style>
  <w:style w:type="paragraph" w:styleId="Footer">
    <w:name w:val="footer"/>
    <w:basedOn w:val="Normal"/>
    <w:link w:val="FooterChar"/>
    <w:uiPriority w:val="99"/>
    <w:semiHidden/>
    <w:unhideWhenUsed/>
    <w:rsid w:val="00C45712"/>
    <w:pPr>
      <w:tabs>
        <w:tab w:val="center" w:pos="4320"/>
        <w:tab w:val="right" w:pos="8640"/>
      </w:tabs>
    </w:pPr>
  </w:style>
  <w:style w:type="character" w:customStyle="1" w:styleId="FooterChar">
    <w:name w:val="Footer Char"/>
    <w:basedOn w:val="DefaultParagraphFont"/>
    <w:link w:val="Footer"/>
    <w:uiPriority w:val="99"/>
    <w:semiHidden/>
    <w:rsid w:val="00C45712"/>
    <w:rPr>
      <w:rFonts w:ascii="Times New Roman" w:hAnsi="Times New Roman"/>
    </w:rPr>
  </w:style>
  <w:style w:type="character" w:styleId="PageNumber">
    <w:name w:val="page number"/>
    <w:basedOn w:val="DefaultParagraphFont"/>
    <w:uiPriority w:val="99"/>
    <w:semiHidden/>
    <w:unhideWhenUsed/>
    <w:rsid w:val="00C45712"/>
  </w:style>
  <w:style w:type="character" w:styleId="Hyperlink">
    <w:name w:val="Hyperlink"/>
    <w:basedOn w:val="DefaultParagraphFont"/>
    <w:uiPriority w:val="99"/>
    <w:semiHidden/>
    <w:unhideWhenUsed/>
    <w:rsid w:val="00070927"/>
    <w:rPr>
      <w:color w:val="0000FF" w:themeColor="hyperlink"/>
      <w:u w:val="single"/>
    </w:rPr>
  </w:style>
  <w:style w:type="paragraph" w:styleId="Header">
    <w:name w:val="header"/>
    <w:basedOn w:val="Normal"/>
    <w:link w:val="HeaderChar"/>
    <w:uiPriority w:val="99"/>
    <w:semiHidden/>
    <w:unhideWhenUsed/>
    <w:rsid w:val="004066BF"/>
    <w:pPr>
      <w:tabs>
        <w:tab w:val="center" w:pos="4320"/>
        <w:tab w:val="right" w:pos="8640"/>
      </w:tabs>
    </w:pPr>
  </w:style>
  <w:style w:type="character" w:customStyle="1" w:styleId="HeaderChar">
    <w:name w:val="Header Char"/>
    <w:basedOn w:val="DefaultParagraphFont"/>
    <w:link w:val="Header"/>
    <w:uiPriority w:val="99"/>
    <w:semiHidden/>
    <w:rsid w:val="004066BF"/>
    <w:rPr>
      <w:rFonts w:ascii="Times New Roman" w:hAnsi="Times New Roman"/>
    </w:rPr>
  </w:style>
  <w:style w:type="character" w:styleId="FollowedHyperlink">
    <w:name w:val="FollowedHyperlink"/>
    <w:basedOn w:val="DefaultParagraphFont"/>
    <w:rsid w:val="00C53C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s.justice.gc.ca/eng/" TargetMode="External"/><Relationship Id="rId13" Type="http://schemas.openxmlformats.org/officeDocument/2006/relationships/hyperlink" Target="http://www.parl.gc.ca/procedure-book-livre/Document.aspx?sbdid=519E5B2B-A6FF-49E1-B5C4-FE9BA384E253&amp;sbpidx=1&amp;Language=E&amp;Mode=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arl.gc.ca/Content/LOP/ResearchPublications/ls412-e.htm" TargetMode="External"/><Relationship Id="rId17" Type="http://schemas.openxmlformats.org/officeDocument/2006/relationships/hyperlink" Target="http://www.tbs-sct.gc.ca/rtrap-parfa/gfrpg-gperf/gfrpg-gperftb-eng.asp" TargetMode="External"/><Relationship Id="rId2" Type="http://schemas.openxmlformats.org/officeDocument/2006/relationships/numbering" Target="numbering.xml"/><Relationship Id="rId16" Type="http://schemas.openxmlformats.org/officeDocument/2006/relationships/hyperlink" Target="http://www.tbs-sct.gc.ca/rtrap-parfa/cdrm-dcgr/cdrm-dcgrtb-eng.as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c.edu/media/lucedu/prolaw/documents/AITKEN%20FINAL%20ARTICLE.pdf" TargetMode="External"/><Relationship Id="rId5" Type="http://schemas.openxmlformats.org/officeDocument/2006/relationships/webSettings" Target="webSettings.xml"/><Relationship Id="rId15" Type="http://schemas.openxmlformats.org/officeDocument/2006/relationships/hyperlink" Target="http://www.tbs-sct.gc.ca/rtrap-parfa/erc-cer/erc-cer01-eng.asp" TargetMode="External"/><Relationship Id="rId10" Type="http://schemas.openxmlformats.org/officeDocument/2006/relationships/hyperlink" Target="http://www.forces.gc.ca/en/about-policies-standards-queens-regulations-orders/amendment-list.pag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mac-cacm.ca/business/military_law1-eng.shtml" TargetMode="External"/><Relationship Id="rId14" Type="http://schemas.openxmlformats.org/officeDocument/2006/relationships/hyperlink" Target="http://www.pco.gc.ca/index.asp?lang=eng&amp;page=information&amp;sub=publications&amp;doc=legislation/cabdir-dircab-eng.htm%20"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statutelaw.gov.uk/documents/1982/11/ukpga" TargetMode="External"/><Relationship Id="rId13" Type="http://schemas.openxmlformats.org/officeDocument/2006/relationships/hyperlink" Target="http://laws.justice.gc.ca/eng/" TargetMode="External"/><Relationship Id="rId3" Type="http://schemas.openxmlformats.org/officeDocument/2006/relationships/hyperlink" Target="http://www.tbs-sct.gc.ca/rtrap-parfa/gfrpg-gperf/gfrpg-gperftb-eng.asp" TargetMode="External"/><Relationship Id="rId7" Type="http://schemas.openxmlformats.org/officeDocument/2006/relationships/hyperlink" Target="http://www.tbs-sct.gc.ca/tbs-sct/abu-ans/tbs-sct/abu-ans-eng.asp" TargetMode="External"/><Relationship Id="rId12" Type="http://schemas.openxmlformats.org/officeDocument/2006/relationships/hyperlink" Target="http://www.pco.gc.ca/index.asp?lang=eng&amp;page=information&amp;sub=publications&amp;doc=legislation/cabdir-dircab-eng.htm%20" TargetMode="External"/><Relationship Id="rId2" Type="http://schemas.openxmlformats.org/officeDocument/2006/relationships/hyperlink" Target="http://www.parl.gc.ca/Content/LOP/ResearchPublications/ls412-e.htm" TargetMode="External"/><Relationship Id="rId1" Type="http://schemas.openxmlformats.org/officeDocument/2006/relationships/hyperlink" Target="http://www.tbs-sct.gc.ca/rtrap-parfa/cdrm-dcgr/cdrm-dcgrtb-eng.asp" TargetMode="External"/><Relationship Id="rId6" Type="http://schemas.openxmlformats.org/officeDocument/2006/relationships/hyperlink" Target="http://www.luc.edu/media/lucedu/prolaw/documents/AITKEN%20FINAL%20ARTICLE.pdf" TargetMode="External"/><Relationship Id="rId11" Type="http://schemas.openxmlformats.org/officeDocument/2006/relationships/hyperlink" Target="http://www.cmac-cacm.ca/business/military_law1-eng.shtml" TargetMode="External"/><Relationship Id="rId5" Type="http://schemas.openxmlformats.org/officeDocument/2006/relationships/hyperlink" Target="http://www.forces.gc.ca/en/about-policies-standards-queens-regulations-orders/index.page" TargetMode="External"/><Relationship Id="rId10" Type="http://schemas.openxmlformats.org/officeDocument/2006/relationships/hyperlink" Target="http://www.tbs-sct.gc.ca/rtrap-parfa/erc-cer/erc-cer01-eng.asp" TargetMode="External"/><Relationship Id="rId4" Type="http://schemas.openxmlformats.org/officeDocument/2006/relationships/hyperlink" Target="http://www.tbs-sct.gc.ca/tbs-sct/abu-ans/tb-ct/abu-ans-eng.asp" TargetMode="External"/><Relationship Id="rId9" Type="http://schemas.openxmlformats.org/officeDocument/2006/relationships/hyperlink" Target="http://www.parl.gc.ca/procedure-book-livre/Document.aspx?sbdid=519E5B2B-A6FF-49E1-B5C4-FE9BA384E253&amp;sbpidx=1&amp;Language=E&amp;Mode=1" TargetMode="External"/><Relationship Id="rId14" Type="http://schemas.openxmlformats.org/officeDocument/2006/relationships/hyperlink" Target="http://www.forces.gc.ca/en/about-policies-standards-queens-regulations-orders/amendment-list.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9C5BD-4EE9-41CF-88CB-91C185454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11176</Words>
  <Characters>63705</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University of London</Company>
  <LinksUpToDate>false</LinksUpToDate>
  <CharactersWithSpaces>74732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Wry</dc:creator>
  <cp:keywords/>
  <cp:lastModifiedBy>Ivan Leonidov</cp:lastModifiedBy>
  <cp:revision>2</cp:revision>
  <cp:lastPrinted>2015-08-24T13:16:00Z</cp:lastPrinted>
  <dcterms:created xsi:type="dcterms:W3CDTF">2016-03-09T10:20:00Z</dcterms:created>
  <dcterms:modified xsi:type="dcterms:W3CDTF">2016-03-09T10:20:00Z</dcterms:modified>
</cp:coreProperties>
</file>