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68" w:rsidRDefault="00F74968">
      <w:pPr>
        <w:rPr>
          <w:noProof/>
        </w:rPr>
      </w:pPr>
    </w:p>
    <w:p w:rsidR="00C76BF5" w:rsidRDefault="00D562B1" w:rsidP="00D562B1">
      <w:pPr>
        <w:pStyle w:val="Heading5"/>
        <w:rPr>
          <w:sz w:val="52"/>
          <w:szCs w:val="52"/>
        </w:rPr>
      </w:pPr>
      <w:r>
        <w:rPr>
          <w:sz w:val="52"/>
          <w:szCs w:val="52"/>
        </w:rPr>
        <w:t>I</w:t>
      </w:r>
      <w:r w:rsidR="00C76BF5">
        <w:rPr>
          <w:sz w:val="52"/>
          <w:szCs w:val="52"/>
        </w:rPr>
        <w:t>nstitute of Advanced</w:t>
      </w:r>
    </w:p>
    <w:p w:rsidR="00D562B1" w:rsidRDefault="00C76BF5" w:rsidP="00D562B1">
      <w:pPr>
        <w:pStyle w:val="Heading5"/>
        <w:rPr>
          <w:sz w:val="52"/>
          <w:szCs w:val="52"/>
        </w:rPr>
      </w:pPr>
      <w:r>
        <w:rPr>
          <w:sz w:val="52"/>
          <w:szCs w:val="52"/>
        </w:rPr>
        <w:t>Legal Studies</w:t>
      </w:r>
    </w:p>
    <w:p w:rsidR="00D562B1" w:rsidRDefault="00D562B1" w:rsidP="00D562B1">
      <w:pPr>
        <w:pStyle w:val="Heading5"/>
        <w:rPr>
          <w:sz w:val="52"/>
          <w:szCs w:val="52"/>
        </w:rPr>
      </w:pPr>
    </w:p>
    <w:p w:rsidR="00D562B1" w:rsidRDefault="00D562B1" w:rsidP="00D562B1">
      <w:pPr>
        <w:pStyle w:val="Heading5"/>
        <w:rPr>
          <w:sz w:val="52"/>
          <w:szCs w:val="52"/>
        </w:rPr>
      </w:pPr>
    </w:p>
    <w:p w:rsidR="00D562B1" w:rsidRDefault="00D562B1" w:rsidP="00D562B1"/>
    <w:p w:rsidR="00D562B1" w:rsidRDefault="00D562B1" w:rsidP="00D562B1"/>
    <w:p w:rsidR="00D562B1" w:rsidRDefault="00D562B1" w:rsidP="00D562B1"/>
    <w:p w:rsidR="00D562B1" w:rsidRDefault="00D562B1" w:rsidP="00D562B1"/>
    <w:p w:rsidR="00D562B1" w:rsidRDefault="00D562B1" w:rsidP="00D562B1"/>
    <w:p w:rsidR="00D562B1" w:rsidRDefault="00D562B1" w:rsidP="00D562B1"/>
    <w:p w:rsidR="00D562B1" w:rsidRPr="00D562B1" w:rsidRDefault="00D562B1" w:rsidP="00D562B1"/>
    <w:p w:rsidR="00C76BF5" w:rsidRDefault="00C76BF5" w:rsidP="00C76BF5">
      <w:pPr>
        <w:pStyle w:val="Heading5"/>
        <w:rPr>
          <w:sz w:val="52"/>
          <w:szCs w:val="52"/>
        </w:rPr>
      </w:pPr>
      <w:r>
        <w:rPr>
          <w:sz w:val="52"/>
          <w:szCs w:val="52"/>
        </w:rPr>
        <w:t>Master of Laws</w:t>
      </w:r>
    </w:p>
    <w:p w:rsidR="00D32DEA" w:rsidRPr="003E6C7A" w:rsidRDefault="00D32DEA" w:rsidP="00C76BF5">
      <w:pPr>
        <w:pStyle w:val="Heading5"/>
        <w:ind w:left="-142"/>
        <w:rPr>
          <w:b w:val="0"/>
          <w:bCs w:val="0"/>
          <w:smallCaps w:val="0"/>
          <w:sz w:val="28"/>
          <w:szCs w:val="28"/>
        </w:rPr>
      </w:pPr>
      <w:r w:rsidRPr="00D32DEA">
        <w:rPr>
          <w:b w:val="0"/>
          <w:bCs w:val="0"/>
          <w:smallCaps w:val="0"/>
          <w:sz w:val="28"/>
          <w:szCs w:val="28"/>
        </w:rPr>
        <w:t>(</w:t>
      </w:r>
      <w:r w:rsidR="00C76BF5">
        <w:rPr>
          <w:b w:val="0"/>
          <w:bCs w:val="0"/>
          <w:smallCaps w:val="0"/>
          <w:sz w:val="28"/>
          <w:szCs w:val="28"/>
        </w:rPr>
        <w:t>International Corporate Governance, Financial Regulation and Economic Law</w:t>
      </w:r>
      <w:r w:rsidRPr="00D32DEA">
        <w:rPr>
          <w:b w:val="0"/>
          <w:bCs w:val="0"/>
          <w:smallCaps w:val="0"/>
          <w:sz w:val="28"/>
          <w:szCs w:val="28"/>
        </w:rPr>
        <w:t>)</w:t>
      </w:r>
    </w:p>
    <w:p w:rsidR="00D562B1" w:rsidRPr="00D562B1" w:rsidRDefault="00D562B1" w:rsidP="00D562B1"/>
    <w:p w:rsidR="00D562B1" w:rsidRDefault="00D562B1" w:rsidP="00D562B1"/>
    <w:p w:rsidR="00D32DEA" w:rsidRDefault="00D32DEA" w:rsidP="00D562B1"/>
    <w:p w:rsidR="00D32DEA" w:rsidRDefault="00D32DEA" w:rsidP="00D562B1"/>
    <w:p w:rsidR="00D32DEA" w:rsidRDefault="00D32DEA" w:rsidP="00D562B1"/>
    <w:p w:rsidR="00D32DEA" w:rsidRPr="00D562B1" w:rsidRDefault="00D32DEA" w:rsidP="00D562B1"/>
    <w:p w:rsidR="00F74968" w:rsidRPr="003E6C7A" w:rsidRDefault="00922810" w:rsidP="00D32DEA">
      <w:pPr>
        <w:pStyle w:val="Heading5"/>
        <w:rPr>
          <w:sz w:val="40"/>
          <w:szCs w:val="40"/>
        </w:rPr>
      </w:pPr>
      <w:r>
        <w:rPr>
          <w:sz w:val="40"/>
          <w:szCs w:val="40"/>
        </w:rPr>
        <w:t>Dissertation</w:t>
      </w:r>
    </w:p>
    <w:p w:rsidR="00D562B1" w:rsidRPr="00D562B1" w:rsidRDefault="00D562B1" w:rsidP="00D32DEA">
      <w:pPr>
        <w:jc w:val="center"/>
      </w:pPr>
    </w:p>
    <w:p w:rsidR="00333382" w:rsidRDefault="00333382" w:rsidP="00333382"/>
    <w:p w:rsidR="0084206D" w:rsidRDefault="0084206D" w:rsidP="00333382"/>
    <w:p w:rsidR="0084206D" w:rsidRDefault="0084206D" w:rsidP="00333382"/>
    <w:p w:rsidR="0084206D" w:rsidRPr="003E6C7A" w:rsidRDefault="00922810" w:rsidP="00D32DEA">
      <w:pPr>
        <w:jc w:val="center"/>
        <w:rPr>
          <w:b/>
          <w:bCs/>
          <w:smallCaps/>
          <w:sz w:val="36"/>
          <w:szCs w:val="36"/>
        </w:rPr>
      </w:pPr>
      <w:r w:rsidRPr="003E6C7A">
        <w:rPr>
          <w:b/>
          <w:bCs/>
          <w:smallCaps/>
          <w:sz w:val="36"/>
          <w:szCs w:val="36"/>
        </w:rPr>
        <w:t>Ring-Fenced Banking: Regulation and Practice</w:t>
      </w:r>
    </w:p>
    <w:p w:rsidR="00703A0A" w:rsidRPr="003E6C7A" w:rsidRDefault="00703A0A" w:rsidP="00D32DEA">
      <w:pPr>
        <w:jc w:val="center"/>
        <w:rPr>
          <w:b/>
          <w:bCs/>
          <w:smallCaps/>
          <w:sz w:val="36"/>
          <w:szCs w:val="36"/>
        </w:rPr>
      </w:pPr>
    </w:p>
    <w:p w:rsidR="00703A0A" w:rsidRPr="003E6C7A" w:rsidRDefault="00703A0A" w:rsidP="00D32DEA">
      <w:pPr>
        <w:jc w:val="center"/>
        <w:rPr>
          <w:b/>
          <w:bCs/>
          <w:smallCaps/>
          <w:sz w:val="36"/>
          <w:szCs w:val="36"/>
        </w:rPr>
      </w:pPr>
    </w:p>
    <w:p w:rsidR="00A80BF8" w:rsidRPr="003E6C7A" w:rsidRDefault="00A80BF8" w:rsidP="00D32DEA">
      <w:pPr>
        <w:jc w:val="center"/>
        <w:rPr>
          <w:b/>
          <w:bCs/>
          <w:smallCaps/>
          <w:sz w:val="36"/>
          <w:szCs w:val="36"/>
        </w:rPr>
      </w:pPr>
    </w:p>
    <w:p w:rsidR="00A80BF8" w:rsidRPr="003E6C7A" w:rsidRDefault="00A80BF8" w:rsidP="00D32DEA">
      <w:pPr>
        <w:jc w:val="center"/>
        <w:rPr>
          <w:b/>
          <w:bCs/>
          <w:smallCaps/>
          <w:sz w:val="36"/>
          <w:szCs w:val="36"/>
        </w:rPr>
      </w:pPr>
    </w:p>
    <w:p w:rsidR="0084206D" w:rsidRPr="003E6C7A" w:rsidRDefault="0084206D" w:rsidP="00A80BF8">
      <w:pPr>
        <w:jc w:val="center"/>
        <w:rPr>
          <w:b/>
          <w:bCs/>
          <w:smallCaps/>
          <w:sz w:val="36"/>
          <w:szCs w:val="36"/>
        </w:rPr>
      </w:pPr>
    </w:p>
    <w:p w:rsidR="00703A0A" w:rsidRDefault="00703A0A" w:rsidP="00333382"/>
    <w:p w:rsidR="00703A0A" w:rsidRDefault="00703A0A" w:rsidP="00333382"/>
    <w:p w:rsidR="00703A0A" w:rsidRDefault="00703A0A" w:rsidP="00333382"/>
    <w:p w:rsidR="00703A0A" w:rsidRDefault="00703A0A" w:rsidP="00333382"/>
    <w:p w:rsidR="00922810" w:rsidRPr="003E6C7A" w:rsidRDefault="00922810" w:rsidP="00703A0A">
      <w:pPr>
        <w:jc w:val="center"/>
        <w:rPr>
          <w:b/>
          <w:bCs/>
          <w:smallCaps/>
          <w:sz w:val="36"/>
          <w:szCs w:val="36"/>
        </w:rPr>
      </w:pPr>
    </w:p>
    <w:p w:rsidR="00703A0A" w:rsidRPr="003E6C7A" w:rsidRDefault="00703A0A" w:rsidP="00703A0A">
      <w:pPr>
        <w:jc w:val="center"/>
        <w:rPr>
          <w:b/>
          <w:bCs/>
          <w:smallCaps/>
          <w:sz w:val="24"/>
          <w:szCs w:val="24"/>
        </w:rPr>
      </w:pPr>
      <w:r w:rsidRPr="003E6C7A">
        <w:rPr>
          <w:b/>
          <w:bCs/>
          <w:smallCaps/>
          <w:sz w:val="24"/>
          <w:szCs w:val="24"/>
        </w:rPr>
        <w:t xml:space="preserve">Student No: </w:t>
      </w:r>
      <w:bookmarkStart w:id="0" w:name="_GoBack"/>
      <w:r w:rsidRPr="003E6C7A">
        <w:rPr>
          <w:b/>
          <w:bCs/>
          <w:smallCaps/>
          <w:sz w:val="24"/>
          <w:szCs w:val="24"/>
        </w:rPr>
        <w:t>1443852</w:t>
      </w:r>
      <w:bookmarkEnd w:id="0"/>
    </w:p>
    <w:p w:rsidR="00703A0A" w:rsidRDefault="00703A0A" w:rsidP="00703A0A">
      <w:pPr>
        <w:jc w:val="both"/>
      </w:pPr>
    </w:p>
    <w:p w:rsidR="00703A0A" w:rsidRPr="003E6C7A" w:rsidRDefault="00126498" w:rsidP="00703A0A">
      <w:pPr>
        <w:jc w:val="center"/>
        <w:rPr>
          <w:b/>
          <w:bCs/>
          <w:smallCaps/>
          <w:sz w:val="28"/>
          <w:szCs w:val="28"/>
        </w:rPr>
      </w:pPr>
      <w:r w:rsidRPr="003E6C7A">
        <w:rPr>
          <w:b/>
          <w:bCs/>
          <w:smallCaps/>
          <w:sz w:val="28"/>
          <w:szCs w:val="28"/>
        </w:rPr>
        <w:t>1</w:t>
      </w:r>
      <w:r w:rsidRPr="003E6C7A">
        <w:rPr>
          <w:b/>
          <w:bCs/>
          <w:smallCaps/>
          <w:sz w:val="28"/>
          <w:szCs w:val="28"/>
          <w:vertAlign w:val="superscript"/>
        </w:rPr>
        <w:t>st</w:t>
      </w:r>
      <w:r w:rsidRPr="003E6C7A">
        <w:rPr>
          <w:b/>
          <w:bCs/>
          <w:smallCaps/>
          <w:sz w:val="28"/>
          <w:szCs w:val="28"/>
        </w:rPr>
        <w:t xml:space="preserve"> September </w:t>
      </w:r>
      <w:r w:rsidR="00703A0A" w:rsidRPr="003E6C7A">
        <w:rPr>
          <w:b/>
          <w:bCs/>
          <w:smallCaps/>
          <w:sz w:val="28"/>
          <w:szCs w:val="28"/>
        </w:rPr>
        <w:t>2015</w:t>
      </w:r>
    </w:p>
    <w:p w:rsidR="00703A0A" w:rsidRDefault="00703A0A" w:rsidP="00703A0A">
      <w:pPr>
        <w:pStyle w:val="Heading5"/>
        <w:jc w:val="left"/>
      </w:pPr>
    </w:p>
    <w:p w:rsidR="0084206D" w:rsidRDefault="00703A0A" w:rsidP="00A60C1B">
      <w:pPr>
        <w:pStyle w:val="Heading5"/>
        <w:rPr>
          <w:sz w:val="24"/>
          <w:szCs w:val="24"/>
        </w:rPr>
      </w:pPr>
      <w:r w:rsidRPr="00E7630F">
        <w:rPr>
          <w:sz w:val="24"/>
          <w:szCs w:val="24"/>
        </w:rPr>
        <w:t xml:space="preserve">Word Count (Excluding </w:t>
      </w:r>
      <w:r>
        <w:rPr>
          <w:sz w:val="24"/>
          <w:szCs w:val="24"/>
        </w:rPr>
        <w:t xml:space="preserve">ToC, </w:t>
      </w:r>
      <w:r w:rsidR="00D41AF3">
        <w:rPr>
          <w:sz w:val="24"/>
          <w:szCs w:val="24"/>
        </w:rPr>
        <w:t xml:space="preserve">Appendices </w:t>
      </w:r>
      <w:r>
        <w:rPr>
          <w:sz w:val="24"/>
          <w:szCs w:val="24"/>
        </w:rPr>
        <w:t xml:space="preserve">and </w:t>
      </w:r>
      <w:r w:rsidRPr="00E7630F">
        <w:rPr>
          <w:sz w:val="24"/>
          <w:szCs w:val="24"/>
        </w:rPr>
        <w:t xml:space="preserve">Bibliography): </w:t>
      </w:r>
      <w:r w:rsidR="000C428F">
        <w:rPr>
          <w:sz w:val="24"/>
          <w:szCs w:val="24"/>
        </w:rPr>
        <w:t>1</w:t>
      </w:r>
      <w:r w:rsidR="00364FC9">
        <w:rPr>
          <w:sz w:val="24"/>
          <w:szCs w:val="24"/>
        </w:rPr>
        <w:t>5</w:t>
      </w:r>
      <w:r w:rsidR="00A81DCE">
        <w:rPr>
          <w:sz w:val="24"/>
          <w:szCs w:val="24"/>
        </w:rPr>
        <w:t>,</w:t>
      </w:r>
      <w:r w:rsidR="00364FC9">
        <w:rPr>
          <w:sz w:val="24"/>
          <w:szCs w:val="24"/>
        </w:rPr>
        <w:t>0</w:t>
      </w:r>
      <w:r w:rsidR="000A6E36">
        <w:rPr>
          <w:sz w:val="24"/>
          <w:szCs w:val="24"/>
        </w:rPr>
        <w:t>5</w:t>
      </w:r>
      <w:r w:rsidR="00C06D70">
        <w:rPr>
          <w:sz w:val="24"/>
          <w:szCs w:val="24"/>
        </w:rPr>
        <w:t>6</w:t>
      </w:r>
    </w:p>
    <w:p w:rsidR="00EF3B29" w:rsidRPr="00EF3B29" w:rsidRDefault="00EF3B29" w:rsidP="00EF3B29"/>
    <w:p w:rsidR="00A60C1B" w:rsidRDefault="00A60C1B" w:rsidP="00A60C1B"/>
    <w:p w:rsidR="00A60C1B" w:rsidRPr="00A60C1B" w:rsidRDefault="00A60C1B" w:rsidP="00A60C1B"/>
    <w:p w:rsidR="00125614" w:rsidRDefault="00F74968" w:rsidP="00125614">
      <w:pPr>
        <w:jc w:val="both"/>
        <w:rPr>
          <w:b/>
          <w:bCs/>
          <w:sz w:val="24"/>
          <w:szCs w:val="24"/>
        </w:rPr>
      </w:pPr>
      <w:r w:rsidRPr="004D2320">
        <w:rPr>
          <w:b/>
          <w:bCs/>
          <w:sz w:val="24"/>
          <w:szCs w:val="24"/>
        </w:rPr>
        <w:lastRenderedPageBreak/>
        <w:t>TABLE OF CONTENTS</w:t>
      </w:r>
    </w:p>
    <w:p w:rsidR="00F74968" w:rsidRPr="004D2320" w:rsidRDefault="00F74968" w:rsidP="00125614">
      <w:pPr>
        <w:jc w:val="both"/>
        <w:rPr>
          <w:b/>
          <w:bCs/>
          <w:sz w:val="24"/>
          <w:szCs w:val="24"/>
        </w:rPr>
      </w:pPr>
      <w:r w:rsidRPr="004D2320">
        <w:rPr>
          <w:b/>
          <w:bCs/>
          <w:sz w:val="24"/>
          <w:szCs w:val="24"/>
        </w:rPr>
        <w:br/>
      </w:r>
    </w:p>
    <w:p w:rsidR="00C06D70" w:rsidRDefault="000C1495">
      <w:pPr>
        <w:pStyle w:val="TOC1"/>
        <w:tabs>
          <w:tab w:val="right" w:leader="dot" w:pos="9204"/>
        </w:tabs>
        <w:rPr>
          <w:rFonts w:asciiTheme="minorHAnsi" w:eastAsiaTheme="minorEastAsia" w:hAnsiTheme="minorHAnsi" w:cstheme="minorBidi"/>
          <w:b w:val="0"/>
          <w:bCs w:val="0"/>
          <w:caps w:val="0"/>
          <w:noProof/>
          <w:sz w:val="22"/>
          <w:szCs w:val="22"/>
          <w:lang w:eastAsia="en-GB"/>
        </w:rPr>
      </w:pPr>
      <w:r>
        <w:rPr>
          <w:b w:val="0"/>
          <w:bCs w:val="0"/>
        </w:rPr>
        <w:fldChar w:fldCharType="begin"/>
      </w:r>
      <w:r w:rsidR="00F74968" w:rsidRPr="0074539B">
        <w:rPr>
          <w:b w:val="0"/>
          <w:bCs w:val="0"/>
        </w:rPr>
        <w:instrText xml:space="preserve"> TOC \o "1-2" </w:instrText>
      </w:r>
      <w:r>
        <w:rPr>
          <w:b w:val="0"/>
          <w:bCs w:val="0"/>
        </w:rPr>
        <w:fldChar w:fldCharType="separate"/>
      </w:r>
      <w:r w:rsidR="00C06D70">
        <w:rPr>
          <w:noProof/>
        </w:rPr>
        <w:t>Introduction</w:t>
      </w:r>
      <w:r w:rsidR="00C06D70">
        <w:rPr>
          <w:noProof/>
        </w:rPr>
        <w:tab/>
      </w:r>
      <w:r>
        <w:rPr>
          <w:noProof/>
        </w:rPr>
        <w:fldChar w:fldCharType="begin"/>
      </w:r>
      <w:r w:rsidR="00C06D70">
        <w:rPr>
          <w:noProof/>
        </w:rPr>
        <w:instrText xml:space="preserve"> PAGEREF _Toc428779473 \h </w:instrText>
      </w:r>
      <w:r>
        <w:rPr>
          <w:noProof/>
        </w:rPr>
      </w:r>
      <w:r>
        <w:rPr>
          <w:noProof/>
        </w:rPr>
        <w:fldChar w:fldCharType="separate"/>
      </w:r>
      <w:r w:rsidR="00C06D70">
        <w:rPr>
          <w:noProof/>
        </w:rPr>
        <w:t>3</w:t>
      </w:r>
      <w:r>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Background and History</w:t>
      </w:r>
      <w:r>
        <w:rPr>
          <w:noProof/>
        </w:rPr>
        <w:tab/>
      </w:r>
      <w:r w:rsidR="000C1495">
        <w:rPr>
          <w:noProof/>
        </w:rPr>
        <w:fldChar w:fldCharType="begin"/>
      </w:r>
      <w:r>
        <w:rPr>
          <w:noProof/>
        </w:rPr>
        <w:instrText xml:space="preserve"> PAGEREF _Toc428779474 \h </w:instrText>
      </w:r>
      <w:r w:rsidR="000C1495">
        <w:rPr>
          <w:noProof/>
        </w:rPr>
      </w:r>
      <w:r w:rsidR="000C1495">
        <w:rPr>
          <w:noProof/>
        </w:rPr>
        <w:fldChar w:fldCharType="separate"/>
      </w:r>
      <w:r>
        <w:rPr>
          <w:noProof/>
        </w:rPr>
        <w:t>6</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The Financial Crisis and Changing Regulation</w:t>
      </w:r>
      <w:r>
        <w:rPr>
          <w:noProof/>
        </w:rPr>
        <w:tab/>
      </w:r>
      <w:r w:rsidR="000C1495">
        <w:rPr>
          <w:noProof/>
        </w:rPr>
        <w:fldChar w:fldCharType="begin"/>
      </w:r>
      <w:r>
        <w:rPr>
          <w:noProof/>
        </w:rPr>
        <w:instrText xml:space="preserve"> PAGEREF _Toc428779475 \h </w:instrText>
      </w:r>
      <w:r w:rsidR="000C1495">
        <w:rPr>
          <w:noProof/>
        </w:rPr>
      </w:r>
      <w:r w:rsidR="000C1495">
        <w:rPr>
          <w:noProof/>
        </w:rPr>
        <w:fldChar w:fldCharType="separate"/>
      </w:r>
      <w:r>
        <w:rPr>
          <w:noProof/>
        </w:rPr>
        <w:t>9</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The Glass – Steagall Act of 1933</w:t>
      </w:r>
      <w:r>
        <w:rPr>
          <w:noProof/>
        </w:rPr>
        <w:tab/>
      </w:r>
      <w:r w:rsidR="000C1495">
        <w:rPr>
          <w:noProof/>
        </w:rPr>
        <w:fldChar w:fldCharType="begin"/>
      </w:r>
      <w:r>
        <w:rPr>
          <w:noProof/>
        </w:rPr>
        <w:instrText xml:space="preserve"> PAGEREF _Toc428779476 \h </w:instrText>
      </w:r>
      <w:r w:rsidR="000C1495">
        <w:rPr>
          <w:noProof/>
        </w:rPr>
      </w:r>
      <w:r w:rsidR="000C1495">
        <w:rPr>
          <w:noProof/>
        </w:rPr>
        <w:fldChar w:fldCharType="separate"/>
      </w:r>
      <w:r>
        <w:rPr>
          <w:noProof/>
        </w:rPr>
        <w:t>13</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Other Ring-Fencing Initiatives</w:t>
      </w:r>
      <w:r>
        <w:rPr>
          <w:noProof/>
        </w:rPr>
        <w:tab/>
      </w:r>
      <w:r w:rsidR="000C1495">
        <w:rPr>
          <w:noProof/>
        </w:rPr>
        <w:fldChar w:fldCharType="begin"/>
      </w:r>
      <w:r>
        <w:rPr>
          <w:noProof/>
        </w:rPr>
        <w:instrText xml:space="preserve"> PAGEREF _Toc428779477 \h </w:instrText>
      </w:r>
      <w:r w:rsidR="000C1495">
        <w:rPr>
          <w:noProof/>
        </w:rPr>
      </w:r>
      <w:r w:rsidR="000C1495">
        <w:rPr>
          <w:noProof/>
        </w:rPr>
        <w:fldChar w:fldCharType="separate"/>
      </w:r>
      <w:r>
        <w:rPr>
          <w:noProof/>
        </w:rPr>
        <w:t>15</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Volcker</w:t>
      </w:r>
      <w:r>
        <w:rPr>
          <w:noProof/>
        </w:rPr>
        <w:tab/>
      </w:r>
      <w:r w:rsidR="000C1495">
        <w:rPr>
          <w:noProof/>
        </w:rPr>
        <w:fldChar w:fldCharType="begin"/>
      </w:r>
      <w:r>
        <w:rPr>
          <w:noProof/>
        </w:rPr>
        <w:instrText xml:space="preserve"> PAGEREF _Toc428779478 \h </w:instrText>
      </w:r>
      <w:r w:rsidR="000C1495">
        <w:rPr>
          <w:noProof/>
        </w:rPr>
      </w:r>
      <w:r w:rsidR="000C1495">
        <w:rPr>
          <w:noProof/>
        </w:rPr>
        <w:fldChar w:fldCharType="separate"/>
      </w:r>
      <w:r>
        <w:rPr>
          <w:noProof/>
        </w:rPr>
        <w:t>18</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Likkanen</w:t>
      </w:r>
      <w:r>
        <w:rPr>
          <w:noProof/>
        </w:rPr>
        <w:tab/>
      </w:r>
      <w:r w:rsidR="000C1495">
        <w:rPr>
          <w:noProof/>
        </w:rPr>
        <w:fldChar w:fldCharType="begin"/>
      </w:r>
      <w:r>
        <w:rPr>
          <w:noProof/>
        </w:rPr>
        <w:instrText xml:space="preserve"> PAGEREF _Toc428779479 \h </w:instrText>
      </w:r>
      <w:r w:rsidR="000C1495">
        <w:rPr>
          <w:noProof/>
        </w:rPr>
      </w:r>
      <w:r w:rsidR="000C1495">
        <w:rPr>
          <w:noProof/>
        </w:rPr>
        <w:fldChar w:fldCharType="separate"/>
      </w:r>
      <w:r>
        <w:rPr>
          <w:noProof/>
        </w:rPr>
        <w:t>19</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The Independent Commission on Banking</w:t>
      </w:r>
      <w:r>
        <w:rPr>
          <w:noProof/>
        </w:rPr>
        <w:tab/>
      </w:r>
      <w:r w:rsidR="000C1495">
        <w:rPr>
          <w:noProof/>
        </w:rPr>
        <w:fldChar w:fldCharType="begin"/>
      </w:r>
      <w:r>
        <w:rPr>
          <w:noProof/>
        </w:rPr>
        <w:instrText xml:space="preserve"> PAGEREF _Toc428779480 \h </w:instrText>
      </w:r>
      <w:r w:rsidR="000C1495">
        <w:rPr>
          <w:noProof/>
        </w:rPr>
      </w:r>
      <w:r w:rsidR="000C1495">
        <w:rPr>
          <w:noProof/>
        </w:rPr>
        <w:fldChar w:fldCharType="separate"/>
      </w:r>
      <w:r>
        <w:rPr>
          <w:noProof/>
        </w:rPr>
        <w:t>20</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The Practice of Creating a Ring-Fenced Bank</w:t>
      </w:r>
      <w:r>
        <w:rPr>
          <w:noProof/>
        </w:rPr>
        <w:tab/>
      </w:r>
      <w:r w:rsidR="000C1495">
        <w:rPr>
          <w:noProof/>
        </w:rPr>
        <w:fldChar w:fldCharType="begin"/>
      </w:r>
      <w:r>
        <w:rPr>
          <w:noProof/>
        </w:rPr>
        <w:instrText xml:space="preserve"> PAGEREF _Toc428779481 \h </w:instrText>
      </w:r>
      <w:r w:rsidR="000C1495">
        <w:rPr>
          <w:noProof/>
        </w:rPr>
      </w:r>
      <w:r w:rsidR="000C1495">
        <w:rPr>
          <w:noProof/>
        </w:rPr>
        <w:fldChar w:fldCharType="separate"/>
      </w:r>
      <w:r>
        <w:rPr>
          <w:noProof/>
        </w:rPr>
        <w:t>26</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Authorisation</w:t>
      </w:r>
      <w:r>
        <w:rPr>
          <w:noProof/>
        </w:rPr>
        <w:tab/>
      </w:r>
      <w:r w:rsidR="000C1495">
        <w:rPr>
          <w:noProof/>
        </w:rPr>
        <w:fldChar w:fldCharType="begin"/>
      </w:r>
      <w:r>
        <w:rPr>
          <w:noProof/>
        </w:rPr>
        <w:instrText xml:space="preserve"> PAGEREF _Toc428779482 \h </w:instrText>
      </w:r>
      <w:r w:rsidR="000C1495">
        <w:rPr>
          <w:noProof/>
        </w:rPr>
      </w:r>
      <w:r w:rsidR="000C1495">
        <w:rPr>
          <w:noProof/>
        </w:rPr>
        <w:fldChar w:fldCharType="separate"/>
      </w:r>
      <w:r>
        <w:rPr>
          <w:noProof/>
        </w:rPr>
        <w:t>27</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Business Plan and Organisational Structure</w:t>
      </w:r>
      <w:r>
        <w:rPr>
          <w:noProof/>
        </w:rPr>
        <w:tab/>
      </w:r>
      <w:r w:rsidR="000C1495">
        <w:rPr>
          <w:noProof/>
        </w:rPr>
        <w:fldChar w:fldCharType="begin"/>
      </w:r>
      <w:r>
        <w:rPr>
          <w:noProof/>
        </w:rPr>
        <w:instrText xml:space="preserve"> PAGEREF _Toc428779483 \h </w:instrText>
      </w:r>
      <w:r w:rsidR="000C1495">
        <w:rPr>
          <w:noProof/>
        </w:rPr>
      </w:r>
      <w:r w:rsidR="000C1495">
        <w:rPr>
          <w:noProof/>
        </w:rPr>
        <w:fldChar w:fldCharType="separate"/>
      </w:r>
      <w:r>
        <w:rPr>
          <w:noProof/>
        </w:rPr>
        <w:t>28</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Governance Arrangements</w:t>
      </w:r>
      <w:r>
        <w:rPr>
          <w:noProof/>
        </w:rPr>
        <w:tab/>
      </w:r>
      <w:r w:rsidR="000C1495">
        <w:rPr>
          <w:noProof/>
        </w:rPr>
        <w:fldChar w:fldCharType="begin"/>
      </w:r>
      <w:r>
        <w:rPr>
          <w:noProof/>
        </w:rPr>
        <w:instrText xml:space="preserve"> PAGEREF _Toc428779484 \h </w:instrText>
      </w:r>
      <w:r w:rsidR="000C1495">
        <w:rPr>
          <w:noProof/>
        </w:rPr>
      </w:r>
      <w:r w:rsidR="000C1495">
        <w:rPr>
          <w:noProof/>
        </w:rPr>
        <w:fldChar w:fldCharType="separate"/>
      </w:r>
      <w:r>
        <w:rPr>
          <w:noProof/>
        </w:rPr>
        <w:t>30</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Enterprise Wide Risk Management Arrangements</w:t>
      </w:r>
      <w:r>
        <w:rPr>
          <w:noProof/>
        </w:rPr>
        <w:tab/>
      </w:r>
      <w:r w:rsidR="000C1495">
        <w:rPr>
          <w:noProof/>
        </w:rPr>
        <w:fldChar w:fldCharType="begin"/>
      </w:r>
      <w:r>
        <w:rPr>
          <w:noProof/>
        </w:rPr>
        <w:instrText xml:space="preserve"> PAGEREF _Toc428779485 \h </w:instrText>
      </w:r>
      <w:r w:rsidR="000C1495">
        <w:rPr>
          <w:noProof/>
        </w:rPr>
      </w:r>
      <w:r w:rsidR="000C1495">
        <w:rPr>
          <w:noProof/>
        </w:rPr>
        <w:fldChar w:fldCharType="separate"/>
      </w:r>
      <w:r>
        <w:rPr>
          <w:noProof/>
        </w:rPr>
        <w:t>36</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ICAAP</w:t>
      </w:r>
      <w:r>
        <w:rPr>
          <w:noProof/>
        </w:rPr>
        <w:tab/>
      </w:r>
      <w:r w:rsidR="000C1495">
        <w:rPr>
          <w:noProof/>
        </w:rPr>
        <w:fldChar w:fldCharType="begin"/>
      </w:r>
      <w:r>
        <w:rPr>
          <w:noProof/>
        </w:rPr>
        <w:instrText xml:space="preserve"> PAGEREF _Toc428779486 \h </w:instrText>
      </w:r>
      <w:r w:rsidR="000C1495">
        <w:rPr>
          <w:noProof/>
        </w:rPr>
      </w:r>
      <w:r w:rsidR="000C1495">
        <w:rPr>
          <w:noProof/>
        </w:rPr>
        <w:fldChar w:fldCharType="separate"/>
      </w:r>
      <w:r>
        <w:rPr>
          <w:noProof/>
        </w:rPr>
        <w:t>42</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ILAAP</w:t>
      </w:r>
      <w:r>
        <w:rPr>
          <w:noProof/>
        </w:rPr>
        <w:tab/>
      </w:r>
      <w:r w:rsidR="000C1495">
        <w:rPr>
          <w:noProof/>
        </w:rPr>
        <w:fldChar w:fldCharType="begin"/>
      </w:r>
      <w:r>
        <w:rPr>
          <w:noProof/>
        </w:rPr>
        <w:instrText xml:space="preserve"> PAGEREF _Toc428779487 \h </w:instrText>
      </w:r>
      <w:r w:rsidR="000C1495">
        <w:rPr>
          <w:noProof/>
        </w:rPr>
      </w:r>
      <w:r w:rsidR="000C1495">
        <w:rPr>
          <w:noProof/>
        </w:rPr>
        <w:fldChar w:fldCharType="separate"/>
      </w:r>
      <w:r>
        <w:rPr>
          <w:noProof/>
        </w:rPr>
        <w:t>48</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Recovery and Resolution Plans</w:t>
      </w:r>
      <w:r>
        <w:rPr>
          <w:noProof/>
        </w:rPr>
        <w:tab/>
      </w:r>
      <w:r w:rsidR="000C1495">
        <w:rPr>
          <w:noProof/>
        </w:rPr>
        <w:fldChar w:fldCharType="begin"/>
      </w:r>
      <w:r>
        <w:rPr>
          <w:noProof/>
        </w:rPr>
        <w:instrText xml:space="preserve"> PAGEREF _Toc428779488 \h </w:instrText>
      </w:r>
      <w:r w:rsidR="000C1495">
        <w:rPr>
          <w:noProof/>
        </w:rPr>
      </w:r>
      <w:r w:rsidR="000C1495">
        <w:rPr>
          <w:noProof/>
        </w:rPr>
        <w:fldChar w:fldCharType="separate"/>
      </w:r>
      <w:r>
        <w:rPr>
          <w:noProof/>
        </w:rPr>
        <w:t>49</w:t>
      </w:r>
      <w:r w:rsidR="000C1495">
        <w:rPr>
          <w:noProof/>
        </w:rPr>
        <w:fldChar w:fldCharType="end"/>
      </w:r>
    </w:p>
    <w:p w:rsidR="00C06D70" w:rsidRDefault="00C06D70">
      <w:pPr>
        <w:pStyle w:val="TOC2"/>
        <w:tabs>
          <w:tab w:val="right" w:leader="dot" w:pos="9204"/>
        </w:tabs>
        <w:rPr>
          <w:rFonts w:asciiTheme="minorHAnsi" w:eastAsiaTheme="minorEastAsia" w:hAnsiTheme="minorHAnsi" w:cstheme="minorBidi"/>
          <w:smallCaps w:val="0"/>
          <w:noProof/>
          <w:sz w:val="22"/>
          <w:szCs w:val="22"/>
          <w:lang w:eastAsia="en-GB"/>
        </w:rPr>
      </w:pPr>
      <w:r>
        <w:rPr>
          <w:noProof/>
        </w:rPr>
        <w:t>Part VII Transfer</w:t>
      </w:r>
      <w:r>
        <w:rPr>
          <w:noProof/>
        </w:rPr>
        <w:tab/>
      </w:r>
      <w:r w:rsidR="000C1495">
        <w:rPr>
          <w:noProof/>
        </w:rPr>
        <w:fldChar w:fldCharType="begin"/>
      </w:r>
      <w:r>
        <w:rPr>
          <w:noProof/>
        </w:rPr>
        <w:instrText xml:space="preserve"> PAGEREF _Toc428779489 \h </w:instrText>
      </w:r>
      <w:r w:rsidR="000C1495">
        <w:rPr>
          <w:noProof/>
        </w:rPr>
      </w:r>
      <w:r w:rsidR="000C1495">
        <w:rPr>
          <w:noProof/>
        </w:rPr>
        <w:fldChar w:fldCharType="separate"/>
      </w:r>
      <w:r>
        <w:rPr>
          <w:noProof/>
        </w:rPr>
        <w:t>52</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Analysis</w:t>
      </w:r>
      <w:r>
        <w:rPr>
          <w:noProof/>
        </w:rPr>
        <w:tab/>
      </w:r>
      <w:r w:rsidR="000C1495">
        <w:rPr>
          <w:noProof/>
        </w:rPr>
        <w:fldChar w:fldCharType="begin"/>
      </w:r>
      <w:r>
        <w:rPr>
          <w:noProof/>
        </w:rPr>
        <w:instrText xml:space="preserve"> PAGEREF _Toc428779490 \h </w:instrText>
      </w:r>
      <w:r w:rsidR="000C1495">
        <w:rPr>
          <w:noProof/>
        </w:rPr>
      </w:r>
      <w:r w:rsidR="000C1495">
        <w:rPr>
          <w:noProof/>
        </w:rPr>
        <w:fldChar w:fldCharType="separate"/>
      </w:r>
      <w:r>
        <w:rPr>
          <w:noProof/>
        </w:rPr>
        <w:t>53</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Conclusion</w:t>
      </w:r>
      <w:r>
        <w:rPr>
          <w:noProof/>
        </w:rPr>
        <w:tab/>
      </w:r>
      <w:r w:rsidR="000C1495">
        <w:rPr>
          <w:noProof/>
        </w:rPr>
        <w:fldChar w:fldCharType="begin"/>
      </w:r>
      <w:r>
        <w:rPr>
          <w:noProof/>
        </w:rPr>
        <w:instrText xml:space="preserve"> PAGEREF _Toc428779491 \h </w:instrText>
      </w:r>
      <w:r w:rsidR="000C1495">
        <w:rPr>
          <w:noProof/>
        </w:rPr>
      </w:r>
      <w:r w:rsidR="000C1495">
        <w:rPr>
          <w:noProof/>
        </w:rPr>
        <w:fldChar w:fldCharType="separate"/>
      </w:r>
      <w:r>
        <w:rPr>
          <w:noProof/>
        </w:rPr>
        <w:t>55</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Appendix 1 – Capital Adequacy</w:t>
      </w:r>
      <w:r>
        <w:rPr>
          <w:noProof/>
        </w:rPr>
        <w:tab/>
      </w:r>
      <w:r w:rsidR="000C1495">
        <w:rPr>
          <w:noProof/>
        </w:rPr>
        <w:fldChar w:fldCharType="begin"/>
      </w:r>
      <w:r>
        <w:rPr>
          <w:noProof/>
        </w:rPr>
        <w:instrText xml:space="preserve"> PAGEREF _Toc428779492 \h </w:instrText>
      </w:r>
      <w:r w:rsidR="000C1495">
        <w:rPr>
          <w:noProof/>
        </w:rPr>
      </w:r>
      <w:r w:rsidR="000C1495">
        <w:rPr>
          <w:noProof/>
        </w:rPr>
        <w:fldChar w:fldCharType="separate"/>
      </w:r>
      <w:r>
        <w:rPr>
          <w:noProof/>
        </w:rPr>
        <w:t>57</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Appendix 2 – Capital</w:t>
      </w:r>
      <w:r>
        <w:rPr>
          <w:noProof/>
        </w:rPr>
        <w:tab/>
      </w:r>
      <w:r w:rsidR="000C1495">
        <w:rPr>
          <w:noProof/>
        </w:rPr>
        <w:fldChar w:fldCharType="begin"/>
      </w:r>
      <w:r>
        <w:rPr>
          <w:noProof/>
        </w:rPr>
        <w:instrText xml:space="preserve"> PAGEREF _Toc428779493 \h </w:instrText>
      </w:r>
      <w:r w:rsidR="000C1495">
        <w:rPr>
          <w:noProof/>
        </w:rPr>
      </w:r>
      <w:r w:rsidR="000C1495">
        <w:rPr>
          <w:noProof/>
        </w:rPr>
        <w:fldChar w:fldCharType="separate"/>
      </w:r>
      <w:r>
        <w:rPr>
          <w:noProof/>
        </w:rPr>
        <w:t>74</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Appendix 3– Liquidity Adequacy</w:t>
      </w:r>
      <w:r>
        <w:rPr>
          <w:noProof/>
        </w:rPr>
        <w:tab/>
      </w:r>
      <w:r w:rsidR="000C1495">
        <w:rPr>
          <w:noProof/>
        </w:rPr>
        <w:fldChar w:fldCharType="begin"/>
      </w:r>
      <w:r>
        <w:rPr>
          <w:noProof/>
        </w:rPr>
        <w:instrText xml:space="preserve"> PAGEREF _Toc428779494 \h </w:instrText>
      </w:r>
      <w:r w:rsidR="000C1495">
        <w:rPr>
          <w:noProof/>
        </w:rPr>
      </w:r>
      <w:r w:rsidR="000C1495">
        <w:rPr>
          <w:noProof/>
        </w:rPr>
        <w:fldChar w:fldCharType="separate"/>
      </w:r>
      <w:r>
        <w:rPr>
          <w:noProof/>
        </w:rPr>
        <w:t>77</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Appendix 4 – Recovery And Resolution</w:t>
      </w:r>
      <w:r>
        <w:rPr>
          <w:noProof/>
        </w:rPr>
        <w:tab/>
      </w:r>
      <w:r w:rsidR="000C1495">
        <w:rPr>
          <w:noProof/>
        </w:rPr>
        <w:fldChar w:fldCharType="begin"/>
      </w:r>
      <w:r>
        <w:rPr>
          <w:noProof/>
        </w:rPr>
        <w:instrText xml:space="preserve"> PAGEREF _Toc428779495 \h </w:instrText>
      </w:r>
      <w:r w:rsidR="000C1495">
        <w:rPr>
          <w:noProof/>
        </w:rPr>
      </w:r>
      <w:r w:rsidR="000C1495">
        <w:rPr>
          <w:noProof/>
        </w:rPr>
        <w:fldChar w:fldCharType="separate"/>
      </w:r>
      <w:r>
        <w:rPr>
          <w:noProof/>
        </w:rPr>
        <w:t>86</w:t>
      </w:r>
      <w:r w:rsidR="000C1495">
        <w:rPr>
          <w:noProof/>
        </w:rPr>
        <w:fldChar w:fldCharType="end"/>
      </w:r>
    </w:p>
    <w:p w:rsidR="00C06D70" w:rsidRDefault="00C06D70">
      <w:pPr>
        <w:pStyle w:val="TOC1"/>
        <w:tabs>
          <w:tab w:val="right" w:leader="dot" w:pos="9204"/>
        </w:tabs>
        <w:rPr>
          <w:rFonts w:asciiTheme="minorHAnsi" w:eastAsiaTheme="minorEastAsia" w:hAnsiTheme="minorHAnsi" w:cstheme="minorBidi"/>
          <w:b w:val="0"/>
          <w:bCs w:val="0"/>
          <w:caps w:val="0"/>
          <w:noProof/>
          <w:sz w:val="22"/>
          <w:szCs w:val="22"/>
          <w:lang w:eastAsia="en-GB"/>
        </w:rPr>
      </w:pPr>
      <w:r>
        <w:rPr>
          <w:noProof/>
        </w:rPr>
        <w:t>Bibliography</w:t>
      </w:r>
      <w:r>
        <w:rPr>
          <w:noProof/>
        </w:rPr>
        <w:tab/>
      </w:r>
      <w:r w:rsidR="000C1495">
        <w:rPr>
          <w:noProof/>
        </w:rPr>
        <w:fldChar w:fldCharType="begin"/>
      </w:r>
      <w:r>
        <w:rPr>
          <w:noProof/>
        </w:rPr>
        <w:instrText xml:space="preserve"> PAGEREF _Toc428779496 \h </w:instrText>
      </w:r>
      <w:r w:rsidR="000C1495">
        <w:rPr>
          <w:noProof/>
        </w:rPr>
      </w:r>
      <w:r w:rsidR="000C1495">
        <w:rPr>
          <w:noProof/>
        </w:rPr>
        <w:fldChar w:fldCharType="separate"/>
      </w:r>
      <w:r>
        <w:rPr>
          <w:noProof/>
        </w:rPr>
        <w:t>90</w:t>
      </w:r>
      <w:r w:rsidR="000C1495">
        <w:rPr>
          <w:noProof/>
        </w:rPr>
        <w:fldChar w:fldCharType="end"/>
      </w:r>
    </w:p>
    <w:p w:rsidR="00F74968" w:rsidRPr="00340B3A" w:rsidRDefault="000C1495">
      <w:pPr>
        <w:pStyle w:val="Heading1"/>
        <w:ind w:left="540"/>
        <w:jc w:val="left"/>
        <w:rPr>
          <w:b w:val="0"/>
          <w:bCs w:val="0"/>
          <w:smallCaps w:val="0"/>
        </w:rPr>
      </w:pPr>
      <w:r>
        <w:rPr>
          <w:b w:val="0"/>
          <w:bCs w:val="0"/>
        </w:rPr>
        <w:fldChar w:fldCharType="end"/>
      </w:r>
    </w:p>
    <w:p w:rsidR="002A29F1" w:rsidRPr="00FE4C0A" w:rsidRDefault="00F74968" w:rsidP="0040178D">
      <w:pPr>
        <w:rPr>
          <w:sz w:val="24"/>
          <w:szCs w:val="24"/>
        </w:rPr>
      </w:pPr>
      <w:r w:rsidRPr="00340B3A">
        <w:rPr>
          <w:b/>
          <w:bCs/>
          <w:smallCaps/>
        </w:rPr>
        <w:br w:type="page"/>
      </w:r>
    </w:p>
    <w:p w:rsidR="00D562B1" w:rsidRDefault="00C76BF5" w:rsidP="00E31F1B">
      <w:pPr>
        <w:pStyle w:val="Heading1"/>
        <w:tabs>
          <w:tab w:val="left" w:pos="2702"/>
        </w:tabs>
        <w:spacing w:line="480" w:lineRule="auto"/>
        <w:jc w:val="left"/>
      </w:pPr>
      <w:bookmarkStart w:id="1" w:name="_Toc428779473"/>
      <w:r>
        <w:lastRenderedPageBreak/>
        <w:t>Introduction</w:t>
      </w:r>
      <w:bookmarkEnd w:id="1"/>
    </w:p>
    <w:p w:rsidR="00C5277B" w:rsidRDefault="00C5277B" w:rsidP="00E31F1B">
      <w:pPr>
        <w:tabs>
          <w:tab w:val="left" w:pos="2702"/>
        </w:tabs>
        <w:spacing w:line="480" w:lineRule="auto"/>
        <w:jc w:val="both"/>
        <w:rPr>
          <w:sz w:val="24"/>
          <w:szCs w:val="24"/>
        </w:rPr>
      </w:pPr>
      <w:r>
        <w:rPr>
          <w:sz w:val="24"/>
          <w:szCs w:val="24"/>
        </w:rPr>
        <w:t>It is now seven years on from the first (and hopefully the last) financial crisis of the 21</w:t>
      </w:r>
      <w:r w:rsidRPr="00C5277B">
        <w:rPr>
          <w:sz w:val="24"/>
          <w:szCs w:val="24"/>
          <w:vertAlign w:val="superscript"/>
        </w:rPr>
        <w:t>st</w:t>
      </w:r>
      <w:r>
        <w:rPr>
          <w:sz w:val="24"/>
          <w:szCs w:val="24"/>
        </w:rPr>
        <w:t xml:space="preserve"> Century</w:t>
      </w:r>
      <w:r w:rsidR="00A90C87">
        <w:rPr>
          <w:rStyle w:val="FootnoteReference"/>
          <w:sz w:val="24"/>
          <w:szCs w:val="24"/>
        </w:rPr>
        <w:footnoteReference w:id="1"/>
      </w:r>
      <w:r>
        <w:rPr>
          <w:sz w:val="24"/>
          <w:szCs w:val="24"/>
        </w:rPr>
        <w:t>, and four years since the Independent Commission on Banking (ICB) proposed ring-fence</w:t>
      </w:r>
      <w:r w:rsidR="00A80946">
        <w:rPr>
          <w:sz w:val="24"/>
          <w:szCs w:val="24"/>
        </w:rPr>
        <w:t>d</w:t>
      </w:r>
      <w:r>
        <w:rPr>
          <w:sz w:val="24"/>
          <w:szCs w:val="24"/>
        </w:rPr>
        <w:t xml:space="preserve"> banking (RFB) as a </w:t>
      </w:r>
      <w:r w:rsidR="007F454C">
        <w:rPr>
          <w:sz w:val="24"/>
          <w:szCs w:val="24"/>
        </w:rPr>
        <w:t xml:space="preserve">contributing </w:t>
      </w:r>
      <w:r>
        <w:rPr>
          <w:sz w:val="24"/>
          <w:szCs w:val="24"/>
        </w:rPr>
        <w:t>solution to future crises</w:t>
      </w:r>
      <w:r w:rsidR="00A80946">
        <w:rPr>
          <w:sz w:val="24"/>
          <w:szCs w:val="24"/>
        </w:rPr>
        <w:t xml:space="preserve">. The RFB approach is intended to </w:t>
      </w:r>
      <w:r w:rsidR="00D85CA8">
        <w:rPr>
          <w:sz w:val="24"/>
          <w:szCs w:val="24"/>
        </w:rPr>
        <w:t xml:space="preserve">ensure that if government intervention is required it can be applied in a way that is restricted to saving banking activity </w:t>
      </w:r>
      <w:r>
        <w:rPr>
          <w:sz w:val="24"/>
          <w:szCs w:val="24"/>
        </w:rPr>
        <w:t>th</w:t>
      </w:r>
      <w:r w:rsidR="00D85CA8">
        <w:rPr>
          <w:sz w:val="24"/>
          <w:szCs w:val="24"/>
        </w:rPr>
        <w:t>at</w:t>
      </w:r>
      <w:r>
        <w:rPr>
          <w:sz w:val="24"/>
          <w:szCs w:val="24"/>
        </w:rPr>
        <w:t xml:space="preserve"> support</w:t>
      </w:r>
      <w:r w:rsidR="00D85CA8">
        <w:rPr>
          <w:sz w:val="24"/>
          <w:szCs w:val="24"/>
        </w:rPr>
        <w:t>s</w:t>
      </w:r>
      <w:r>
        <w:rPr>
          <w:sz w:val="24"/>
          <w:szCs w:val="24"/>
        </w:rPr>
        <w:t xml:space="preserve"> the national economy.</w:t>
      </w:r>
    </w:p>
    <w:p w:rsidR="00C5277B" w:rsidRDefault="00C5277B" w:rsidP="00E31F1B">
      <w:pPr>
        <w:tabs>
          <w:tab w:val="left" w:pos="2702"/>
        </w:tabs>
        <w:spacing w:line="480" w:lineRule="auto"/>
        <w:jc w:val="both"/>
        <w:rPr>
          <w:sz w:val="24"/>
          <w:szCs w:val="24"/>
        </w:rPr>
      </w:pPr>
    </w:p>
    <w:p w:rsidR="00A90C87" w:rsidRDefault="00C5277B" w:rsidP="00E31F1B">
      <w:pPr>
        <w:tabs>
          <w:tab w:val="left" w:pos="2702"/>
        </w:tabs>
        <w:spacing w:line="480" w:lineRule="auto"/>
        <w:jc w:val="both"/>
        <w:rPr>
          <w:sz w:val="24"/>
          <w:szCs w:val="24"/>
        </w:rPr>
      </w:pPr>
      <w:r>
        <w:rPr>
          <w:sz w:val="24"/>
          <w:szCs w:val="24"/>
        </w:rPr>
        <w:t>Unlike many previous crises the globalisation of financial services in the latter part of the 20</w:t>
      </w:r>
      <w:r w:rsidRPr="00C5277B">
        <w:rPr>
          <w:sz w:val="24"/>
          <w:szCs w:val="24"/>
          <w:vertAlign w:val="superscript"/>
        </w:rPr>
        <w:t>th</w:t>
      </w:r>
      <w:r w:rsidR="00A90C87">
        <w:rPr>
          <w:sz w:val="24"/>
          <w:szCs w:val="24"/>
        </w:rPr>
        <w:t>C</w:t>
      </w:r>
      <w:r>
        <w:rPr>
          <w:sz w:val="24"/>
          <w:szCs w:val="24"/>
        </w:rPr>
        <w:t>entury made this the first truly global financial crisis, and as such it has been met with a global response</w:t>
      </w:r>
      <w:r w:rsidR="00A90C87">
        <w:rPr>
          <w:sz w:val="24"/>
          <w:szCs w:val="24"/>
        </w:rPr>
        <w:t>. In this respect we have seen regulatory initiatives from the Financial Stability Board (FSB), the Basel Committee on Banking Supervision (BCBS), a re-structuring of European regulation, and a re-structuring of UK financial regulation.</w:t>
      </w:r>
    </w:p>
    <w:p w:rsidR="00A90C87" w:rsidRDefault="00A90C87" w:rsidP="00E31F1B">
      <w:pPr>
        <w:tabs>
          <w:tab w:val="left" w:pos="2702"/>
        </w:tabs>
        <w:spacing w:line="480" w:lineRule="auto"/>
        <w:jc w:val="both"/>
        <w:rPr>
          <w:sz w:val="24"/>
          <w:szCs w:val="24"/>
        </w:rPr>
      </w:pPr>
    </w:p>
    <w:p w:rsidR="00A90C87" w:rsidRDefault="00A90C87" w:rsidP="00E31F1B">
      <w:pPr>
        <w:tabs>
          <w:tab w:val="left" w:pos="2702"/>
        </w:tabs>
        <w:spacing w:line="480" w:lineRule="auto"/>
        <w:jc w:val="both"/>
        <w:rPr>
          <w:sz w:val="24"/>
          <w:szCs w:val="24"/>
        </w:rPr>
      </w:pPr>
      <w:r>
        <w:rPr>
          <w:sz w:val="24"/>
          <w:szCs w:val="24"/>
        </w:rPr>
        <w:t>Although much has been done to improve the resilience of the global, European, and national banking systems, now that the dust is starting to settle, conditions are starting to become more benign, and bank profitability has been restored, banks are starting to push back on the tide of regulation and becoming increasingly vocal, in particular in respect of RFB.</w:t>
      </w:r>
    </w:p>
    <w:p w:rsidR="00A90C87" w:rsidRDefault="00A90C87" w:rsidP="00E31F1B">
      <w:pPr>
        <w:tabs>
          <w:tab w:val="left" w:pos="2702"/>
        </w:tabs>
        <w:spacing w:line="480" w:lineRule="auto"/>
        <w:jc w:val="both"/>
        <w:rPr>
          <w:sz w:val="24"/>
          <w:szCs w:val="24"/>
        </w:rPr>
      </w:pPr>
    </w:p>
    <w:p w:rsidR="007F454C" w:rsidRDefault="00A90C87" w:rsidP="00E31F1B">
      <w:pPr>
        <w:tabs>
          <w:tab w:val="left" w:pos="2702"/>
        </w:tabs>
        <w:spacing w:line="480" w:lineRule="auto"/>
        <w:jc w:val="both"/>
        <w:rPr>
          <w:sz w:val="24"/>
          <w:szCs w:val="24"/>
        </w:rPr>
      </w:pPr>
      <w:r>
        <w:rPr>
          <w:sz w:val="24"/>
          <w:szCs w:val="24"/>
        </w:rPr>
        <w:t>In particular Sir David Walker (the former Chairman of Barclays) writing in a personal capacity in the Telegraph</w:t>
      </w:r>
      <w:r w:rsidR="007F454C">
        <w:rPr>
          <w:rStyle w:val="FootnoteReference"/>
          <w:sz w:val="24"/>
          <w:szCs w:val="24"/>
        </w:rPr>
        <w:footnoteReference w:id="2"/>
      </w:r>
      <w:r w:rsidR="000205AD">
        <w:rPr>
          <w:sz w:val="24"/>
          <w:szCs w:val="24"/>
        </w:rPr>
        <w:t>on 2</w:t>
      </w:r>
      <w:r w:rsidR="000205AD" w:rsidRPr="000205AD">
        <w:rPr>
          <w:sz w:val="24"/>
          <w:szCs w:val="24"/>
          <w:vertAlign w:val="superscript"/>
        </w:rPr>
        <w:t>nd</w:t>
      </w:r>
      <w:r w:rsidR="000205AD">
        <w:rPr>
          <w:sz w:val="24"/>
          <w:szCs w:val="24"/>
        </w:rPr>
        <w:t xml:space="preserve"> June 2015, </w:t>
      </w:r>
      <w:r w:rsidR="007F454C">
        <w:rPr>
          <w:sz w:val="24"/>
          <w:szCs w:val="24"/>
        </w:rPr>
        <w:t>and using the Keynes dictum ‘</w:t>
      </w:r>
      <w:r w:rsidR="007F454C" w:rsidRPr="007F454C">
        <w:rPr>
          <w:i/>
          <w:sz w:val="24"/>
          <w:szCs w:val="24"/>
        </w:rPr>
        <w:t>when facts change I change my mind</w:t>
      </w:r>
      <w:r w:rsidR="007F454C">
        <w:rPr>
          <w:sz w:val="24"/>
          <w:szCs w:val="24"/>
        </w:rPr>
        <w:t>’</w:t>
      </w:r>
      <w:r w:rsidR="008F3EEE">
        <w:rPr>
          <w:sz w:val="24"/>
          <w:szCs w:val="24"/>
        </w:rPr>
        <w:t xml:space="preserve"> </w:t>
      </w:r>
      <w:r w:rsidR="00916FD8">
        <w:rPr>
          <w:sz w:val="24"/>
          <w:szCs w:val="24"/>
        </w:rPr>
        <w:t>urged that the justification for RFB is looked at again, noting that</w:t>
      </w:r>
      <w:r w:rsidR="007F454C">
        <w:rPr>
          <w:sz w:val="24"/>
          <w:szCs w:val="24"/>
        </w:rPr>
        <w:t>:</w:t>
      </w:r>
    </w:p>
    <w:p w:rsidR="007F454C" w:rsidRDefault="007F454C" w:rsidP="00E31F1B">
      <w:pPr>
        <w:tabs>
          <w:tab w:val="left" w:pos="2702"/>
        </w:tabs>
        <w:spacing w:line="480" w:lineRule="auto"/>
        <w:jc w:val="both"/>
        <w:rPr>
          <w:sz w:val="24"/>
          <w:szCs w:val="24"/>
        </w:rPr>
      </w:pPr>
    </w:p>
    <w:p w:rsidR="000205AD" w:rsidRPr="000205AD" w:rsidRDefault="007F454C" w:rsidP="00E31F1B">
      <w:pPr>
        <w:tabs>
          <w:tab w:val="left" w:pos="2702"/>
        </w:tabs>
        <w:ind w:left="720"/>
        <w:jc w:val="both"/>
        <w:rPr>
          <w:i/>
          <w:sz w:val="24"/>
          <w:szCs w:val="24"/>
        </w:rPr>
      </w:pPr>
      <w:r w:rsidRPr="000205AD">
        <w:rPr>
          <w:i/>
          <w:sz w:val="24"/>
          <w:szCs w:val="24"/>
        </w:rPr>
        <w:t>“The landscape within which UK banking now operates has been transformed for the better. Demanding new requirements on capital, liquidity, leverage and provision for resolution and recovery – partly as a result of other recommendations of the Banking Commission – have increased both the resilience of UK banking and protection for the wider economy.</w:t>
      </w:r>
    </w:p>
    <w:p w:rsidR="000205AD" w:rsidRPr="000205AD" w:rsidRDefault="000205AD" w:rsidP="00E31F1B">
      <w:pPr>
        <w:tabs>
          <w:tab w:val="left" w:pos="2702"/>
        </w:tabs>
        <w:spacing w:line="480" w:lineRule="auto"/>
        <w:ind w:left="720"/>
        <w:jc w:val="both"/>
        <w:rPr>
          <w:i/>
          <w:sz w:val="24"/>
          <w:szCs w:val="24"/>
        </w:rPr>
      </w:pPr>
    </w:p>
    <w:p w:rsidR="007F454C" w:rsidRPr="000205AD" w:rsidRDefault="000205AD" w:rsidP="00E31F1B">
      <w:pPr>
        <w:tabs>
          <w:tab w:val="left" w:pos="2702"/>
        </w:tabs>
        <w:ind w:left="720"/>
        <w:jc w:val="both"/>
        <w:rPr>
          <w:i/>
          <w:sz w:val="24"/>
          <w:szCs w:val="24"/>
        </w:rPr>
      </w:pPr>
      <w:r w:rsidRPr="000205AD">
        <w:rPr>
          <w:i/>
          <w:sz w:val="24"/>
          <w:szCs w:val="24"/>
        </w:rPr>
        <w:t>It is hard to see how the complex structural re-engineering involved will further boost the resilience of banks beyond the new capital and leverage requirements that have been put in place elsewhere. Ring-fencing’s role in effective resolution – crucial to protect the taxpayer – is also now redundant as banks adopt comprehensive standalone mechanisms as part of the EU Recovery and Resolution Directive.”</w:t>
      </w:r>
    </w:p>
    <w:p w:rsidR="007F454C" w:rsidRDefault="007F454C" w:rsidP="00E31F1B">
      <w:pPr>
        <w:tabs>
          <w:tab w:val="left" w:pos="2702"/>
        </w:tabs>
        <w:spacing w:line="480" w:lineRule="auto"/>
        <w:jc w:val="both"/>
        <w:rPr>
          <w:sz w:val="24"/>
          <w:szCs w:val="24"/>
        </w:rPr>
      </w:pPr>
    </w:p>
    <w:p w:rsidR="000205AD" w:rsidRDefault="000205AD" w:rsidP="00E31F1B">
      <w:pPr>
        <w:tabs>
          <w:tab w:val="left" w:pos="2702"/>
        </w:tabs>
        <w:spacing w:line="480" w:lineRule="auto"/>
        <w:jc w:val="both"/>
        <w:rPr>
          <w:sz w:val="24"/>
          <w:szCs w:val="24"/>
        </w:rPr>
      </w:pPr>
      <w:r>
        <w:rPr>
          <w:sz w:val="24"/>
          <w:szCs w:val="24"/>
        </w:rPr>
        <w:t>The</w:t>
      </w:r>
      <w:r w:rsidR="00916FD8">
        <w:rPr>
          <w:sz w:val="24"/>
          <w:szCs w:val="24"/>
        </w:rPr>
        <w:t xml:space="preserve">se comments </w:t>
      </w:r>
      <w:r>
        <w:rPr>
          <w:sz w:val="24"/>
          <w:szCs w:val="24"/>
        </w:rPr>
        <w:t>contributed to the line of questioning at the House of Lords Economic Affairs Committee on 30</w:t>
      </w:r>
      <w:r w:rsidRPr="00995230">
        <w:rPr>
          <w:sz w:val="24"/>
          <w:szCs w:val="24"/>
          <w:vertAlign w:val="superscript"/>
        </w:rPr>
        <w:t>th</w:t>
      </w:r>
      <w:r>
        <w:rPr>
          <w:sz w:val="24"/>
          <w:szCs w:val="24"/>
        </w:rPr>
        <w:t xml:space="preserve"> June 2015</w:t>
      </w:r>
      <w:r>
        <w:rPr>
          <w:rStyle w:val="FootnoteReference"/>
          <w:sz w:val="24"/>
          <w:szCs w:val="24"/>
        </w:rPr>
        <w:footnoteReference w:id="3"/>
      </w:r>
      <w:r>
        <w:rPr>
          <w:sz w:val="24"/>
          <w:szCs w:val="24"/>
        </w:rPr>
        <w:t xml:space="preserve"> where </w:t>
      </w:r>
      <w:r w:rsidR="00995230">
        <w:rPr>
          <w:sz w:val="24"/>
          <w:szCs w:val="24"/>
        </w:rPr>
        <w:t>Sir John Vickers,</w:t>
      </w:r>
      <w:r>
        <w:rPr>
          <w:sz w:val="24"/>
          <w:szCs w:val="24"/>
        </w:rPr>
        <w:t xml:space="preserve"> who led the ICB review responded that</w:t>
      </w:r>
      <w:r w:rsidR="002C349F">
        <w:rPr>
          <w:sz w:val="24"/>
          <w:szCs w:val="24"/>
        </w:rPr>
        <w:t xml:space="preserve"> the case for RFB</w:t>
      </w:r>
      <w:r>
        <w:rPr>
          <w:sz w:val="24"/>
          <w:szCs w:val="24"/>
        </w:rPr>
        <w:t>:</w:t>
      </w:r>
    </w:p>
    <w:p w:rsidR="002C349F" w:rsidRDefault="002C349F" w:rsidP="00E31F1B">
      <w:pPr>
        <w:tabs>
          <w:tab w:val="left" w:pos="2702"/>
        </w:tabs>
        <w:spacing w:line="480" w:lineRule="auto"/>
        <w:jc w:val="both"/>
        <w:rPr>
          <w:sz w:val="24"/>
          <w:szCs w:val="24"/>
        </w:rPr>
      </w:pPr>
    </w:p>
    <w:p w:rsidR="002C349F" w:rsidRDefault="002C349F" w:rsidP="00E31F1B">
      <w:pPr>
        <w:tabs>
          <w:tab w:val="left" w:pos="2702"/>
        </w:tabs>
        <w:ind w:left="720"/>
        <w:jc w:val="both"/>
        <w:rPr>
          <w:i/>
          <w:sz w:val="24"/>
          <w:szCs w:val="24"/>
        </w:rPr>
      </w:pPr>
      <w:r>
        <w:rPr>
          <w:sz w:val="24"/>
          <w:szCs w:val="24"/>
        </w:rPr>
        <w:t>“</w:t>
      </w:r>
      <w:r w:rsidRPr="002C349F">
        <w:rPr>
          <w:i/>
          <w:sz w:val="24"/>
          <w:szCs w:val="24"/>
        </w:rPr>
        <w:t>is every bit as strong today as it was when we made our report four years ago – arguably, if anything stronger still.”</w:t>
      </w:r>
      <w:r>
        <w:rPr>
          <w:rStyle w:val="FootnoteReference"/>
          <w:i/>
          <w:sz w:val="24"/>
          <w:szCs w:val="24"/>
        </w:rPr>
        <w:footnoteReference w:id="4"/>
      </w:r>
    </w:p>
    <w:p w:rsidR="00E31F1B" w:rsidRDefault="00E31F1B" w:rsidP="00E31F1B">
      <w:pPr>
        <w:tabs>
          <w:tab w:val="left" w:pos="2702"/>
        </w:tabs>
        <w:ind w:left="720"/>
        <w:jc w:val="both"/>
        <w:rPr>
          <w:i/>
          <w:sz w:val="24"/>
          <w:szCs w:val="24"/>
        </w:rPr>
      </w:pPr>
    </w:p>
    <w:p w:rsidR="00E31F1B" w:rsidRDefault="00E31F1B" w:rsidP="00E31F1B">
      <w:pPr>
        <w:tabs>
          <w:tab w:val="left" w:pos="2702"/>
        </w:tabs>
        <w:ind w:left="720"/>
        <w:jc w:val="both"/>
        <w:rPr>
          <w:sz w:val="24"/>
          <w:szCs w:val="24"/>
        </w:rPr>
      </w:pPr>
    </w:p>
    <w:p w:rsidR="00995230" w:rsidRDefault="000205AD" w:rsidP="00E31F1B">
      <w:pPr>
        <w:tabs>
          <w:tab w:val="left" w:pos="2702"/>
        </w:tabs>
        <w:spacing w:line="480" w:lineRule="auto"/>
        <w:jc w:val="both"/>
        <w:rPr>
          <w:sz w:val="24"/>
          <w:szCs w:val="24"/>
        </w:rPr>
      </w:pPr>
      <w:r>
        <w:rPr>
          <w:sz w:val="24"/>
          <w:szCs w:val="24"/>
        </w:rPr>
        <w:t xml:space="preserve">He also noted that:  </w:t>
      </w:r>
    </w:p>
    <w:p w:rsidR="00E31F1B" w:rsidRDefault="00E31F1B" w:rsidP="00E31F1B">
      <w:pPr>
        <w:tabs>
          <w:tab w:val="left" w:pos="2702"/>
        </w:tabs>
        <w:spacing w:line="480" w:lineRule="auto"/>
        <w:jc w:val="both"/>
        <w:rPr>
          <w:sz w:val="24"/>
          <w:szCs w:val="24"/>
        </w:rPr>
      </w:pPr>
    </w:p>
    <w:p w:rsidR="00995230" w:rsidRDefault="00995230" w:rsidP="00E31F1B">
      <w:pPr>
        <w:tabs>
          <w:tab w:val="left" w:pos="2702"/>
        </w:tabs>
        <w:ind w:left="720"/>
        <w:jc w:val="both"/>
        <w:rPr>
          <w:sz w:val="24"/>
          <w:szCs w:val="24"/>
        </w:rPr>
      </w:pPr>
      <w:r>
        <w:rPr>
          <w:sz w:val="24"/>
          <w:szCs w:val="24"/>
        </w:rPr>
        <w:t>“</w:t>
      </w:r>
      <w:r w:rsidRPr="00995230">
        <w:rPr>
          <w:i/>
          <w:sz w:val="24"/>
          <w:szCs w:val="24"/>
        </w:rPr>
        <w:t>One of the reasons why our crisis was so bad was that, particularly in the case of RBS, the government’s completely understandable desire to save the retail banking on which the economy depends necessitated saving the entire structure</w:t>
      </w:r>
      <w:r>
        <w:rPr>
          <w:sz w:val="24"/>
          <w:szCs w:val="24"/>
        </w:rPr>
        <w:t>”</w:t>
      </w:r>
      <w:r w:rsidR="00CC3ADB">
        <w:rPr>
          <w:rStyle w:val="FootnoteReference"/>
          <w:sz w:val="24"/>
          <w:szCs w:val="24"/>
        </w:rPr>
        <w:footnoteReference w:id="5"/>
      </w:r>
    </w:p>
    <w:p w:rsidR="00995230" w:rsidRDefault="00995230" w:rsidP="00E31F1B">
      <w:pPr>
        <w:tabs>
          <w:tab w:val="left" w:pos="2702"/>
        </w:tabs>
        <w:spacing w:line="480" w:lineRule="auto"/>
        <w:ind w:left="720"/>
        <w:jc w:val="both"/>
        <w:rPr>
          <w:sz w:val="24"/>
          <w:szCs w:val="24"/>
        </w:rPr>
      </w:pPr>
    </w:p>
    <w:p w:rsidR="00916FD8" w:rsidRDefault="00916FD8" w:rsidP="00E31F1B">
      <w:pPr>
        <w:tabs>
          <w:tab w:val="left" w:pos="2702"/>
        </w:tabs>
        <w:spacing w:line="480" w:lineRule="auto"/>
        <w:jc w:val="both"/>
        <w:rPr>
          <w:sz w:val="24"/>
          <w:szCs w:val="24"/>
        </w:rPr>
      </w:pPr>
      <w:r>
        <w:rPr>
          <w:sz w:val="24"/>
          <w:szCs w:val="24"/>
        </w:rPr>
        <w:t xml:space="preserve">and that </w:t>
      </w:r>
      <w:r w:rsidR="00A80946">
        <w:rPr>
          <w:sz w:val="24"/>
          <w:szCs w:val="24"/>
        </w:rPr>
        <w:t>following the implementation of the RFB reforms</w:t>
      </w:r>
    </w:p>
    <w:p w:rsidR="00E31F1B" w:rsidRDefault="00E31F1B" w:rsidP="00E31F1B">
      <w:pPr>
        <w:tabs>
          <w:tab w:val="left" w:pos="2702"/>
        </w:tabs>
        <w:spacing w:line="480" w:lineRule="auto"/>
        <w:jc w:val="both"/>
        <w:rPr>
          <w:sz w:val="24"/>
          <w:szCs w:val="24"/>
        </w:rPr>
      </w:pPr>
    </w:p>
    <w:p w:rsidR="00995230" w:rsidRDefault="00995230" w:rsidP="00E31F1B">
      <w:pPr>
        <w:tabs>
          <w:tab w:val="left" w:pos="2702"/>
        </w:tabs>
        <w:ind w:left="720"/>
        <w:jc w:val="both"/>
        <w:rPr>
          <w:sz w:val="24"/>
          <w:szCs w:val="24"/>
        </w:rPr>
      </w:pPr>
      <w:r w:rsidRPr="00995230">
        <w:rPr>
          <w:i/>
          <w:sz w:val="24"/>
          <w:szCs w:val="24"/>
        </w:rPr>
        <w:lastRenderedPageBreak/>
        <w:t>“...in the next crisis the government of the day</w:t>
      </w:r>
      <w:r w:rsidR="005A7BA8">
        <w:rPr>
          <w:i/>
          <w:sz w:val="24"/>
          <w:szCs w:val="24"/>
        </w:rPr>
        <w:t>...</w:t>
      </w:r>
      <w:r w:rsidRPr="00995230">
        <w:rPr>
          <w:i/>
          <w:sz w:val="24"/>
          <w:szCs w:val="24"/>
        </w:rPr>
        <w:t xml:space="preserve"> can adopt different polic</w:t>
      </w:r>
      <w:r w:rsidR="005A7BA8">
        <w:rPr>
          <w:i/>
          <w:sz w:val="24"/>
          <w:szCs w:val="24"/>
        </w:rPr>
        <w:t xml:space="preserve">ies for </w:t>
      </w:r>
      <w:r w:rsidRPr="00995230">
        <w:rPr>
          <w:i/>
          <w:sz w:val="24"/>
          <w:szCs w:val="24"/>
        </w:rPr>
        <w:t>retail a</w:t>
      </w:r>
      <w:r w:rsidR="005A7BA8">
        <w:rPr>
          <w:i/>
          <w:sz w:val="24"/>
          <w:szCs w:val="24"/>
        </w:rPr>
        <w:t>s for globa</w:t>
      </w:r>
      <w:r w:rsidR="00EF3B29">
        <w:rPr>
          <w:i/>
          <w:sz w:val="24"/>
          <w:szCs w:val="24"/>
        </w:rPr>
        <w:t>l</w:t>
      </w:r>
      <w:r w:rsidRPr="00995230">
        <w:rPr>
          <w:i/>
          <w:sz w:val="24"/>
          <w:szCs w:val="24"/>
        </w:rPr>
        <w:t xml:space="preserve"> investment banking</w:t>
      </w:r>
      <w:r>
        <w:rPr>
          <w:sz w:val="24"/>
          <w:szCs w:val="24"/>
        </w:rPr>
        <w:t>”</w:t>
      </w:r>
      <w:r w:rsidR="00CC3ADB">
        <w:rPr>
          <w:rStyle w:val="FootnoteReference"/>
          <w:sz w:val="24"/>
          <w:szCs w:val="24"/>
        </w:rPr>
        <w:footnoteReference w:id="6"/>
      </w:r>
    </w:p>
    <w:p w:rsidR="00995230" w:rsidRDefault="00995230" w:rsidP="00E31F1B">
      <w:pPr>
        <w:tabs>
          <w:tab w:val="left" w:pos="2702"/>
        </w:tabs>
        <w:spacing w:line="480" w:lineRule="auto"/>
        <w:jc w:val="both"/>
        <w:rPr>
          <w:sz w:val="24"/>
          <w:szCs w:val="24"/>
        </w:rPr>
      </w:pPr>
    </w:p>
    <w:p w:rsidR="00A30930" w:rsidRDefault="00A30930" w:rsidP="00E31F1B">
      <w:pPr>
        <w:tabs>
          <w:tab w:val="left" w:pos="2702"/>
        </w:tabs>
        <w:spacing w:line="480" w:lineRule="auto"/>
        <w:jc w:val="both"/>
        <w:rPr>
          <w:sz w:val="24"/>
          <w:szCs w:val="24"/>
        </w:rPr>
      </w:pPr>
      <w:r>
        <w:rPr>
          <w:sz w:val="24"/>
          <w:szCs w:val="24"/>
        </w:rPr>
        <w:t>The issue and outcome illustrated in the two quotes</w:t>
      </w:r>
      <w:r w:rsidR="00A80946">
        <w:rPr>
          <w:sz w:val="24"/>
          <w:szCs w:val="24"/>
        </w:rPr>
        <w:t xml:space="preserve"> above</w:t>
      </w:r>
      <w:r w:rsidR="008F3EEE">
        <w:rPr>
          <w:sz w:val="24"/>
          <w:szCs w:val="24"/>
        </w:rPr>
        <w:t xml:space="preserve"> </w:t>
      </w:r>
      <w:r w:rsidR="00A80946">
        <w:rPr>
          <w:sz w:val="24"/>
          <w:szCs w:val="24"/>
        </w:rPr>
        <w:t>are</w:t>
      </w:r>
      <w:r>
        <w:rPr>
          <w:sz w:val="24"/>
          <w:szCs w:val="24"/>
        </w:rPr>
        <w:t xml:space="preserve"> at the heart of why the Independent Commission on Banking</w:t>
      </w:r>
      <w:r w:rsidR="00A1385C">
        <w:rPr>
          <w:sz w:val="24"/>
          <w:szCs w:val="24"/>
        </w:rPr>
        <w:t xml:space="preserve"> </w:t>
      </w:r>
      <w:r w:rsidR="00A0578D">
        <w:rPr>
          <w:sz w:val="24"/>
          <w:szCs w:val="24"/>
        </w:rPr>
        <w:t xml:space="preserve">(ICB) </w:t>
      </w:r>
      <w:r>
        <w:rPr>
          <w:sz w:val="24"/>
          <w:szCs w:val="24"/>
        </w:rPr>
        <w:t>was established</w:t>
      </w:r>
      <w:r w:rsidR="00A60C1B">
        <w:rPr>
          <w:rStyle w:val="FootnoteReference"/>
          <w:sz w:val="24"/>
          <w:szCs w:val="24"/>
        </w:rPr>
        <w:footnoteReference w:id="7"/>
      </w:r>
      <w:r>
        <w:rPr>
          <w:sz w:val="24"/>
          <w:szCs w:val="24"/>
        </w:rPr>
        <w:t>. Although there was little challenge to the Commissions recommendations</w:t>
      </w:r>
      <w:r w:rsidR="00A60C1B">
        <w:rPr>
          <w:rStyle w:val="FootnoteReference"/>
          <w:sz w:val="24"/>
          <w:szCs w:val="24"/>
        </w:rPr>
        <w:footnoteReference w:id="8"/>
      </w:r>
      <w:r>
        <w:rPr>
          <w:sz w:val="24"/>
          <w:szCs w:val="24"/>
        </w:rPr>
        <w:t xml:space="preserve"> when they were first issued, </w:t>
      </w:r>
      <w:r w:rsidR="00A0578D">
        <w:rPr>
          <w:sz w:val="24"/>
          <w:szCs w:val="24"/>
        </w:rPr>
        <w:t>and a report has since been published on RBS</w:t>
      </w:r>
      <w:r w:rsidR="00A0578D">
        <w:rPr>
          <w:rStyle w:val="FootnoteReference"/>
          <w:sz w:val="24"/>
          <w:szCs w:val="24"/>
        </w:rPr>
        <w:footnoteReference w:id="9"/>
      </w:r>
      <w:r w:rsidR="00A0578D">
        <w:rPr>
          <w:sz w:val="24"/>
          <w:szCs w:val="24"/>
        </w:rPr>
        <w:t xml:space="preserve">, </w:t>
      </w:r>
      <w:r>
        <w:rPr>
          <w:sz w:val="24"/>
          <w:szCs w:val="24"/>
        </w:rPr>
        <w:t>the larger universal banks are</w:t>
      </w:r>
      <w:r w:rsidR="00D85CA8">
        <w:rPr>
          <w:sz w:val="24"/>
          <w:szCs w:val="24"/>
        </w:rPr>
        <w:t xml:space="preserve"> now</w:t>
      </w:r>
      <w:r>
        <w:rPr>
          <w:sz w:val="24"/>
          <w:szCs w:val="24"/>
        </w:rPr>
        <w:t xml:space="preserve"> starting to push back, arguing, in the case of Barclays</w:t>
      </w:r>
      <w:r w:rsidR="00A60C1B">
        <w:rPr>
          <w:rStyle w:val="FootnoteReference"/>
          <w:sz w:val="24"/>
          <w:szCs w:val="24"/>
        </w:rPr>
        <w:footnoteReference w:id="10"/>
      </w:r>
      <w:r>
        <w:rPr>
          <w:sz w:val="24"/>
          <w:szCs w:val="24"/>
        </w:rPr>
        <w:t>, that the work done since the crisis has made the ring-fencing proposals redundant, and, in the case of HSBC</w:t>
      </w:r>
      <w:r w:rsidR="00A60C1B">
        <w:rPr>
          <w:rStyle w:val="FootnoteReference"/>
          <w:sz w:val="24"/>
          <w:szCs w:val="24"/>
        </w:rPr>
        <w:footnoteReference w:id="11"/>
      </w:r>
      <w:r>
        <w:rPr>
          <w:sz w:val="24"/>
          <w:szCs w:val="24"/>
        </w:rPr>
        <w:t>, the cost and the distraction to running its business.</w:t>
      </w:r>
    </w:p>
    <w:p w:rsidR="00A30930" w:rsidRDefault="00A30930" w:rsidP="00E31F1B">
      <w:pPr>
        <w:tabs>
          <w:tab w:val="left" w:pos="2702"/>
        </w:tabs>
        <w:spacing w:line="480" w:lineRule="auto"/>
        <w:jc w:val="both"/>
        <w:rPr>
          <w:sz w:val="24"/>
          <w:szCs w:val="24"/>
        </w:rPr>
      </w:pPr>
    </w:p>
    <w:p w:rsidR="00C42613" w:rsidRDefault="00F030B3" w:rsidP="00E31F1B">
      <w:pPr>
        <w:tabs>
          <w:tab w:val="left" w:pos="2702"/>
        </w:tabs>
        <w:spacing w:line="480" w:lineRule="auto"/>
        <w:jc w:val="both"/>
        <w:rPr>
          <w:sz w:val="24"/>
          <w:szCs w:val="24"/>
        </w:rPr>
      </w:pPr>
      <w:r>
        <w:rPr>
          <w:sz w:val="24"/>
          <w:szCs w:val="24"/>
        </w:rPr>
        <w:t>The Chancellor of the Exchequer has recently indicated the current period of intense regulatory change should be allowed to settle down, including ring-fencing and that the government would not be backtracking on the ring-fence rules</w:t>
      </w:r>
      <w:r>
        <w:rPr>
          <w:rStyle w:val="FootnoteReference"/>
          <w:sz w:val="24"/>
          <w:szCs w:val="24"/>
        </w:rPr>
        <w:footnoteReference w:id="12"/>
      </w:r>
      <w:r>
        <w:rPr>
          <w:sz w:val="24"/>
          <w:szCs w:val="24"/>
        </w:rPr>
        <w:t>.</w:t>
      </w:r>
    </w:p>
    <w:p w:rsidR="00C42613" w:rsidRDefault="00C42613" w:rsidP="00E31F1B">
      <w:pPr>
        <w:tabs>
          <w:tab w:val="left" w:pos="2702"/>
        </w:tabs>
        <w:spacing w:line="480" w:lineRule="auto"/>
        <w:jc w:val="both"/>
        <w:rPr>
          <w:sz w:val="24"/>
          <w:szCs w:val="24"/>
        </w:rPr>
      </w:pPr>
    </w:p>
    <w:p w:rsidR="00995230" w:rsidRDefault="00A30930" w:rsidP="00E31F1B">
      <w:pPr>
        <w:tabs>
          <w:tab w:val="left" w:pos="2702"/>
        </w:tabs>
        <w:spacing w:line="480" w:lineRule="auto"/>
        <w:jc w:val="both"/>
        <w:rPr>
          <w:sz w:val="24"/>
          <w:szCs w:val="24"/>
        </w:rPr>
      </w:pPr>
      <w:r>
        <w:rPr>
          <w:sz w:val="24"/>
          <w:szCs w:val="24"/>
        </w:rPr>
        <w:lastRenderedPageBreak/>
        <w:t xml:space="preserve">This dissertation </w:t>
      </w:r>
      <w:r w:rsidR="00D85CA8">
        <w:rPr>
          <w:sz w:val="24"/>
          <w:szCs w:val="24"/>
        </w:rPr>
        <w:t xml:space="preserve">sets out the changes in retail banking over the last twenty years, </w:t>
      </w:r>
      <w:r w:rsidR="002C349F">
        <w:rPr>
          <w:sz w:val="24"/>
          <w:szCs w:val="24"/>
        </w:rPr>
        <w:t>looks at</w:t>
      </w:r>
      <w:r w:rsidR="00D85CA8">
        <w:rPr>
          <w:sz w:val="24"/>
          <w:szCs w:val="24"/>
        </w:rPr>
        <w:t xml:space="preserve"> the recent regulatory changes that have been applied to banking to make it more resilient, and concludes that although the probability of failure has reduced, the impact that RFB is intended to address has not.</w:t>
      </w:r>
    </w:p>
    <w:p w:rsidR="00033281" w:rsidRDefault="00033281" w:rsidP="00E31F1B">
      <w:pPr>
        <w:tabs>
          <w:tab w:val="left" w:pos="2702"/>
        </w:tabs>
        <w:spacing w:line="480" w:lineRule="auto"/>
        <w:jc w:val="both"/>
        <w:rPr>
          <w:sz w:val="24"/>
          <w:szCs w:val="24"/>
        </w:rPr>
      </w:pPr>
    </w:p>
    <w:p w:rsidR="00033281" w:rsidRPr="00033281" w:rsidRDefault="00033281" w:rsidP="00E31F1B">
      <w:pPr>
        <w:pStyle w:val="Heading1"/>
        <w:tabs>
          <w:tab w:val="left" w:pos="2702"/>
        </w:tabs>
        <w:spacing w:line="480" w:lineRule="auto"/>
        <w:jc w:val="left"/>
      </w:pPr>
      <w:bookmarkStart w:id="2" w:name="_Toc428779474"/>
      <w:r w:rsidRPr="00033281">
        <w:t>Background and History</w:t>
      </w:r>
      <w:bookmarkEnd w:id="2"/>
    </w:p>
    <w:p w:rsidR="00CB775A" w:rsidRDefault="006B0253" w:rsidP="00E31F1B">
      <w:pPr>
        <w:tabs>
          <w:tab w:val="left" w:pos="2702"/>
        </w:tabs>
        <w:spacing w:line="480" w:lineRule="auto"/>
        <w:jc w:val="both"/>
        <w:rPr>
          <w:sz w:val="24"/>
          <w:szCs w:val="24"/>
        </w:rPr>
      </w:pPr>
      <w:r>
        <w:rPr>
          <w:sz w:val="24"/>
          <w:szCs w:val="24"/>
        </w:rPr>
        <w:t xml:space="preserve">The economic rationale for financial regulation </w:t>
      </w:r>
      <w:r w:rsidR="00621134">
        <w:rPr>
          <w:sz w:val="24"/>
          <w:szCs w:val="24"/>
        </w:rPr>
        <w:t xml:space="preserve">is based on </w:t>
      </w:r>
      <w:r w:rsidR="00A80BF8">
        <w:rPr>
          <w:sz w:val="24"/>
          <w:szCs w:val="24"/>
        </w:rPr>
        <w:t xml:space="preserve">achieving </w:t>
      </w:r>
      <w:r>
        <w:rPr>
          <w:sz w:val="24"/>
          <w:szCs w:val="24"/>
        </w:rPr>
        <w:t>three core objectives:</w:t>
      </w:r>
      <w:r w:rsidR="002D296C">
        <w:rPr>
          <w:sz w:val="24"/>
          <w:szCs w:val="24"/>
        </w:rPr>
        <w:t xml:space="preserve"> (1) s</w:t>
      </w:r>
      <w:r>
        <w:rPr>
          <w:sz w:val="24"/>
          <w:szCs w:val="24"/>
        </w:rPr>
        <w:t>ustaining systemic stability;</w:t>
      </w:r>
      <w:r w:rsidR="002D296C">
        <w:rPr>
          <w:sz w:val="24"/>
          <w:szCs w:val="24"/>
        </w:rPr>
        <w:t>(2) m</w:t>
      </w:r>
      <w:r>
        <w:rPr>
          <w:sz w:val="24"/>
          <w:szCs w:val="24"/>
        </w:rPr>
        <w:t>aintaining the safety and s</w:t>
      </w:r>
      <w:r w:rsidR="00492060">
        <w:rPr>
          <w:sz w:val="24"/>
          <w:szCs w:val="24"/>
        </w:rPr>
        <w:t>o</w:t>
      </w:r>
      <w:r>
        <w:rPr>
          <w:sz w:val="24"/>
          <w:szCs w:val="24"/>
        </w:rPr>
        <w:t xml:space="preserve">undness of financial institutions; and </w:t>
      </w:r>
      <w:r w:rsidR="002D296C">
        <w:rPr>
          <w:sz w:val="24"/>
          <w:szCs w:val="24"/>
        </w:rPr>
        <w:t>(3) p</w:t>
      </w:r>
      <w:r>
        <w:rPr>
          <w:sz w:val="24"/>
          <w:szCs w:val="24"/>
        </w:rPr>
        <w:t>rotecting the consumer</w:t>
      </w:r>
      <w:r w:rsidR="00CB27A4">
        <w:rPr>
          <w:rStyle w:val="FootnoteReference"/>
          <w:sz w:val="24"/>
          <w:szCs w:val="24"/>
        </w:rPr>
        <w:footnoteReference w:id="13"/>
      </w:r>
      <w:r>
        <w:rPr>
          <w:sz w:val="24"/>
          <w:szCs w:val="24"/>
        </w:rPr>
        <w:t>.</w:t>
      </w:r>
      <w:r w:rsidR="00E95559">
        <w:rPr>
          <w:sz w:val="24"/>
          <w:szCs w:val="24"/>
        </w:rPr>
        <w:t xml:space="preserve">For much of the </w:t>
      </w:r>
      <w:r w:rsidR="00492060">
        <w:rPr>
          <w:sz w:val="24"/>
          <w:szCs w:val="24"/>
        </w:rPr>
        <w:t xml:space="preserve">twenty year </w:t>
      </w:r>
      <w:r w:rsidR="00E95559">
        <w:rPr>
          <w:sz w:val="24"/>
          <w:szCs w:val="24"/>
        </w:rPr>
        <w:t xml:space="preserve">period up to </w:t>
      </w:r>
      <w:r w:rsidR="00492060">
        <w:rPr>
          <w:sz w:val="24"/>
          <w:szCs w:val="24"/>
        </w:rPr>
        <w:t xml:space="preserve">the emergence of the recent </w:t>
      </w:r>
      <w:r w:rsidR="00E95559">
        <w:rPr>
          <w:sz w:val="24"/>
          <w:szCs w:val="24"/>
        </w:rPr>
        <w:t>financial crisis</w:t>
      </w:r>
      <w:r w:rsidR="00492060">
        <w:rPr>
          <w:sz w:val="24"/>
          <w:szCs w:val="24"/>
        </w:rPr>
        <w:t>,</w:t>
      </w:r>
      <w:r w:rsidR="00E95559">
        <w:rPr>
          <w:sz w:val="24"/>
          <w:szCs w:val="24"/>
        </w:rPr>
        <w:t xml:space="preserve"> regulation was </w:t>
      </w:r>
      <w:r w:rsidR="00D667AF">
        <w:rPr>
          <w:sz w:val="24"/>
          <w:szCs w:val="24"/>
        </w:rPr>
        <w:t>not effective</w:t>
      </w:r>
      <w:r w:rsidR="00492060">
        <w:rPr>
          <w:sz w:val="24"/>
          <w:szCs w:val="24"/>
        </w:rPr>
        <w:t xml:space="preserve">, particularly in the consumer arena, with increased mis-selling scandals, and ever increasing fines that seemed to have little effect. </w:t>
      </w:r>
      <w:r w:rsidR="00F12B7F">
        <w:rPr>
          <w:sz w:val="24"/>
          <w:szCs w:val="24"/>
        </w:rPr>
        <w:t>Much criticism was also made of the light touch approach to regulation, with prudential regulation tightened up after the run on Northern Rock, the first run on a UK bank in one hundred years</w:t>
      </w:r>
      <w:r w:rsidR="00F12B7F">
        <w:rPr>
          <w:rStyle w:val="FootnoteReference"/>
          <w:sz w:val="24"/>
          <w:szCs w:val="24"/>
        </w:rPr>
        <w:footnoteReference w:id="14"/>
      </w:r>
      <w:r w:rsidR="00F12B7F">
        <w:rPr>
          <w:sz w:val="24"/>
          <w:szCs w:val="24"/>
        </w:rPr>
        <w:t xml:space="preserve">. </w:t>
      </w:r>
      <w:r w:rsidR="00492060">
        <w:rPr>
          <w:sz w:val="24"/>
          <w:szCs w:val="24"/>
        </w:rPr>
        <w:t xml:space="preserve">This twenty year period </w:t>
      </w:r>
      <w:r w:rsidR="00621134">
        <w:rPr>
          <w:sz w:val="24"/>
          <w:szCs w:val="24"/>
        </w:rPr>
        <w:t>(</w:t>
      </w:r>
      <w:r w:rsidR="00492060">
        <w:rPr>
          <w:sz w:val="24"/>
          <w:szCs w:val="24"/>
        </w:rPr>
        <w:t xml:space="preserve">1987 </w:t>
      </w:r>
      <w:r w:rsidR="00621134">
        <w:rPr>
          <w:sz w:val="24"/>
          <w:szCs w:val="24"/>
        </w:rPr>
        <w:t>–</w:t>
      </w:r>
      <w:r w:rsidR="00492060">
        <w:rPr>
          <w:sz w:val="24"/>
          <w:szCs w:val="24"/>
        </w:rPr>
        <w:t xml:space="preserve"> 2007</w:t>
      </w:r>
      <w:r w:rsidR="00621134">
        <w:rPr>
          <w:sz w:val="24"/>
          <w:szCs w:val="24"/>
        </w:rPr>
        <w:t>)</w:t>
      </w:r>
      <w:r w:rsidR="00492060">
        <w:rPr>
          <w:sz w:val="24"/>
          <w:szCs w:val="24"/>
        </w:rPr>
        <w:t xml:space="preserve"> had witnessed substantial change in the structure of the way that financial services </w:t>
      </w:r>
      <w:r w:rsidR="00D667AF">
        <w:rPr>
          <w:sz w:val="24"/>
          <w:szCs w:val="24"/>
        </w:rPr>
        <w:t xml:space="preserve">are </w:t>
      </w:r>
      <w:r w:rsidR="00492060">
        <w:rPr>
          <w:sz w:val="24"/>
          <w:szCs w:val="24"/>
        </w:rPr>
        <w:t xml:space="preserve">carried out, and it is arguable that much of this structural change contributed </w:t>
      </w:r>
      <w:r w:rsidR="00D667AF">
        <w:rPr>
          <w:sz w:val="24"/>
          <w:szCs w:val="24"/>
        </w:rPr>
        <w:t xml:space="preserve">to </w:t>
      </w:r>
      <w:r w:rsidR="00492060">
        <w:rPr>
          <w:sz w:val="24"/>
          <w:szCs w:val="24"/>
        </w:rPr>
        <w:t>the problems that are being addressed today</w:t>
      </w:r>
      <w:r w:rsidR="00492060">
        <w:rPr>
          <w:rStyle w:val="FootnoteReference"/>
          <w:sz w:val="24"/>
          <w:szCs w:val="24"/>
        </w:rPr>
        <w:footnoteReference w:id="15"/>
      </w:r>
      <w:r w:rsidR="00492060">
        <w:rPr>
          <w:sz w:val="24"/>
          <w:szCs w:val="24"/>
        </w:rPr>
        <w:t>.</w:t>
      </w:r>
    </w:p>
    <w:p w:rsidR="00621134" w:rsidRDefault="00621134" w:rsidP="00E31F1B">
      <w:pPr>
        <w:tabs>
          <w:tab w:val="left" w:pos="2702"/>
        </w:tabs>
        <w:spacing w:line="480" w:lineRule="auto"/>
        <w:jc w:val="both"/>
        <w:rPr>
          <w:sz w:val="24"/>
          <w:szCs w:val="24"/>
        </w:rPr>
      </w:pPr>
    </w:p>
    <w:p w:rsidR="00566AA6" w:rsidRDefault="00621134" w:rsidP="00E31F1B">
      <w:pPr>
        <w:tabs>
          <w:tab w:val="left" w:pos="2702"/>
        </w:tabs>
        <w:spacing w:line="480" w:lineRule="auto"/>
        <w:jc w:val="both"/>
        <w:rPr>
          <w:sz w:val="24"/>
          <w:szCs w:val="24"/>
        </w:rPr>
      </w:pPr>
      <w:r>
        <w:rPr>
          <w:sz w:val="24"/>
          <w:szCs w:val="24"/>
        </w:rPr>
        <w:t>In the early 1980s there was a very clear distinction between high street banking and investment banking</w:t>
      </w:r>
      <w:r w:rsidR="00AB5B36">
        <w:rPr>
          <w:sz w:val="24"/>
          <w:szCs w:val="24"/>
        </w:rPr>
        <w:t>,</w:t>
      </w:r>
      <w:r>
        <w:rPr>
          <w:sz w:val="24"/>
          <w:szCs w:val="24"/>
        </w:rPr>
        <w:t xml:space="preserve"> with two very separate cultures. High street banking was branch based, focussed on relationships and was characterised by the </w:t>
      </w:r>
      <w:r w:rsidR="00A80946">
        <w:rPr>
          <w:sz w:val="24"/>
          <w:szCs w:val="24"/>
        </w:rPr>
        <w:t>‘</w:t>
      </w:r>
      <w:r w:rsidRPr="00A80946">
        <w:rPr>
          <w:i/>
          <w:sz w:val="24"/>
          <w:szCs w:val="24"/>
        </w:rPr>
        <w:t>banker</w:t>
      </w:r>
      <w:r w:rsidR="00A80946" w:rsidRPr="00A80946">
        <w:rPr>
          <w:i/>
          <w:sz w:val="24"/>
          <w:szCs w:val="24"/>
        </w:rPr>
        <w:t>-</w:t>
      </w:r>
      <w:r w:rsidRPr="00A80946">
        <w:rPr>
          <w:i/>
          <w:sz w:val="24"/>
          <w:szCs w:val="24"/>
        </w:rPr>
        <w:t>customer relationship</w:t>
      </w:r>
      <w:r w:rsidR="00A80946">
        <w:rPr>
          <w:sz w:val="24"/>
          <w:szCs w:val="24"/>
        </w:rPr>
        <w:t>’</w:t>
      </w:r>
      <w:r>
        <w:rPr>
          <w:sz w:val="24"/>
          <w:szCs w:val="24"/>
        </w:rPr>
        <w:t xml:space="preserve">, with bankers acting </w:t>
      </w:r>
      <w:r>
        <w:rPr>
          <w:sz w:val="24"/>
          <w:szCs w:val="24"/>
        </w:rPr>
        <w:lastRenderedPageBreak/>
        <w:t>in the best interests of their customers</w:t>
      </w:r>
      <w:r w:rsidR="000C2DA4">
        <w:rPr>
          <w:rStyle w:val="FootnoteReference"/>
          <w:sz w:val="24"/>
          <w:szCs w:val="24"/>
        </w:rPr>
        <w:footnoteReference w:id="16"/>
      </w:r>
      <w:r>
        <w:rPr>
          <w:sz w:val="24"/>
          <w:szCs w:val="24"/>
        </w:rPr>
        <w:t>. Investment banking on the other hand was transaction based</w:t>
      </w:r>
      <w:r w:rsidR="000C2DA4">
        <w:rPr>
          <w:sz w:val="24"/>
          <w:szCs w:val="24"/>
        </w:rPr>
        <w:t xml:space="preserve"> and adhered to the standard of </w:t>
      </w:r>
      <w:r w:rsidR="00566AA6">
        <w:rPr>
          <w:sz w:val="24"/>
          <w:szCs w:val="24"/>
        </w:rPr>
        <w:t>‘</w:t>
      </w:r>
      <w:r w:rsidR="000C2DA4" w:rsidRPr="00A80946">
        <w:rPr>
          <w:i/>
          <w:sz w:val="24"/>
          <w:szCs w:val="24"/>
        </w:rPr>
        <w:t>my word is my bond</w:t>
      </w:r>
      <w:r w:rsidR="00566AA6">
        <w:rPr>
          <w:sz w:val="24"/>
          <w:szCs w:val="24"/>
        </w:rPr>
        <w:t>’. The relations</w:t>
      </w:r>
      <w:r w:rsidR="00D667AF">
        <w:rPr>
          <w:sz w:val="24"/>
          <w:szCs w:val="24"/>
        </w:rPr>
        <w:t>hips</w:t>
      </w:r>
      <w:r w:rsidR="00566AA6">
        <w:rPr>
          <w:sz w:val="24"/>
          <w:szCs w:val="24"/>
        </w:rPr>
        <w:t xml:space="preserve"> were characterised by different information asymmetries – the general public in the high street banking context needing much more support than the knowledgeable counterparties in the investment banking markets.</w:t>
      </w:r>
    </w:p>
    <w:p w:rsidR="00566AA6" w:rsidRDefault="00566AA6" w:rsidP="00E31F1B">
      <w:pPr>
        <w:tabs>
          <w:tab w:val="left" w:pos="2702"/>
        </w:tabs>
        <w:spacing w:line="480" w:lineRule="auto"/>
        <w:jc w:val="both"/>
        <w:rPr>
          <w:sz w:val="24"/>
          <w:szCs w:val="24"/>
        </w:rPr>
      </w:pPr>
    </w:p>
    <w:p w:rsidR="00A60474" w:rsidRDefault="00566AA6" w:rsidP="00E31F1B">
      <w:pPr>
        <w:tabs>
          <w:tab w:val="left" w:pos="2702"/>
        </w:tabs>
        <w:spacing w:line="480" w:lineRule="auto"/>
        <w:jc w:val="both"/>
        <w:rPr>
          <w:sz w:val="24"/>
          <w:szCs w:val="24"/>
        </w:rPr>
      </w:pPr>
      <w:r>
        <w:rPr>
          <w:sz w:val="24"/>
          <w:szCs w:val="24"/>
        </w:rPr>
        <w:t>Following the 1984 Gower review</w:t>
      </w:r>
      <w:r w:rsidR="003B4E4A">
        <w:rPr>
          <w:rStyle w:val="FootnoteReference"/>
          <w:sz w:val="24"/>
          <w:szCs w:val="24"/>
        </w:rPr>
        <w:footnoteReference w:id="17"/>
      </w:r>
      <w:r>
        <w:rPr>
          <w:sz w:val="24"/>
          <w:szCs w:val="24"/>
        </w:rPr>
        <w:t xml:space="preserve">, the government </w:t>
      </w:r>
      <w:r w:rsidR="00445464">
        <w:rPr>
          <w:sz w:val="24"/>
          <w:szCs w:val="24"/>
        </w:rPr>
        <w:t xml:space="preserve">enacted the </w:t>
      </w:r>
      <w:r w:rsidR="003B4E4A">
        <w:rPr>
          <w:sz w:val="24"/>
          <w:szCs w:val="24"/>
        </w:rPr>
        <w:t xml:space="preserve">Financial Services Act 1986 and </w:t>
      </w:r>
      <w:r>
        <w:rPr>
          <w:sz w:val="24"/>
          <w:szCs w:val="24"/>
        </w:rPr>
        <w:t>introduce</w:t>
      </w:r>
      <w:r w:rsidR="003B4E4A">
        <w:rPr>
          <w:sz w:val="24"/>
          <w:szCs w:val="24"/>
        </w:rPr>
        <w:t>d</w:t>
      </w:r>
      <w:r>
        <w:rPr>
          <w:sz w:val="24"/>
          <w:szCs w:val="24"/>
        </w:rPr>
        <w:t xml:space="preserve"> a segmented system of regulation</w:t>
      </w:r>
      <w:r w:rsidR="003B4E4A">
        <w:rPr>
          <w:sz w:val="24"/>
          <w:szCs w:val="24"/>
        </w:rPr>
        <w:t xml:space="preserve"> focus</w:t>
      </w:r>
      <w:r w:rsidR="00D667AF">
        <w:rPr>
          <w:sz w:val="24"/>
          <w:szCs w:val="24"/>
        </w:rPr>
        <w:t>sing</w:t>
      </w:r>
      <w:r w:rsidR="003B4E4A">
        <w:rPr>
          <w:sz w:val="24"/>
          <w:szCs w:val="24"/>
        </w:rPr>
        <w:t xml:space="preserve"> on particular activities, e.g. the Life Assurance and Unit Trust Regulatory Organisation (LAUTRO</w:t>
      </w:r>
      <w:r w:rsidR="00D667AF">
        <w:rPr>
          <w:sz w:val="24"/>
          <w:szCs w:val="24"/>
        </w:rPr>
        <w:t>)</w:t>
      </w:r>
      <w:r w:rsidR="003B4E4A">
        <w:rPr>
          <w:sz w:val="24"/>
          <w:szCs w:val="24"/>
        </w:rPr>
        <w:t>, and the Investment Management Regulatory Organisation (IMRO)</w:t>
      </w:r>
      <w:r w:rsidR="00B01E40">
        <w:rPr>
          <w:sz w:val="24"/>
          <w:szCs w:val="24"/>
        </w:rPr>
        <w:t xml:space="preserve"> – co-ordinated by an overarching Securities and Investment Board (SIB)</w:t>
      </w:r>
      <w:r w:rsidR="003B4E4A">
        <w:rPr>
          <w:sz w:val="24"/>
          <w:szCs w:val="24"/>
        </w:rPr>
        <w:t>.</w:t>
      </w:r>
      <w:r w:rsidR="00B01E40">
        <w:rPr>
          <w:sz w:val="24"/>
          <w:szCs w:val="24"/>
        </w:rPr>
        <w:t xml:space="preserve"> Banking regulation at this time remained with the Bank of England</w:t>
      </w:r>
      <w:r w:rsidR="007E62B4">
        <w:rPr>
          <w:sz w:val="24"/>
          <w:szCs w:val="24"/>
        </w:rPr>
        <w:t xml:space="preserve"> (BoE)</w:t>
      </w:r>
      <w:r w:rsidR="00B01E40">
        <w:rPr>
          <w:sz w:val="24"/>
          <w:szCs w:val="24"/>
        </w:rPr>
        <w:t xml:space="preserve">. </w:t>
      </w:r>
      <w:r w:rsidR="00A60474">
        <w:rPr>
          <w:sz w:val="24"/>
          <w:szCs w:val="24"/>
        </w:rPr>
        <w:t xml:space="preserve">The government of the day also decided to de-regulate the UK’s financial markets, de-regulation on such a major scale that it was </w:t>
      </w:r>
      <w:r w:rsidR="00A80BF8">
        <w:rPr>
          <w:sz w:val="24"/>
          <w:szCs w:val="24"/>
        </w:rPr>
        <w:t xml:space="preserve">colloquially </w:t>
      </w:r>
      <w:r w:rsidR="00A60474">
        <w:rPr>
          <w:sz w:val="24"/>
          <w:szCs w:val="24"/>
        </w:rPr>
        <w:t>known as ‘Big Bang’.</w:t>
      </w:r>
    </w:p>
    <w:p w:rsidR="00621134" w:rsidRDefault="00621134" w:rsidP="00E31F1B">
      <w:pPr>
        <w:tabs>
          <w:tab w:val="left" w:pos="2702"/>
        </w:tabs>
        <w:spacing w:line="480" w:lineRule="auto"/>
        <w:jc w:val="both"/>
        <w:rPr>
          <w:sz w:val="24"/>
          <w:szCs w:val="24"/>
        </w:rPr>
      </w:pPr>
    </w:p>
    <w:p w:rsidR="008D0E18" w:rsidRDefault="00A60474" w:rsidP="00E31F1B">
      <w:pPr>
        <w:tabs>
          <w:tab w:val="left" w:pos="2702"/>
        </w:tabs>
        <w:spacing w:line="480" w:lineRule="auto"/>
        <w:jc w:val="both"/>
        <w:rPr>
          <w:sz w:val="24"/>
          <w:szCs w:val="24"/>
        </w:rPr>
      </w:pPr>
      <w:r>
        <w:rPr>
          <w:sz w:val="24"/>
          <w:szCs w:val="24"/>
        </w:rPr>
        <w:t>‘Big Bang’ occurred on the 27</w:t>
      </w:r>
      <w:r w:rsidRPr="00A60474">
        <w:rPr>
          <w:sz w:val="24"/>
          <w:szCs w:val="24"/>
          <w:vertAlign w:val="superscript"/>
        </w:rPr>
        <w:t>th</w:t>
      </w:r>
      <w:r>
        <w:rPr>
          <w:sz w:val="24"/>
          <w:szCs w:val="24"/>
        </w:rPr>
        <w:t xml:space="preserve"> October 1986 and led to major changes in the UK financial services industry, in particular, it allowed high street banks to buy investment banks and investment banks to buy high street banks. A good example is Barclays who bought DeZoete and Bevan and Wedd Durlacher and created an investment banking arm known as </w:t>
      </w:r>
      <w:r w:rsidR="00A80BF8">
        <w:rPr>
          <w:sz w:val="24"/>
          <w:szCs w:val="24"/>
        </w:rPr>
        <w:t>Barcla</w:t>
      </w:r>
      <w:r w:rsidR="00B51EB2">
        <w:rPr>
          <w:sz w:val="24"/>
          <w:szCs w:val="24"/>
        </w:rPr>
        <w:t>y</w:t>
      </w:r>
      <w:r w:rsidR="00A80BF8">
        <w:rPr>
          <w:sz w:val="24"/>
          <w:szCs w:val="24"/>
        </w:rPr>
        <w:t>s DeZoete Wedd (</w:t>
      </w:r>
      <w:r>
        <w:rPr>
          <w:sz w:val="24"/>
          <w:szCs w:val="24"/>
        </w:rPr>
        <w:t>BZW</w:t>
      </w:r>
      <w:r w:rsidR="00A80BF8">
        <w:rPr>
          <w:sz w:val="24"/>
          <w:szCs w:val="24"/>
        </w:rPr>
        <w:t>)</w:t>
      </w:r>
      <w:r>
        <w:rPr>
          <w:sz w:val="24"/>
          <w:szCs w:val="24"/>
        </w:rPr>
        <w:t xml:space="preserve"> – later known as Barclays Capital. In all banks where investment banking and high street banking have been combined the investment banking culture has dominated with high street banking shifting to a transaction based approach and in most cases re-name</w:t>
      </w:r>
      <w:r w:rsidR="00B01E40">
        <w:rPr>
          <w:sz w:val="24"/>
          <w:szCs w:val="24"/>
        </w:rPr>
        <w:t>d</w:t>
      </w:r>
      <w:r>
        <w:rPr>
          <w:sz w:val="24"/>
          <w:szCs w:val="24"/>
        </w:rPr>
        <w:t xml:space="preserve"> as retail banking – implying that banking is about sales.</w:t>
      </w:r>
      <w:r w:rsidR="00B01E40">
        <w:rPr>
          <w:sz w:val="24"/>
          <w:szCs w:val="24"/>
        </w:rPr>
        <w:t xml:space="preserve"> This shift from a relationship based approach to </w:t>
      </w:r>
      <w:r w:rsidR="00B01E40">
        <w:rPr>
          <w:sz w:val="24"/>
          <w:szCs w:val="24"/>
        </w:rPr>
        <w:lastRenderedPageBreak/>
        <w:t>a transaction based approach is at the heart of most mis-selling issues.  This also led to a change in financial services education, where the focus was on selling techniques</w:t>
      </w:r>
      <w:r w:rsidR="00D667AF">
        <w:rPr>
          <w:sz w:val="24"/>
          <w:szCs w:val="24"/>
        </w:rPr>
        <w:t>,</w:t>
      </w:r>
      <w:r w:rsidR="00B01E40">
        <w:rPr>
          <w:sz w:val="24"/>
          <w:szCs w:val="24"/>
        </w:rPr>
        <w:t xml:space="preserve"> rather than the technical banking knowledge that is required to provide customers with the services that they need</w:t>
      </w:r>
      <w:r w:rsidR="00D667AF">
        <w:rPr>
          <w:sz w:val="24"/>
          <w:szCs w:val="24"/>
        </w:rPr>
        <w:t>. In support of this change</w:t>
      </w:r>
      <w:r w:rsidR="00B51EB2">
        <w:rPr>
          <w:sz w:val="24"/>
          <w:szCs w:val="24"/>
        </w:rPr>
        <w:t>,</w:t>
      </w:r>
      <w:r w:rsidR="00B01E40">
        <w:rPr>
          <w:sz w:val="24"/>
          <w:szCs w:val="24"/>
        </w:rPr>
        <w:t xml:space="preserve"> reward and bonus structures that incentivise sales</w:t>
      </w:r>
      <w:r w:rsidR="00D667AF">
        <w:rPr>
          <w:sz w:val="24"/>
          <w:szCs w:val="24"/>
        </w:rPr>
        <w:t xml:space="preserve"> were introduced</w:t>
      </w:r>
      <w:r w:rsidR="00B01E40">
        <w:rPr>
          <w:sz w:val="24"/>
          <w:szCs w:val="24"/>
        </w:rPr>
        <w:t xml:space="preserve">. </w:t>
      </w:r>
    </w:p>
    <w:p w:rsidR="008D0E18" w:rsidRDefault="008D0E18" w:rsidP="00E31F1B">
      <w:pPr>
        <w:tabs>
          <w:tab w:val="left" w:pos="2702"/>
        </w:tabs>
        <w:spacing w:line="480" w:lineRule="auto"/>
        <w:jc w:val="both"/>
        <w:rPr>
          <w:sz w:val="24"/>
          <w:szCs w:val="24"/>
        </w:rPr>
      </w:pPr>
    </w:p>
    <w:p w:rsidR="008D0E18" w:rsidRDefault="008D0E18" w:rsidP="00E31F1B">
      <w:pPr>
        <w:tabs>
          <w:tab w:val="left" w:pos="2702"/>
        </w:tabs>
        <w:spacing w:line="480" w:lineRule="auto"/>
        <w:jc w:val="both"/>
        <w:rPr>
          <w:sz w:val="24"/>
          <w:szCs w:val="24"/>
        </w:rPr>
      </w:pPr>
      <w:r>
        <w:rPr>
          <w:sz w:val="24"/>
          <w:szCs w:val="24"/>
        </w:rPr>
        <w:t xml:space="preserve">Following the </w:t>
      </w:r>
      <w:r w:rsidR="002E4960">
        <w:rPr>
          <w:sz w:val="24"/>
          <w:szCs w:val="24"/>
        </w:rPr>
        <w:t xml:space="preserve">bank </w:t>
      </w:r>
      <w:r>
        <w:rPr>
          <w:sz w:val="24"/>
          <w:szCs w:val="24"/>
        </w:rPr>
        <w:t>failure</w:t>
      </w:r>
      <w:r w:rsidR="002E4960">
        <w:rPr>
          <w:sz w:val="24"/>
          <w:szCs w:val="24"/>
        </w:rPr>
        <w:t>s of the 1990s</w:t>
      </w:r>
      <w:r w:rsidR="002E4960">
        <w:rPr>
          <w:rStyle w:val="FootnoteReference"/>
          <w:sz w:val="24"/>
          <w:szCs w:val="24"/>
        </w:rPr>
        <w:footnoteReference w:id="18"/>
      </w:r>
      <w:r w:rsidR="002E4960">
        <w:rPr>
          <w:sz w:val="24"/>
          <w:szCs w:val="24"/>
        </w:rPr>
        <w:t>, in particular,</w:t>
      </w:r>
      <w:r>
        <w:rPr>
          <w:sz w:val="24"/>
          <w:szCs w:val="24"/>
        </w:rPr>
        <w:t xml:space="preserve"> Bank of Credit and Commerce International</w:t>
      </w:r>
      <w:r>
        <w:rPr>
          <w:rStyle w:val="FootnoteReference"/>
          <w:sz w:val="24"/>
          <w:szCs w:val="24"/>
        </w:rPr>
        <w:footnoteReference w:id="19"/>
      </w:r>
      <w:r>
        <w:rPr>
          <w:sz w:val="24"/>
          <w:szCs w:val="24"/>
        </w:rPr>
        <w:t xml:space="preserve"> and Barings</w:t>
      </w:r>
      <w:r>
        <w:rPr>
          <w:rStyle w:val="FootnoteReference"/>
          <w:sz w:val="24"/>
          <w:szCs w:val="24"/>
        </w:rPr>
        <w:footnoteReference w:id="20"/>
      </w:r>
      <w:r>
        <w:rPr>
          <w:sz w:val="24"/>
          <w:szCs w:val="24"/>
        </w:rPr>
        <w:t>, and the mis-selling events of the late 1990s (pensions and endownment mortgages) the government</w:t>
      </w:r>
      <w:r w:rsidR="00A80946">
        <w:rPr>
          <w:sz w:val="24"/>
          <w:szCs w:val="24"/>
        </w:rPr>
        <w:t>,</w:t>
      </w:r>
      <w:r>
        <w:rPr>
          <w:sz w:val="24"/>
          <w:szCs w:val="24"/>
        </w:rPr>
        <w:t xml:space="preserve"> in 1997</w:t>
      </w:r>
      <w:r w:rsidR="00A80946">
        <w:rPr>
          <w:sz w:val="24"/>
          <w:szCs w:val="24"/>
        </w:rPr>
        <w:t>,</w:t>
      </w:r>
      <w:r>
        <w:rPr>
          <w:sz w:val="24"/>
          <w:szCs w:val="24"/>
        </w:rPr>
        <w:t xml:space="preserve"> decided to make the BoE independent and create</w:t>
      </w:r>
      <w:r w:rsidR="00352DFC">
        <w:rPr>
          <w:sz w:val="24"/>
          <w:szCs w:val="24"/>
        </w:rPr>
        <w:t>d</w:t>
      </w:r>
      <w:r>
        <w:rPr>
          <w:sz w:val="24"/>
          <w:szCs w:val="24"/>
        </w:rPr>
        <w:t xml:space="preserve"> a new super regulator</w:t>
      </w:r>
      <w:r w:rsidR="00352DFC">
        <w:rPr>
          <w:rStyle w:val="FootnoteReference"/>
          <w:sz w:val="24"/>
          <w:szCs w:val="24"/>
        </w:rPr>
        <w:footnoteReference w:id="21"/>
      </w:r>
      <w:r>
        <w:rPr>
          <w:sz w:val="24"/>
          <w:szCs w:val="24"/>
        </w:rPr>
        <w:t>, the Financial Services Authority (FSA) to cover banking, insurance and securities regulation. The FSA recognised the changed nature of the high street banking industry</w:t>
      </w:r>
      <w:r w:rsidR="00D667AF">
        <w:rPr>
          <w:sz w:val="24"/>
          <w:szCs w:val="24"/>
        </w:rPr>
        <w:t>, and</w:t>
      </w:r>
      <w:r>
        <w:rPr>
          <w:sz w:val="24"/>
          <w:szCs w:val="24"/>
        </w:rPr>
        <w:t xml:space="preserve"> did some early work on ethics</w:t>
      </w:r>
      <w:r>
        <w:rPr>
          <w:rStyle w:val="FootnoteReference"/>
          <w:sz w:val="24"/>
          <w:szCs w:val="24"/>
        </w:rPr>
        <w:footnoteReference w:id="22"/>
      </w:r>
      <w:r>
        <w:rPr>
          <w:sz w:val="24"/>
          <w:szCs w:val="24"/>
        </w:rPr>
        <w:t xml:space="preserve"> and Treating Customer Fairly (TCF)</w:t>
      </w:r>
      <w:r>
        <w:rPr>
          <w:rStyle w:val="FootnoteReference"/>
          <w:sz w:val="24"/>
          <w:szCs w:val="24"/>
        </w:rPr>
        <w:footnoteReference w:id="23"/>
      </w:r>
      <w:r w:rsidR="00AB5B36">
        <w:rPr>
          <w:sz w:val="24"/>
          <w:szCs w:val="24"/>
        </w:rPr>
        <w:t>.</w:t>
      </w:r>
    </w:p>
    <w:p w:rsidR="008D0E18" w:rsidRDefault="008D0E18" w:rsidP="00E31F1B">
      <w:pPr>
        <w:tabs>
          <w:tab w:val="left" w:pos="2702"/>
        </w:tabs>
        <w:spacing w:line="480" w:lineRule="auto"/>
        <w:jc w:val="both"/>
        <w:rPr>
          <w:sz w:val="24"/>
          <w:szCs w:val="24"/>
        </w:rPr>
      </w:pPr>
    </w:p>
    <w:p w:rsidR="005F6735" w:rsidRDefault="005F6735" w:rsidP="00E31F1B">
      <w:pPr>
        <w:tabs>
          <w:tab w:val="left" w:pos="2702"/>
        </w:tabs>
        <w:spacing w:line="480" w:lineRule="auto"/>
        <w:jc w:val="both"/>
        <w:rPr>
          <w:sz w:val="24"/>
          <w:szCs w:val="24"/>
        </w:rPr>
      </w:pPr>
      <w:r>
        <w:rPr>
          <w:sz w:val="24"/>
          <w:szCs w:val="24"/>
        </w:rPr>
        <w:lastRenderedPageBreak/>
        <w:t>TCF became a major programme throughout the first decade of the 21</w:t>
      </w:r>
      <w:r w:rsidRPr="005F6735">
        <w:rPr>
          <w:sz w:val="24"/>
          <w:szCs w:val="24"/>
          <w:vertAlign w:val="superscript"/>
        </w:rPr>
        <w:t>st</w:t>
      </w:r>
      <w:r>
        <w:rPr>
          <w:sz w:val="24"/>
          <w:szCs w:val="24"/>
        </w:rPr>
        <w:t xml:space="preserve"> century</w:t>
      </w:r>
      <w:r>
        <w:rPr>
          <w:rStyle w:val="FootnoteReference"/>
          <w:sz w:val="24"/>
          <w:szCs w:val="24"/>
        </w:rPr>
        <w:footnoteReference w:id="24"/>
      </w:r>
      <w:r>
        <w:rPr>
          <w:sz w:val="24"/>
          <w:szCs w:val="24"/>
        </w:rPr>
        <w:t xml:space="preserve"> and</w:t>
      </w:r>
      <w:r w:rsidR="008367A7">
        <w:rPr>
          <w:sz w:val="24"/>
          <w:szCs w:val="24"/>
        </w:rPr>
        <w:t xml:space="preserve"> although associated with principles based regulation</w:t>
      </w:r>
      <w:r w:rsidR="008367A7">
        <w:rPr>
          <w:rStyle w:val="FootnoteReference"/>
          <w:sz w:val="24"/>
          <w:szCs w:val="24"/>
        </w:rPr>
        <w:footnoteReference w:id="25"/>
      </w:r>
      <w:r w:rsidR="008367A7">
        <w:rPr>
          <w:sz w:val="24"/>
          <w:szCs w:val="24"/>
        </w:rPr>
        <w:t xml:space="preserve"> which has come in for criticism, its importance for </w:t>
      </w:r>
      <w:r w:rsidR="00A80BF8">
        <w:rPr>
          <w:sz w:val="24"/>
          <w:szCs w:val="24"/>
        </w:rPr>
        <w:t>re-</w:t>
      </w:r>
      <w:r w:rsidR="008367A7">
        <w:rPr>
          <w:sz w:val="24"/>
          <w:szCs w:val="24"/>
        </w:rPr>
        <w:t>establishing a relationship management culture has bee</w:t>
      </w:r>
      <w:r w:rsidR="00A80BF8">
        <w:rPr>
          <w:sz w:val="24"/>
          <w:szCs w:val="24"/>
        </w:rPr>
        <w:t>n</w:t>
      </w:r>
      <w:r w:rsidR="008367A7">
        <w:rPr>
          <w:sz w:val="24"/>
          <w:szCs w:val="24"/>
        </w:rPr>
        <w:t xml:space="preserve"> recognised, andit </w:t>
      </w:r>
      <w:r>
        <w:rPr>
          <w:sz w:val="24"/>
          <w:szCs w:val="24"/>
        </w:rPr>
        <w:t>has been continued</w:t>
      </w:r>
      <w:r w:rsidR="008367A7">
        <w:rPr>
          <w:sz w:val="24"/>
          <w:szCs w:val="24"/>
        </w:rPr>
        <w:t>, albeit in a lower key way,</w:t>
      </w:r>
      <w:r>
        <w:rPr>
          <w:sz w:val="24"/>
          <w:szCs w:val="24"/>
        </w:rPr>
        <w:t xml:space="preserve"> by its successor, the Financial Conduct Authority. This </w:t>
      </w:r>
      <w:r w:rsidR="00A80BF8">
        <w:rPr>
          <w:sz w:val="24"/>
          <w:szCs w:val="24"/>
        </w:rPr>
        <w:t xml:space="preserve">culture issue </w:t>
      </w:r>
      <w:r>
        <w:rPr>
          <w:sz w:val="24"/>
          <w:szCs w:val="24"/>
        </w:rPr>
        <w:t xml:space="preserve">has been </w:t>
      </w:r>
      <w:r w:rsidR="00A80BF8">
        <w:rPr>
          <w:sz w:val="24"/>
          <w:szCs w:val="24"/>
        </w:rPr>
        <w:t xml:space="preserve">examined </w:t>
      </w:r>
      <w:r>
        <w:rPr>
          <w:sz w:val="24"/>
          <w:szCs w:val="24"/>
        </w:rPr>
        <w:t>by the Parliamentary Commission on Banking Standards</w:t>
      </w:r>
      <w:r>
        <w:rPr>
          <w:rStyle w:val="FootnoteReference"/>
          <w:sz w:val="24"/>
          <w:szCs w:val="24"/>
        </w:rPr>
        <w:footnoteReference w:id="26"/>
      </w:r>
      <w:r>
        <w:rPr>
          <w:sz w:val="24"/>
          <w:szCs w:val="24"/>
        </w:rPr>
        <w:t xml:space="preserve">, </w:t>
      </w:r>
      <w:r w:rsidR="00A80BF8">
        <w:rPr>
          <w:sz w:val="24"/>
          <w:szCs w:val="24"/>
        </w:rPr>
        <w:t xml:space="preserve">considered </w:t>
      </w:r>
      <w:r>
        <w:rPr>
          <w:sz w:val="24"/>
          <w:szCs w:val="24"/>
        </w:rPr>
        <w:t>by the Banking Standards Review Council</w:t>
      </w:r>
      <w:r>
        <w:rPr>
          <w:rStyle w:val="FootnoteReference"/>
          <w:sz w:val="24"/>
          <w:szCs w:val="24"/>
        </w:rPr>
        <w:footnoteReference w:id="27"/>
      </w:r>
      <w:r>
        <w:rPr>
          <w:sz w:val="24"/>
          <w:szCs w:val="24"/>
        </w:rPr>
        <w:t xml:space="preserve"> (now known as the Banking Standards Board), and on the investment banking side by the Fair and Efficient Markets Review</w:t>
      </w:r>
      <w:r>
        <w:rPr>
          <w:rStyle w:val="FootnoteReference"/>
          <w:sz w:val="24"/>
          <w:szCs w:val="24"/>
        </w:rPr>
        <w:footnoteReference w:id="28"/>
      </w:r>
      <w:r>
        <w:rPr>
          <w:sz w:val="24"/>
          <w:szCs w:val="24"/>
        </w:rPr>
        <w:t>.</w:t>
      </w:r>
    </w:p>
    <w:p w:rsidR="00A05480" w:rsidRDefault="00A05480" w:rsidP="00E31F1B">
      <w:pPr>
        <w:tabs>
          <w:tab w:val="left" w:pos="2702"/>
        </w:tabs>
        <w:spacing w:line="480" w:lineRule="auto"/>
        <w:jc w:val="both"/>
        <w:rPr>
          <w:sz w:val="24"/>
          <w:szCs w:val="24"/>
        </w:rPr>
      </w:pPr>
    </w:p>
    <w:p w:rsidR="00D667AF" w:rsidRDefault="00D667AF" w:rsidP="00E31F1B">
      <w:pPr>
        <w:tabs>
          <w:tab w:val="left" w:pos="2702"/>
        </w:tabs>
        <w:spacing w:line="480" w:lineRule="auto"/>
        <w:jc w:val="both"/>
        <w:rPr>
          <w:sz w:val="24"/>
          <w:szCs w:val="24"/>
        </w:rPr>
      </w:pPr>
      <w:r>
        <w:rPr>
          <w:sz w:val="24"/>
          <w:szCs w:val="24"/>
        </w:rPr>
        <w:t xml:space="preserve">The RFB proposals are intended to contribute to resolving some of the issues identified in this introduction, albeit that the proposals and final approach take a narrow focus on prudential regulation, which is arguably the key issue that leaves them open to attack – critics arguing that the prudential weaknesses have already been addressed.  </w:t>
      </w:r>
    </w:p>
    <w:p w:rsidR="00A05480" w:rsidRDefault="00A05480" w:rsidP="00E31F1B">
      <w:pPr>
        <w:tabs>
          <w:tab w:val="left" w:pos="2702"/>
        </w:tabs>
        <w:spacing w:line="480" w:lineRule="auto"/>
        <w:jc w:val="both"/>
        <w:rPr>
          <w:sz w:val="24"/>
          <w:szCs w:val="24"/>
        </w:rPr>
      </w:pPr>
    </w:p>
    <w:p w:rsidR="004610D7" w:rsidRDefault="004610D7" w:rsidP="00E31F1B">
      <w:pPr>
        <w:pStyle w:val="Heading2"/>
        <w:tabs>
          <w:tab w:val="left" w:pos="2702"/>
        </w:tabs>
        <w:spacing w:line="480" w:lineRule="auto"/>
      </w:pPr>
      <w:bookmarkStart w:id="3" w:name="_Toc428779475"/>
      <w:r>
        <w:lastRenderedPageBreak/>
        <w:t>The Financial Crisis and Changing Regulation</w:t>
      </w:r>
      <w:bookmarkEnd w:id="3"/>
    </w:p>
    <w:p w:rsidR="004610D7" w:rsidRPr="003A03DC" w:rsidRDefault="004610D7" w:rsidP="00E31F1B">
      <w:pPr>
        <w:tabs>
          <w:tab w:val="left" w:pos="2702"/>
        </w:tabs>
        <w:spacing w:line="480" w:lineRule="auto"/>
        <w:jc w:val="both"/>
        <w:rPr>
          <w:sz w:val="24"/>
          <w:szCs w:val="24"/>
        </w:rPr>
      </w:pPr>
      <w:r w:rsidRPr="003A03DC">
        <w:rPr>
          <w:sz w:val="24"/>
          <w:szCs w:val="24"/>
        </w:rPr>
        <w:t>Although there have been other financial crises</w:t>
      </w:r>
      <w:r w:rsidR="00D667AF">
        <w:rPr>
          <w:sz w:val="24"/>
          <w:szCs w:val="24"/>
        </w:rPr>
        <w:t xml:space="preserve"> throughout history</w:t>
      </w:r>
      <w:r w:rsidR="00D667AF">
        <w:rPr>
          <w:rStyle w:val="FootnoteReference"/>
          <w:sz w:val="24"/>
          <w:szCs w:val="24"/>
        </w:rPr>
        <w:footnoteReference w:id="29"/>
      </w:r>
      <w:r w:rsidR="00D667AF">
        <w:rPr>
          <w:sz w:val="24"/>
          <w:szCs w:val="24"/>
        </w:rPr>
        <w:t>,</w:t>
      </w:r>
      <w:r w:rsidR="00B51EB2">
        <w:rPr>
          <w:sz w:val="24"/>
          <w:szCs w:val="24"/>
        </w:rPr>
        <w:t xml:space="preserve"> recorded as far back as AD33</w:t>
      </w:r>
      <w:r w:rsidR="00B51EB2">
        <w:rPr>
          <w:rStyle w:val="FootnoteReference"/>
          <w:sz w:val="24"/>
          <w:szCs w:val="24"/>
        </w:rPr>
        <w:footnoteReference w:id="30"/>
      </w:r>
      <w:r w:rsidR="00B51EB2">
        <w:rPr>
          <w:sz w:val="24"/>
          <w:szCs w:val="24"/>
        </w:rPr>
        <w:t>,</w:t>
      </w:r>
      <w:r w:rsidR="00D667AF">
        <w:rPr>
          <w:sz w:val="24"/>
          <w:szCs w:val="24"/>
        </w:rPr>
        <w:t xml:space="preserve"> the crash of </w:t>
      </w:r>
      <w:r w:rsidRPr="003A03DC">
        <w:rPr>
          <w:sz w:val="24"/>
          <w:szCs w:val="24"/>
        </w:rPr>
        <w:t>1929</w:t>
      </w:r>
      <w:r w:rsidR="00D667AF">
        <w:rPr>
          <w:sz w:val="24"/>
          <w:szCs w:val="24"/>
        </w:rPr>
        <w:t xml:space="preserve"> in the last century is seen as the first modern crash and the progenitor of much of today’s regulatory architecture, albeit watered down somewhat since the 1930s. More recent crashes have included </w:t>
      </w:r>
      <w:r w:rsidRPr="003A03DC">
        <w:rPr>
          <w:sz w:val="24"/>
          <w:szCs w:val="24"/>
        </w:rPr>
        <w:t>the secondary banking crisis in the UK</w:t>
      </w:r>
      <w:r w:rsidR="00B7508D">
        <w:rPr>
          <w:rStyle w:val="FootnoteReference"/>
          <w:sz w:val="24"/>
          <w:szCs w:val="24"/>
        </w:rPr>
        <w:footnoteReference w:id="31"/>
      </w:r>
      <w:r w:rsidRPr="003A03DC">
        <w:rPr>
          <w:sz w:val="24"/>
          <w:szCs w:val="24"/>
        </w:rPr>
        <w:t>, the stock-market crash of 1987, the Asian financial crisis of the late 1990s, the dot-come bubble bursting at the start of the century</w:t>
      </w:r>
      <w:r w:rsidR="00D667AF">
        <w:rPr>
          <w:sz w:val="24"/>
          <w:szCs w:val="24"/>
        </w:rPr>
        <w:t xml:space="preserve">. However, </w:t>
      </w:r>
      <w:r w:rsidRPr="003A03DC">
        <w:rPr>
          <w:sz w:val="24"/>
          <w:szCs w:val="24"/>
        </w:rPr>
        <w:t xml:space="preserve">the 2007-8 financial crisis was the first financial crisis following the globalisation of the financial services industry. </w:t>
      </w:r>
    </w:p>
    <w:p w:rsidR="00A60474" w:rsidRDefault="00A60474" w:rsidP="00E31F1B">
      <w:pPr>
        <w:tabs>
          <w:tab w:val="left" w:pos="2702"/>
        </w:tabs>
        <w:spacing w:line="480" w:lineRule="auto"/>
        <w:jc w:val="both"/>
        <w:rPr>
          <w:sz w:val="24"/>
          <w:szCs w:val="24"/>
        </w:rPr>
      </w:pPr>
    </w:p>
    <w:p w:rsidR="005F1FE4" w:rsidRDefault="004610D7" w:rsidP="00E31F1B">
      <w:pPr>
        <w:tabs>
          <w:tab w:val="left" w:pos="2702"/>
        </w:tabs>
        <w:spacing w:line="480" w:lineRule="auto"/>
        <w:jc w:val="both"/>
        <w:rPr>
          <w:sz w:val="24"/>
          <w:szCs w:val="24"/>
        </w:rPr>
      </w:pPr>
      <w:r>
        <w:rPr>
          <w:sz w:val="24"/>
          <w:szCs w:val="24"/>
        </w:rPr>
        <w:t>As is so often the case, t</w:t>
      </w:r>
      <w:r w:rsidR="00577D07">
        <w:rPr>
          <w:sz w:val="24"/>
          <w:szCs w:val="24"/>
        </w:rPr>
        <w:t xml:space="preserve">he </w:t>
      </w:r>
      <w:r w:rsidR="00CB775A">
        <w:rPr>
          <w:sz w:val="24"/>
          <w:szCs w:val="24"/>
        </w:rPr>
        <w:t xml:space="preserve">2007-2008 </w:t>
      </w:r>
      <w:r w:rsidR="00577D07">
        <w:rPr>
          <w:sz w:val="24"/>
          <w:szCs w:val="24"/>
        </w:rPr>
        <w:t xml:space="preserve">financial crisis prompted a review of </w:t>
      </w:r>
      <w:r w:rsidR="00CB775A">
        <w:rPr>
          <w:sz w:val="24"/>
          <w:szCs w:val="24"/>
        </w:rPr>
        <w:t xml:space="preserve">both </w:t>
      </w:r>
      <w:r w:rsidR="00577D07">
        <w:rPr>
          <w:sz w:val="24"/>
          <w:szCs w:val="24"/>
        </w:rPr>
        <w:t>regulation</w:t>
      </w:r>
      <w:r w:rsidR="00577D07">
        <w:rPr>
          <w:rStyle w:val="FootnoteReference"/>
          <w:sz w:val="24"/>
          <w:szCs w:val="24"/>
        </w:rPr>
        <w:footnoteReference w:id="32"/>
      </w:r>
      <w:r w:rsidR="00577D07">
        <w:rPr>
          <w:sz w:val="24"/>
          <w:szCs w:val="24"/>
        </w:rPr>
        <w:t xml:space="preserve"> and</w:t>
      </w:r>
      <w:r w:rsidR="00CB775A">
        <w:rPr>
          <w:sz w:val="24"/>
          <w:szCs w:val="24"/>
        </w:rPr>
        <w:t xml:space="preserve"> corporate governance</w:t>
      </w:r>
      <w:r w:rsidR="00CB775A">
        <w:rPr>
          <w:rStyle w:val="FootnoteReference"/>
          <w:sz w:val="24"/>
          <w:szCs w:val="24"/>
        </w:rPr>
        <w:footnoteReference w:id="33"/>
      </w:r>
      <w:r w:rsidR="00CB775A">
        <w:rPr>
          <w:sz w:val="24"/>
          <w:szCs w:val="24"/>
        </w:rPr>
        <w:t xml:space="preserve"> in the UK. </w:t>
      </w:r>
      <w:r w:rsidR="00A80BF8">
        <w:rPr>
          <w:sz w:val="24"/>
          <w:szCs w:val="24"/>
        </w:rPr>
        <w:t xml:space="preserve">Another </w:t>
      </w:r>
      <w:r w:rsidR="00CB775A">
        <w:rPr>
          <w:sz w:val="24"/>
          <w:szCs w:val="24"/>
        </w:rPr>
        <w:t xml:space="preserve">newly elected government decided to completely change the </w:t>
      </w:r>
      <w:r w:rsidR="005F1FE4">
        <w:rPr>
          <w:sz w:val="24"/>
          <w:szCs w:val="24"/>
        </w:rPr>
        <w:t>regulatory architecture</w:t>
      </w:r>
      <w:r w:rsidR="00A80BF8">
        <w:rPr>
          <w:sz w:val="24"/>
          <w:szCs w:val="24"/>
        </w:rPr>
        <w:t xml:space="preserve"> again</w:t>
      </w:r>
      <w:r w:rsidR="00CB775A">
        <w:rPr>
          <w:rStyle w:val="FootnoteReference"/>
          <w:sz w:val="24"/>
          <w:szCs w:val="24"/>
        </w:rPr>
        <w:footnoteReference w:id="34"/>
      </w:r>
      <w:r w:rsidR="00B51EB2">
        <w:rPr>
          <w:sz w:val="24"/>
          <w:szCs w:val="24"/>
        </w:rPr>
        <w:t xml:space="preserve"> - a so-called twin peaks approach</w:t>
      </w:r>
      <w:r w:rsidR="00B51EB2">
        <w:rPr>
          <w:rStyle w:val="FootnoteReference"/>
          <w:sz w:val="24"/>
          <w:szCs w:val="24"/>
        </w:rPr>
        <w:footnoteReference w:id="35"/>
      </w:r>
      <w:r w:rsidR="00B51EB2">
        <w:rPr>
          <w:sz w:val="24"/>
          <w:szCs w:val="24"/>
        </w:rPr>
        <w:t xml:space="preserve"> - </w:t>
      </w:r>
      <w:r w:rsidR="00CB775A">
        <w:rPr>
          <w:sz w:val="24"/>
          <w:szCs w:val="24"/>
        </w:rPr>
        <w:t xml:space="preserve">which has now been in place </w:t>
      </w:r>
      <w:r w:rsidR="005F1FE4">
        <w:rPr>
          <w:sz w:val="24"/>
          <w:szCs w:val="24"/>
        </w:rPr>
        <w:t>since 1</w:t>
      </w:r>
      <w:r w:rsidR="005F1FE4" w:rsidRPr="005F1FE4">
        <w:rPr>
          <w:sz w:val="24"/>
          <w:szCs w:val="24"/>
          <w:vertAlign w:val="superscript"/>
        </w:rPr>
        <w:t>st</w:t>
      </w:r>
      <w:r w:rsidR="005F1FE4">
        <w:rPr>
          <w:sz w:val="24"/>
          <w:szCs w:val="24"/>
        </w:rPr>
        <w:t xml:space="preserve"> April 2013</w:t>
      </w:r>
      <w:r w:rsidR="00CB775A">
        <w:rPr>
          <w:sz w:val="24"/>
          <w:szCs w:val="24"/>
        </w:rPr>
        <w:t xml:space="preserve">. It remains to be seen whether this </w:t>
      </w:r>
      <w:r w:rsidR="00A87D79">
        <w:rPr>
          <w:sz w:val="24"/>
          <w:szCs w:val="24"/>
        </w:rPr>
        <w:t xml:space="preserve">new </w:t>
      </w:r>
      <w:r w:rsidR="00CB775A">
        <w:rPr>
          <w:sz w:val="24"/>
          <w:szCs w:val="24"/>
        </w:rPr>
        <w:t xml:space="preserve">architecture change </w:t>
      </w:r>
      <w:r w:rsidR="00CB775A">
        <w:rPr>
          <w:sz w:val="24"/>
          <w:szCs w:val="24"/>
        </w:rPr>
        <w:lastRenderedPageBreak/>
        <w:t>will deliver regulation more effectively and efficiently</w:t>
      </w:r>
      <w:r w:rsidR="00CB775A">
        <w:rPr>
          <w:rStyle w:val="FootnoteReference"/>
          <w:sz w:val="24"/>
          <w:szCs w:val="24"/>
        </w:rPr>
        <w:footnoteReference w:id="36"/>
      </w:r>
      <w:r w:rsidR="00A87D79">
        <w:rPr>
          <w:sz w:val="24"/>
          <w:szCs w:val="24"/>
        </w:rPr>
        <w:t xml:space="preserve">.The new approach </w:t>
      </w:r>
      <w:r w:rsidR="00A05480">
        <w:rPr>
          <w:sz w:val="24"/>
          <w:szCs w:val="24"/>
        </w:rPr>
        <w:t>h</w:t>
      </w:r>
      <w:r w:rsidR="00A87D79">
        <w:rPr>
          <w:sz w:val="24"/>
          <w:szCs w:val="24"/>
        </w:rPr>
        <w:t xml:space="preserve">as created a </w:t>
      </w:r>
      <w:r w:rsidR="005F1FE4">
        <w:rPr>
          <w:sz w:val="24"/>
          <w:szCs w:val="24"/>
        </w:rPr>
        <w:t>new</w:t>
      </w:r>
      <w:r w:rsidR="00A87D79">
        <w:rPr>
          <w:sz w:val="24"/>
          <w:szCs w:val="24"/>
        </w:rPr>
        <w:t xml:space="preserve"> subsidiary</w:t>
      </w:r>
      <w:r w:rsidR="005F1532">
        <w:rPr>
          <w:rStyle w:val="FootnoteReference"/>
          <w:sz w:val="24"/>
          <w:szCs w:val="24"/>
        </w:rPr>
        <w:footnoteReference w:id="37"/>
      </w:r>
      <w:r w:rsidR="00A87D79">
        <w:rPr>
          <w:sz w:val="24"/>
          <w:szCs w:val="24"/>
        </w:rPr>
        <w:t xml:space="preserve"> of the BoE,</w:t>
      </w:r>
      <w:r w:rsidR="008F3EEE">
        <w:rPr>
          <w:sz w:val="24"/>
          <w:szCs w:val="24"/>
        </w:rPr>
        <w:t xml:space="preserve"> </w:t>
      </w:r>
      <w:r w:rsidR="00621134">
        <w:rPr>
          <w:sz w:val="24"/>
          <w:szCs w:val="24"/>
        </w:rPr>
        <w:t xml:space="preserve">the </w:t>
      </w:r>
      <w:r w:rsidR="005F1FE4">
        <w:rPr>
          <w:sz w:val="24"/>
          <w:szCs w:val="24"/>
        </w:rPr>
        <w:t xml:space="preserve">Prudential Regulation Authority (PRA) </w:t>
      </w:r>
      <w:r w:rsidR="00A87D79">
        <w:rPr>
          <w:sz w:val="24"/>
          <w:szCs w:val="24"/>
        </w:rPr>
        <w:t>whi</w:t>
      </w:r>
      <w:r w:rsidR="00621134">
        <w:rPr>
          <w:sz w:val="24"/>
          <w:szCs w:val="24"/>
        </w:rPr>
        <w:t>c</w:t>
      </w:r>
      <w:r w:rsidR="00A87D79">
        <w:rPr>
          <w:sz w:val="24"/>
          <w:szCs w:val="24"/>
        </w:rPr>
        <w:t xml:space="preserve">h </w:t>
      </w:r>
      <w:r w:rsidR="005F1FE4">
        <w:rPr>
          <w:sz w:val="24"/>
          <w:szCs w:val="24"/>
        </w:rPr>
        <w:t>will be responsible for the first two</w:t>
      </w:r>
      <w:r w:rsidR="00A87D79">
        <w:rPr>
          <w:sz w:val="24"/>
          <w:szCs w:val="24"/>
        </w:rPr>
        <w:t xml:space="preserve"> of the core objectives</w:t>
      </w:r>
      <w:r w:rsidR="00577D07">
        <w:rPr>
          <w:rStyle w:val="FootnoteReference"/>
          <w:sz w:val="24"/>
          <w:szCs w:val="24"/>
        </w:rPr>
        <w:footnoteReference w:id="38"/>
      </w:r>
      <w:r w:rsidR="005F1FE4">
        <w:rPr>
          <w:sz w:val="24"/>
          <w:szCs w:val="24"/>
        </w:rPr>
        <w:t>, with the Financial Conduct Authority (FCA) (the re-named Financial Services Authority (FSA)) responsible for protecting the consumer.</w:t>
      </w:r>
    </w:p>
    <w:p w:rsidR="005F1FE4" w:rsidRDefault="005F1FE4" w:rsidP="00E31F1B">
      <w:pPr>
        <w:tabs>
          <w:tab w:val="left" w:pos="2702"/>
        </w:tabs>
        <w:spacing w:line="480" w:lineRule="auto"/>
        <w:jc w:val="both"/>
        <w:rPr>
          <w:sz w:val="24"/>
          <w:szCs w:val="24"/>
        </w:rPr>
      </w:pPr>
    </w:p>
    <w:p w:rsidR="00434B1A" w:rsidRDefault="005F1FE4" w:rsidP="00E31F1B">
      <w:pPr>
        <w:tabs>
          <w:tab w:val="left" w:pos="2702"/>
        </w:tabs>
        <w:spacing w:line="480" w:lineRule="auto"/>
        <w:jc w:val="both"/>
        <w:rPr>
          <w:sz w:val="24"/>
          <w:szCs w:val="24"/>
        </w:rPr>
      </w:pPr>
      <w:r>
        <w:rPr>
          <w:sz w:val="24"/>
          <w:szCs w:val="24"/>
        </w:rPr>
        <w:t xml:space="preserve">In addition to the new regulatory infrastructure in the UK, the </w:t>
      </w:r>
      <w:r w:rsidR="00577D07">
        <w:rPr>
          <w:sz w:val="24"/>
          <w:szCs w:val="24"/>
        </w:rPr>
        <w:t xml:space="preserve">global impact of </w:t>
      </w:r>
      <w:r w:rsidR="00A80946">
        <w:rPr>
          <w:sz w:val="24"/>
          <w:szCs w:val="24"/>
        </w:rPr>
        <w:t xml:space="preserve">the </w:t>
      </w:r>
      <w:r>
        <w:rPr>
          <w:sz w:val="24"/>
          <w:szCs w:val="24"/>
        </w:rPr>
        <w:t xml:space="preserve">2007-2008 financial crisis prompted a major re-think of </w:t>
      </w:r>
      <w:r w:rsidR="00577D07">
        <w:rPr>
          <w:sz w:val="24"/>
          <w:szCs w:val="24"/>
        </w:rPr>
        <w:t>regulation</w:t>
      </w:r>
      <w:r w:rsidR="00577D07">
        <w:rPr>
          <w:rStyle w:val="FootnoteReference"/>
          <w:sz w:val="24"/>
          <w:szCs w:val="24"/>
        </w:rPr>
        <w:footnoteReference w:id="39"/>
      </w:r>
      <w:r w:rsidR="00577D07">
        <w:rPr>
          <w:sz w:val="24"/>
          <w:szCs w:val="24"/>
        </w:rPr>
        <w:t xml:space="preserve"> and </w:t>
      </w:r>
      <w:r>
        <w:rPr>
          <w:sz w:val="24"/>
          <w:szCs w:val="24"/>
        </w:rPr>
        <w:t xml:space="preserve">the global regulatory architecture. </w:t>
      </w:r>
      <w:r w:rsidR="00A87D79">
        <w:rPr>
          <w:sz w:val="24"/>
          <w:szCs w:val="24"/>
        </w:rPr>
        <w:t xml:space="preserve">This has </w:t>
      </w:r>
      <w:r w:rsidR="00621134">
        <w:rPr>
          <w:sz w:val="24"/>
          <w:szCs w:val="24"/>
        </w:rPr>
        <w:t xml:space="preserve">had </w:t>
      </w:r>
      <w:r w:rsidR="00A87D79">
        <w:rPr>
          <w:sz w:val="24"/>
          <w:szCs w:val="24"/>
        </w:rPr>
        <w:t xml:space="preserve">profound effects on the UK, and has created the biggest wave of new regulation ever seen. At </w:t>
      </w:r>
      <w:r w:rsidR="00D667AF">
        <w:rPr>
          <w:sz w:val="24"/>
          <w:szCs w:val="24"/>
        </w:rPr>
        <w:t xml:space="preserve">an </w:t>
      </w:r>
      <w:r w:rsidR="00A87D79">
        <w:rPr>
          <w:sz w:val="24"/>
          <w:szCs w:val="24"/>
        </w:rPr>
        <w:t>international level the old Financial Stability Forum has been upgraded and re-named Financial Stability Board (FSB) and has been pro-active since the financial crisis in a number of areas that will impact on Ring Fenced Banks (RFBs), for example, recovery and resolution</w:t>
      </w:r>
      <w:r w:rsidR="00A80BF8">
        <w:rPr>
          <w:rStyle w:val="FootnoteReference"/>
          <w:sz w:val="24"/>
          <w:szCs w:val="24"/>
        </w:rPr>
        <w:footnoteReference w:id="40"/>
      </w:r>
      <w:r w:rsidR="00A87D79">
        <w:rPr>
          <w:sz w:val="24"/>
          <w:szCs w:val="24"/>
        </w:rPr>
        <w:t>. Added to th</w:t>
      </w:r>
      <w:r w:rsidR="005F1532">
        <w:rPr>
          <w:sz w:val="24"/>
          <w:szCs w:val="24"/>
        </w:rPr>
        <w:t>is</w:t>
      </w:r>
      <w:r w:rsidR="00A87D79">
        <w:rPr>
          <w:sz w:val="24"/>
          <w:szCs w:val="24"/>
        </w:rPr>
        <w:t xml:space="preserve"> the Basel Committee on Banking Supervision (BCBS) </w:t>
      </w:r>
      <w:r w:rsidR="00A80BF8">
        <w:rPr>
          <w:sz w:val="24"/>
          <w:szCs w:val="24"/>
        </w:rPr>
        <w:t>introduce</w:t>
      </w:r>
      <w:r w:rsidR="005F1532">
        <w:rPr>
          <w:sz w:val="24"/>
          <w:szCs w:val="24"/>
        </w:rPr>
        <w:t>d</w:t>
      </w:r>
      <w:r w:rsidR="00A80BF8">
        <w:rPr>
          <w:sz w:val="24"/>
          <w:szCs w:val="24"/>
        </w:rPr>
        <w:t xml:space="preserve"> Basel III</w:t>
      </w:r>
      <w:r w:rsidR="00A80BF8">
        <w:rPr>
          <w:rStyle w:val="FootnoteReference"/>
          <w:sz w:val="24"/>
          <w:szCs w:val="24"/>
        </w:rPr>
        <w:footnoteReference w:id="41"/>
      </w:r>
      <w:r w:rsidR="00A80BF8">
        <w:rPr>
          <w:sz w:val="24"/>
          <w:szCs w:val="24"/>
        </w:rPr>
        <w:t xml:space="preserve">, and </w:t>
      </w:r>
      <w:r w:rsidR="00A87D79">
        <w:rPr>
          <w:sz w:val="24"/>
          <w:szCs w:val="24"/>
        </w:rPr>
        <w:t xml:space="preserve">has decided to review a number of its capital calculation methodologies, for </w:t>
      </w:r>
      <w:r w:rsidR="00A87D79">
        <w:rPr>
          <w:sz w:val="24"/>
          <w:szCs w:val="24"/>
        </w:rPr>
        <w:lastRenderedPageBreak/>
        <w:t>example, credit risk</w:t>
      </w:r>
      <w:r w:rsidR="00A87D79">
        <w:rPr>
          <w:rStyle w:val="FootnoteReference"/>
          <w:sz w:val="24"/>
          <w:szCs w:val="24"/>
        </w:rPr>
        <w:footnoteReference w:id="42"/>
      </w:r>
      <w:r w:rsidR="00A87D79">
        <w:rPr>
          <w:sz w:val="24"/>
          <w:szCs w:val="24"/>
        </w:rPr>
        <w:t>, operational risk</w:t>
      </w:r>
      <w:r w:rsidR="00A87D79">
        <w:rPr>
          <w:rStyle w:val="FootnoteReference"/>
          <w:sz w:val="24"/>
          <w:szCs w:val="24"/>
        </w:rPr>
        <w:footnoteReference w:id="43"/>
      </w:r>
      <w:r w:rsidR="00A87D79">
        <w:rPr>
          <w:sz w:val="24"/>
          <w:szCs w:val="24"/>
        </w:rPr>
        <w:t>, interest rate risk</w:t>
      </w:r>
      <w:r w:rsidR="00A87D79">
        <w:rPr>
          <w:rStyle w:val="FootnoteReference"/>
          <w:sz w:val="24"/>
          <w:szCs w:val="24"/>
        </w:rPr>
        <w:footnoteReference w:id="44"/>
      </w:r>
      <w:r w:rsidR="00A87D79">
        <w:rPr>
          <w:sz w:val="24"/>
          <w:szCs w:val="24"/>
        </w:rPr>
        <w:t xml:space="preserve"> – all of which will have an impact o</w:t>
      </w:r>
      <w:r w:rsidR="002962B2">
        <w:rPr>
          <w:sz w:val="24"/>
          <w:szCs w:val="24"/>
        </w:rPr>
        <w:t>n</w:t>
      </w:r>
      <w:r w:rsidR="00A87D79">
        <w:rPr>
          <w:sz w:val="24"/>
          <w:szCs w:val="24"/>
        </w:rPr>
        <w:t xml:space="preserve"> RFBs.  </w:t>
      </w:r>
    </w:p>
    <w:p w:rsidR="00434B1A" w:rsidRDefault="00434B1A" w:rsidP="00E31F1B">
      <w:pPr>
        <w:tabs>
          <w:tab w:val="left" w:pos="2702"/>
        </w:tabs>
        <w:spacing w:line="480" w:lineRule="auto"/>
        <w:jc w:val="both"/>
        <w:rPr>
          <w:sz w:val="24"/>
          <w:szCs w:val="24"/>
        </w:rPr>
      </w:pPr>
    </w:p>
    <w:p w:rsidR="00626E81" w:rsidRDefault="004E6A58" w:rsidP="00E31F1B">
      <w:pPr>
        <w:tabs>
          <w:tab w:val="left" w:pos="2702"/>
        </w:tabs>
        <w:spacing w:line="480" w:lineRule="auto"/>
        <w:jc w:val="both"/>
        <w:rPr>
          <w:sz w:val="24"/>
          <w:szCs w:val="24"/>
        </w:rPr>
      </w:pPr>
      <w:r>
        <w:rPr>
          <w:sz w:val="24"/>
          <w:szCs w:val="24"/>
        </w:rPr>
        <w:t>There has also been major regulatory change in the EU for banking regulation as part of the new European System of Financial Supervision (ESFS). Pre the financial crisis EU banking regulation was conducted by Directive (leaving considerable power with the national competent authorities – the FSA in the case of the UK), and supported by guidance from the Committee of Banking Supervisors (CEBS) – a Lamfalussy Commit</w:t>
      </w:r>
      <w:r w:rsidR="008F3EEE">
        <w:rPr>
          <w:sz w:val="24"/>
          <w:szCs w:val="24"/>
        </w:rPr>
        <w:t>t</w:t>
      </w:r>
      <w:r>
        <w:rPr>
          <w:sz w:val="24"/>
          <w:szCs w:val="24"/>
        </w:rPr>
        <w:t>ee</w:t>
      </w:r>
      <w:r>
        <w:rPr>
          <w:rStyle w:val="FootnoteReference"/>
          <w:sz w:val="24"/>
          <w:szCs w:val="24"/>
        </w:rPr>
        <w:footnoteReference w:id="45"/>
      </w:r>
      <w:r>
        <w:rPr>
          <w:sz w:val="24"/>
          <w:szCs w:val="24"/>
        </w:rPr>
        <w:t>.However, following the financial crisis the EU have taken the opportunity to introduce a single rulebook (increasing power at the centre and reducing the power of national competent authorities – now the PRA) – the Capital Requirements Regulation</w:t>
      </w:r>
      <w:r>
        <w:rPr>
          <w:rStyle w:val="FootnoteReference"/>
          <w:sz w:val="24"/>
          <w:szCs w:val="24"/>
        </w:rPr>
        <w:footnoteReference w:id="46"/>
      </w:r>
      <w:r>
        <w:rPr>
          <w:sz w:val="24"/>
          <w:szCs w:val="24"/>
        </w:rPr>
        <w:t xml:space="preserve"> (CRR) supported by a fourth Capital Requirements Directive</w:t>
      </w:r>
      <w:r>
        <w:rPr>
          <w:rStyle w:val="FootnoteReference"/>
          <w:sz w:val="24"/>
          <w:szCs w:val="24"/>
        </w:rPr>
        <w:footnoteReference w:id="47"/>
      </w:r>
      <w:r>
        <w:rPr>
          <w:sz w:val="24"/>
          <w:szCs w:val="24"/>
        </w:rPr>
        <w:t xml:space="preserve"> (CRD</w:t>
      </w:r>
      <w:r w:rsidR="00626E81">
        <w:rPr>
          <w:sz w:val="24"/>
          <w:szCs w:val="24"/>
        </w:rPr>
        <w:t xml:space="preserve"> IV</w:t>
      </w:r>
      <w:r>
        <w:rPr>
          <w:sz w:val="24"/>
          <w:szCs w:val="24"/>
        </w:rPr>
        <w:t xml:space="preserve">). </w:t>
      </w:r>
      <w:r w:rsidR="00626E81">
        <w:rPr>
          <w:sz w:val="24"/>
          <w:szCs w:val="24"/>
        </w:rPr>
        <w:t>The de Larosiérè Committee</w:t>
      </w:r>
      <w:r w:rsidR="00626E81">
        <w:rPr>
          <w:rStyle w:val="FootnoteReference"/>
          <w:sz w:val="24"/>
          <w:szCs w:val="24"/>
        </w:rPr>
        <w:footnoteReference w:id="48"/>
      </w:r>
      <w:r w:rsidR="00626E81">
        <w:rPr>
          <w:sz w:val="24"/>
          <w:szCs w:val="24"/>
        </w:rPr>
        <w:t xml:space="preserve"> has also moved the guidance regime of the Lamfalussy Committee</w:t>
      </w:r>
      <w:r w:rsidR="00A230B6">
        <w:rPr>
          <w:sz w:val="24"/>
          <w:szCs w:val="24"/>
        </w:rPr>
        <w:t>s</w:t>
      </w:r>
      <w:r w:rsidR="00626E81">
        <w:rPr>
          <w:sz w:val="24"/>
          <w:szCs w:val="24"/>
        </w:rPr>
        <w:t xml:space="preserve"> (e.g. CEBS) to a quasi-regulator in that CEBS’ replacement the European Banking Authority (EBA) has the power to, and is obliged to recommend Regulatory Technical Standards (RTS) and Implementing Technical Standards (ITS) in relation to various sections of both the CRR and CRD IV, which when adopted by the European Commission become Regulations.</w:t>
      </w:r>
      <w:r w:rsidR="00A230B6">
        <w:rPr>
          <w:sz w:val="24"/>
          <w:szCs w:val="24"/>
        </w:rPr>
        <w:t xml:space="preserve"> The EBA also </w:t>
      </w:r>
      <w:r w:rsidR="00A230B6">
        <w:rPr>
          <w:sz w:val="24"/>
          <w:szCs w:val="24"/>
        </w:rPr>
        <w:lastRenderedPageBreak/>
        <w:t>has the authority to issue guidance</w:t>
      </w:r>
      <w:r w:rsidR="00F26A91">
        <w:rPr>
          <w:rStyle w:val="FootnoteReference"/>
          <w:sz w:val="24"/>
          <w:szCs w:val="24"/>
        </w:rPr>
        <w:footnoteReference w:id="49"/>
      </w:r>
      <w:r w:rsidR="00A230B6">
        <w:rPr>
          <w:sz w:val="24"/>
          <w:szCs w:val="24"/>
        </w:rPr>
        <w:t xml:space="preserve"> to ‘competent authorities’ (i.e. national regulators), which is a bit of a misnomer as competent authorities are required to </w:t>
      </w:r>
      <w:r w:rsidR="00F26A91">
        <w:rPr>
          <w:sz w:val="24"/>
          <w:szCs w:val="24"/>
        </w:rPr>
        <w:t xml:space="preserve">make every effort to </w:t>
      </w:r>
      <w:r w:rsidR="00A230B6">
        <w:rPr>
          <w:sz w:val="24"/>
          <w:szCs w:val="24"/>
        </w:rPr>
        <w:t>implement the guidance</w:t>
      </w:r>
      <w:r w:rsidR="00F26A91">
        <w:rPr>
          <w:rStyle w:val="FootnoteReference"/>
          <w:sz w:val="24"/>
          <w:szCs w:val="24"/>
        </w:rPr>
        <w:footnoteReference w:id="50"/>
      </w:r>
      <w:r w:rsidR="00A230B6">
        <w:rPr>
          <w:sz w:val="24"/>
          <w:szCs w:val="24"/>
        </w:rPr>
        <w:t xml:space="preserve"> and confirm that they have done so.   </w:t>
      </w:r>
    </w:p>
    <w:p w:rsidR="00626E81" w:rsidRDefault="00626E81" w:rsidP="00E31F1B">
      <w:pPr>
        <w:tabs>
          <w:tab w:val="left" w:pos="2702"/>
        </w:tabs>
        <w:spacing w:line="480" w:lineRule="auto"/>
        <w:jc w:val="both"/>
        <w:rPr>
          <w:sz w:val="24"/>
          <w:szCs w:val="24"/>
        </w:rPr>
      </w:pPr>
    </w:p>
    <w:p w:rsidR="004610D7" w:rsidRDefault="00626E81" w:rsidP="00E31F1B">
      <w:pPr>
        <w:tabs>
          <w:tab w:val="left" w:pos="2702"/>
        </w:tabs>
        <w:spacing w:line="480" w:lineRule="auto"/>
        <w:jc w:val="both"/>
        <w:rPr>
          <w:sz w:val="24"/>
          <w:szCs w:val="24"/>
        </w:rPr>
      </w:pPr>
      <w:r>
        <w:rPr>
          <w:sz w:val="24"/>
          <w:szCs w:val="24"/>
        </w:rPr>
        <w:t xml:space="preserve">Whilst this new regime minimises the risk of regulatory arbitrage in the EU, it is a challenge for banks to manage and integrate. UK banks now have to watch the pronouncements of the FSB, BCBS, EU Commission, EBA, and the PRA – and that is just for prudential regulation. This is also true in the </w:t>
      </w:r>
      <w:r w:rsidR="00217488">
        <w:rPr>
          <w:sz w:val="24"/>
          <w:szCs w:val="24"/>
        </w:rPr>
        <w:t>case of RFBs</w:t>
      </w:r>
      <w:r w:rsidR="00A230B6">
        <w:rPr>
          <w:sz w:val="24"/>
          <w:szCs w:val="24"/>
        </w:rPr>
        <w:t>.</w:t>
      </w:r>
    </w:p>
    <w:p w:rsidR="004610D7" w:rsidRDefault="004610D7" w:rsidP="00E31F1B">
      <w:pPr>
        <w:tabs>
          <w:tab w:val="left" w:pos="2702"/>
        </w:tabs>
        <w:spacing w:line="480" w:lineRule="auto"/>
        <w:jc w:val="both"/>
        <w:rPr>
          <w:sz w:val="24"/>
          <w:szCs w:val="24"/>
        </w:rPr>
      </w:pPr>
    </w:p>
    <w:p w:rsidR="004610D7" w:rsidRDefault="004610D7" w:rsidP="00E31F1B">
      <w:pPr>
        <w:tabs>
          <w:tab w:val="left" w:pos="2702"/>
        </w:tabs>
        <w:spacing w:line="480" w:lineRule="auto"/>
        <w:jc w:val="both"/>
        <w:rPr>
          <w:sz w:val="24"/>
          <w:szCs w:val="24"/>
        </w:rPr>
      </w:pPr>
      <w:r>
        <w:rPr>
          <w:sz w:val="24"/>
          <w:szCs w:val="24"/>
        </w:rPr>
        <w:t>A key focus of regulatory reform is the structure of the banking industry in the fo</w:t>
      </w:r>
      <w:r w:rsidR="00EC27DA">
        <w:rPr>
          <w:sz w:val="24"/>
          <w:szCs w:val="24"/>
        </w:rPr>
        <w:t>r</w:t>
      </w:r>
      <w:r>
        <w:rPr>
          <w:sz w:val="24"/>
          <w:szCs w:val="24"/>
        </w:rPr>
        <w:t>m of ring-fencing</w:t>
      </w:r>
      <w:r>
        <w:rPr>
          <w:rStyle w:val="FootnoteReference"/>
          <w:sz w:val="24"/>
          <w:szCs w:val="24"/>
        </w:rPr>
        <w:footnoteReference w:id="51"/>
      </w:r>
      <w:r>
        <w:rPr>
          <w:sz w:val="24"/>
          <w:szCs w:val="24"/>
        </w:rPr>
        <w:t>, with different perspectives – ring fence the risky activities (the Volcker approach), ring fence the activities that are critical to the effective functioning of the economy (the Vickers approach), do one or both (the Liikanen approach)</w:t>
      </w:r>
      <w:r w:rsidR="00A26849">
        <w:rPr>
          <w:rStyle w:val="FootnoteReference"/>
          <w:sz w:val="24"/>
          <w:szCs w:val="24"/>
        </w:rPr>
        <w:footnoteReference w:id="52"/>
      </w:r>
      <w:r>
        <w:rPr>
          <w:sz w:val="24"/>
          <w:szCs w:val="24"/>
        </w:rPr>
        <w:t xml:space="preserve">. </w:t>
      </w:r>
      <w:r w:rsidR="00217488">
        <w:rPr>
          <w:sz w:val="24"/>
          <w:szCs w:val="24"/>
        </w:rPr>
        <w:t>Ironically, t</w:t>
      </w:r>
      <w:r>
        <w:rPr>
          <w:sz w:val="24"/>
          <w:szCs w:val="24"/>
        </w:rPr>
        <w:t xml:space="preserve">his </w:t>
      </w:r>
      <w:r w:rsidR="00217488">
        <w:rPr>
          <w:sz w:val="24"/>
          <w:szCs w:val="24"/>
        </w:rPr>
        <w:t xml:space="preserve">is the same </w:t>
      </w:r>
      <w:r>
        <w:rPr>
          <w:sz w:val="24"/>
          <w:szCs w:val="24"/>
        </w:rPr>
        <w:t xml:space="preserve">type of structural reform </w:t>
      </w:r>
      <w:r w:rsidR="00275B66">
        <w:rPr>
          <w:sz w:val="24"/>
          <w:szCs w:val="24"/>
        </w:rPr>
        <w:t xml:space="preserve">that </w:t>
      </w:r>
      <w:r>
        <w:rPr>
          <w:sz w:val="24"/>
          <w:szCs w:val="24"/>
        </w:rPr>
        <w:t>was considered essential to protecting the US economy post the 1929 crash, implemented by the 1933 Glass-Steagall Act</w:t>
      </w:r>
      <w:r w:rsidR="002962B2">
        <w:rPr>
          <w:sz w:val="24"/>
          <w:szCs w:val="24"/>
        </w:rPr>
        <w:t>.</w:t>
      </w:r>
    </w:p>
    <w:p w:rsidR="004610D7" w:rsidRDefault="004610D7" w:rsidP="00E31F1B">
      <w:pPr>
        <w:tabs>
          <w:tab w:val="left" w:pos="2702"/>
        </w:tabs>
        <w:spacing w:line="480" w:lineRule="auto"/>
        <w:jc w:val="both"/>
        <w:rPr>
          <w:sz w:val="24"/>
          <w:szCs w:val="24"/>
        </w:rPr>
      </w:pPr>
    </w:p>
    <w:p w:rsidR="000F4EB5" w:rsidRDefault="004610D7" w:rsidP="00E31F1B">
      <w:pPr>
        <w:pStyle w:val="Heading2"/>
        <w:tabs>
          <w:tab w:val="left" w:pos="2702"/>
        </w:tabs>
        <w:spacing w:line="480" w:lineRule="auto"/>
      </w:pPr>
      <w:bookmarkStart w:id="4" w:name="_Toc428779476"/>
      <w:r>
        <w:lastRenderedPageBreak/>
        <w:t xml:space="preserve">The </w:t>
      </w:r>
      <w:r w:rsidR="00DE7838">
        <w:t>Glass – Steagall</w:t>
      </w:r>
      <w:r>
        <w:t xml:space="preserve"> Act of 1933</w:t>
      </w:r>
      <w:bookmarkEnd w:id="4"/>
    </w:p>
    <w:p w:rsidR="00DE7838" w:rsidRDefault="00CB27A4" w:rsidP="00E31F1B">
      <w:pPr>
        <w:tabs>
          <w:tab w:val="left" w:pos="2702"/>
        </w:tabs>
        <w:spacing w:line="480" w:lineRule="auto"/>
        <w:jc w:val="both"/>
        <w:rPr>
          <w:sz w:val="24"/>
          <w:szCs w:val="24"/>
        </w:rPr>
      </w:pPr>
      <w:r w:rsidRPr="00CB27A4">
        <w:rPr>
          <w:sz w:val="24"/>
          <w:szCs w:val="24"/>
        </w:rPr>
        <w:t>The idea of ring fencing</w:t>
      </w:r>
      <w:r>
        <w:rPr>
          <w:sz w:val="24"/>
          <w:szCs w:val="24"/>
        </w:rPr>
        <w:t xml:space="preserve"> banking is not new, having been introduced in the United States (US)  Banking Act of 1933 to address a perceived cause of the 1929 stock market crash</w:t>
      </w:r>
      <w:r w:rsidR="004327C6">
        <w:rPr>
          <w:rStyle w:val="FootnoteReference"/>
          <w:sz w:val="24"/>
          <w:szCs w:val="24"/>
        </w:rPr>
        <w:footnoteReference w:id="53"/>
      </w:r>
      <w:r>
        <w:rPr>
          <w:sz w:val="24"/>
          <w:szCs w:val="24"/>
        </w:rPr>
        <w:t xml:space="preserve"> that led to the Great Depression in the US. The 1933 Act, sponsored by Senators</w:t>
      </w:r>
      <w:r w:rsidR="00AB1322">
        <w:rPr>
          <w:sz w:val="24"/>
          <w:szCs w:val="24"/>
        </w:rPr>
        <w:t>’</w:t>
      </w:r>
      <w:r>
        <w:rPr>
          <w:sz w:val="24"/>
          <w:szCs w:val="24"/>
        </w:rPr>
        <w:t xml:space="preserve"> Carter Glass and Henry Steagall, is better known as the Glass-Steagall Act</w:t>
      </w:r>
      <w:r w:rsidR="00AB1322">
        <w:rPr>
          <w:sz w:val="24"/>
          <w:szCs w:val="24"/>
        </w:rPr>
        <w:t xml:space="preserve"> (GSA)</w:t>
      </w:r>
      <w:r>
        <w:rPr>
          <w:sz w:val="24"/>
          <w:szCs w:val="24"/>
        </w:rPr>
        <w:t xml:space="preserve">. </w:t>
      </w:r>
      <w:r w:rsidR="00AB1322">
        <w:rPr>
          <w:sz w:val="24"/>
          <w:szCs w:val="24"/>
        </w:rPr>
        <w:t>The main focus of the GSA was to separate commercial banking from investment banking</w:t>
      </w:r>
      <w:r w:rsidR="00275B66">
        <w:rPr>
          <w:rStyle w:val="FootnoteReference"/>
          <w:sz w:val="24"/>
          <w:szCs w:val="24"/>
        </w:rPr>
        <w:footnoteReference w:id="54"/>
      </w:r>
      <w:r w:rsidR="00AB1322">
        <w:rPr>
          <w:sz w:val="24"/>
          <w:szCs w:val="24"/>
        </w:rPr>
        <w:t xml:space="preserve"> and make sure that the former supported the key sectors of the economy, such as the commerce, industrial and agricultural sectors</w:t>
      </w:r>
      <w:r w:rsidR="00AB1322">
        <w:rPr>
          <w:rStyle w:val="FootnoteReference"/>
          <w:sz w:val="24"/>
          <w:szCs w:val="24"/>
        </w:rPr>
        <w:footnoteReference w:id="55"/>
      </w:r>
      <w:r w:rsidR="00AB1322">
        <w:rPr>
          <w:sz w:val="24"/>
          <w:szCs w:val="24"/>
        </w:rPr>
        <w:t xml:space="preserve">. </w:t>
      </w:r>
      <w:r w:rsidR="008969FB">
        <w:rPr>
          <w:sz w:val="24"/>
          <w:szCs w:val="24"/>
        </w:rPr>
        <w:t>In this sense it was a form of structural regulation</w:t>
      </w:r>
      <w:r w:rsidR="005C24BD">
        <w:rPr>
          <w:rStyle w:val="FootnoteReference"/>
          <w:sz w:val="24"/>
          <w:szCs w:val="24"/>
        </w:rPr>
        <w:footnoteReference w:id="56"/>
      </w:r>
      <w:r w:rsidR="00275B66">
        <w:rPr>
          <w:sz w:val="24"/>
          <w:szCs w:val="24"/>
        </w:rPr>
        <w:t>, and a model that at the time was copied by many countries</w:t>
      </w:r>
      <w:r w:rsidR="00275B66">
        <w:rPr>
          <w:rStyle w:val="FootnoteReference"/>
          <w:sz w:val="24"/>
          <w:szCs w:val="24"/>
        </w:rPr>
        <w:footnoteReference w:id="57"/>
      </w:r>
      <w:r w:rsidR="008969FB">
        <w:rPr>
          <w:sz w:val="24"/>
          <w:szCs w:val="24"/>
        </w:rPr>
        <w:t>.</w:t>
      </w:r>
    </w:p>
    <w:p w:rsidR="00AB5B36" w:rsidRDefault="00AB5B36" w:rsidP="00E31F1B">
      <w:pPr>
        <w:tabs>
          <w:tab w:val="left" w:pos="2702"/>
        </w:tabs>
        <w:spacing w:line="480" w:lineRule="auto"/>
        <w:jc w:val="both"/>
        <w:rPr>
          <w:sz w:val="24"/>
          <w:szCs w:val="24"/>
        </w:rPr>
      </w:pPr>
    </w:p>
    <w:p w:rsidR="00AB1322" w:rsidRDefault="00792D72" w:rsidP="00E31F1B">
      <w:pPr>
        <w:tabs>
          <w:tab w:val="left" w:pos="2702"/>
        </w:tabs>
        <w:spacing w:line="480" w:lineRule="auto"/>
        <w:jc w:val="both"/>
      </w:pPr>
      <w:r>
        <w:rPr>
          <w:sz w:val="24"/>
          <w:szCs w:val="24"/>
        </w:rPr>
        <w:t xml:space="preserve">The </w:t>
      </w:r>
      <w:r w:rsidR="00AB1322">
        <w:rPr>
          <w:sz w:val="24"/>
          <w:szCs w:val="24"/>
        </w:rPr>
        <w:t>GSA also created the Federal Deposit Insurance Corporation (FDIC) creating certainty in the security of customer deposits – up to $2,500 at the time</w:t>
      </w:r>
      <w:r>
        <w:rPr>
          <w:rStyle w:val="FootnoteReference"/>
          <w:sz w:val="24"/>
          <w:szCs w:val="24"/>
        </w:rPr>
        <w:footnoteReference w:id="58"/>
      </w:r>
      <w:r w:rsidR="00AB1322">
        <w:rPr>
          <w:sz w:val="24"/>
          <w:szCs w:val="24"/>
        </w:rPr>
        <w:t xml:space="preserve"> and currently $250,000</w:t>
      </w:r>
      <w:r>
        <w:rPr>
          <w:rStyle w:val="FootnoteReference"/>
          <w:sz w:val="24"/>
          <w:szCs w:val="24"/>
        </w:rPr>
        <w:footnoteReference w:id="59"/>
      </w:r>
      <w:r w:rsidR="004327C6">
        <w:rPr>
          <w:sz w:val="24"/>
          <w:szCs w:val="24"/>
        </w:rPr>
        <w:t xml:space="preserve"> - a deposit protection </w:t>
      </w:r>
      <w:r w:rsidR="00275B66">
        <w:rPr>
          <w:sz w:val="24"/>
          <w:szCs w:val="24"/>
        </w:rPr>
        <w:t xml:space="preserve">model </w:t>
      </w:r>
      <w:r w:rsidR="004327C6">
        <w:rPr>
          <w:sz w:val="24"/>
          <w:szCs w:val="24"/>
        </w:rPr>
        <w:t>that has</w:t>
      </w:r>
      <w:r w:rsidR="00275B66">
        <w:rPr>
          <w:sz w:val="24"/>
          <w:szCs w:val="24"/>
        </w:rPr>
        <w:t xml:space="preserve"> also </w:t>
      </w:r>
      <w:r w:rsidR="004327C6">
        <w:rPr>
          <w:sz w:val="24"/>
          <w:szCs w:val="24"/>
        </w:rPr>
        <w:t>been copied around the world</w:t>
      </w:r>
      <w:r w:rsidR="00A230B6">
        <w:rPr>
          <w:rStyle w:val="FootnoteReference"/>
          <w:sz w:val="24"/>
          <w:szCs w:val="24"/>
        </w:rPr>
        <w:footnoteReference w:id="60"/>
      </w:r>
      <w:r w:rsidR="004327C6">
        <w:rPr>
          <w:sz w:val="24"/>
          <w:szCs w:val="24"/>
        </w:rPr>
        <w:t>.</w:t>
      </w:r>
    </w:p>
    <w:p w:rsidR="000F4EB5" w:rsidRDefault="000F4EB5" w:rsidP="00E31F1B">
      <w:pPr>
        <w:tabs>
          <w:tab w:val="left" w:pos="2702"/>
        </w:tabs>
        <w:spacing w:line="480" w:lineRule="auto"/>
        <w:jc w:val="both"/>
        <w:rPr>
          <w:sz w:val="24"/>
          <w:szCs w:val="24"/>
        </w:rPr>
      </w:pPr>
    </w:p>
    <w:p w:rsidR="00620C47" w:rsidRDefault="00792D72" w:rsidP="00E31F1B">
      <w:pPr>
        <w:tabs>
          <w:tab w:val="left" w:pos="2702"/>
        </w:tabs>
        <w:spacing w:line="480" w:lineRule="auto"/>
        <w:jc w:val="both"/>
        <w:rPr>
          <w:sz w:val="24"/>
          <w:szCs w:val="24"/>
        </w:rPr>
      </w:pPr>
      <w:r>
        <w:rPr>
          <w:sz w:val="24"/>
          <w:szCs w:val="24"/>
        </w:rPr>
        <w:lastRenderedPageBreak/>
        <w:t>The power of the GSA had been eroded long before the origins of the financial crisis</w:t>
      </w:r>
      <w:r>
        <w:rPr>
          <w:rStyle w:val="FootnoteReference"/>
          <w:sz w:val="24"/>
          <w:szCs w:val="24"/>
        </w:rPr>
        <w:footnoteReference w:id="61"/>
      </w:r>
      <w:r>
        <w:rPr>
          <w:sz w:val="24"/>
          <w:szCs w:val="24"/>
        </w:rPr>
        <w:t xml:space="preserve"> with continual move</w:t>
      </w:r>
      <w:r w:rsidR="008969FB">
        <w:rPr>
          <w:sz w:val="24"/>
          <w:szCs w:val="24"/>
        </w:rPr>
        <w:t>s</w:t>
      </w:r>
      <w:r>
        <w:rPr>
          <w:sz w:val="24"/>
          <w:szCs w:val="24"/>
        </w:rPr>
        <w:t xml:space="preserve"> towards de-regulation in the US in the 1970s, and a large move towards the ‘Chicago School of Economics’</w:t>
      </w:r>
      <w:r w:rsidR="00167D7D">
        <w:rPr>
          <w:rStyle w:val="FootnoteReference"/>
          <w:sz w:val="24"/>
          <w:szCs w:val="24"/>
        </w:rPr>
        <w:footnoteReference w:id="62"/>
      </w:r>
      <w:r>
        <w:rPr>
          <w:sz w:val="24"/>
          <w:szCs w:val="24"/>
        </w:rPr>
        <w:t xml:space="preserve"> view of profit maximisation and confidence in the ability of the market </w:t>
      </w:r>
      <w:r w:rsidR="00167D7D">
        <w:rPr>
          <w:sz w:val="24"/>
          <w:szCs w:val="24"/>
        </w:rPr>
        <w:t xml:space="preserve">to correct itself. The </w:t>
      </w:r>
      <w:r w:rsidR="00275B66">
        <w:rPr>
          <w:sz w:val="24"/>
          <w:szCs w:val="24"/>
        </w:rPr>
        <w:t>key sections were</w:t>
      </w:r>
      <w:r w:rsidR="00167D7D">
        <w:rPr>
          <w:sz w:val="24"/>
          <w:szCs w:val="24"/>
        </w:rPr>
        <w:t xml:space="preserve"> finally repealed in 1999 by the Financial Services Modernization Act, known as the </w:t>
      </w:r>
      <w:r w:rsidR="00620C47">
        <w:rPr>
          <w:sz w:val="24"/>
          <w:szCs w:val="24"/>
        </w:rPr>
        <w:t>Gramm-Leach-Bliley Act</w:t>
      </w:r>
      <w:r w:rsidR="008969FB">
        <w:rPr>
          <w:sz w:val="24"/>
          <w:szCs w:val="24"/>
        </w:rPr>
        <w:t xml:space="preserve"> (GLBA)</w:t>
      </w:r>
      <w:r w:rsidR="00275B66">
        <w:rPr>
          <w:sz w:val="24"/>
          <w:szCs w:val="24"/>
        </w:rPr>
        <w:t>, however there are some small provisions that remain, that prohibit deposit taking banks from underwriting securities and trading corporate securities (although a subsidiary in the same group could do so</w:t>
      </w:r>
      <w:r w:rsidR="00275B66">
        <w:rPr>
          <w:rStyle w:val="FootnoteReference"/>
          <w:sz w:val="24"/>
          <w:szCs w:val="24"/>
        </w:rPr>
        <w:footnoteReference w:id="63"/>
      </w:r>
      <w:r w:rsidR="002962B2">
        <w:rPr>
          <w:sz w:val="24"/>
          <w:szCs w:val="24"/>
        </w:rPr>
        <w:t>)</w:t>
      </w:r>
      <w:r w:rsidR="00620C47">
        <w:rPr>
          <w:sz w:val="24"/>
          <w:szCs w:val="24"/>
        </w:rPr>
        <w:t>.</w:t>
      </w:r>
      <w:r w:rsidR="00275B66">
        <w:rPr>
          <w:sz w:val="24"/>
          <w:szCs w:val="24"/>
        </w:rPr>
        <w:t xml:space="preserve"> Taken together with the Federal Reserve</w:t>
      </w:r>
      <w:r w:rsidR="00A230B6">
        <w:rPr>
          <w:sz w:val="24"/>
          <w:szCs w:val="24"/>
        </w:rPr>
        <w:t>’</w:t>
      </w:r>
      <w:r w:rsidR="00275B66">
        <w:rPr>
          <w:sz w:val="24"/>
          <w:szCs w:val="24"/>
        </w:rPr>
        <w:t>s ‘Regulation W’</w:t>
      </w:r>
      <w:r w:rsidR="007A0F09">
        <w:rPr>
          <w:rStyle w:val="FootnoteReference"/>
          <w:sz w:val="24"/>
          <w:szCs w:val="24"/>
        </w:rPr>
        <w:footnoteReference w:id="64"/>
      </w:r>
      <w:r w:rsidR="007A0F09">
        <w:rPr>
          <w:sz w:val="24"/>
          <w:szCs w:val="24"/>
        </w:rPr>
        <w:t>, which has been strengthened by the Dodd-Frank Act</w:t>
      </w:r>
      <w:r w:rsidR="007A0F09">
        <w:rPr>
          <w:rStyle w:val="FootnoteReference"/>
          <w:sz w:val="24"/>
          <w:szCs w:val="24"/>
        </w:rPr>
        <w:footnoteReference w:id="65"/>
      </w:r>
      <w:r w:rsidR="007A0F09">
        <w:rPr>
          <w:sz w:val="24"/>
          <w:szCs w:val="24"/>
        </w:rPr>
        <w:t xml:space="preserve">,restricting dealings between affiliates, it is arguable that </w:t>
      </w:r>
      <w:r w:rsidR="002962B2">
        <w:rPr>
          <w:sz w:val="24"/>
          <w:szCs w:val="24"/>
        </w:rPr>
        <w:t>t</w:t>
      </w:r>
      <w:r w:rsidR="007A0F09">
        <w:rPr>
          <w:sz w:val="24"/>
          <w:szCs w:val="24"/>
        </w:rPr>
        <w:t>here remains a degree of ring-fencing in the US.</w:t>
      </w:r>
    </w:p>
    <w:p w:rsidR="00620C47" w:rsidRDefault="00620C47" w:rsidP="00E31F1B">
      <w:pPr>
        <w:tabs>
          <w:tab w:val="left" w:pos="2702"/>
        </w:tabs>
        <w:spacing w:line="480" w:lineRule="auto"/>
        <w:jc w:val="both"/>
        <w:rPr>
          <w:sz w:val="24"/>
          <w:szCs w:val="24"/>
        </w:rPr>
      </w:pPr>
    </w:p>
    <w:p w:rsidR="00434B1A" w:rsidRDefault="00620C47" w:rsidP="00E31F1B">
      <w:pPr>
        <w:tabs>
          <w:tab w:val="left" w:pos="2702"/>
        </w:tabs>
        <w:spacing w:line="480" w:lineRule="auto"/>
        <w:jc w:val="both"/>
        <w:rPr>
          <w:sz w:val="24"/>
          <w:szCs w:val="24"/>
        </w:rPr>
      </w:pPr>
      <w:r>
        <w:rPr>
          <w:sz w:val="24"/>
          <w:szCs w:val="24"/>
        </w:rPr>
        <w:t xml:space="preserve">The </w:t>
      </w:r>
      <w:r w:rsidR="008969FB">
        <w:rPr>
          <w:sz w:val="24"/>
          <w:szCs w:val="24"/>
        </w:rPr>
        <w:t xml:space="preserve">repeal of </w:t>
      </w:r>
      <w:r w:rsidR="00275B66">
        <w:rPr>
          <w:sz w:val="24"/>
          <w:szCs w:val="24"/>
        </w:rPr>
        <w:t xml:space="preserve">the GSA by the </w:t>
      </w:r>
      <w:r w:rsidR="008969FB">
        <w:rPr>
          <w:sz w:val="24"/>
          <w:szCs w:val="24"/>
        </w:rPr>
        <w:t xml:space="preserve">GLBA was not viewed as particularly controversial </w:t>
      </w:r>
      <w:r w:rsidR="002962B2">
        <w:rPr>
          <w:sz w:val="24"/>
          <w:szCs w:val="24"/>
        </w:rPr>
        <w:t xml:space="preserve">in </w:t>
      </w:r>
      <w:r w:rsidR="007A0F09">
        <w:rPr>
          <w:sz w:val="24"/>
          <w:szCs w:val="24"/>
        </w:rPr>
        <w:t>1999</w:t>
      </w:r>
      <w:r w:rsidR="008969FB">
        <w:rPr>
          <w:sz w:val="24"/>
          <w:szCs w:val="24"/>
        </w:rPr>
        <w:t xml:space="preserve">, however, it has become a focus </w:t>
      </w:r>
      <w:r w:rsidR="00A230B6">
        <w:rPr>
          <w:sz w:val="24"/>
          <w:szCs w:val="24"/>
        </w:rPr>
        <w:t xml:space="preserve">of </w:t>
      </w:r>
      <w:r w:rsidR="008969FB">
        <w:rPr>
          <w:sz w:val="24"/>
          <w:szCs w:val="24"/>
        </w:rPr>
        <w:t>increased debate since the financial crisis</w:t>
      </w:r>
      <w:r>
        <w:rPr>
          <w:sz w:val="24"/>
          <w:szCs w:val="24"/>
        </w:rPr>
        <w:t>, with the Group of Thirty (chaired by Paul Volcke</w:t>
      </w:r>
      <w:r w:rsidR="004327C6">
        <w:rPr>
          <w:sz w:val="24"/>
          <w:szCs w:val="24"/>
        </w:rPr>
        <w:t>r</w:t>
      </w:r>
      <w:r>
        <w:rPr>
          <w:sz w:val="24"/>
          <w:szCs w:val="24"/>
        </w:rPr>
        <w:t xml:space="preserve"> at the time) issuing a paper in 2009</w:t>
      </w:r>
      <w:r w:rsidR="004327C6">
        <w:rPr>
          <w:rStyle w:val="FootnoteReference"/>
          <w:sz w:val="24"/>
          <w:szCs w:val="24"/>
        </w:rPr>
        <w:footnoteReference w:id="66"/>
      </w:r>
      <w:r>
        <w:rPr>
          <w:sz w:val="24"/>
          <w:szCs w:val="24"/>
        </w:rPr>
        <w:t xml:space="preserve"> arguing for separation, with other</w:t>
      </w:r>
      <w:r w:rsidR="003A03DC">
        <w:rPr>
          <w:sz w:val="24"/>
          <w:szCs w:val="24"/>
        </w:rPr>
        <w:t>s</w:t>
      </w:r>
      <w:r>
        <w:rPr>
          <w:sz w:val="24"/>
          <w:szCs w:val="24"/>
        </w:rPr>
        <w:t xml:space="preserve"> against</w:t>
      </w:r>
      <w:r w:rsidR="003A03DC">
        <w:rPr>
          <w:sz w:val="24"/>
          <w:szCs w:val="24"/>
        </w:rPr>
        <w:t>,</w:t>
      </w:r>
      <w:r>
        <w:rPr>
          <w:sz w:val="24"/>
          <w:szCs w:val="24"/>
        </w:rPr>
        <w:t xml:space="preserve"> highlighting that securitisation</w:t>
      </w:r>
      <w:r w:rsidR="007A0F09">
        <w:rPr>
          <w:sz w:val="24"/>
          <w:szCs w:val="24"/>
        </w:rPr>
        <w:t xml:space="preserve"> (seen as a key influence in the crisis)</w:t>
      </w:r>
      <w:r>
        <w:rPr>
          <w:sz w:val="24"/>
          <w:szCs w:val="24"/>
        </w:rPr>
        <w:t xml:space="preserve"> would have happened anyway</w:t>
      </w:r>
      <w:r>
        <w:rPr>
          <w:rStyle w:val="FootnoteReference"/>
          <w:sz w:val="24"/>
          <w:szCs w:val="24"/>
        </w:rPr>
        <w:footnoteReference w:id="67"/>
      </w:r>
      <w:r>
        <w:rPr>
          <w:sz w:val="24"/>
          <w:szCs w:val="24"/>
        </w:rPr>
        <w:t xml:space="preserve">, and others arguing that a re-introduction of the GSA would be very </w:t>
      </w:r>
      <w:r>
        <w:rPr>
          <w:sz w:val="24"/>
          <w:szCs w:val="24"/>
        </w:rPr>
        <w:lastRenderedPageBreak/>
        <w:t>detrimental to Europe’s banking industry</w:t>
      </w:r>
      <w:r w:rsidR="00534803">
        <w:rPr>
          <w:rStyle w:val="FootnoteReference"/>
          <w:sz w:val="24"/>
          <w:szCs w:val="24"/>
        </w:rPr>
        <w:footnoteReference w:id="68"/>
      </w:r>
      <w:r>
        <w:rPr>
          <w:sz w:val="24"/>
          <w:szCs w:val="24"/>
        </w:rPr>
        <w:t>. The repeal of the GSA remains a topic of debate</w:t>
      </w:r>
      <w:r>
        <w:rPr>
          <w:rStyle w:val="FootnoteReference"/>
          <w:sz w:val="24"/>
          <w:szCs w:val="24"/>
        </w:rPr>
        <w:footnoteReference w:id="69"/>
      </w:r>
      <w:r w:rsidR="00534803">
        <w:rPr>
          <w:sz w:val="24"/>
          <w:szCs w:val="24"/>
        </w:rPr>
        <w:t>, and we will see i</w:t>
      </w:r>
      <w:r w:rsidR="003A03DC">
        <w:rPr>
          <w:sz w:val="24"/>
          <w:szCs w:val="24"/>
        </w:rPr>
        <w:t>t</w:t>
      </w:r>
      <w:r w:rsidR="00534803">
        <w:rPr>
          <w:sz w:val="24"/>
          <w:szCs w:val="24"/>
        </w:rPr>
        <w:t xml:space="preserve"> being partly re-introduced in a number of countries</w:t>
      </w:r>
      <w:r w:rsidR="00D667AF">
        <w:rPr>
          <w:sz w:val="24"/>
          <w:szCs w:val="24"/>
        </w:rPr>
        <w:t xml:space="preserve"> – France</w:t>
      </w:r>
      <w:r w:rsidR="00A116C6">
        <w:rPr>
          <w:rStyle w:val="FootnoteReference"/>
          <w:sz w:val="24"/>
          <w:szCs w:val="24"/>
        </w:rPr>
        <w:footnoteReference w:id="70"/>
      </w:r>
      <w:r w:rsidR="00D667AF">
        <w:rPr>
          <w:sz w:val="24"/>
          <w:szCs w:val="24"/>
        </w:rPr>
        <w:t>, Germany</w:t>
      </w:r>
      <w:r w:rsidR="00A116C6">
        <w:rPr>
          <w:rStyle w:val="FootnoteReference"/>
          <w:sz w:val="24"/>
          <w:szCs w:val="24"/>
        </w:rPr>
        <w:footnoteReference w:id="71"/>
      </w:r>
      <w:r w:rsidR="00D667AF">
        <w:rPr>
          <w:sz w:val="24"/>
          <w:szCs w:val="24"/>
        </w:rPr>
        <w:t>, and the UK are all introducing some fo</w:t>
      </w:r>
      <w:r w:rsidR="007A0F09">
        <w:rPr>
          <w:sz w:val="24"/>
          <w:szCs w:val="24"/>
        </w:rPr>
        <w:t>r</w:t>
      </w:r>
      <w:r w:rsidR="00D667AF">
        <w:rPr>
          <w:sz w:val="24"/>
          <w:szCs w:val="24"/>
        </w:rPr>
        <w:t>m of ring-fencing</w:t>
      </w:r>
      <w:r w:rsidR="002962B2">
        <w:rPr>
          <w:sz w:val="24"/>
          <w:szCs w:val="24"/>
        </w:rPr>
        <w:t>, and Liikanen will introduce such provisions across the EU</w:t>
      </w:r>
      <w:r w:rsidR="00534803">
        <w:rPr>
          <w:sz w:val="24"/>
          <w:szCs w:val="24"/>
        </w:rPr>
        <w:t>.</w:t>
      </w:r>
    </w:p>
    <w:p w:rsidR="00434B1A" w:rsidRDefault="00434B1A" w:rsidP="00E31F1B">
      <w:pPr>
        <w:tabs>
          <w:tab w:val="left" w:pos="2702"/>
        </w:tabs>
        <w:spacing w:line="480" w:lineRule="auto"/>
        <w:jc w:val="both"/>
        <w:rPr>
          <w:sz w:val="24"/>
          <w:szCs w:val="24"/>
        </w:rPr>
      </w:pPr>
    </w:p>
    <w:p w:rsidR="00434B1A" w:rsidRDefault="002B565C" w:rsidP="00E31F1B">
      <w:pPr>
        <w:pStyle w:val="Heading1"/>
        <w:tabs>
          <w:tab w:val="left" w:pos="2702"/>
        </w:tabs>
        <w:spacing w:line="480" w:lineRule="auto"/>
        <w:jc w:val="left"/>
      </w:pPr>
      <w:bookmarkStart w:id="5" w:name="_Toc428779477"/>
      <w:r>
        <w:t>Other</w:t>
      </w:r>
      <w:r w:rsidR="008F3EEE">
        <w:t xml:space="preserve"> </w:t>
      </w:r>
      <w:r w:rsidR="00DE7838">
        <w:t>Ring-Fencing Initiatives</w:t>
      </w:r>
      <w:bookmarkEnd w:id="5"/>
    </w:p>
    <w:p w:rsidR="00195601" w:rsidRDefault="007A0F09" w:rsidP="00E31F1B">
      <w:pPr>
        <w:tabs>
          <w:tab w:val="left" w:pos="2702"/>
        </w:tabs>
        <w:spacing w:line="480" w:lineRule="auto"/>
        <w:jc w:val="both"/>
        <w:rPr>
          <w:sz w:val="24"/>
          <w:szCs w:val="24"/>
        </w:rPr>
      </w:pPr>
      <w:r>
        <w:rPr>
          <w:sz w:val="24"/>
          <w:szCs w:val="24"/>
        </w:rPr>
        <w:t>The pre-crisis model of Universal banking is now under attack, particularly from the perspective of the concern that deposit protection schemes, and tax payer support will be used to support failing investment banks. A 2012 IMF report notes that some are</w:t>
      </w:r>
      <w:r w:rsidR="00A230B6">
        <w:rPr>
          <w:sz w:val="24"/>
          <w:szCs w:val="24"/>
        </w:rPr>
        <w:t>as</w:t>
      </w:r>
      <w:r>
        <w:rPr>
          <w:sz w:val="24"/>
          <w:szCs w:val="24"/>
        </w:rPr>
        <w:t xml:space="preserve"> of financial regulation still need further global level discussion, in particular</w:t>
      </w:r>
      <w:r w:rsidR="00195601">
        <w:rPr>
          <w:sz w:val="24"/>
          <w:szCs w:val="24"/>
        </w:rPr>
        <w:t>:</w:t>
      </w:r>
    </w:p>
    <w:p w:rsidR="007A0F09" w:rsidRDefault="007A0F09" w:rsidP="00E31F1B">
      <w:pPr>
        <w:tabs>
          <w:tab w:val="left" w:pos="2702"/>
        </w:tabs>
        <w:spacing w:line="480" w:lineRule="auto"/>
        <w:jc w:val="both"/>
        <w:rPr>
          <w:sz w:val="24"/>
          <w:szCs w:val="24"/>
        </w:rPr>
      </w:pPr>
    </w:p>
    <w:p w:rsidR="00195601" w:rsidRDefault="007A0F09" w:rsidP="00E31F1B">
      <w:pPr>
        <w:tabs>
          <w:tab w:val="left" w:pos="2702"/>
        </w:tabs>
        <w:ind w:left="720"/>
        <w:jc w:val="both"/>
        <w:rPr>
          <w:sz w:val="24"/>
          <w:szCs w:val="24"/>
        </w:rPr>
      </w:pPr>
      <w:r>
        <w:rPr>
          <w:sz w:val="24"/>
          <w:szCs w:val="24"/>
        </w:rPr>
        <w:t>“</w:t>
      </w:r>
      <w:r w:rsidRPr="00195601">
        <w:rPr>
          <w:i/>
          <w:sz w:val="24"/>
          <w:szCs w:val="24"/>
        </w:rPr>
        <w:t xml:space="preserve">a global level discussion on the pros and cons of </w:t>
      </w:r>
      <w:r w:rsidR="00195601" w:rsidRPr="00195601">
        <w:rPr>
          <w:i/>
          <w:sz w:val="24"/>
          <w:szCs w:val="24"/>
        </w:rPr>
        <w:t>direct restrictions on business models..</w:t>
      </w:r>
      <w:r w:rsidR="00195601">
        <w:rPr>
          <w:sz w:val="24"/>
          <w:szCs w:val="24"/>
        </w:rPr>
        <w:t>.</w:t>
      </w:r>
      <w:r w:rsidR="00195601">
        <w:rPr>
          <w:rStyle w:val="FootnoteReference"/>
          <w:sz w:val="24"/>
          <w:szCs w:val="24"/>
        </w:rPr>
        <w:footnoteReference w:id="72"/>
      </w:r>
      <w:r w:rsidR="00195601">
        <w:rPr>
          <w:sz w:val="24"/>
          <w:szCs w:val="24"/>
        </w:rPr>
        <w:t>”</w:t>
      </w:r>
    </w:p>
    <w:p w:rsidR="00195601" w:rsidRDefault="00195601" w:rsidP="00E31F1B">
      <w:pPr>
        <w:tabs>
          <w:tab w:val="left" w:pos="2702"/>
        </w:tabs>
        <w:spacing w:line="480" w:lineRule="auto"/>
        <w:jc w:val="both"/>
        <w:rPr>
          <w:sz w:val="24"/>
          <w:szCs w:val="24"/>
        </w:rPr>
      </w:pPr>
    </w:p>
    <w:p w:rsidR="007A0F09" w:rsidRDefault="00357559" w:rsidP="00E31F1B">
      <w:pPr>
        <w:tabs>
          <w:tab w:val="left" w:pos="2702"/>
        </w:tabs>
        <w:spacing w:line="480" w:lineRule="auto"/>
        <w:jc w:val="both"/>
        <w:rPr>
          <w:sz w:val="24"/>
          <w:szCs w:val="24"/>
        </w:rPr>
      </w:pPr>
      <w:r>
        <w:rPr>
          <w:sz w:val="24"/>
          <w:szCs w:val="24"/>
        </w:rPr>
        <w:t>There are three key types of separation that have been debated (1) Narrow banking; (2) a ban on proprietary trading; and (3) ring fenced banking</w:t>
      </w:r>
      <w:r>
        <w:rPr>
          <w:rStyle w:val="FootnoteReference"/>
          <w:sz w:val="24"/>
          <w:szCs w:val="24"/>
        </w:rPr>
        <w:footnoteReference w:id="73"/>
      </w:r>
      <w:r>
        <w:rPr>
          <w:sz w:val="24"/>
          <w:szCs w:val="24"/>
        </w:rPr>
        <w:t xml:space="preserve">. </w:t>
      </w:r>
    </w:p>
    <w:p w:rsidR="007A0F09" w:rsidRDefault="007A0F09" w:rsidP="00E31F1B">
      <w:pPr>
        <w:tabs>
          <w:tab w:val="left" w:pos="2702"/>
        </w:tabs>
        <w:spacing w:line="480" w:lineRule="auto"/>
        <w:jc w:val="both"/>
        <w:rPr>
          <w:sz w:val="24"/>
          <w:szCs w:val="24"/>
        </w:rPr>
      </w:pPr>
    </w:p>
    <w:p w:rsidR="00195601" w:rsidRDefault="00357559" w:rsidP="00E31F1B">
      <w:pPr>
        <w:tabs>
          <w:tab w:val="left" w:pos="2702"/>
        </w:tabs>
        <w:spacing w:line="480" w:lineRule="auto"/>
        <w:jc w:val="both"/>
        <w:rPr>
          <w:sz w:val="24"/>
          <w:szCs w:val="24"/>
        </w:rPr>
      </w:pPr>
      <w:r>
        <w:rPr>
          <w:sz w:val="24"/>
          <w:szCs w:val="24"/>
        </w:rPr>
        <w:lastRenderedPageBreak/>
        <w:t>The narrowest form of banking is a system that allows for collection of deposits and invests in high quality liquid assets and predominantly acts as payment mechanism</w:t>
      </w:r>
      <w:r>
        <w:rPr>
          <w:rStyle w:val="FootnoteReference"/>
          <w:sz w:val="24"/>
          <w:szCs w:val="24"/>
        </w:rPr>
        <w:footnoteReference w:id="74"/>
      </w:r>
      <w:r w:rsidR="00C200D5">
        <w:rPr>
          <w:sz w:val="24"/>
          <w:szCs w:val="24"/>
        </w:rPr>
        <w:t>.</w:t>
      </w:r>
      <w:r w:rsidR="002962B2">
        <w:rPr>
          <w:sz w:val="24"/>
          <w:szCs w:val="24"/>
        </w:rPr>
        <w:t>As Vickers notes, t</w:t>
      </w:r>
      <w:r w:rsidR="00195601">
        <w:rPr>
          <w:sz w:val="24"/>
          <w:szCs w:val="24"/>
        </w:rPr>
        <w:t>hese high quality liquid assets would most likely be government bonds which are (1) not always safe (2) not plentiful enough in supply; (3) would reduce th</w:t>
      </w:r>
      <w:r w:rsidR="00490A04">
        <w:rPr>
          <w:sz w:val="24"/>
          <w:szCs w:val="24"/>
        </w:rPr>
        <w:t>e</w:t>
      </w:r>
      <w:r w:rsidR="00195601">
        <w:rPr>
          <w:sz w:val="24"/>
          <w:szCs w:val="24"/>
        </w:rPr>
        <w:t xml:space="preserve"> availability of such bonds to pension funds; and (4) most importantly would restrict the availability of money to individuals and businesses in the form of overdrafts and longer term maturity transformation</w:t>
      </w:r>
      <w:r w:rsidR="00195601">
        <w:rPr>
          <w:rStyle w:val="FootnoteReference"/>
          <w:sz w:val="24"/>
          <w:szCs w:val="24"/>
        </w:rPr>
        <w:footnoteReference w:id="75"/>
      </w:r>
      <w:r w:rsidR="00195601">
        <w:rPr>
          <w:sz w:val="24"/>
          <w:szCs w:val="24"/>
        </w:rPr>
        <w:t xml:space="preserve">.      </w:t>
      </w:r>
    </w:p>
    <w:p w:rsidR="005D2A5A" w:rsidRDefault="005D2A5A" w:rsidP="00E31F1B">
      <w:pPr>
        <w:tabs>
          <w:tab w:val="left" w:pos="2702"/>
        </w:tabs>
        <w:spacing w:line="480" w:lineRule="auto"/>
        <w:jc w:val="both"/>
        <w:rPr>
          <w:sz w:val="24"/>
          <w:szCs w:val="24"/>
        </w:rPr>
      </w:pPr>
    </w:p>
    <w:p w:rsidR="00357559" w:rsidRDefault="005D2A5A" w:rsidP="00E31F1B">
      <w:pPr>
        <w:tabs>
          <w:tab w:val="left" w:pos="2702"/>
        </w:tabs>
        <w:spacing w:line="480" w:lineRule="auto"/>
        <w:jc w:val="both"/>
        <w:rPr>
          <w:sz w:val="24"/>
          <w:szCs w:val="24"/>
        </w:rPr>
      </w:pPr>
      <w:r>
        <w:rPr>
          <w:sz w:val="24"/>
          <w:szCs w:val="24"/>
        </w:rPr>
        <w:t>This leaves the</w:t>
      </w:r>
      <w:r w:rsidR="00C200D5">
        <w:rPr>
          <w:sz w:val="24"/>
          <w:szCs w:val="24"/>
        </w:rPr>
        <w:t xml:space="preserve"> less narrow interpretation and one that is closer to the UKs current RFB proposal </w:t>
      </w:r>
      <w:r>
        <w:rPr>
          <w:sz w:val="24"/>
          <w:szCs w:val="24"/>
        </w:rPr>
        <w:t xml:space="preserve">- </w:t>
      </w:r>
      <w:r w:rsidR="00C200D5">
        <w:rPr>
          <w:sz w:val="24"/>
          <w:szCs w:val="24"/>
        </w:rPr>
        <w:t>a bank that also supports the economy by engaging in the important activity of maturity transformation by engaging in mortgage lending and retail</w:t>
      </w:r>
      <w:r w:rsidR="002962B2">
        <w:rPr>
          <w:sz w:val="24"/>
          <w:szCs w:val="24"/>
        </w:rPr>
        <w:t xml:space="preserve"> and small and medium enterprise</w:t>
      </w:r>
      <w:r w:rsidR="00955774">
        <w:rPr>
          <w:sz w:val="24"/>
          <w:szCs w:val="24"/>
        </w:rPr>
        <w:t xml:space="preserve"> (SME)</w:t>
      </w:r>
      <w:r w:rsidR="008F3EEE">
        <w:rPr>
          <w:sz w:val="24"/>
          <w:szCs w:val="24"/>
        </w:rPr>
        <w:t xml:space="preserve"> </w:t>
      </w:r>
      <w:r w:rsidR="00C200D5">
        <w:rPr>
          <w:sz w:val="24"/>
          <w:szCs w:val="24"/>
        </w:rPr>
        <w:t>lending</w:t>
      </w:r>
      <w:r w:rsidR="00C200D5">
        <w:rPr>
          <w:rStyle w:val="FootnoteReference"/>
          <w:sz w:val="24"/>
          <w:szCs w:val="24"/>
        </w:rPr>
        <w:footnoteReference w:id="76"/>
      </w:r>
      <w:r w:rsidR="00C200D5">
        <w:rPr>
          <w:sz w:val="24"/>
          <w:szCs w:val="24"/>
        </w:rPr>
        <w:t>.</w:t>
      </w:r>
      <w:r w:rsidR="004177D5">
        <w:rPr>
          <w:sz w:val="24"/>
          <w:szCs w:val="24"/>
        </w:rPr>
        <w:t xml:space="preserve"> </w:t>
      </w:r>
      <w:r w:rsidR="00BA41B9">
        <w:rPr>
          <w:sz w:val="24"/>
          <w:szCs w:val="24"/>
        </w:rPr>
        <w:t>Ring-fenced banking and the ban on proprietary trading are in essence two different versions of a ring fence.</w:t>
      </w:r>
    </w:p>
    <w:p w:rsidR="00357559" w:rsidRDefault="00357559" w:rsidP="00E31F1B">
      <w:pPr>
        <w:tabs>
          <w:tab w:val="left" w:pos="2702"/>
        </w:tabs>
        <w:spacing w:line="480" w:lineRule="auto"/>
        <w:jc w:val="both"/>
        <w:rPr>
          <w:sz w:val="24"/>
          <w:szCs w:val="24"/>
        </w:rPr>
      </w:pPr>
    </w:p>
    <w:p w:rsidR="00434B1A" w:rsidRDefault="00BA41B9" w:rsidP="00E31F1B">
      <w:pPr>
        <w:tabs>
          <w:tab w:val="left" w:pos="2702"/>
        </w:tabs>
        <w:spacing w:line="480" w:lineRule="auto"/>
        <w:jc w:val="both"/>
        <w:rPr>
          <w:sz w:val="24"/>
          <w:szCs w:val="24"/>
        </w:rPr>
      </w:pPr>
      <w:r>
        <w:rPr>
          <w:sz w:val="24"/>
          <w:szCs w:val="24"/>
        </w:rPr>
        <w:t>Within the ring-fence category t</w:t>
      </w:r>
      <w:r w:rsidR="00FC10F7" w:rsidRPr="00434B1A">
        <w:rPr>
          <w:sz w:val="24"/>
          <w:szCs w:val="24"/>
        </w:rPr>
        <w:t>here have been three major initiatives that have looked at the structure of banking in the aftermath of the financial crisis</w:t>
      </w:r>
      <w:r w:rsidR="005D2A5A">
        <w:rPr>
          <w:sz w:val="24"/>
          <w:szCs w:val="24"/>
        </w:rPr>
        <w:t xml:space="preserve">: (1) </w:t>
      </w:r>
      <w:r w:rsidR="00FC10F7" w:rsidRPr="00434B1A">
        <w:rPr>
          <w:sz w:val="24"/>
          <w:szCs w:val="24"/>
        </w:rPr>
        <w:t>the introduction of the Volcker Rule in the US</w:t>
      </w:r>
      <w:r w:rsidR="005D2A5A">
        <w:rPr>
          <w:sz w:val="24"/>
          <w:szCs w:val="24"/>
        </w:rPr>
        <w:t xml:space="preserve">; (2) </w:t>
      </w:r>
      <w:r w:rsidR="00FC10F7" w:rsidRPr="00434B1A">
        <w:rPr>
          <w:sz w:val="24"/>
          <w:szCs w:val="24"/>
        </w:rPr>
        <w:t>the proposals for ring-fenced banking in the UK</w:t>
      </w:r>
      <w:r w:rsidR="005D2A5A">
        <w:rPr>
          <w:sz w:val="24"/>
          <w:szCs w:val="24"/>
        </w:rPr>
        <w:t>;</w:t>
      </w:r>
      <w:r w:rsidR="00FC10F7" w:rsidRPr="00434B1A">
        <w:rPr>
          <w:sz w:val="24"/>
          <w:szCs w:val="24"/>
        </w:rPr>
        <w:t xml:space="preserve"> and </w:t>
      </w:r>
      <w:r w:rsidR="005D2A5A">
        <w:rPr>
          <w:sz w:val="24"/>
          <w:szCs w:val="24"/>
        </w:rPr>
        <w:t xml:space="preserve">(3) </w:t>
      </w:r>
      <w:r w:rsidR="00FC10F7" w:rsidRPr="00434B1A">
        <w:rPr>
          <w:sz w:val="24"/>
          <w:szCs w:val="24"/>
        </w:rPr>
        <w:t>the Liikanen proposals in the EU. Although this dissertation is focussing on the UK proposals for ring-fencing it is helpful to put it in the context of other major initiatives.</w:t>
      </w:r>
    </w:p>
    <w:p w:rsidR="00434B1A" w:rsidRDefault="00434B1A" w:rsidP="00E31F1B">
      <w:pPr>
        <w:tabs>
          <w:tab w:val="left" w:pos="2702"/>
        </w:tabs>
        <w:spacing w:line="480" w:lineRule="auto"/>
        <w:jc w:val="both"/>
        <w:rPr>
          <w:sz w:val="24"/>
          <w:szCs w:val="24"/>
        </w:rPr>
      </w:pPr>
    </w:p>
    <w:p w:rsidR="005D2A5A" w:rsidRDefault="00434B1A" w:rsidP="00E31F1B">
      <w:pPr>
        <w:tabs>
          <w:tab w:val="left" w:pos="2702"/>
        </w:tabs>
        <w:spacing w:line="480" w:lineRule="auto"/>
        <w:jc w:val="both"/>
        <w:rPr>
          <w:sz w:val="24"/>
          <w:szCs w:val="24"/>
        </w:rPr>
      </w:pPr>
      <w:r w:rsidRPr="00434B1A">
        <w:rPr>
          <w:sz w:val="24"/>
          <w:szCs w:val="24"/>
        </w:rPr>
        <w:t>F</w:t>
      </w:r>
      <w:r w:rsidR="00085FD0" w:rsidRPr="00434B1A">
        <w:rPr>
          <w:sz w:val="24"/>
          <w:szCs w:val="24"/>
        </w:rPr>
        <w:t>undamental to all of these initiatives are t</w:t>
      </w:r>
      <w:r w:rsidR="00926E52" w:rsidRPr="00434B1A">
        <w:rPr>
          <w:sz w:val="24"/>
          <w:szCs w:val="24"/>
        </w:rPr>
        <w:t xml:space="preserve">wo </w:t>
      </w:r>
      <w:r w:rsidR="00085FD0" w:rsidRPr="00434B1A">
        <w:rPr>
          <w:sz w:val="24"/>
          <w:szCs w:val="24"/>
        </w:rPr>
        <w:t>issues</w:t>
      </w:r>
      <w:r w:rsidR="00926E52" w:rsidRPr="00434B1A">
        <w:rPr>
          <w:sz w:val="24"/>
          <w:szCs w:val="24"/>
        </w:rPr>
        <w:t xml:space="preserve">: </w:t>
      </w:r>
    </w:p>
    <w:p w:rsidR="005D2A5A" w:rsidRDefault="005D2A5A" w:rsidP="00E31F1B">
      <w:pPr>
        <w:tabs>
          <w:tab w:val="left" w:pos="2702"/>
        </w:tabs>
        <w:spacing w:line="480" w:lineRule="auto"/>
        <w:jc w:val="both"/>
        <w:rPr>
          <w:sz w:val="24"/>
          <w:szCs w:val="24"/>
        </w:rPr>
      </w:pPr>
    </w:p>
    <w:p w:rsidR="005D2A5A" w:rsidRDefault="005D2A5A" w:rsidP="00E31F1B">
      <w:pPr>
        <w:pStyle w:val="ListParagraph"/>
        <w:numPr>
          <w:ilvl w:val="0"/>
          <w:numId w:val="19"/>
        </w:numPr>
        <w:tabs>
          <w:tab w:val="left" w:pos="2702"/>
        </w:tabs>
        <w:spacing w:line="480" w:lineRule="auto"/>
        <w:jc w:val="both"/>
        <w:rPr>
          <w:sz w:val="24"/>
          <w:szCs w:val="24"/>
        </w:rPr>
      </w:pPr>
      <w:r>
        <w:rPr>
          <w:sz w:val="24"/>
          <w:szCs w:val="24"/>
        </w:rPr>
        <w:t xml:space="preserve">The </w:t>
      </w:r>
      <w:r w:rsidR="00490A04">
        <w:rPr>
          <w:sz w:val="24"/>
          <w:szCs w:val="24"/>
        </w:rPr>
        <w:t xml:space="preserve">type of banking that should benefit from support when an individual bank or the banking system </w:t>
      </w:r>
      <w:r w:rsidR="00926E52" w:rsidRPr="005D2A5A">
        <w:rPr>
          <w:sz w:val="24"/>
          <w:szCs w:val="24"/>
        </w:rPr>
        <w:t>get</w:t>
      </w:r>
      <w:r w:rsidR="00490A04">
        <w:rPr>
          <w:sz w:val="24"/>
          <w:szCs w:val="24"/>
        </w:rPr>
        <w:t>s</w:t>
      </w:r>
      <w:r w:rsidR="00926E52" w:rsidRPr="005D2A5A">
        <w:rPr>
          <w:sz w:val="24"/>
          <w:szCs w:val="24"/>
        </w:rPr>
        <w:t xml:space="preserve"> into difficulty </w:t>
      </w:r>
      <w:r w:rsidR="00085FD0" w:rsidRPr="005D2A5A">
        <w:rPr>
          <w:sz w:val="24"/>
          <w:szCs w:val="24"/>
        </w:rPr>
        <w:t>(</w:t>
      </w:r>
      <w:r w:rsidR="00490A04">
        <w:rPr>
          <w:sz w:val="24"/>
          <w:szCs w:val="24"/>
        </w:rPr>
        <w:t xml:space="preserve">support by way of </w:t>
      </w:r>
      <w:r w:rsidR="00085FD0" w:rsidRPr="005D2A5A">
        <w:rPr>
          <w:sz w:val="24"/>
          <w:szCs w:val="24"/>
        </w:rPr>
        <w:t xml:space="preserve">deposit protection, </w:t>
      </w:r>
      <w:r w:rsidR="00490A04">
        <w:rPr>
          <w:sz w:val="24"/>
          <w:szCs w:val="24"/>
        </w:rPr>
        <w:t xml:space="preserve">a </w:t>
      </w:r>
      <w:r w:rsidR="00085FD0" w:rsidRPr="005D2A5A">
        <w:rPr>
          <w:sz w:val="24"/>
          <w:szCs w:val="24"/>
        </w:rPr>
        <w:t>lender of last resort</w:t>
      </w:r>
      <w:r w:rsidR="00490A04">
        <w:rPr>
          <w:sz w:val="24"/>
          <w:szCs w:val="24"/>
        </w:rPr>
        <w:t xml:space="preserve"> facility</w:t>
      </w:r>
      <w:r w:rsidR="00085FD0" w:rsidRPr="005D2A5A">
        <w:rPr>
          <w:sz w:val="24"/>
          <w:szCs w:val="24"/>
        </w:rPr>
        <w:t>, or</w:t>
      </w:r>
      <w:r w:rsidR="00490A04">
        <w:rPr>
          <w:sz w:val="24"/>
          <w:szCs w:val="24"/>
        </w:rPr>
        <w:t xml:space="preserve"> as a last resort </w:t>
      </w:r>
      <w:r w:rsidR="00085FD0" w:rsidRPr="005D2A5A">
        <w:rPr>
          <w:sz w:val="24"/>
          <w:szCs w:val="24"/>
        </w:rPr>
        <w:t>direct</w:t>
      </w:r>
      <w:r w:rsidR="00490A04">
        <w:rPr>
          <w:sz w:val="24"/>
          <w:szCs w:val="24"/>
        </w:rPr>
        <w:t xml:space="preserve"> government</w:t>
      </w:r>
      <w:r w:rsidR="00085FD0" w:rsidRPr="005D2A5A">
        <w:rPr>
          <w:sz w:val="24"/>
          <w:szCs w:val="24"/>
        </w:rPr>
        <w:t xml:space="preserve"> intervention)</w:t>
      </w:r>
      <w:r>
        <w:rPr>
          <w:sz w:val="24"/>
          <w:szCs w:val="24"/>
        </w:rPr>
        <w:t>;</w:t>
      </w:r>
      <w:r w:rsidR="00085FD0" w:rsidRPr="005D2A5A">
        <w:rPr>
          <w:sz w:val="24"/>
          <w:szCs w:val="24"/>
        </w:rPr>
        <w:t xml:space="preserve"> and</w:t>
      </w:r>
    </w:p>
    <w:p w:rsidR="005D2A5A" w:rsidRDefault="005D2A5A" w:rsidP="00E31F1B">
      <w:pPr>
        <w:pStyle w:val="ListParagraph"/>
        <w:tabs>
          <w:tab w:val="left" w:pos="2702"/>
        </w:tabs>
        <w:spacing w:line="480" w:lineRule="auto"/>
        <w:jc w:val="both"/>
        <w:rPr>
          <w:sz w:val="24"/>
          <w:szCs w:val="24"/>
        </w:rPr>
      </w:pPr>
    </w:p>
    <w:p w:rsidR="005D2A5A" w:rsidRDefault="005D2A5A" w:rsidP="00E31F1B">
      <w:pPr>
        <w:pStyle w:val="ListParagraph"/>
        <w:numPr>
          <w:ilvl w:val="0"/>
          <w:numId w:val="19"/>
        </w:numPr>
        <w:tabs>
          <w:tab w:val="left" w:pos="2702"/>
        </w:tabs>
        <w:spacing w:line="480" w:lineRule="auto"/>
        <w:jc w:val="both"/>
        <w:rPr>
          <w:sz w:val="24"/>
          <w:szCs w:val="24"/>
        </w:rPr>
      </w:pPr>
      <w:r w:rsidRPr="00C47D4D">
        <w:rPr>
          <w:sz w:val="24"/>
          <w:szCs w:val="24"/>
        </w:rPr>
        <w:t>M</w:t>
      </w:r>
      <w:r w:rsidR="00085FD0" w:rsidRPr="00C47D4D">
        <w:rPr>
          <w:sz w:val="24"/>
          <w:szCs w:val="24"/>
        </w:rPr>
        <w:t>oral hazard</w:t>
      </w:r>
      <w:r w:rsidR="00490A04" w:rsidRPr="00C47D4D">
        <w:rPr>
          <w:sz w:val="24"/>
          <w:szCs w:val="24"/>
        </w:rPr>
        <w:t xml:space="preserve"> -getting management </w:t>
      </w:r>
      <w:r w:rsidR="00C47D4D" w:rsidRPr="00C47D4D">
        <w:rPr>
          <w:sz w:val="24"/>
          <w:szCs w:val="24"/>
        </w:rPr>
        <w:t xml:space="preserve">to </w:t>
      </w:r>
      <w:r w:rsidR="00490A04" w:rsidRPr="00C47D4D">
        <w:rPr>
          <w:sz w:val="24"/>
          <w:szCs w:val="24"/>
        </w:rPr>
        <w:t>tak</w:t>
      </w:r>
      <w:r w:rsidR="00C47D4D" w:rsidRPr="00C47D4D">
        <w:rPr>
          <w:sz w:val="24"/>
          <w:szCs w:val="24"/>
        </w:rPr>
        <w:t>e</w:t>
      </w:r>
      <w:r w:rsidR="00490A04" w:rsidRPr="00C47D4D">
        <w:rPr>
          <w:sz w:val="24"/>
          <w:szCs w:val="24"/>
        </w:rPr>
        <w:t xml:space="preserve"> responsibility for the management of the bank and not </w:t>
      </w:r>
      <w:r w:rsidR="00C47D4D" w:rsidRPr="00C47D4D">
        <w:rPr>
          <w:sz w:val="24"/>
          <w:szCs w:val="24"/>
        </w:rPr>
        <w:t>place reliance on implicit support – regulation attempts to achieve this. There is also a moral hazard dimension in respect of customers in that that deposit protection reduces the ‘caveat emptor’ incentive to assess the risk of the institution that they lend to.</w:t>
      </w:r>
    </w:p>
    <w:p w:rsidR="00C47D4D" w:rsidRPr="00C47D4D" w:rsidRDefault="00C47D4D" w:rsidP="00E31F1B">
      <w:pPr>
        <w:pStyle w:val="ListParagraph"/>
        <w:tabs>
          <w:tab w:val="left" w:pos="2702"/>
        </w:tabs>
        <w:spacing w:line="480" w:lineRule="auto"/>
        <w:rPr>
          <w:sz w:val="24"/>
          <w:szCs w:val="24"/>
        </w:rPr>
      </w:pPr>
    </w:p>
    <w:p w:rsidR="00085FD0" w:rsidRPr="005D2A5A" w:rsidRDefault="00DD7808" w:rsidP="00E31F1B">
      <w:pPr>
        <w:tabs>
          <w:tab w:val="left" w:pos="2702"/>
        </w:tabs>
        <w:spacing w:line="480" w:lineRule="auto"/>
        <w:jc w:val="both"/>
        <w:rPr>
          <w:sz w:val="24"/>
          <w:szCs w:val="24"/>
        </w:rPr>
      </w:pPr>
      <w:r w:rsidRPr="005D2A5A">
        <w:rPr>
          <w:sz w:val="24"/>
          <w:szCs w:val="24"/>
        </w:rPr>
        <w:t>The</w:t>
      </w:r>
      <w:r w:rsidR="005D2A5A">
        <w:rPr>
          <w:sz w:val="24"/>
          <w:szCs w:val="24"/>
        </w:rPr>
        <w:t>se</w:t>
      </w:r>
      <w:r w:rsidRPr="005D2A5A">
        <w:rPr>
          <w:sz w:val="24"/>
          <w:szCs w:val="24"/>
        </w:rPr>
        <w:t xml:space="preserve"> two issues are linked in that m</w:t>
      </w:r>
      <w:r w:rsidR="00085FD0" w:rsidRPr="005D2A5A">
        <w:rPr>
          <w:sz w:val="24"/>
          <w:szCs w:val="24"/>
        </w:rPr>
        <w:t>oral hazard</w:t>
      </w:r>
      <w:r w:rsidR="00926E52" w:rsidRPr="005D2A5A">
        <w:rPr>
          <w:sz w:val="24"/>
          <w:szCs w:val="24"/>
        </w:rPr>
        <w:t xml:space="preserve"> is usually a consequence of support and creates an environment where individuals and firms may pay less attention to their decisions in the knowledge that there is a safety net</w:t>
      </w:r>
      <w:r w:rsidR="00281427">
        <w:rPr>
          <w:rStyle w:val="FootnoteReference"/>
          <w:sz w:val="24"/>
          <w:szCs w:val="24"/>
        </w:rPr>
        <w:footnoteReference w:id="77"/>
      </w:r>
      <w:r w:rsidR="00926E52" w:rsidRPr="005D2A5A">
        <w:rPr>
          <w:sz w:val="24"/>
          <w:szCs w:val="24"/>
        </w:rPr>
        <w:t>.</w:t>
      </w:r>
    </w:p>
    <w:p w:rsidR="00FC10F7" w:rsidRPr="00FC10F7" w:rsidRDefault="00FC10F7" w:rsidP="00E31F1B">
      <w:pPr>
        <w:tabs>
          <w:tab w:val="left" w:pos="2702"/>
        </w:tabs>
        <w:spacing w:line="480" w:lineRule="auto"/>
        <w:jc w:val="both"/>
        <w:rPr>
          <w:b/>
          <w:bCs/>
        </w:rPr>
      </w:pPr>
    </w:p>
    <w:p w:rsidR="00DE7838" w:rsidRDefault="00DE7838" w:rsidP="00E31F1B">
      <w:pPr>
        <w:pStyle w:val="Heading2"/>
        <w:tabs>
          <w:tab w:val="left" w:pos="2702"/>
        </w:tabs>
        <w:spacing w:line="480" w:lineRule="auto"/>
      </w:pPr>
      <w:bookmarkStart w:id="6" w:name="_Toc428779478"/>
      <w:r>
        <w:t>Volcker</w:t>
      </w:r>
      <w:bookmarkEnd w:id="6"/>
    </w:p>
    <w:p w:rsidR="003A03DC" w:rsidRDefault="00FC10F7" w:rsidP="00E31F1B">
      <w:pPr>
        <w:tabs>
          <w:tab w:val="left" w:pos="2702"/>
        </w:tabs>
        <w:spacing w:line="480" w:lineRule="auto"/>
        <w:jc w:val="both"/>
        <w:rPr>
          <w:sz w:val="24"/>
          <w:szCs w:val="24"/>
        </w:rPr>
      </w:pPr>
      <w:r>
        <w:rPr>
          <w:sz w:val="24"/>
          <w:szCs w:val="24"/>
        </w:rPr>
        <w:t>The Volcker Rule is named after Paul Volcker, a former Federal Reserve Chairman</w:t>
      </w:r>
      <w:r>
        <w:rPr>
          <w:rStyle w:val="FootnoteReference"/>
          <w:sz w:val="24"/>
          <w:szCs w:val="24"/>
        </w:rPr>
        <w:footnoteReference w:id="78"/>
      </w:r>
      <w:r>
        <w:rPr>
          <w:sz w:val="24"/>
          <w:szCs w:val="24"/>
        </w:rPr>
        <w:t>. Interestingly, Stiglitz</w:t>
      </w:r>
      <w:r w:rsidR="00743165">
        <w:rPr>
          <w:rStyle w:val="FootnoteReference"/>
          <w:sz w:val="24"/>
          <w:szCs w:val="24"/>
        </w:rPr>
        <w:footnoteReference w:id="79"/>
      </w:r>
      <w:r>
        <w:rPr>
          <w:sz w:val="24"/>
          <w:szCs w:val="24"/>
        </w:rPr>
        <w:t xml:space="preserve"> identifies one of the root causes of the financial crisis as the Reagan Administration’s replacement of Paul Volcker</w:t>
      </w:r>
      <w:r w:rsidR="00743165">
        <w:rPr>
          <w:sz w:val="24"/>
          <w:szCs w:val="24"/>
        </w:rPr>
        <w:t xml:space="preserve"> (pro regulation of financial markets)</w:t>
      </w:r>
      <w:r>
        <w:rPr>
          <w:sz w:val="24"/>
          <w:szCs w:val="24"/>
        </w:rPr>
        <w:t>, with Alan Gr</w:t>
      </w:r>
      <w:r w:rsidR="00743165">
        <w:rPr>
          <w:sz w:val="24"/>
          <w:szCs w:val="24"/>
        </w:rPr>
        <w:t>ee</w:t>
      </w:r>
      <w:r>
        <w:rPr>
          <w:sz w:val="24"/>
          <w:szCs w:val="24"/>
        </w:rPr>
        <w:t>nspan</w:t>
      </w:r>
      <w:r w:rsidR="00743165">
        <w:rPr>
          <w:sz w:val="24"/>
          <w:szCs w:val="24"/>
        </w:rPr>
        <w:t xml:space="preserve"> (free market proponent)</w:t>
      </w:r>
      <w:r w:rsidR="00DD7808">
        <w:rPr>
          <w:sz w:val="24"/>
          <w:szCs w:val="24"/>
        </w:rPr>
        <w:t xml:space="preserve">–the latter, </w:t>
      </w:r>
      <w:r w:rsidR="00085FD0">
        <w:rPr>
          <w:sz w:val="24"/>
          <w:szCs w:val="24"/>
        </w:rPr>
        <w:t>who appears to have presided over more than his fair share of crises</w:t>
      </w:r>
      <w:r w:rsidR="00743165">
        <w:rPr>
          <w:rStyle w:val="FootnoteReference"/>
          <w:sz w:val="24"/>
          <w:szCs w:val="24"/>
        </w:rPr>
        <w:footnoteReference w:id="80"/>
      </w:r>
      <w:r w:rsidR="005D2A5A">
        <w:rPr>
          <w:sz w:val="24"/>
          <w:szCs w:val="24"/>
        </w:rPr>
        <w:t xml:space="preserve"> during his time as Chairman of the Federal Reserve</w:t>
      </w:r>
      <w:r>
        <w:rPr>
          <w:sz w:val="24"/>
          <w:szCs w:val="24"/>
        </w:rPr>
        <w:t>.</w:t>
      </w:r>
    </w:p>
    <w:p w:rsidR="00710015" w:rsidRDefault="00710015" w:rsidP="00E31F1B">
      <w:pPr>
        <w:tabs>
          <w:tab w:val="left" w:pos="2702"/>
        </w:tabs>
        <w:spacing w:line="480" w:lineRule="auto"/>
        <w:jc w:val="both"/>
        <w:rPr>
          <w:sz w:val="24"/>
          <w:szCs w:val="24"/>
        </w:rPr>
      </w:pPr>
    </w:p>
    <w:p w:rsidR="00710015" w:rsidRDefault="00710015" w:rsidP="00E31F1B">
      <w:pPr>
        <w:tabs>
          <w:tab w:val="left" w:pos="2702"/>
        </w:tabs>
        <w:spacing w:line="480" w:lineRule="auto"/>
        <w:jc w:val="both"/>
        <w:rPr>
          <w:sz w:val="24"/>
          <w:szCs w:val="24"/>
        </w:rPr>
      </w:pPr>
      <w:r>
        <w:rPr>
          <w:sz w:val="24"/>
          <w:szCs w:val="24"/>
        </w:rPr>
        <w:t xml:space="preserve">The Volcker Rule </w:t>
      </w:r>
      <w:r w:rsidR="005D2A5A">
        <w:rPr>
          <w:sz w:val="24"/>
          <w:szCs w:val="24"/>
        </w:rPr>
        <w:t>forbids proprietary trading by banks. It was originally intended to also prohibit engaging in hedge fund activity and private equity, however, in a testament to the power of the financial services industry’s lobbying it has been watered down and now allows for some limited hedge fund and private equity activity.</w:t>
      </w:r>
      <w:r w:rsidR="004177D5">
        <w:rPr>
          <w:sz w:val="24"/>
          <w:szCs w:val="24"/>
        </w:rPr>
        <w:t xml:space="preserve"> </w:t>
      </w:r>
      <w:r w:rsidR="005D2A5A">
        <w:rPr>
          <w:sz w:val="24"/>
          <w:szCs w:val="24"/>
        </w:rPr>
        <w:t>The rule has been implemented along with the other Dodd-Frank reforms</w:t>
      </w:r>
      <w:r w:rsidR="005D2A5A">
        <w:rPr>
          <w:rStyle w:val="FootnoteReference"/>
          <w:sz w:val="24"/>
          <w:szCs w:val="24"/>
        </w:rPr>
        <w:footnoteReference w:id="81"/>
      </w:r>
      <w:r w:rsidR="005D2A5A">
        <w:rPr>
          <w:sz w:val="24"/>
          <w:szCs w:val="24"/>
        </w:rPr>
        <w:t xml:space="preserve">.  </w:t>
      </w:r>
    </w:p>
    <w:p w:rsidR="005D2A5A" w:rsidRDefault="005D2A5A" w:rsidP="00E31F1B">
      <w:pPr>
        <w:tabs>
          <w:tab w:val="left" w:pos="2702"/>
        </w:tabs>
        <w:spacing w:line="480" w:lineRule="auto"/>
        <w:jc w:val="both"/>
        <w:rPr>
          <w:sz w:val="24"/>
          <w:szCs w:val="24"/>
        </w:rPr>
      </w:pPr>
    </w:p>
    <w:p w:rsidR="005D2A5A" w:rsidRDefault="005D2A5A" w:rsidP="00E31F1B">
      <w:pPr>
        <w:tabs>
          <w:tab w:val="left" w:pos="2702"/>
        </w:tabs>
        <w:spacing w:line="480" w:lineRule="auto"/>
        <w:jc w:val="both"/>
        <w:rPr>
          <w:sz w:val="24"/>
          <w:szCs w:val="24"/>
        </w:rPr>
      </w:pPr>
      <w:r>
        <w:rPr>
          <w:sz w:val="24"/>
          <w:szCs w:val="24"/>
        </w:rPr>
        <w:t>Vickers acknowledges that the ICB recommendations were influenced by Volcker but came to the view that a different approach was required for the UK</w:t>
      </w:r>
      <w:r w:rsidR="00A22994">
        <w:rPr>
          <w:sz w:val="24"/>
          <w:szCs w:val="24"/>
        </w:rPr>
        <w:t xml:space="preserve"> due to the difficulty in distinguishing between marke</w:t>
      </w:r>
      <w:r w:rsidR="00D3738A">
        <w:rPr>
          <w:sz w:val="24"/>
          <w:szCs w:val="24"/>
        </w:rPr>
        <w:t>t</w:t>
      </w:r>
      <w:r w:rsidR="00A22994">
        <w:rPr>
          <w:sz w:val="24"/>
          <w:szCs w:val="24"/>
        </w:rPr>
        <w:t>-making on behalf of customers and proprietary trading</w:t>
      </w:r>
      <w:r w:rsidR="00D3738A">
        <w:rPr>
          <w:sz w:val="24"/>
          <w:szCs w:val="24"/>
        </w:rPr>
        <w:t>. The ICB</w:t>
      </w:r>
      <w:r w:rsidR="00A22994">
        <w:rPr>
          <w:sz w:val="24"/>
          <w:szCs w:val="24"/>
        </w:rPr>
        <w:t xml:space="preserve"> believe</w:t>
      </w:r>
      <w:r w:rsidR="00D3738A">
        <w:rPr>
          <w:sz w:val="24"/>
          <w:szCs w:val="24"/>
        </w:rPr>
        <w:t>d</w:t>
      </w:r>
      <w:r w:rsidR="00A22994">
        <w:rPr>
          <w:sz w:val="24"/>
          <w:szCs w:val="24"/>
        </w:rPr>
        <w:t xml:space="preserve"> that there </w:t>
      </w:r>
      <w:r w:rsidR="00D3738A">
        <w:rPr>
          <w:sz w:val="24"/>
          <w:szCs w:val="24"/>
        </w:rPr>
        <w:t>wa</w:t>
      </w:r>
      <w:r w:rsidR="00A22994">
        <w:rPr>
          <w:sz w:val="24"/>
          <w:szCs w:val="24"/>
        </w:rPr>
        <w:t>s wider variety of trading activity in the UK which core retail activities should be protected from, did not want to ban proprietary trading activity in all subsidiaries in a group, and that the UK environment is different to the US</w:t>
      </w:r>
      <w:r w:rsidR="00A22994">
        <w:rPr>
          <w:rStyle w:val="FootnoteReference"/>
          <w:sz w:val="24"/>
          <w:szCs w:val="24"/>
        </w:rPr>
        <w:footnoteReference w:id="82"/>
      </w:r>
      <w:r w:rsidR="00A22994">
        <w:rPr>
          <w:sz w:val="24"/>
          <w:szCs w:val="24"/>
        </w:rPr>
        <w:t xml:space="preserve">.   </w:t>
      </w:r>
    </w:p>
    <w:p w:rsidR="00A22994" w:rsidRDefault="00A22994" w:rsidP="00E31F1B">
      <w:pPr>
        <w:tabs>
          <w:tab w:val="left" w:pos="2702"/>
        </w:tabs>
        <w:spacing w:line="480" w:lineRule="auto"/>
        <w:jc w:val="both"/>
        <w:rPr>
          <w:sz w:val="24"/>
          <w:szCs w:val="24"/>
        </w:rPr>
      </w:pPr>
    </w:p>
    <w:p w:rsidR="00A22994" w:rsidRPr="003A03DC" w:rsidRDefault="00A22994" w:rsidP="00E31F1B">
      <w:pPr>
        <w:tabs>
          <w:tab w:val="left" w:pos="2702"/>
        </w:tabs>
        <w:spacing w:line="480" w:lineRule="auto"/>
        <w:rPr>
          <w:sz w:val="24"/>
          <w:szCs w:val="24"/>
        </w:rPr>
      </w:pPr>
    </w:p>
    <w:p w:rsidR="00DE7838" w:rsidRDefault="00DE7838" w:rsidP="00E31F1B">
      <w:pPr>
        <w:pStyle w:val="Heading2"/>
        <w:tabs>
          <w:tab w:val="left" w:pos="2702"/>
        </w:tabs>
        <w:spacing w:line="480" w:lineRule="auto"/>
      </w:pPr>
      <w:bookmarkStart w:id="7" w:name="_Toc428779479"/>
      <w:r>
        <w:t>Likkanen</w:t>
      </w:r>
      <w:bookmarkEnd w:id="7"/>
    </w:p>
    <w:p w:rsidR="003A03DC" w:rsidRDefault="0091353A" w:rsidP="00E31F1B">
      <w:pPr>
        <w:tabs>
          <w:tab w:val="left" w:pos="2702"/>
        </w:tabs>
        <w:spacing w:line="480" w:lineRule="auto"/>
        <w:jc w:val="both"/>
        <w:rPr>
          <w:sz w:val="24"/>
          <w:szCs w:val="24"/>
        </w:rPr>
      </w:pPr>
      <w:r>
        <w:rPr>
          <w:sz w:val="24"/>
          <w:szCs w:val="24"/>
        </w:rPr>
        <w:t>With in excess of eight thousand banks in the European Union (EU), including some of the largest universal banks in the world, for example, Germany’s Deutsche Bank, France’s Societe Generale, and the UK’s Barclays, it is not surprising that the EU should also be concerned wit</w:t>
      </w:r>
      <w:r w:rsidR="00DD7808">
        <w:rPr>
          <w:sz w:val="24"/>
          <w:szCs w:val="24"/>
        </w:rPr>
        <w:t>h</w:t>
      </w:r>
      <w:r>
        <w:rPr>
          <w:sz w:val="24"/>
          <w:szCs w:val="24"/>
        </w:rPr>
        <w:t xml:space="preserve"> the stability of the banking system.</w:t>
      </w:r>
    </w:p>
    <w:p w:rsidR="0091353A" w:rsidRDefault="0091353A" w:rsidP="00E31F1B">
      <w:pPr>
        <w:tabs>
          <w:tab w:val="left" w:pos="2702"/>
        </w:tabs>
        <w:spacing w:line="480" w:lineRule="auto"/>
        <w:rPr>
          <w:sz w:val="24"/>
          <w:szCs w:val="24"/>
        </w:rPr>
      </w:pPr>
    </w:p>
    <w:p w:rsidR="0091353A" w:rsidRDefault="0091353A" w:rsidP="00E31F1B">
      <w:pPr>
        <w:tabs>
          <w:tab w:val="left" w:pos="2702"/>
        </w:tabs>
        <w:spacing w:line="480" w:lineRule="auto"/>
        <w:jc w:val="both"/>
        <w:rPr>
          <w:sz w:val="24"/>
          <w:szCs w:val="24"/>
        </w:rPr>
      </w:pPr>
      <w:r>
        <w:rPr>
          <w:sz w:val="24"/>
          <w:szCs w:val="24"/>
        </w:rPr>
        <w:lastRenderedPageBreak/>
        <w:t>A High Level Expert Group (HLEG)</w:t>
      </w:r>
      <w:r w:rsidR="00C40748">
        <w:rPr>
          <w:rStyle w:val="FootnoteReference"/>
          <w:sz w:val="24"/>
          <w:szCs w:val="24"/>
        </w:rPr>
        <w:footnoteReference w:id="83"/>
      </w:r>
      <w:r>
        <w:rPr>
          <w:sz w:val="24"/>
          <w:szCs w:val="24"/>
        </w:rPr>
        <w:t xml:space="preserve"> led by Erkki Liikanen (and known as the Liikanen Group) also recommended the separation of high risk trading activity from banking similar to the recommendations of the Vickers Commissions. The Group had UK representation in the form of Carol Sergeant, a former FSA Managing Director and the former Chief Risk Officer of Lloyds TSB.</w:t>
      </w:r>
    </w:p>
    <w:p w:rsidR="0091353A" w:rsidRDefault="0091353A" w:rsidP="00E31F1B">
      <w:pPr>
        <w:tabs>
          <w:tab w:val="left" w:pos="2702"/>
        </w:tabs>
        <w:spacing w:line="480" w:lineRule="auto"/>
        <w:jc w:val="both"/>
        <w:rPr>
          <w:sz w:val="24"/>
          <w:szCs w:val="24"/>
        </w:rPr>
      </w:pPr>
    </w:p>
    <w:p w:rsidR="00C40748" w:rsidRDefault="0091353A" w:rsidP="00E31F1B">
      <w:pPr>
        <w:tabs>
          <w:tab w:val="left" w:pos="2702"/>
        </w:tabs>
        <w:spacing w:line="480" w:lineRule="auto"/>
        <w:jc w:val="both"/>
        <w:rPr>
          <w:sz w:val="24"/>
          <w:szCs w:val="24"/>
        </w:rPr>
      </w:pPr>
      <w:r>
        <w:rPr>
          <w:sz w:val="24"/>
          <w:szCs w:val="24"/>
        </w:rPr>
        <w:t>Whilst acknowledging that the EU (and global) regulatory reform</w:t>
      </w:r>
      <w:r w:rsidR="00C40748">
        <w:rPr>
          <w:sz w:val="24"/>
          <w:szCs w:val="24"/>
        </w:rPr>
        <w:t xml:space="preserve"> activity will make a significant contribution to improving the resilience of the financial sector, the Liikanen Group was concerned that there was a small group of banks in the EU that remain:</w:t>
      </w:r>
    </w:p>
    <w:p w:rsidR="00C40748" w:rsidRDefault="00C40748" w:rsidP="00E31F1B">
      <w:pPr>
        <w:tabs>
          <w:tab w:val="left" w:pos="2702"/>
        </w:tabs>
        <w:spacing w:line="480" w:lineRule="auto"/>
        <w:jc w:val="both"/>
        <w:rPr>
          <w:sz w:val="24"/>
          <w:szCs w:val="24"/>
        </w:rPr>
      </w:pPr>
    </w:p>
    <w:p w:rsidR="0091353A" w:rsidRDefault="00C40748" w:rsidP="00E31F1B">
      <w:pPr>
        <w:tabs>
          <w:tab w:val="left" w:pos="2702"/>
        </w:tabs>
        <w:spacing w:line="480" w:lineRule="auto"/>
        <w:ind w:left="720"/>
        <w:jc w:val="both"/>
        <w:rPr>
          <w:sz w:val="24"/>
          <w:szCs w:val="24"/>
        </w:rPr>
      </w:pPr>
      <w:r>
        <w:rPr>
          <w:sz w:val="24"/>
          <w:szCs w:val="24"/>
        </w:rPr>
        <w:t>“</w:t>
      </w:r>
      <w:r w:rsidRPr="00C40748">
        <w:rPr>
          <w:i/>
          <w:sz w:val="24"/>
          <w:szCs w:val="24"/>
        </w:rPr>
        <w:t>too-big-to-fail, too-big-to-save, and too complex to manage, supervise and resolve</w:t>
      </w:r>
      <w:r>
        <w:rPr>
          <w:sz w:val="24"/>
          <w:szCs w:val="24"/>
        </w:rPr>
        <w:t>”</w:t>
      </w:r>
      <w:r>
        <w:rPr>
          <w:rStyle w:val="FootnoteReference"/>
          <w:sz w:val="24"/>
          <w:szCs w:val="24"/>
        </w:rPr>
        <w:footnoteReference w:id="84"/>
      </w:r>
    </w:p>
    <w:p w:rsidR="003A03DC" w:rsidRPr="003A03DC" w:rsidRDefault="003A03DC" w:rsidP="00E31F1B">
      <w:pPr>
        <w:tabs>
          <w:tab w:val="left" w:pos="2702"/>
        </w:tabs>
        <w:spacing w:line="480" w:lineRule="auto"/>
      </w:pPr>
    </w:p>
    <w:p w:rsidR="00DE7838" w:rsidRDefault="00C40748" w:rsidP="00E31F1B">
      <w:pPr>
        <w:tabs>
          <w:tab w:val="left" w:pos="2702"/>
        </w:tabs>
        <w:spacing w:line="480" w:lineRule="auto"/>
        <w:rPr>
          <w:sz w:val="24"/>
          <w:szCs w:val="24"/>
        </w:rPr>
      </w:pPr>
      <w:r w:rsidRPr="00C40748">
        <w:rPr>
          <w:sz w:val="24"/>
          <w:szCs w:val="24"/>
        </w:rPr>
        <w:t>The Liikanen Group noted that there were two ways to achieve separation</w:t>
      </w:r>
      <w:r w:rsidR="00D3738A">
        <w:rPr>
          <w:sz w:val="24"/>
          <w:szCs w:val="24"/>
        </w:rPr>
        <w:t xml:space="preserve"> to help resolve these issues</w:t>
      </w:r>
      <w:r>
        <w:rPr>
          <w:sz w:val="24"/>
          <w:szCs w:val="24"/>
        </w:rPr>
        <w:t>:</w:t>
      </w:r>
    </w:p>
    <w:p w:rsidR="00C40748" w:rsidRDefault="00C40748" w:rsidP="00E31F1B">
      <w:pPr>
        <w:tabs>
          <w:tab w:val="left" w:pos="2702"/>
        </w:tabs>
        <w:spacing w:line="480" w:lineRule="auto"/>
        <w:rPr>
          <w:sz w:val="24"/>
          <w:szCs w:val="24"/>
        </w:rPr>
      </w:pPr>
    </w:p>
    <w:p w:rsidR="00C40748" w:rsidRDefault="00C40748" w:rsidP="00E31F1B">
      <w:pPr>
        <w:numPr>
          <w:ilvl w:val="0"/>
          <w:numId w:val="8"/>
        </w:numPr>
        <w:tabs>
          <w:tab w:val="left" w:pos="2702"/>
        </w:tabs>
        <w:spacing w:line="480" w:lineRule="auto"/>
        <w:rPr>
          <w:sz w:val="24"/>
          <w:szCs w:val="24"/>
        </w:rPr>
      </w:pPr>
      <w:r>
        <w:rPr>
          <w:sz w:val="24"/>
          <w:szCs w:val="24"/>
        </w:rPr>
        <w:t>separate proprietary trading from the remaining banking operations; or</w:t>
      </w:r>
    </w:p>
    <w:p w:rsidR="00C40748" w:rsidRDefault="00C40748" w:rsidP="00E31F1B">
      <w:pPr>
        <w:numPr>
          <w:ilvl w:val="0"/>
          <w:numId w:val="8"/>
        </w:numPr>
        <w:tabs>
          <w:tab w:val="left" w:pos="2702"/>
        </w:tabs>
        <w:spacing w:line="480" w:lineRule="auto"/>
        <w:rPr>
          <w:sz w:val="24"/>
          <w:szCs w:val="24"/>
        </w:rPr>
      </w:pPr>
      <w:r>
        <w:rPr>
          <w:sz w:val="24"/>
          <w:szCs w:val="24"/>
        </w:rPr>
        <w:t>ring-fence core retail banking.</w:t>
      </w:r>
    </w:p>
    <w:p w:rsidR="00C40748" w:rsidRDefault="00C40748" w:rsidP="00E31F1B">
      <w:pPr>
        <w:tabs>
          <w:tab w:val="left" w:pos="2702"/>
        </w:tabs>
        <w:spacing w:line="480" w:lineRule="auto"/>
        <w:rPr>
          <w:sz w:val="24"/>
          <w:szCs w:val="24"/>
        </w:rPr>
      </w:pPr>
    </w:p>
    <w:p w:rsidR="00C40748" w:rsidRPr="00C40748" w:rsidRDefault="00C40748" w:rsidP="00E31F1B">
      <w:pPr>
        <w:tabs>
          <w:tab w:val="left" w:pos="2702"/>
        </w:tabs>
        <w:spacing w:line="480" w:lineRule="auto"/>
        <w:jc w:val="both"/>
        <w:rPr>
          <w:sz w:val="24"/>
          <w:szCs w:val="24"/>
        </w:rPr>
      </w:pPr>
      <w:r>
        <w:rPr>
          <w:sz w:val="24"/>
          <w:szCs w:val="24"/>
        </w:rPr>
        <w:t>The latter option is important in a UK context as it in effect means that the RFB proposal being implemented in the UK will benefit from a ‘carve-out’ in respect of the EU reforms</w:t>
      </w:r>
      <w:r>
        <w:rPr>
          <w:rStyle w:val="FootnoteReference"/>
          <w:sz w:val="24"/>
          <w:szCs w:val="24"/>
        </w:rPr>
        <w:footnoteReference w:id="85"/>
      </w:r>
      <w:r>
        <w:rPr>
          <w:sz w:val="24"/>
          <w:szCs w:val="24"/>
        </w:rPr>
        <w:t xml:space="preserve">. As a result </w:t>
      </w:r>
      <w:r>
        <w:rPr>
          <w:sz w:val="24"/>
          <w:szCs w:val="24"/>
        </w:rPr>
        <w:lastRenderedPageBreak/>
        <w:t xml:space="preserve">the </w:t>
      </w:r>
      <w:r w:rsidR="003D5EF2">
        <w:rPr>
          <w:sz w:val="24"/>
          <w:szCs w:val="24"/>
        </w:rPr>
        <w:t>RFB provisions will make the UK compliant with Liikanen</w:t>
      </w:r>
      <w:r w:rsidR="00961123">
        <w:rPr>
          <w:sz w:val="24"/>
          <w:szCs w:val="24"/>
        </w:rPr>
        <w:t xml:space="preserve">, and the </w:t>
      </w:r>
      <w:r w:rsidR="00D3738A">
        <w:rPr>
          <w:sz w:val="24"/>
          <w:szCs w:val="24"/>
        </w:rPr>
        <w:t>subsequent</w:t>
      </w:r>
      <w:r w:rsidR="00961123">
        <w:rPr>
          <w:sz w:val="24"/>
          <w:szCs w:val="24"/>
        </w:rPr>
        <w:t xml:space="preserve"> Regulation that </w:t>
      </w:r>
      <w:r w:rsidR="00D3738A">
        <w:rPr>
          <w:sz w:val="24"/>
          <w:szCs w:val="24"/>
        </w:rPr>
        <w:t xml:space="preserve">will </w:t>
      </w:r>
      <w:r w:rsidR="00961123">
        <w:rPr>
          <w:sz w:val="24"/>
          <w:szCs w:val="24"/>
        </w:rPr>
        <w:t>implement the HLEG recommendations</w:t>
      </w:r>
      <w:r w:rsidR="00961123">
        <w:rPr>
          <w:rStyle w:val="FootnoteReference"/>
          <w:sz w:val="24"/>
          <w:szCs w:val="24"/>
        </w:rPr>
        <w:footnoteReference w:id="86"/>
      </w:r>
      <w:r w:rsidR="003D5EF2">
        <w:rPr>
          <w:sz w:val="24"/>
          <w:szCs w:val="24"/>
        </w:rPr>
        <w:t xml:space="preserve">. </w:t>
      </w:r>
    </w:p>
    <w:p w:rsidR="00C40748" w:rsidRDefault="00C40748" w:rsidP="00E31F1B">
      <w:pPr>
        <w:tabs>
          <w:tab w:val="left" w:pos="2702"/>
        </w:tabs>
        <w:spacing w:line="480" w:lineRule="auto"/>
      </w:pPr>
    </w:p>
    <w:p w:rsidR="00DE7838" w:rsidRDefault="00DE7838" w:rsidP="00E31F1B">
      <w:pPr>
        <w:pStyle w:val="Heading1"/>
        <w:tabs>
          <w:tab w:val="left" w:pos="2702"/>
        </w:tabs>
        <w:spacing w:line="480" w:lineRule="auto"/>
        <w:jc w:val="left"/>
      </w:pPr>
      <w:bookmarkStart w:id="8" w:name="_Toc428779480"/>
      <w:r>
        <w:t>The Independent Commission on Banking</w:t>
      </w:r>
      <w:bookmarkEnd w:id="8"/>
    </w:p>
    <w:p w:rsidR="004270D2" w:rsidRDefault="00E40A28" w:rsidP="00E31F1B">
      <w:pPr>
        <w:tabs>
          <w:tab w:val="left" w:pos="2702"/>
        </w:tabs>
        <w:spacing w:line="480" w:lineRule="auto"/>
        <w:jc w:val="both"/>
        <w:rPr>
          <w:sz w:val="24"/>
          <w:szCs w:val="24"/>
        </w:rPr>
      </w:pPr>
      <w:r w:rsidRPr="00754C5B">
        <w:rPr>
          <w:sz w:val="24"/>
          <w:szCs w:val="24"/>
        </w:rPr>
        <w:t>Following the 2007-08 crisis the go</w:t>
      </w:r>
      <w:r w:rsidR="00754C5B" w:rsidRPr="00754C5B">
        <w:rPr>
          <w:sz w:val="24"/>
          <w:szCs w:val="24"/>
        </w:rPr>
        <w:t xml:space="preserve">vernment </w:t>
      </w:r>
      <w:r w:rsidRPr="00754C5B">
        <w:rPr>
          <w:sz w:val="24"/>
          <w:szCs w:val="24"/>
        </w:rPr>
        <w:t xml:space="preserve">commenced an inquiry </w:t>
      </w:r>
      <w:r w:rsidR="00754C5B">
        <w:rPr>
          <w:sz w:val="24"/>
          <w:szCs w:val="24"/>
        </w:rPr>
        <w:t xml:space="preserve">to </w:t>
      </w:r>
      <w:r w:rsidRPr="00754C5B">
        <w:rPr>
          <w:sz w:val="24"/>
          <w:szCs w:val="24"/>
        </w:rPr>
        <w:t>look into</w:t>
      </w:r>
      <w:r w:rsidR="00754C5B">
        <w:rPr>
          <w:sz w:val="24"/>
          <w:szCs w:val="24"/>
        </w:rPr>
        <w:t xml:space="preserve"> structural and non-structural reform, with a primary view to promote financial stability and improve competition in the banking sector. To do this it established the Independent Commission on Banking (ICB), chaired by Sir John Vickers, and now commonly know</w:t>
      </w:r>
      <w:r w:rsidR="00340B3A">
        <w:rPr>
          <w:sz w:val="24"/>
          <w:szCs w:val="24"/>
        </w:rPr>
        <w:t>n</w:t>
      </w:r>
      <w:r w:rsidR="00754C5B">
        <w:rPr>
          <w:sz w:val="24"/>
          <w:szCs w:val="24"/>
        </w:rPr>
        <w:t xml:space="preserve"> as the Vickers </w:t>
      </w:r>
      <w:r w:rsidR="00D3738A">
        <w:rPr>
          <w:sz w:val="24"/>
          <w:szCs w:val="24"/>
        </w:rPr>
        <w:t xml:space="preserve">Committee and / or Vickers </w:t>
      </w:r>
      <w:r w:rsidR="00754C5B">
        <w:rPr>
          <w:sz w:val="24"/>
          <w:szCs w:val="24"/>
        </w:rPr>
        <w:t>reforms. The ICB was established in June 2010 with terms of reference</w:t>
      </w:r>
      <w:r w:rsidR="00754C5B">
        <w:rPr>
          <w:rStyle w:val="FootnoteReference"/>
          <w:sz w:val="24"/>
          <w:szCs w:val="24"/>
        </w:rPr>
        <w:footnoteReference w:id="87"/>
      </w:r>
      <w:r w:rsidR="00754C5B">
        <w:rPr>
          <w:sz w:val="24"/>
          <w:szCs w:val="24"/>
        </w:rPr>
        <w:t>,</w:t>
      </w:r>
      <w:r w:rsidR="00961123">
        <w:rPr>
          <w:sz w:val="24"/>
          <w:szCs w:val="24"/>
        </w:rPr>
        <w:t xml:space="preserve"> that required </w:t>
      </w:r>
      <w:r w:rsidR="004270D2">
        <w:rPr>
          <w:sz w:val="24"/>
          <w:szCs w:val="24"/>
        </w:rPr>
        <w:t>it to formulate policy recommendations with a view to:</w:t>
      </w:r>
    </w:p>
    <w:p w:rsidR="004270D2" w:rsidRPr="00AB5B36" w:rsidRDefault="00D3738A" w:rsidP="00AB5B36">
      <w:pPr>
        <w:numPr>
          <w:ilvl w:val="0"/>
          <w:numId w:val="18"/>
        </w:numPr>
        <w:tabs>
          <w:tab w:val="left" w:pos="2702"/>
        </w:tabs>
        <w:overflowPunct/>
        <w:autoSpaceDE/>
        <w:autoSpaceDN/>
        <w:adjustRightInd/>
        <w:spacing w:before="100" w:beforeAutospacing="1" w:after="100" w:afterAutospacing="1"/>
        <w:ind w:left="714" w:hanging="357"/>
        <w:textAlignment w:val="auto"/>
        <w:rPr>
          <w:i/>
          <w:sz w:val="24"/>
          <w:szCs w:val="24"/>
          <w:lang w:eastAsia="en-GB"/>
        </w:rPr>
      </w:pPr>
      <w:r>
        <w:rPr>
          <w:sz w:val="24"/>
          <w:szCs w:val="24"/>
          <w:lang w:eastAsia="en-GB"/>
        </w:rPr>
        <w:t>“</w:t>
      </w:r>
      <w:r w:rsidR="004270D2" w:rsidRPr="00AB5B36">
        <w:rPr>
          <w:i/>
          <w:sz w:val="24"/>
          <w:szCs w:val="24"/>
          <w:lang w:eastAsia="en-GB"/>
        </w:rPr>
        <w:t>reducing systemic risk in the banking sector, exploring the risk posed by banks of different size, scale and function;</w:t>
      </w:r>
    </w:p>
    <w:p w:rsidR="00961123" w:rsidRPr="00AB5B36" w:rsidRDefault="004270D2" w:rsidP="00AB5B36">
      <w:pPr>
        <w:numPr>
          <w:ilvl w:val="0"/>
          <w:numId w:val="18"/>
        </w:numPr>
        <w:tabs>
          <w:tab w:val="left" w:pos="2702"/>
        </w:tabs>
        <w:overflowPunct/>
        <w:autoSpaceDE/>
        <w:autoSpaceDN/>
        <w:adjustRightInd/>
        <w:spacing w:before="100" w:beforeAutospacing="1" w:after="100" w:afterAutospacing="1"/>
        <w:ind w:left="714" w:hanging="357"/>
        <w:textAlignment w:val="auto"/>
        <w:rPr>
          <w:i/>
          <w:sz w:val="24"/>
          <w:szCs w:val="24"/>
          <w:lang w:eastAsia="en-GB"/>
        </w:rPr>
      </w:pPr>
      <w:r w:rsidRPr="00AB5B36">
        <w:rPr>
          <w:i/>
          <w:sz w:val="24"/>
          <w:szCs w:val="24"/>
          <w:lang w:eastAsia="en-GB"/>
        </w:rPr>
        <w:t>mitigating moral hazard in the banking system;</w:t>
      </w:r>
    </w:p>
    <w:p w:rsidR="004270D2" w:rsidRPr="00AB5B36" w:rsidRDefault="004270D2" w:rsidP="00AB5B36">
      <w:pPr>
        <w:numPr>
          <w:ilvl w:val="0"/>
          <w:numId w:val="18"/>
        </w:numPr>
        <w:tabs>
          <w:tab w:val="left" w:pos="2702"/>
        </w:tabs>
        <w:overflowPunct/>
        <w:autoSpaceDE/>
        <w:autoSpaceDN/>
        <w:adjustRightInd/>
        <w:spacing w:before="100" w:beforeAutospacing="1" w:after="100" w:afterAutospacing="1"/>
        <w:ind w:left="714" w:hanging="357"/>
        <w:textAlignment w:val="auto"/>
        <w:rPr>
          <w:i/>
          <w:sz w:val="24"/>
          <w:szCs w:val="24"/>
          <w:lang w:eastAsia="en-GB"/>
        </w:rPr>
      </w:pPr>
      <w:r w:rsidRPr="00AB5B36">
        <w:rPr>
          <w:i/>
          <w:sz w:val="24"/>
          <w:szCs w:val="24"/>
          <w:lang w:eastAsia="en-GB"/>
        </w:rPr>
        <w:t>reducing both the likelihood and the impact of firm failure; and</w:t>
      </w:r>
    </w:p>
    <w:p w:rsidR="004270D2" w:rsidRPr="004270D2" w:rsidRDefault="004270D2" w:rsidP="00AB5B36">
      <w:pPr>
        <w:numPr>
          <w:ilvl w:val="0"/>
          <w:numId w:val="18"/>
        </w:numPr>
        <w:tabs>
          <w:tab w:val="left" w:pos="2702"/>
        </w:tabs>
        <w:overflowPunct/>
        <w:autoSpaceDE/>
        <w:autoSpaceDN/>
        <w:adjustRightInd/>
        <w:spacing w:before="100" w:beforeAutospacing="1" w:after="100" w:afterAutospacing="1"/>
        <w:ind w:left="714" w:hanging="357"/>
        <w:textAlignment w:val="auto"/>
        <w:rPr>
          <w:sz w:val="24"/>
          <w:szCs w:val="24"/>
          <w:lang w:eastAsia="en-GB"/>
        </w:rPr>
      </w:pPr>
      <w:r w:rsidRPr="00AB5B36">
        <w:rPr>
          <w:i/>
          <w:sz w:val="24"/>
          <w:szCs w:val="24"/>
          <w:lang w:eastAsia="en-GB"/>
        </w:rPr>
        <w:t>promoting competition in both retail and investment banking with a view to ensuring that the needs of banks’ customers and clients are efficiently served, and in particular considering the extent to which large banks gain competitive advantage from being perceived as too big to fail.</w:t>
      </w:r>
      <w:r w:rsidR="00D3738A" w:rsidRPr="00AB5B36">
        <w:rPr>
          <w:i/>
          <w:sz w:val="24"/>
          <w:szCs w:val="24"/>
          <w:lang w:eastAsia="en-GB"/>
        </w:rPr>
        <w:t>”</w:t>
      </w:r>
    </w:p>
    <w:p w:rsidR="00286E57" w:rsidRDefault="00286E57" w:rsidP="00E31F1B">
      <w:pPr>
        <w:tabs>
          <w:tab w:val="left" w:pos="2702"/>
        </w:tabs>
        <w:spacing w:line="480" w:lineRule="auto"/>
        <w:jc w:val="both"/>
        <w:rPr>
          <w:sz w:val="24"/>
          <w:szCs w:val="24"/>
        </w:rPr>
      </w:pPr>
    </w:p>
    <w:p w:rsidR="00A116C6" w:rsidRDefault="00A116C6" w:rsidP="00E31F1B">
      <w:pPr>
        <w:tabs>
          <w:tab w:val="left" w:pos="2702"/>
        </w:tabs>
        <w:spacing w:line="480" w:lineRule="auto"/>
        <w:jc w:val="both"/>
        <w:rPr>
          <w:sz w:val="24"/>
          <w:szCs w:val="24"/>
        </w:rPr>
      </w:pPr>
      <w:r>
        <w:rPr>
          <w:sz w:val="24"/>
          <w:szCs w:val="24"/>
        </w:rPr>
        <w:t>The approach of the ICB, in line with its predominantly prudentially focussed mandate</w:t>
      </w:r>
      <w:r w:rsidR="00433A5F">
        <w:rPr>
          <w:sz w:val="24"/>
          <w:szCs w:val="24"/>
        </w:rPr>
        <w:t>,</w:t>
      </w:r>
      <w:r>
        <w:rPr>
          <w:sz w:val="24"/>
          <w:szCs w:val="24"/>
        </w:rPr>
        <w:t xml:space="preserve"> look</w:t>
      </w:r>
      <w:r w:rsidR="00433A5F">
        <w:rPr>
          <w:sz w:val="24"/>
          <w:szCs w:val="24"/>
        </w:rPr>
        <w:t>ed</w:t>
      </w:r>
      <w:r w:rsidR="004177D5">
        <w:rPr>
          <w:sz w:val="24"/>
          <w:szCs w:val="24"/>
        </w:rPr>
        <w:t xml:space="preserve"> </w:t>
      </w:r>
      <w:r w:rsidR="008B42F6">
        <w:rPr>
          <w:sz w:val="24"/>
          <w:szCs w:val="24"/>
        </w:rPr>
        <w:t xml:space="preserve">mainly </w:t>
      </w:r>
      <w:r>
        <w:rPr>
          <w:sz w:val="24"/>
          <w:szCs w:val="24"/>
        </w:rPr>
        <w:t>at the too big to fail problem</w:t>
      </w:r>
      <w:r>
        <w:rPr>
          <w:rStyle w:val="FootnoteReference"/>
          <w:sz w:val="24"/>
          <w:szCs w:val="24"/>
        </w:rPr>
        <w:footnoteReference w:id="88"/>
      </w:r>
      <w:r w:rsidR="008B42F6">
        <w:rPr>
          <w:sz w:val="24"/>
          <w:szCs w:val="24"/>
        </w:rPr>
        <w:t>. The ICB produced its final report and recommendations in September 2011</w:t>
      </w:r>
      <w:r w:rsidR="008B42F6">
        <w:rPr>
          <w:rStyle w:val="FootnoteReference"/>
          <w:sz w:val="24"/>
          <w:szCs w:val="24"/>
        </w:rPr>
        <w:footnoteReference w:id="89"/>
      </w:r>
      <w:r w:rsidR="008B42F6">
        <w:rPr>
          <w:sz w:val="24"/>
          <w:szCs w:val="24"/>
        </w:rPr>
        <w:t xml:space="preserve">, and focussed on three things: (1) the retail ring-fence; (2) loss-absorbency; and (3) competition. The ICB’s </w:t>
      </w:r>
      <w:r w:rsidR="00433A5F">
        <w:rPr>
          <w:sz w:val="24"/>
          <w:szCs w:val="24"/>
        </w:rPr>
        <w:t>recommendation</w:t>
      </w:r>
      <w:r w:rsidR="008B42F6">
        <w:rPr>
          <w:sz w:val="24"/>
          <w:szCs w:val="24"/>
        </w:rPr>
        <w:t xml:space="preserve"> on Primary Loss Absorbing Capacity </w:t>
      </w:r>
      <w:r w:rsidR="00433A5F">
        <w:rPr>
          <w:sz w:val="24"/>
          <w:szCs w:val="24"/>
        </w:rPr>
        <w:t xml:space="preserve">(PLAC) </w:t>
      </w:r>
      <w:r w:rsidR="00433A5F">
        <w:rPr>
          <w:sz w:val="24"/>
          <w:szCs w:val="24"/>
        </w:rPr>
        <w:lastRenderedPageBreak/>
        <w:t>ha</w:t>
      </w:r>
      <w:r w:rsidR="008B42F6">
        <w:rPr>
          <w:sz w:val="24"/>
          <w:szCs w:val="24"/>
        </w:rPr>
        <w:t>ve</w:t>
      </w:r>
      <w:r w:rsidR="00433A5F">
        <w:rPr>
          <w:sz w:val="24"/>
          <w:szCs w:val="24"/>
        </w:rPr>
        <w:t xml:space="preserve"> been overtaken by the FSB</w:t>
      </w:r>
      <w:r w:rsidR="008B42F6">
        <w:rPr>
          <w:sz w:val="24"/>
          <w:szCs w:val="24"/>
        </w:rPr>
        <w:t>’s</w:t>
      </w:r>
      <w:r w:rsidR="00433A5F">
        <w:rPr>
          <w:sz w:val="24"/>
          <w:szCs w:val="24"/>
        </w:rPr>
        <w:t xml:space="preserve"> Total Loss Absorbing Capacity (TLAC)</w:t>
      </w:r>
      <w:r w:rsidR="008B42F6">
        <w:rPr>
          <w:sz w:val="24"/>
          <w:szCs w:val="24"/>
        </w:rPr>
        <w:t xml:space="preserve"> requirement</w:t>
      </w:r>
      <w:r w:rsidR="00433A5F">
        <w:rPr>
          <w:sz w:val="24"/>
          <w:szCs w:val="24"/>
        </w:rPr>
        <w:t xml:space="preserve"> and </w:t>
      </w:r>
      <w:r w:rsidR="008B42F6">
        <w:rPr>
          <w:sz w:val="24"/>
          <w:szCs w:val="24"/>
        </w:rPr>
        <w:t xml:space="preserve">the </w:t>
      </w:r>
      <w:r w:rsidR="00433A5F">
        <w:rPr>
          <w:sz w:val="24"/>
          <w:szCs w:val="24"/>
        </w:rPr>
        <w:t>European</w:t>
      </w:r>
      <w:r w:rsidR="008B42F6">
        <w:rPr>
          <w:sz w:val="24"/>
          <w:szCs w:val="24"/>
        </w:rPr>
        <w:t xml:space="preserve"> Union’s</w:t>
      </w:r>
      <w:r w:rsidR="00433A5F">
        <w:rPr>
          <w:sz w:val="24"/>
          <w:szCs w:val="24"/>
        </w:rPr>
        <w:t xml:space="preserve"> Minimum Requirement for own funds and Eligible Liabilities (MREL)</w:t>
      </w:r>
      <w:r w:rsidR="00AB5B36">
        <w:rPr>
          <w:sz w:val="24"/>
          <w:szCs w:val="24"/>
        </w:rPr>
        <w:t xml:space="preserve"> (see Appendix 4)</w:t>
      </w:r>
      <w:r w:rsidR="008B42F6">
        <w:rPr>
          <w:sz w:val="24"/>
          <w:szCs w:val="24"/>
        </w:rPr>
        <w:t>, and the competition recommendation has been addressed by adding competition as a secondary objective to both the PRA and the FCA’s statutory objectives, leaving the main focus as the RFB proposals</w:t>
      </w:r>
      <w:r w:rsidR="00843DBD">
        <w:rPr>
          <w:sz w:val="24"/>
          <w:szCs w:val="24"/>
        </w:rPr>
        <w:t>.</w:t>
      </w:r>
    </w:p>
    <w:p w:rsidR="00754C5B" w:rsidRDefault="00754C5B" w:rsidP="00E31F1B">
      <w:pPr>
        <w:tabs>
          <w:tab w:val="left" w:pos="2702"/>
        </w:tabs>
        <w:spacing w:line="480" w:lineRule="auto"/>
        <w:rPr>
          <w:sz w:val="24"/>
          <w:szCs w:val="24"/>
        </w:rPr>
      </w:pPr>
    </w:p>
    <w:p w:rsidR="00754C5B" w:rsidRDefault="00754C5B" w:rsidP="00E31F1B">
      <w:pPr>
        <w:tabs>
          <w:tab w:val="left" w:pos="2702"/>
        </w:tabs>
        <w:spacing w:line="480" w:lineRule="auto"/>
        <w:jc w:val="both"/>
        <w:rPr>
          <w:sz w:val="24"/>
          <w:szCs w:val="24"/>
        </w:rPr>
      </w:pPr>
      <w:r>
        <w:rPr>
          <w:sz w:val="24"/>
          <w:szCs w:val="24"/>
        </w:rPr>
        <w:t xml:space="preserve">The government </w:t>
      </w:r>
      <w:r w:rsidR="00433A5F">
        <w:rPr>
          <w:sz w:val="24"/>
          <w:szCs w:val="24"/>
        </w:rPr>
        <w:t>issued a response to the ICB proposals</w:t>
      </w:r>
      <w:r w:rsidR="00433A5F">
        <w:rPr>
          <w:rStyle w:val="FootnoteReference"/>
          <w:sz w:val="24"/>
          <w:szCs w:val="24"/>
        </w:rPr>
        <w:footnoteReference w:id="90"/>
      </w:r>
      <w:r>
        <w:rPr>
          <w:sz w:val="24"/>
          <w:szCs w:val="24"/>
        </w:rPr>
        <w:t xml:space="preserve">with </w:t>
      </w:r>
      <w:r w:rsidR="00433A5F">
        <w:rPr>
          <w:sz w:val="24"/>
          <w:szCs w:val="24"/>
        </w:rPr>
        <w:t xml:space="preserve">a further </w:t>
      </w:r>
      <w:r>
        <w:rPr>
          <w:sz w:val="24"/>
          <w:szCs w:val="24"/>
        </w:rPr>
        <w:t>two papers, one on delivering stability and supporting a sustainable economy</w:t>
      </w:r>
      <w:r>
        <w:rPr>
          <w:rStyle w:val="FootnoteReference"/>
          <w:sz w:val="24"/>
          <w:szCs w:val="24"/>
        </w:rPr>
        <w:footnoteReference w:id="91"/>
      </w:r>
      <w:r>
        <w:rPr>
          <w:sz w:val="24"/>
          <w:szCs w:val="24"/>
        </w:rPr>
        <w:t>, and the other on a new structure for stability and growth</w:t>
      </w:r>
      <w:r>
        <w:rPr>
          <w:rStyle w:val="FootnoteReference"/>
          <w:sz w:val="24"/>
          <w:szCs w:val="24"/>
        </w:rPr>
        <w:footnoteReference w:id="92"/>
      </w:r>
      <w:r>
        <w:rPr>
          <w:sz w:val="24"/>
          <w:szCs w:val="24"/>
        </w:rPr>
        <w:t xml:space="preserve">. </w:t>
      </w:r>
      <w:r w:rsidR="00CE0070">
        <w:rPr>
          <w:sz w:val="24"/>
          <w:szCs w:val="24"/>
        </w:rPr>
        <w:t xml:space="preserve">The outcome of </w:t>
      </w:r>
      <w:r w:rsidR="00843DBD">
        <w:rPr>
          <w:sz w:val="24"/>
          <w:szCs w:val="24"/>
        </w:rPr>
        <w:t xml:space="preserve">these government responses </w:t>
      </w:r>
      <w:r w:rsidR="00CE0070">
        <w:rPr>
          <w:sz w:val="24"/>
          <w:szCs w:val="24"/>
        </w:rPr>
        <w:t>was the enactment of the Financial Services (Banking Reform) Act 2013</w:t>
      </w:r>
      <w:r w:rsidR="00D3738A">
        <w:rPr>
          <w:sz w:val="24"/>
          <w:szCs w:val="24"/>
        </w:rPr>
        <w:t xml:space="preserve"> (FSBRA 2013) which makes changes to FSMA 2000. FSBRA 2013 </w:t>
      </w:r>
      <w:r w:rsidR="00CE0070">
        <w:rPr>
          <w:sz w:val="24"/>
          <w:szCs w:val="24"/>
        </w:rPr>
        <w:t>requires the PRA to implement the regulation a</w:t>
      </w:r>
      <w:r w:rsidR="00D3738A">
        <w:rPr>
          <w:sz w:val="24"/>
          <w:szCs w:val="24"/>
        </w:rPr>
        <w:t>nd</w:t>
      </w:r>
      <w:r w:rsidR="00CE0070">
        <w:rPr>
          <w:sz w:val="24"/>
          <w:szCs w:val="24"/>
        </w:rPr>
        <w:t xml:space="preserve"> rules for ring fenced banking, which they are currently in the process of doing</w:t>
      </w:r>
      <w:r w:rsidR="00CE0070">
        <w:rPr>
          <w:rStyle w:val="FootnoteReference"/>
          <w:sz w:val="24"/>
          <w:szCs w:val="24"/>
        </w:rPr>
        <w:footnoteReference w:id="93"/>
      </w:r>
      <w:r w:rsidR="00CE0070">
        <w:rPr>
          <w:sz w:val="24"/>
          <w:szCs w:val="24"/>
        </w:rPr>
        <w:t>. There are also two supporting statutory instruments assisting the PRA in completing this activity, one addressing core activities</w:t>
      </w:r>
      <w:r w:rsidR="00CE0070">
        <w:rPr>
          <w:rStyle w:val="FootnoteReference"/>
          <w:sz w:val="24"/>
          <w:szCs w:val="24"/>
        </w:rPr>
        <w:footnoteReference w:id="94"/>
      </w:r>
      <w:r w:rsidR="00CE0070">
        <w:rPr>
          <w:sz w:val="24"/>
          <w:szCs w:val="24"/>
        </w:rPr>
        <w:t>, and the other addressing exclusions and prohibitions</w:t>
      </w:r>
      <w:r w:rsidR="00CE0070">
        <w:rPr>
          <w:rStyle w:val="FootnoteReference"/>
          <w:sz w:val="24"/>
          <w:szCs w:val="24"/>
        </w:rPr>
        <w:footnoteReference w:id="95"/>
      </w:r>
      <w:r w:rsidR="00CE0070">
        <w:rPr>
          <w:sz w:val="24"/>
          <w:szCs w:val="24"/>
        </w:rPr>
        <w:t>.</w:t>
      </w:r>
    </w:p>
    <w:p w:rsidR="00CE0070" w:rsidRDefault="00CE0070" w:rsidP="00E31F1B">
      <w:pPr>
        <w:tabs>
          <w:tab w:val="left" w:pos="2702"/>
        </w:tabs>
        <w:spacing w:line="480" w:lineRule="auto"/>
        <w:jc w:val="both"/>
        <w:rPr>
          <w:sz w:val="24"/>
          <w:szCs w:val="24"/>
        </w:rPr>
      </w:pPr>
    </w:p>
    <w:p w:rsidR="00EF11E6" w:rsidRDefault="00CE0070" w:rsidP="00E31F1B">
      <w:pPr>
        <w:tabs>
          <w:tab w:val="left" w:pos="2702"/>
        </w:tabs>
        <w:spacing w:line="480" w:lineRule="auto"/>
        <w:jc w:val="both"/>
        <w:rPr>
          <w:sz w:val="24"/>
          <w:szCs w:val="24"/>
        </w:rPr>
      </w:pPr>
      <w:r>
        <w:rPr>
          <w:sz w:val="24"/>
          <w:szCs w:val="24"/>
        </w:rPr>
        <w:lastRenderedPageBreak/>
        <w:t>The term RFB is a little misleading as it implies that the bank is being ring-fenced from a Group. Whilst this will be correct in many cases, a stand</w:t>
      </w:r>
      <w:r w:rsidR="00340B3A">
        <w:rPr>
          <w:sz w:val="24"/>
          <w:szCs w:val="24"/>
        </w:rPr>
        <w:t>-</w:t>
      </w:r>
      <w:r>
        <w:rPr>
          <w:sz w:val="24"/>
          <w:szCs w:val="24"/>
        </w:rPr>
        <w:t xml:space="preserve">alone bank can be an RFB. </w:t>
      </w:r>
      <w:r w:rsidR="00EF11E6">
        <w:rPr>
          <w:sz w:val="24"/>
          <w:szCs w:val="24"/>
        </w:rPr>
        <w:t>The Act</w:t>
      </w:r>
      <w:r w:rsidR="00EF11E6">
        <w:rPr>
          <w:rStyle w:val="FootnoteReference"/>
          <w:sz w:val="24"/>
          <w:szCs w:val="24"/>
        </w:rPr>
        <w:footnoteReference w:id="96"/>
      </w:r>
      <w:r w:rsidR="00EF11E6">
        <w:rPr>
          <w:sz w:val="24"/>
          <w:szCs w:val="24"/>
        </w:rPr>
        <w:t>defines a ‘ring-fenced body as:</w:t>
      </w:r>
    </w:p>
    <w:p w:rsidR="00EF11E6" w:rsidRDefault="00EF11E6" w:rsidP="00E31F1B">
      <w:pPr>
        <w:tabs>
          <w:tab w:val="left" w:pos="2702"/>
        </w:tabs>
        <w:spacing w:line="480" w:lineRule="auto"/>
        <w:jc w:val="both"/>
        <w:rPr>
          <w:sz w:val="24"/>
          <w:szCs w:val="24"/>
        </w:rPr>
      </w:pPr>
    </w:p>
    <w:p w:rsidR="00CE0070" w:rsidRDefault="00EF11E6" w:rsidP="00E31F1B">
      <w:pPr>
        <w:tabs>
          <w:tab w:val="left" w:pos="2702"/>
        </w:tabs>
        <w:ind w:left="720"/>
        <w:jc w:val="both"/>
        <w:rPr>
          <w:sz w:val="24"/>
          <w:szCs w:val="24"/>
        </w:rPr>
      </w:pPr>
      <w:r>
        <w:rPr>
          <w:sz w:val="24"/>
          <w:szCs w:val="24"/>
        </w:rPr>
        <w:t>“....a UK institution which carries on</w:t>
      </w:r>
      <w:r w:rsidR="004177D5">
        <w:rPr>
          <w:sz w:val="24"/>
          <w:szCs w:val="24"/>
        </w:rPr>
        <w:t xml:space="preserve"> </w:t>
      </w:r>
      <w:r>
        <w:rPr>
          <w:sz w:val="24"/>
          <w:szCs w:val="24"/>
        </w:rPr>
        <w:t>one or more core activities in relation to which it has a Part 4A permission</w:t>
      </w:r>
      <w:r>
        <w:rPr>
          <w:rStyle w:val="FootnoteReference"/>
          <w:sz w:val="24"/>
          <w:szCs w:val="24"/>
        </w:rPr>
        <w:footnoteReference w:id="97"/>
      </w:r>
      <w:r>
        <w:rPr>
          <w:sz w:val="24"/>
          <w:szCs w:val="24"/>
        </w:rPr>
        <w:t>”</w:t>
      </w:r>
    </w:p>
    <w:p w:rsidR="00EF11E6" w:rsidRDefault="00EF11E6" w:rsidP="00E31F1B">
      <w:pPr>
        <w:tabs>
          <w:tab w:val="left" w:pos="2702"/>
        </w:tabs>
        <w:spacing w:line="480" w:lineRule="auto"/>
        <w:ind w:left="720"/>
        <w:jc w:val="both"/>
        <w:rPr>
          <w:sz w:val="24"/>
          <w:szCs w:val="24"/>
        </w:rPr>
      </w:pPr>
    </w:p>
    <w:p w:rsidR="00EF11E6" w:rsidRPr="00754C5B" w:rsidRDefault="00EF11E6" w:rsidP="00E31F1B">
      <w:pPr>
        <w:tabs>
          <w:tab w:val="left" w:pos="2702"/>
        </w:tabs>
        <w:spacing w:line="480" w:lineRule="auto"/>
        <w:jc w:val="both"/>
        <w:rPr>
          <w:sz w:val="24"/>
          <w:szCs w:val="24"/>
        </w:rPr>
      </w:pPr>
      <w:r>
        <w:rPr>
          <w:sz w:val="24"/>
          <w:szCs w:val="24"/>
        </w:rPr>
        <w:t>The only core activity covered is that of accepting deposits</w:t>
      </w:r>
      <w:r>
        <w:rPr>
          <w:rStyle w:val="FootnoteReference"/>
          <w:sz w:val="24"/>
          <w:szCs w:val="24"/>
        </w:rPr>
        <w:footnoteReference w:id="98"/>
      </w:r>
      <w:r>
        <w:rPr>
          <w:sz w:val="24"/>
          <w:szCs w:val="24"/>
        </w:rPr>
        <w:t xml:space="preserve">, and it is clear that the provision applies to banks with core deposits </w:t>
      </w:r>
      <w:r w:rsidR="00843DBD">
        <w:rPr>
          <w:sz w:val="24"/>
          <w:szCs w:val="24"/>
        </w:rPr>
        <w:t xml:space="preserve">(liabilities) </w:t>
      </w:r>
      <w:r>
        <w:rPr>
          <w:sz w:val="24"/>
          <w:szCs w:val="24"/>
        </w:rPr>
        <w:t xml:space="preserve">equal to or </w:t>
      </w:r>
      <w:r w:rsidR="00D3738A">
        <w:rPr>
          <w:sz w:val="24"/>
          <w:szCs w:val="24"/>
        </w:rPr>
        <w:t>more</w:t>
      </w:r>
      <w:r>
        <w:rPr>
          <w:sz w:val="24"/>
          <w:szCs w:val="24"/>
        </w:rPr>
        <w:t xml:space="preserve"> than £25bn which are not a member of a group</w:t>
      </w:r>
      <w:r>
        <w:rPr>
          <w:rStyle w:val="FootnoteReference"/>
          <w:sz w:val="24"/>
          <w:szCs w:val="24"/>
        </w:rPr>
        <w:footnoteReference w:id="99"/>
      </w:r>
      <w:r>
        <w:rPr>
          <w:sz w:val="24"/>
          <w:szCs w:val="24"/>
        </w:rPr>
        <w:t>, and those which are a member of a Group</w:t>
      </w:r>
      <w:r>
        <w:rPr>
          <w:rStyle w:val="FootnoteReference"/>
          <w:sz w:val="24"/>
          <w:szCs w:val="24"/>
        </w:rPr>
        <w:footnoteReference w:id="100"/>
      </w:r>
      <w:r>
        <w:rPr>
          <w:sz w:val="24"/>
          <w:szCs w:val="24"/>
        </w:rPr>
        <w:t xml:space="preserve">. </w:t>
      </w:r>
    </w:p>
    <w:p w:rsidR="00DE7838" w:rsidRDefault="00DE7838" w:rsidP="00E31F1B">
      <w:pPr>
        <w:tabs>
          <w:tab w:val="left" w:pos="2702"/>
        </w:tabs>
        <w:spacing w:line="480" w:lineRule="auto"/>
      </w:pPr>
    </w:p>
    <w:p w:rsidR="00AE4D9E" w:rsidRDefault="00AE4D9E" w:rsidP="00E31F1B">
      <w:pPr>
        <w:tabs>
          <w:tab w:val="left" w:pos="2702"/>
        </w:tabs>
        <w:spacing w:line="480" w:lineRule="auto"/>
        <w:jc w:val="both"/>
        <w:rPr>
          <w:sz w:val="24"/>
          <w:szCs w:val="24"/>
        </w:rPr>
      </w:pPr>
      <w:r w:rsidRPr="00AE4D9E">
        <w:rPr>
          <w:sz w:val="24"/>
          <w:szCs w:val="24"/>
        </w:rPr>
        <w:t>In addition to defining the core activity as accepting deposits, the Act also defines three core services</w:t>
      </w:r>
      <w:r>
        <w:rPr>
          <w:rStyle w:val="FootnoteReference"/>
          <w:sz w:val="24"/>
          <w:szCs w:val="24"/>
        </w:rPr>
        <w:footnoteReference w:id="101"/>
      </w:r>
      <w:r w:rsidR="00D3738A">
        <w:rPr>
          <w:sz w:val="24"/>
          <w:szCs w:val="24"/>
        </w:rPr>
        <w:t xml:space="preserve">for RFB, </w:t>
      </w:r>
      <w:r w:rsidR="00843DBD">
        <w:rPr>
          <w:sz w:val="24"/>
          <w:szCs w:val="24"/>
        </w:rPr>
        <w:t>as those banks with</w:t>
      </w:r>
      <w:r w:rsidRPr="00AE4D9E">
        <w:rPr>
          <w:sz w:val="24"/>
          <w:szCs w:val="24"/>
        </w:rPr>
        <w:t>:</w:t>
      </w:r>
    </w:p>
    <w:p w:rsidR="00AE4D9E" w:rsidRDefault="00AE4D9E" w:rsidP="00E31F1B">
      <w:pPr>
        <w:tabs>
          <w:tab w:val="left" w:pos="2702"/>
        </w:tabs>
        <w:spacing w:line="480" w:lineRule="auto"/>
        <w:rPr>
          <w:sz w:val="24"/>
          <w:szCs w:val="24"/>
        </w:rPr>
      </w:pPr>
    </w:p>
    <w:p w:rsidR="00AE4D9E" w:rsidRDefault="00AE4D9E" w:rsidP="00E31F1B">
      <w:pPr>
        <w:numPr>
          <w:ilvl w:val="0"/>
          <w:numId w:val="13"/>
        </w:numPr>
        <w:tabs>
          <w:tab w:val="left" w:pos="2702"/>
        </w:tabs>
        <w:spacing w:line="480" w:lineRule="auto"/>
        <w:rPr>
          <w:sz w:val="24"/>
          <w:szCs w:val="24"/>
        </w:rPr>
      </w:pPr>
      <w:r>
        <w:rPr>
          <w:sz w:val="24"/>
          <w:szCs w:val="24"/>
        </w:rPr>
        <w:t>facilities for accepting deposits</w:t>
      </w:r>
      <w:r w:rsidR="009E63A7">
        <w:rPr>
          <w:sz w:val="24"/>
          <w:szCs w:val="24"/>
        </w:rPr>
        <w:t>;</w:t>
      </w:r>
    </w:p>
    <w:p w:rsidR="00AE4D9E" w:rsidRDefault="00AE4D9E" w:rsidP="00E31F1B">
      <w:pPr>
        <w:numPr>
          <w:ilvl w:val="0"/>
          <w:numId w:val="13"/>
        </w:numPr>
        <w:tabs>
          <w:tab w:val="left" w:pos="2702"/>
        </w:tabs>
        <w:spacing w:line="480" w:lineRule="auto"/>
        <w:rPr>
          <w:sz w:val="24"/>
          <w:szCs w:val="24"/>
        </w:rPr>
      </w:pPr>
      <w:r>
        <w:rPr>
          <w:sz w:val="24"/>
          <w:szCs w:val="24"/>
        </w:rPr>
        <w:t>facilities for withdrawing money and making payments; and</w:t>
      </w:r>
    </w:p>
    <w:p w:rsidR="00AE4D9E" w:rsidRDefault="00AE4D9E" w:rsidP="00E31F1B">
      <w:pPr>
        <w:numPr>
          <w:ilvl w:val="0"/>
          <w:numId w:val="13"/>
        </w:numPr>
        <w:tabs>
          <w:tab w:val="left" w:pos="2702"/>
        </w:tabs>
        <w:spacing w:line="480" w:lineRule="auto"/>
        <w:rPr>
          <w:sz w:val="24"/>
          <w:szCs w:val="24"/>
        </w:rPr>
      </w:pPr>
      <w:r>
        <w:rPr>
          <w:sz w:val="24"/>
          <w:szCs w:val="24"/>
        </w:rPr>
        <w:t>providing overdraft facilities</w:t>
      </w:r>
      <w:r w:rsidR="009E63A7">
        <w:rPr>
          <w:sz w:val="24"/>
          <w:szCs w:val="24"/>
        </w:rPr>
        <w:t>.</w:t>
      </w:r>
    </w:p>
    <w:p w:rsidR="009E63A7" w:rsidRDefault="009E63A7" w:rsidP="00E31F1B">
      <w:pPr>
        <w:tabs>
          <w:tab w:val="left" w:pos="2702"/>
        </w:tabs>
        <w:spacing w:line="480" w:lineRule="auto"/>
        <w:rPr>
          <w:sz w:val="24"/>
          <w:szCs w:val="24"/>
        </w:rPr>
      </w:pPr>
    </w:p>
    <w:p w:rsidR="009E63A7" w:rsidRDefault="009E63A7" w:rsidP="00E31F1B">
      <w:pPr>
        <w:tabs>
          <w:tab w:val="left" w:pos="2702"/>
        </w:tabs>
        <w:spacing w:line="480" w:lineRule="auto"/>
        <w:jc w:val="both"/>
        <w:rPr>
          <w:sz w:val="24"/>
          <w:szCs w:val="24"/>
        </w:rPr>
      </w:pPr>
      <w:r>
        <w:rPr>
          <w:sz w:val="24"/>
          <w:szCs w:val="24"/>
        </w:rPr>
        <w:lastRenderedPageBreak/>
        <w:t>The F</w:t>
      </w:r>
      <w:r w:rsidR="00D3738A">
        <w:rPr>
          <w:sz w:val="24"/>
          <w:szCs w:val="24"/>
        </w:rPr>
        <w:t>SBRA 2013</w:t>
      </w:r>
      <w:r>
        <w:rPr>
          <w:sz w:val="24"/>
          <w:szCs w:val="24"/>
        </w:rPr>
        <w:t xml:space="preserve"> also modified the PRA’s safety and soundness objective</w:t>
      </w:r>
      <w:r>
        <w:rPr>
          <w:rStyle w:val="FootnoteReference"/>
          <w:sz w:val="24"/>
          <w:szCs w:val="24"/>
        </w:rPr>
        <w:footnoteReference w:id="102"/>
      </w:r>
      <w:r>
        <w:rPr>
          <w:sz w:val="24"/>
          <w:szCs w:val="24"/>
        </w:rPr>
        <w:t xml:space="preserve"> such that the PRA should seek to:</w:t>
      </w:r>
    </w:p>
    <w:p w:rsidR="009E63A7" w:rsidRDefault="009E63A7" w:rsidP="00E31F1B">
      <w:pPr>
        <w:tabs>
          <w:tab w:val="left" w:pos="2702"/>
        </w:tabs>
        <w:spacing w:line="480" w:lineRule="auto"/>
        <w:rPr>
          <w:sz w:val="24"/>
          <w:szCs w:val="24"/>
        </w:rPr>
      </w:pPr>
    </w:p>
    <w:p w:rsidR="009E63A7" w:rsidRDefault="009E63A7" w:rsidP="00E31F1B">
      <w:pPr>
        <w:numPr>
          <w:ilvl w:val="0"/>
          <w:numId w:val="14"/>
        </w:numPr>
        <w:tabs>
          <w:tab w:val="left" w:pos="2702"/>
        </w:tabs>
        <w:spacing w:line="480" w:lineRule="auto"/>
        <w:rPr>
          <w:sz w:val="24"/>
          <w:szCs w:val="24"/>
        </w:rPr>
      </w:pPr>
      <w:r>
        <w:rPr>
          <w:sz w:val="24"/>
          <w:szCs w:val="24"/>
        </w:rPr>
        <w:t>ensure that the business of RFBs is carried on in a way that avoids any adverse effect on the continuity of the provision in the UK of core services;</w:t>
      </w:r>
    </w:p>
    <w:p w:rsidR="009E63A7" w:rsidRDefault="009E63A7" w:rsidP="00E31F1B">
      <w:pPr>
        <w:numPr>
          <w:ilvl w:val="0"/>
          <w:numId w:val="14"/>
        </w:numPr>
        <w:tabs>
          <w:tab w:val="left" w:pos="2702"/>
        </w:tabs>
        <w:spacing w:line="480" w:lineRule="auto"/>
        <w:rPr>
          <w:sz w:val="24"/>
          <w:szCs w:val="24"/>
        </w:rPr>
      </w:pPr>
      <w:r>
        <w:rPr>
          <w:sz w:val="24"/>
          <w:szCs w:val="24"/>
        </w:rPr>
        <w:t>ensure that the business of RFBs is protected from risks (arising in the UK or elsewhere) that could adversely affect the continuity of the provision in the UK or core services; and</w:t>
      </w:r>
    </w:p>
    <w:p w:rsidR="009E63A7" w:rsidRDefault="009E63A7" w:rsidP="00E31F1B">
      <w:pPr>
        <w:numPr>
          <w:ilvl w:val="0"/>
          <w:numId w:val="14"/>
        </w:numPr>
        <w:tabs>
          <w:tab w:val="left" w:pos="2702"/>
        </w:tabs>
        <w:spacing w:line="480" w:lineRule="auto"/>
        <w:rPr>
          <w:sz w:val="24"/>
          <w:szCs w:val="24"/>
        </w:rPr>
      </w:pPr>
      <w:r>
        <w:rPr>
          <w:sz w:val="24"/>
          <w:szCs w:val="24"/>
        </w:rPr>
        <w:t>minimise the risk that the failure of an RFB or a member of an RFBs group could affect the continuity of the provision in the UK of core services.</w:t>
      </w:r>
    </w:p>
    <w:p w:rsidR="009E63A7" w:rsidRDefault="009E63A7" w:rsidP="00E31F1B">
      <w:pPr>
        <w:tabs>
          <w:tab w:val="left" w:pos="2702"/>
        </w:tabs>
        <w:spacing w:line="480" w:lineRule="auto"/>
        <w:rPr>
          <w:sz w:val="24"/>
          <w:szCs w:val="24"/>
        </w:rPr>
      </w:pPr>
    </w:p>
    <w:p w:rsidR="00721FC5" w:rsidRDefault="009E63A7" w:rsidP="00E31F1B">
      <w:pPr>
        <w:tabs>
          <w:tab w:val="left" w:pos="2702"/>
        </w:tabs>
        <w:spacing w:line="480" w:lineRule="auto"/>
        <w:jc w:val="both"/>
        <w:rPr>
          <w:sz w:val="24"/>
          <w:szCs w:val="24"/>
        </w:rPr>
      </w:pPr>
      <w:r>
        <w:rPr>
          <w:sz w:val="24"/>
          <w:szCs w:val="24"/>
        </w:rPr>
        <w:t>Despite these provisions the PRA (as with the FSA before it) have publicly stated that the regulatory regime is not a no failure regime</w:t>
      </w:r>
      <w:r w:rsidR="00721FC5">
        <w:rPr>
          <w:rStyle w:val="FootnoteReference"/>
          <w:sz w:val="24"/>
          <w:szCs w:val="24"/>
        </w:rPr>
        <w:footnoteReference w:id="103"/>
      </w:r>
      <w:r w:rsidR="00721FC5">
        <w:rPr>
          <w:sz w:val="24"/>
          <w:szCs w:val="24"/>
        </w:rPr>
        <w:t xml:space="preserve">, so although, as noted </w:t>
      </w:r>
      <w:r w:rsidR="00843DBD">
        <w:rPr>
          <w:sz w:val="24"/>
          <w:szCs w:val="24"/>
        </w:rPr>
        <w:t>earlier</w:t>
      </w:r>
      <w:r w:rsidR="00721FC5">
        <w:rPr>
          <w:sz w:val="24"/>
          <w:szCs w:val="24"/>
        </w:rPr>
        <w:t>, the safety and soundness of firms is one of the underlying economic justifications for regulation, it is not unlimited, the key now being that the bank can be recovered, or if necessary, resolved with the minimum of impact on both the economy and the taxpayer.</w:t>
      </w:r>
    </w:p>
    <w:p w:rsidR="00721FC5" w:rsidRDefault="00721FC5" w:rsidP="00E31F1B">
      <w:pPr>
        <w:tabs>
          <w:tab w:val="left" w:pos="2702"/>
        </w:tabs>
        <w:spacing w:line="480" w:lineRule="auto"/>
        <w:jc w:val="both"/>
        <w:rPr>
          <w:sz w:val="24"/>
          <w:szCs w:val="24"/>
        </w:rPr>
      </w:pPr>
    </w:p>
    <w:p w:rsidR="00CA663E" w:rsidRDefault="00CA663E" w:rsidP="00E31F1B">
      <w:pPr>
        <w:tabs>
          <w:tab w:val="left" w:pos="2702"/>
        </w:tabs>
        <w:spacing w:line="480" w:lineRule="auto"/>
        <w:jc w:val="both"/>
        <w:rPr>
          <w:sz w:val="24"/>
          <w:szCs w:val="24"/>
        </w:rPr>
      </w:pPr>
      <w:r w:rsidRPr="00CA663E">
        <w:rPr>
          <w:sz w:val="24"/>
          <w:szCs w:val="24"/>
        </w:rPr>
        <w:t>Three key areas of concern for the PRA, which they have consulted on</w:t>
      </w:r>
      <w:r>
        <w:rPr>
          <w:rStyle w:val="FootnoteReference"/>
          <w:sz w:val="24"/>
          <w:szCs w:val="24"/>
        </w:rPr>
        <w:footnoteReference w:id="104"/>
      </w:r>
      <w:r>
        <w:rPr>
          <w:sz w:val="24"/>
          <w:szCs w:val="24"/>
        </w:rPr>
        <w:t xml:space="preserve"> and recently published a Policy Statement</w:t>
      </w:r>
      <w:r>
        <w:rPr>
          <w:rStyle w:val="FootnoteReference"/>
          <w:sz w:val="24"/>
          <w:szCs w:val="24"/>
        </w:rPr>
        <w:footnoteReference w:id="105"/>
      </w:r>
      <w:r>
        <w:rPr>
          <w:sz w:val="24"/>
          <w:szCs w:val="24"/>
        </w:rPr>
        <w:t xml:space="preserve"> are the legal structure of banking groups, governance</w:t>
      </w:r>
      <w:r>
        <w:rPr>
          <w:rStyle w:val="FootnoteReference"/>
          <w:sz w:val="24"/>
          <w:szCs w:val="24"/>
        </w:rPr>
        <w:footnoteReference w:id="106"/>
      </w:r>
      <w:r>
        <w:rPr>
          <w:sz w:val="24"/>
          <w:szCs w:val="24"/>
        </w:rPr>
        <w:t xml:space="preserve">, and continuity of </w:t>
      </w:r>
      <w:r>
        <w:rPr>
          <w:sz w:val="24"/>
          <w:szCs w:val="24"/>
        </w:rPr>
        <w:lastRenderedPageBreak/>
        <w:t>services and facilities. In addition to RFB application, this is also part of the wider international, European, and UK resilience agenda, including looking at depositor protection</w:t>
      </w:r>
      <w:r>
        <w:rPr>
          <w:rStyle w:val="FootnoteReference"/>
          <w:sz w:val="24"/>
          <w:szCs w:val="24"/>
        </w:rPr>
        <w:footnoteReference w:id="107"/>
      </w:r>
      <w:r>
        <w:rPr>
          <w:sz w:val="24"/>
          <w:szCs w:val="24"/>
        </w:rPr>
        <w:t>, and operational continuity</w:t>
      </w:r>
      <w:r w:rsidR="00AE4D9E">
        <w:rPr>
          <w:rStyle w:val="FootnoteReference"/>
          <w:sz w:val="24"/>
          <w:szCs w:val="24"/>
        </w:rPr>
        <w:footnoteReference w:id="108"/>
      </w:r>
      <w:r w:rsidR="00AE4D9E">
        <w:rPr>
          <w:sz w:val="24"/>
          <w:szCs w:val="24"/>
        </w:rPr>
        <w:t xml:space="preserve">, supporting a prudential regulatory perspective that RFBs are about resilience. </w:t>
      </w:r>
    </w:p>
    <w:p w:rsidR="00CA663E" w:rsidRDefault="00CA663E" w:rsidP="00E31F1B">
      <w:pPr>
        <w:tabs>
          <w:tab w:val="left" w:pos="2702"/>
        </w:tabs>
        <w:spacing w:line="480" w:lineRule="auto"/>
        <w:rPr>
          <w:sz w:val="24"/>
          <w:szCs w:val="24"/>
        </w:rPr>
      </w:pPr>
    </w:p>
    <w:p w:rsidR="00BC37B9" w:rsidRDefault="00BC37B9" w:rsidP="00E31F1B">
      <w:pPr>
        <w:tabs>
          <w:tab w:val="left" w:pos="2702"/>
        </w:tabs>
        <w:spacing w:line="480" w:lineRule="auto"/>
        <w:jc w:val="both"/>
        <w:rPr>
          <w:sz w:val="24"/>
          <w:szCs w:val="24"/>
        </w:rPr>
      </w:pPr>
      <w:r>
        <w:rPr>
          <w:sz w:val="24"/>
          <w:szCs w:val="24"/>
        </w:rPr>
        <w:t xml:space="preserve">In December 2011 the </w:t>
      </w:r>
      <w:r w:rsidR="00CE0070" w:rsidRPr="00CE0070">
        <w:rPr>
          <w:sz w:val="24"/>
          <w:szCs w:val="24"/>
        </w:rPr>
        <w:t xml:space="preserve">House of Lords </w:t>
      </w:r>
      <w:r>
        <w:rPr>
          <w:sz w:val="24"/>
          <w:szCs w:val="24"/>
        </w:rPr>
        <w:t xml:space="preserve">Economic Affairs Committee (EAC) issued a </w:t>
      </w:r>
      <w:r w:rsidR="003F7035">
        <w:rPr>
          <w:sz w:val="24"/>
          <w:szCs w:val="24"/>
        </w:rPr>
        <w:t xml:space="preserve">findings paper </w:t>
      </w:r>
      <w:r>
        <w:rPr>
          <w:rStyle w:val="FootnoteReference"/>
          <w:sz w:val="24"/>
          <w:szCs w:val="24"/>
        </w:rPr>
        <w:footnoteReference w:id="109"/>
      </w:r>
      <w:r>
        <w:rPr>
          <w:sz w:val="24"/>
          <w:szCs w:val="24"/>
        </w:rPr>
        <w:t xml:space="preserve"> on the ICB’s final report, having taken oral evidence from the major clearing banks (Lloyds, HSBC, Barclays and RBS) and from Sir John Vickers. The bank’s doubted the effectiveness of the RFB proposals but had no proposal of their own to put forward.</w:t>
      </w:r>
    </w:p>
    <w:p w:rsidR="00BC37B9" w:rsidRDefault="00BC37B9" w:rsidP="00E31F1B">
      <w:pPr>
        <w:tabs>
          <w:tab w:val="left" w:pos="2702"/>
        </w:tabs>
        <w:spacing w:line="480" w:lineRule="auto"/>
        <w:rPr>
          <w:sz w:val="24"/>
          <w:szCs w:val="24"/>
        </w:rPr>
      </w:pPr>
    </w:p>
    <w:p w:rsidR="00072113" w:rsidRDefault="003F7035" w:rsidP="00E31F1B">
      <w:pPr>
        <w:tabs>
          <w:tab w:val="left" w:pos="2702"/>
        </w:tabs>
        <w:spacing w:line="480" w:lineRule="auto"/>
        <w:jc w:val="both"/>
        <w:rPr>
          <w:sz w:val="24"/>
          <w:szCs w:val="24"/>
        </w:rPr>
      </w:pPr>
      <w:r>
        <w:rPr>
          <w:sz w:val="24"/>
          <w:szCs w:val="24"/>
        </w:rPr>
        <w:t>As highlighted in the introduction, t</w:t>
      </w:r>
      <w:r w:rsidR="00BC37B9">
        <w:rPr>
          <w:sz w:val="24"/>
          <w:szCs w:val="24"/>
        </w:rPr>
        <w:t xml:space="preserve">he EAC re-visited the issues on </w:t>
      </w:r>
      <w:r w:rsidR="00CE0070" w:rsidRPr="00CE0070">
        <w:rPr>
          <w:sz w:val="24"/>
          <w:szCs w:val="24"/>
        </w:rPr>
        <w:t>June 30</w:t>
      </w:r>
      <w:r w:rsidR="00BC37B9">
        <w:rPr>
          <w:sz w:val="24"/>
          <w:szCs w:val="24"/>
        </w:rPr>
        <w:t xml:space="preserve"> 2015, again inviting the banks and Sir John Vickers</w:t>
      </w:r>
      <w:r>
        <w:rPr>
          <w:sz w:val="24"/>
          <w:szCs w:val="24"/>
        </w:rPr>
        <w:t xml:space="preserve"> to attend</w:t>
      </w:r>
      <w:r w:rsidR="00BC37B9">
        <w:rPr>
          <w:sz w:val="24"/>
          <w:szCs w:val="24"/>
        </w:rPr>
        <w:t>. I</w:t>
      </w:r>
      <w:r w:rsidR="00843DBD">
        <w:rPr>
          <w:sz w:val="24"/>
          <w:szCs w:val="24"/>
        </w:rPr>
        <w:t>t</w:t>
      </w:r>
      <w:r w:rsidR="00BC37B9">
        <w:rPr>
          <w:sz w:val="24"/>
          <w:szCs w:val="24"/>
        </w:rPr>
        <w:t xml:space="preserve"> was noted by all the banks that the cost of implementing the RFB proposals was very high and they were not happy</w:t>
      </w:r>
      <w:r w:rsidR="00843DBD">
        <w:rPr>
          <w:sz w:val="24"/>
          <w:szCs w:val="24"/>
        </w:rPr>
        <w:t xml:space="preserve">. As noted in the introduction </w:t>
      </w:r>
      <w:r w:rsidR="00BC37B9">
        <w:rPr>
          <w:sz w:val="24"/>
          <w:szCs w:val="24"/>
        </w:rPr>
        <w:t>Barclay’s former chairman, Sir David Walker, had previously asserted that the new capital and liquidity requirements together with the implementing of the new recovery and resolution regimes meant that there was no longer a need to ring fence banks</w:t>
      </w:r>
      <w:r w:rsidR="004B61A6">
        <w:rPr>
          <w:rStyle w:val="FootnoteReference"/>
          <w:sz w:val="24"/>
          <w:szCs w:val="24"/>
        </w:rPr>
        <w:footnoteReference w:id="110"/>
      </w:r>
      <w:r w:rsidR="00BC37B9">
        <w:rPr>
          <w:sz w:val="24"/>
          <w:szCs w:val="24"/>
        </w:rPr>
        <w:t>. Despite having plans to move their RFB to Birmingham, HSBC has also been indicating that the RFB requirement may be a contributing factor</w:t>
      </w:r>
      <w:r w:rsidR="00072113">
        <w:rPr>
          <w:sz w:val="24"/>
          <w:szCs w:val="24"/>
        </w:rPr>
        <w:t xml:space="preserve"> in any decision that they make to re-locate their head </w:t>
      </w:r>
      <w:r w:rsidR="00072113">
        <w:rPr>
          <w:sz w:val="24"/>
          <w:szCs w:val="24"/>
        </w:rPr>
        <w:lastRenderedPageBreak/>
        <w:t>office away from London to Hong Kong</w:t>
      </w:r>
      <w:r w:rsidR="004B61A6">
        <w:rPr>
          <w:rStyle w:val="FootnoteReference"/>
          <w:sz w:val="24"/>
          <w:szCs w:val="24"/>
        </w:rPr>
        <w:footnoteReference w:id="111"/>
      </w:r>
      <w:r w:rsidR="00072113">
        <w:rPr>
          <w:sz w:val="24"/>
          <w:szCs w:val="24"/>
        </w:rPr>
        <w:t>. The very recent sacking of the Barclays CEO, and the bank’s new chairman (Sir David Walker’s successor) indicating a desire to focus on</w:t>
      </w:r>
      <w:r>
        <w:rPr>
          <w:sz w:val="24"/>
          <w:szCs w:val="24"/>
        </w:rPr>
        <w:t xml:space="preserve"> the</w:t>
      </w:r>
      <w:r w:rsidR="00072113">
        <w:rPr>
          <w:sz w:val="24"/>
          <w:szCs w:val="24"/>
        </w:rPr>
        <w:t xml:space="preserve"> performance of the investment bank may lead to further lobbying against the RFP proposals.</w:t>
      </w:r>
      <w:r w:rsidR="00B7508D">
        <w:rPr>
          <w:sz w:val="24"/>
          <w:szCs w:val="24"/>
        </w:rPr>
        <w:t xml:space="preserve"> On the other hand Lloyds Banking Group ha</w:t>
      </w:r>
      <w:r>
        <w:rPr>
          <w:sz w:val="24"/>
          <w:szCs w:val="24"/>
        </w:rPr>
        <w:t>s</w:t>
      </w:r>
      <w:r w:rsidR="00B7508D">
        <w:rPr>
          <w:sz w:val="24"/>
          <w:szCs w:val="24"/>
        </w:rPr>
        <w:t xml:space="preserve"> been calling for the ring-fence</w:t>
      </w:r>
      <w:r w:rsidR="00B7508D">
        <w:rPr>
          <w:rStyle w:val="FootnoteReference"/>
          <w:sz w:val="24"/>
          <w:szCs w:val="24"/>
        </w:rPr>
        <w:footnoteReference w:id="112"/>
      </w:r>
      <w:r w:rsidR="00B7508D">
        <w:rPr>
          <w:sz w:val="24"/>
          <w:szCs w:val="24"/>
        </w:rPr>
        <w:t xml:space="preserve">, and Santander have already </w:t>
      </w:r>
      <w:r w:rsidR="00843DBD">
        <w:rPr>
          <w:sz w:val="24"/>
          <w:szCs w:val="24"/>
        </w:rPr>
        <w:t>s</w:t>
      </w:r>
      <w:r w:rsidR="00B7508D">
        <w:rPr>
          <w:sz w:val="24"/>
          <w:szCs w:val="24"/>
        </w:rPr>
        <w:t>tarted to implement it</w:t>
      </w:r>
      <w:r w:rsidR="00B7508D">
        <w:rPr>
          <w:rStyle w:val="FootnoteReference"/>
          <w:sz w:val="24"/>
          <w:szCs w:val="24"/>
        </w:rPr>
        <w:footnoteReference w:id="113"/>
      </w:r>
      <w:r w:rsidR="00B7508D">
        <w:rPr>
          <w:sz w:val="24"/>
          <w:szCs w:val="24"/>
        </w:rPr>
        <w:t xml:space="preserve">. </w:t>
      </w:r>
    </w:p>
    <w:p w:rsidR="00072113" w:rsidRDefault="00072113" w:rsidP="00E31F1B">
      <w:pPr>
        <w:tabs>
          <w:tab w:val="left" w:pos="2702"/>
        </w:tabs>
        <w:spacing w:line="480" w:lineRule="auto"/>
        <w:jc w:val="both"/>
        <w:rPr>
          <w:sz w:val="24"/>
          <w:szCs w:val="24"/>
        </w:rPr>
      </w:pPr>
    </w:p>
    <w:p w:rsidR="00F82867" w:rsidRDefault="00843DBD" w:rsidP="00E31F1B">
      <w:pPr>
        <w:tabs>
          <w:tab w:val="left" w:pos="2702"/>
        </w:tabs>
        <w:spacing w:line="480" w:lineRule="auto"/>
        <w:jc w:val="both"/>
        <w:rPr>
          <w:sz w:val="24"/>
          <w:szCs w:val="24"/>
        </w:rPr>
      </w:pPr>
      <w:r>
        <w:rPr>
          <w:sz w:val="24"/>
          <w:szCs w:val="24"/>
        </w:rPr>
        <w:t>For some banks it will be easier to create an RFB than others, for example the majority (95%</w:t>
      </w:r>
      <w:r w:rsidR="00F82867">
        <w:rPr>
          <w:sz w:val="24"/>
          <w:szCs w:val="24"/>
        </w:rPr>
        <w:t xml:space="preserve"> plus</w:t>
      </w:r>
      <w:r>
        <w:rPr>
          <w:sz w:val="24"/>
          <w:szCs w:val="24"/>
        </w:rPr>
        <w:t>) of Lloyds Banking Group would be in the ring-fence, whereas for banks like Barclays with a large investment bank it is a much more challenging process.</w:t>
      </w:r>
      <w:r w:rsidR="00A107BF">
        <w:rPr>
          <w:sz w:val="24"/>
          <w:szCs w:val="24"/>
        </w:rPr>
        <w:t xml:space="preserve"> All banks will have to either identify a legal entity, or create a legal entity that can become the RFB. For a new bank there will be a need to go through an authorisation process. F</w:t>
      </w:r>
      <w:r w:rsidR="003F7035">
        <w:rPr>
          <w:sz w:val="24"/>
          <w:szCs w:val="24"/>
        </w:rPr>
        <w:t>o</w:t>
      </w:r>
      <w:r w:rsidR="00A107BF">
        <w:rPr>
          <w:sz w:val="24"/>
          <w:szCs w:val="24"/>
        </w:rPr>
        <w:t>r an existing bank, there is likely to be a re-structuring within the group that will require a Part VII transfer of assets and liabilities</w:t>
      </w:r>
      <w:r w:rsidR="003F7035">
        <w:rPr>
          <w:rStyle w:val="FootnoteReference"/>
          <w:sz w:val="24"/>
          <w:szCs w:val="24"/>
        </w:rPr>
        <w:footnoteReference w:id="114"/>
      </w:r>
      <w:r w:rsidR="00A107BF">
        <w:rPr>
          <w:sz w:val="24"/>
          <w:szCs w:val="24"/>
        </w:rPr>
        <w:t xml:space="preserve"> and some element of re-capitalisation to support the transferring assets and liabilities. </w:t>
      </w:r>
    </w:p>
    <w:p w:rsidR="00F82867" w:rsidRDefault="00F82867" w:rsidP="00E31F1B">
      <w:pPr>
        <w:tabs>
          <w:tab w:val="left" w:pos="2702"/>
        </w:tabs>
        <w:spacing w:line="480" w:lineRule="auto"/>
        <w:jc w:val="both"/>
        <w:rPr>
          <w:sz w:val="24"/>
          <w:szCs w:val="24"/>
        </w:rPr>
      </w:pPr>
    </w:p>
    <w:p w:rsidR="00F82867" w:rsidRDefault="00F82867" w:rsidP="00E31F1B">
      <w:pPr>
        <w:tabs>
          <w:tab w:val="left" w:pos="2702"/>
        </w:tabs>
        <w:spacing w:line="480" w:lineRule="auto"/>
        <w:jc w:val="both"/>
        <w:rPr>
          <w:sz w:val="24"/>
          <w:szCs w:val="24"/>
        </w:rPr>
      </w:pPr>
      <w:r>
        <w:rPr>
          <w:sz w:val="24"/>
          <w:szCs w:val="24"/>
        </w:rPr>
        <w:t>The government, at the request of the PCBS, has created a reserve power for the regulator, known as ‘electrification’ which allows for enforced separation in specified circumstances</w:t>
      </w:r>
      <w:r>
        <w:rPr>
          <w:rStyle w:val="FootnoteReference"/>
          <w:sz w:val="24"/>
          <w:szCs w:val="24"/>
        </w:rPr>
        <w:footnoteReference w:id="115"/>
      </w:r>
      <w:r>
        <w:rPr>
          <w:sz w:val="24"/>
          <w:szCs w:val="24"/>
        </w:rPr>
        <w:t xml:space="preserve">. The PCBS was concerned about banks trying to game the system and / or lobbying politicians to have the provisions applied in a light-touch way. </w:t>
      </w:r>
    </w:p>
    <w:p w:rsidR="00F82867" w:rsidRDefault="00F82867" w:rsidP="00E31F1B">
      <w:pPr>
        <w:tabs>
          <w:tab w:val="left" w:pos="2702"/>
        </w:tabs>
        <w:spacing w:line="480" w:lineRule="auto"/>
        <w:jc w:val="both"/>
        <w:rPr>
          <w:sz w:val="24"/>
          <w:szCs w:val="24"/>
        </w:rPr>
      </w:pPr>
    </w:p>
    <w:p w:rsidR="00F82867" w:rsidRDefault="00A107BF" w:rsidP="00E31F1B">
      <w:pPr>
        <w:tabs>
          <w:tab w:val="left" w:pos="2702"/>
        </w:tabs>
        <w:spacing w:line="480" w:lineRule="auto"/>
        <w:jc w:val="both"/>
        <w:rPr>
          <w:sz w:val="24"/>
          <w:szCs w:val="24"/>
        </w:rPr>
      </w:pPr>
      <w:r>
        <w:rPr>
          <w:sz w:val="24"/>
          <w:szCs w:val="24"/>
        </w:rPr>
        <w:t>The process of setting up a bank and the prudential regulation of banks ha</w:t>
      </w:r>
      <w:r w:rsidR="00F82867">
        <w:rPr>
          <w:sz w:val="24"/>
          <w:szCs w:val="24"/>
        </w:rPr>
        <w:t>ve</w:t>
      </w:r>
      <w:r>
        <w:rPr>
          <w:sz w:val="24"/>
          <w:szCs w:val="24"/>
        </w:rPr>
        <w:t xml:space="preserve"> been radically overhauled since the financial crisis, and applies to all banks (including RFBs). There are some provisions </w:t>
      </w:r>
      <w:r w:rsidR="002D55BF">
        <w:rPr>
          <w:sz w:val="24"/>
          <w:szCs w:val="24"/>
        </w:rPr>
        <w:t xml:space="preserve">specific </w:t>
      </w:r>
      <w:r>
        <w:rPr>
          <w:sz w:val="24"/>
          <w:szCs w:val="24"/>
        </w:rPr>
        <w:t xml:space="preserve">to RFBs which are brought out in the practice detail below.  </w:t>
      </w:r>
    </w:p>
    <w:p w:rsidR="00CE0070" w:rsidRPr="00CE0070" w:rsidRDefault="00CE0070" w:rsidP="00E31F1B">
      <w:pPr>
        <w:tabs>
          <w:tab w:val="left" w:pos="2702"/>
        </w:tabs>
        <w:spacing w:line="480" w:lineRule="auto"/>
        <w:jc w:val="both"/>
        <w:rPr>
          <w:sz w:val="24"/>
          <w:szCs w:val="24"/>
        </w:rPr>
      </w:pPr>
    </w:p>
    <w:p w:rsidR="00DE7838" w:rsidRPr="00DE7838" w:rsidRDefault="00DE7838" w:rsidP="00E31F1B">
      <w:pPr>
        <w:pStyle w:val="Heading1"/>
        <w:tabs>
          <w:tab w:val="left" w:pos="2702"/>
        </w:tabs>
        <w:spacing w:line="480" w:lineRule="auto"/>
        <w:jc w:val="left"/>
      </w:pPr>
      <w:bookmarkStart w:id="9" w:name="_Toc428779481"/>
      <w:r w:rsidRPr="00DE7838">
        <w:t>The Practice of Creating a Ring-Fenced Bank</w:t>
      </w:r>
      <w:bookmarkEnd w:id="9"/>
    </w:p>
    <w:p w:rsidR="004D11DC" w:rsidRDefault="003F7035" w:rsidP="00E31F1B">
      <w:pPr>
        <w:tabs>
          <w:tab w:val="left" w:pos="2702"/>
        </w:tabs>
        <w:spacing w:line="480" w:lineRule="auto"/>
        <w:jc w:val="both"/>
        <w:rPr>
          <w:sz w:val="24"/>
          <w:szCs w:val="24"/>
        </w:rPr>
      </w:pPr>
      <w:r>
        <w:rPr>
          <w:sz w:val="24"/>
          <w:szCs w:val="24"/>
        </w:rPr>
        <w:t xml:space="preserve">The RFB provisions take effect in January 2019 and there is much for the banks to do. </w:t>
      </w:r>
      <w:r w:rsidR="00AB5B36">
        <w:rPr>
          <w:sz w:val="24"/>
          <w:szCs w:val="24"/>
        </w:rPr>
        <w:t>T</w:t>
      </w:r>
      <w:r w:rsidR="007557D6">
        <w:rPr>
          <w:sz w:val="24"/>
          <w:szCs w:val="24"/>
        </w:rPr>
        <w:t>here are some stand-alone banks, which by the nature of the</w:t>
      </w:r>
      <w:r w:rsidR="002D55BF">
        <w:rPr>
          <w:sz w:val="24"/>
          <w:szCs w:val="24"/>
        </w:rPr>
        <w:t>ir</w:t>
      </w:r>
      <w:r w:rsidR="007557D6">
        <w:rPr>
          <w:sz w:val="24"/>
          <w:szCs w:val="24"/>
        </w:rPr>
        <w:t xml:space="preserve"> business, become RFBs</w:t>
      </w:r>
      <w:r w:rsidR="002D55BF">
        <w:rPr>
          <w:sz w:val="24"/>
          <w:szCs w:val="24"/>
        </w:rPr>
        <w:t xml:space="preserve"> (deposits in excess of £25bn and not part of a group)</w:t>
      </w:r>
      <w:r w:rsidR="007557D6">
        <w:rPr>
          <w:sz w:val="24"/>
          <w:szCs w:val="24"/>
        </w:rPr>
        <w:t>, however, for those that are part of a group there will be a need to create an RFB</w:t>
      </w:r>
      <w:r w:rsidR="002D55BF">
        <w:rPr>
          <w:sz w:val="24"/>
          <w:szCs w:val="24"/>
        </w:rPr>
        <w:t xml:space="preserve"> (deposits in excess of £25bn and are part of a group)</w:t>
      </w:r>
      <w:r w:rsidR="007557D6">
        <w:rPr>
          <w:sz w:val="24"/>
          <w:szCs w:val="24"/>
        </w:rPr>
        <w:t xml:space="preserve">. </w:t>
      </w:r>
      <w:r w:rsidR="00736536">
        <w:rPr>
          <w:sz w:val="24"/>
          <w:szCs w:val="24"/>
        </w:rPr>
        <w:t xml:space="preserve">Some </w:t>
      </w:r>
      <w:r w:rsidR="007557D6">
        <w:rPr>
          <w:sz w:val="24"/>
          <w:szCs w:val="24"/>
        </w:rPr>
        <w:t>groups may naturally have a subsidiary that fits the criteria, but it is likely that they may need to transfer other assets and liabilities into it</w:t>
      </w:r>
      <w:r>
        <w:rPr>
          <w:sz w:val="24"/>
          <w:szCs w:val="24"/>
        </w:rPr>
        <w:t xml:space="preserve"> – and possibly some out</w:t>
      </w:r>
      <w:r w:rsidR="007557D6">
        <w:rPr>
          <w:sz w:val="24"/>
          <w:szCs w:val="24"/>
        </w:rPr>
        <w:t xml:space="preserve"> (this will require a Part VII </w:t>
      </w:r>
      <w:r w:rsidR="002D55BF">
        <w:rPr>
          <w:sz w:val="24"/>
          <w:szCs w:val="24"/>
        </w:rPr>
        <w:t>transfer</w:t>
      </w:r>
      <w:r w:rsidR="007557D6">
        <w:rPr>
          <w:sz w:val="24"/>
          <w:szCs w:val="24"/>
        </w:rPr>
        <w:t>)</w:t>
      </w:r>
      <w:r>
        <w:rPr>
          <w:sz w:val="24"/>
          <w:szCs w:val="24"/>
        </w:rPr>
        <w:t>.</w:t>
      </w:r>
    </w:p>
    <w:p w:rsidR="004D11DC" w:rsidRDefault="004D11DC" w:rsidP="00E31F1B">
      <w:pPr>
        <w:tabs>
          <w:tab w:val="left" w:pos="2702"/>
        </w:tabs>
        <w:spacing w:line="480" w:lineRule="auto"/>
        <w:jc w:val="both"/>
        <w:rPr>
          <w:sz w:val="24"/>
          <w:szCs w:val="24"/>
        </w:rPr>
      </w:pPr>
    </w:p>
    <w:p w:rsidR="00BD4FC3" w:rsidRDefault="004D11DC" w:rsidP="00E31F1B">
      <w:pPr>
        <w:tabs>
          <w:tab w:val="left" w:pos="2702"/>
        </w:tabs>
        <w:spacing w:line="480" w:lineRule="auto"/>
        <w:jc w:val="both"/>
        <w:rPr>
          <w:sz w:val="24"/>
          <w:szCs w:val="24"/>
        </w:rPr>
      </w:pPr>
      <w:r>
        <w:rPr>
          <w:sz w:val="24"/>
          <w:szCs w:val="24"/>
        </w:rPr>
        <w:t>In some cases there will be a need to create a new legal entity, and apply for a new authorisation</w:t>
      </w:r>
      <w:r w:rsidR="003F7035">
        <w:rPr>
          <w:sz w:val="24"/>
          <w:szCs w:val="24"/>
        </w:rPr>
        <w:t xml:space="preserve">. </w:t>
      </w:r>
      <w:r w:rsidR="00955774">
        <w:rPr>
          <w:sz w:val="24"/>
          <w:szCs w:val="24"/>
        </w:rPr>
        <w:t>I</w:t>
      </w:r>
      <w:r>
        <w:rPr>
          <w:sz w:val="24"/>
          <w:szCs w:val="24"/>
        </w:rPr>
        <w:t>n all cases</w:t>
      </w:r>
      <w:r w:rsidR="004177D5">
        <w:rPr>
          <w:sz w:val="24"/>
          <w:szCs w:val="24"/>
        </w:rPr>
        <w:t xml:space="preserve"> </w:t>
      </w:r>
      <w:r w:rsidR="00955774">
        <w:rPr>
          <w:sz w:val="24"/>
          <w:szCs w:val="24"/>
        </w:rPr>
        <w:t xml:space="preserve">of </w:t>
      </w:r>
      <w:r w:rsidR="003F7035">
        <w:rPr>
          <w:sz w:val="24"/>
          <w:szCs w:val="24"/>
        </w:rPr>
        <w:t>a new bank or re-structuring an existing bank</w:t>
      </w:r>
      <w:r w:rsidR="00955774">
        <w:rPr>
          <w:sz w:val="24"/>
          <w:szCs w:val="24"/>
        </w:rPr>
        <w:t>,</w:t>
      </w:r>
      <w:r w:rsidR="004177D5">
        <w:rPr>
          <w:sz w:val="24"/>
          <w:szCs w:val="24"/>
        </w:rPr>
        <w:t xml:space="preserve"> </w:t>
      </w:r>
      <w:r w:rsidR="002D55BF">
        <w:rPr>
          <w:sz w:val="24"/>
          <w:szCs w:val="24"/>
        </w:rPr>
        <w:t xml:space="preserve">it will be necessary </w:t>
      </w:r>
      <w:r>
        <w:rPr>
          <w:sz w:val="24"/>
          <w:szCs w:val="24"/>
        </w:rPr>
        <w:t xml:space="preserve">to provide four key documents (1) an Individual Capital Adequacy Assessment Process (ICAAP); (2) an Individual Liquidity Adequacy Assessment Process (ILAAP); (3) a Recovery Plan; and (4) a Resolution Pack – the last two </w:t>
      </w:r>
      <w:r w:rsidR="002D55BF">
        <w:rPr>
          <w:sz w:val="24"/>
          <w:szCs w:val="24"/>
        </w:rPr>
        <w:t xml:space="preserve">are </w:t>
      </w:r>
      <w:r>
        <w:rPr>
          <w:sz w:val="24"/>
          <w:szCs w:val="24"/>
        </w:rPr>
        <w:t xml:space="preserve">regularly referred </w:t>
      </w:r>
      <w:r w:rsidR="002D55BF">
        <w:rPr>
          <w:sz w:val="24"/>
          <w:szCs w:val="24"/>
        </w:rPr>
        <w:t xml:space="preserve">to together </w:t>
      </w:r>
      <w:r>
        <w:rPr>
          <w:sz w:val="24"/>
          <w:szCs w:val="24"/>
        </w:rPr>
        <w:t>as the Recovery and Resolution Plan (RRP).</w:t>
      </w:r>
      <w:r w:rsidR="00955774">
        <w:rPr>
          <w:sz w:val="24"/>
          <w:szCs w:val="24"/>
        </w:rPr>
        <w:t>Banks that are in effect already ring-fenced will also have to produce these documents on an annual basis. In the case of a new bank the documents will form part of a Banking Licence Application.</w:t>
      </w:r>
    </w:p>
    <w:p w:rsidR="004D11DC" w:rsidRDefault="004D11DC" w:rsidP="00E31F1B">
      <w:pPr>
        <w:tabs>
          <w:tab w:val="left" w:pos="2702"/>
        </w:tabs>
        <w:spacing w:line="480" w:lineRule="auto"/>
        <w:jc w:val="both"/>
        <w:rPr>
          <w:sz w:val="24"/>
          <w:szCs w:val="24"/>
        </w:rPr>
      </w:pPr>
    </w:p>
    <w:p w:rsidR="00CB27A4" w:rsidRDefault="00CB27A4" w:rsidP="00E31F1B">
      <w:pPr>
        <w:pStyle w:val="Heading2"/>
        <w:tabs>
          <w:tab w:val="left" w:pos="2702"/>
        </w:tabs>
        <w:spacing w:line="480" w:lineRule="auto"/>
      </w:pPr>
      <w:bookmarkStart w:id="10" w:name="_Toc428779482"/>
      <w:r>
        <w:lastRenderedPageBreak/>
        <w:t>Authorisation</w:t>
      </w:r>
      <w:bookmarkEnd w:id="10"/>
    </w:p>
    <w:p w:rsidR="004B115B" w:rsidRDefault="004D11DC" w:rsidP="00E31F1B">
      <w:pPr>
        <w:tabs>
          <w:tab w:val="left" w:pos="2702"/>
        </w:tabs>
        <w:spacing w:line="480" w:lineRule="auto"/>
        <w:jc w:val="both"/>
        <w:rPr>
          <w:sz w:val="24"/>
          <w:szCs w:val="24"/>
        </w:rPr>
      </w:pPr>
      <w:r>
        <w:rPr>
          <w:sz w:val="24"/>
          <w:szCs w:val="24"/>
        </w:rPr>
        <w:t>In the case of the need to create a new bank, a</w:t>
      </w:r>
      <w:r w:rsidR="00730ED5">
        <w:rPr>
          <w:sz w:val="24"/>
          <w:szCs w:val="24"/>
        </w:rPr>
        <w:t xml:space="preserve"> key part of creating the RFB is obtaining authorisation for the new legal entity. All of the ring-fenced </w:t>
      </w:r>
      <w:r w:rsidR="00185993">
        <w:rPr>
          <w:sz w:val="24"/>
          <w:szCs w:val="24"/>
        </w:rPr>
        <w:t xml:space="preserve">banks </w:t>
      </w:r>
      <w:r w:rsidR="00730ED5">
        <w:rPr>
          <w:sz w:val="24"/>
          <w:szCs w:val="24"/>
        </w:rPr>
        <w:t xml:space="preserve">will be authorised and regulated by the PRA and also regulated by the FCA. As part of the authorisation process the RFB will need to deliver a credible business plan, workable organisational structure, details of the firm’s governance arrangements, enterprise wide risk management arrangements together with </w:t>
      </w:r>
      <w:r w:rsidR="00AB5B36">
        <w:rPr>
          <w:sz w:val="24"/>
          <w:szCs w:val="24"/>
        </w:rPr>
        <w:t xml:space="preserve">the </w:t>
      </w:r>
      <w:r w:rsidR="00955774">
        <w:rPr>
          <w:sz w:val="24"/>
          <w:szCs w:val="24"/>
        </w:rPr>
        <w:t>four</w:t>
      </w:r>
      <w:r w:rsidR="00730ED5">
        <w:rPr>
          <w:sz w:val="24"/>
          <w:szCs w:val="24"/>
        </w:rPr>
        <w:t xml:space="preserve"> key supporting regulatory documents the ICAAP, the ILAAP, and the RRP</w:t>
      </w:r>
      <w:r w:rsidR="00955774">
        <w:rPr>
          <w:sz w:val="24"/>
          <w:szCs w:val="24"/>
        </w:rPr>
        <w:t xml:space="preserve"> (plan and pack)</w:t>
      </w:r>
      <w:r w:rsidR="00730ED5">
        <w:rPr>
          <w:sz w:val="24"/>
          <w:szCs w:val="24"/>
        </w:rPr>
        <w:t>.</w:t>
      </w:r>
    </w:p>
    <w:p w:rsidR="00564D97" w:rsidRDefault="00564D97" w:rsidP="00E31F1B">
      <w:pPr>
        <w:tabs>
          <w:tab w:val="left" w:pos="2702"/>
        </w:tabs>
        <w:spacing w:line="480" w:lineRule="auto"/>
        <w:jc w:val="both"/>
        <w:rPr>
          <w:sz w:val="24"/>
          <w:szCs w:val="24"/>
        </w:rPr>
      </w:pPr>
    </w:p>
    <w:p w:rsidR="00564D97" w:rsidRDefault="00564D97" w:rsidP="00E31F1B">
      <w:pPr>
        <w:tabs>
          <w:tab w:val="left" w:pos="2702"/>
        </w:tabs>
        <w:spacing w:line="480" w:lineRule="auto"/>
        <w:jc w:val="both"/>
        <w:rPr>
          <w:sz w:val="24"/>
          <w:szCs w:val="24"/>
        </w:rPr>
      </w:pPr>
      <w:r>
        <w:rPr>
          <w:sz w:val="24"/>
          <w:szCs w:val="24"/>
        </w:rPr>
        <w:t>For both the FCA and the PRA the applicant must comply with the threshold conditions</w:t>
      </w:r>
      <w:r>
        <w:rPr>
          <w:rStyle w:val="FootnoteReference"/>
          <w:sz w:val="24"/>
          <w:szCs w:val="24"/>
        </w:rPr>
        <w:footnoteReference w:id="116"/>
      </w:r>
      <w:r>
        <w:rPr>
          <w:sz w:val="24"/>
          <w:szCs w:val="24"/>
        </w:rPr>
        <w:t>, and for the PRA the Fundamental Rules, and for the FCA the Principles for Business. There is a detailed form to complete</w:t>
      </w:r>
      <w:r>
        <w:rPr>
          <w:rStyle w:val="FootnoteReference"/>
          <w:sz w:val="24"/>
          <w:szCs w:val="24"/>
        </w:rPr>
        <w:footnoteReference w:id="117"/>
      </w:r>
      <w:r>
        <w:rPr>
          <w:sz w:val="24"/>
          <w:szCs w:val="24"/>
        </w:rPr>
        <w:t xml:space="preserve"> that must be submitted to the PRA with all relevant key documentation. The regulator generally expects to complete a new authorisation in six months, but ha</w:t>
      </w:r>
      <w:r w:rsidR="002D55BF">
        <w:rPr>
          <w:sz w:val="24"/>
          <w:szCs w:val="24"/>
        </w:rPr>
        <w:t>s</w:t>
      </w:r>
      <w:r>
        <w:rPr>
          <w:sz w:val="24"/>
          <w:szCs w:val="24"/>
        </w:rPr>
        <w:t xml:space="preserve"> up to 12 months in the event that the application is incomplete. In any event it is normal for the regulator to initiate a number of ‘deep dive’ investigations during the course of the authorisation process</w:t>
      </w:r>
      <w:r w:rsidR="00185993">
        <w:rPr>
          <w:sz w:val="24"/>
          <w:szCs w:val="24"/>
        </w:rPr>
        <w:t>.</w:t>
      </w:r>
    </w:p>
    <w:p w:rsidR="004B115B" w:rsidRDefault="004B115B" w:rsidP="00E31F1B">
      <w:pPr>
        <w:tabs>
          <w:tab w:val="left" w:pos="2702"/>
        </w:tabs>
        <w:spacing w:line="480" w:lineRule="auto"/>
        <w:jc w:val="both"/>
        <w:rPr>
          <w:sz w:val="24"/>
          <w:szCs w:val="24"/>
        </w:rPr>
      </w:pPr>
    </w:p>
    <w:p w:rsidR="004B115B" w:rsidRDefault="004B115B" w:rsidP="00E31F1B">
      <w:pPr>
        <w:pStyle w:val="Heading2"/>
        <w:tabs>
          <w:tab w:val="left" w:pos="2702"/>
        </w:tabs>
        <w:spacing w:line="480" w:lineRule="auto"/>
      </w:pPr>
      <w:bookmarkStart w:id="11" w:name="_Toc428779483"/>
      <w:r>
        <w:t>Business Plan and Organisational Structure</w:t>
      </w:r>
      <w:bookmarkEnd w:id="11"/>
    </w:p>
    <w:p w:rsidR="001A050C" w:rsidRDefault="001A050C" w:rsidP="00E31F1B">
      <w:pPr>
        <w:tabs>
          <w:tab w:val="left" w:pos="2702"/>
        </w:tabs>
        <w:spacing w:line="480" w:lineRule="auto"/>
        <w:jc w:val="both"/>
        <w:rPr>
          <w:sz w:val="24"/>
          <w:szCs w:val="24"/>
        </w:rPr>
      </w:pPr>
      <w:r>
        <w:rPr>
          <w:sz w:val="24"/>
          <w:szCs w:val="24"/>
        </w:rPr>
        <w:t xml:space="preserve">When </w:t>
      </w:r>
      <w:r w:rsidR="00474640">
        <w:rPr>
          <w:sz w:val="24"/>
          <w:szCs w:val="24"/>
        </w:rPr>
        <w:t xml:space="preserve">applying for a banking licence </w:t>
      </w:r>
      <w:r>
        <w:rPr>
          <w:sz w:val="24"/>
          <w:szCs w:val="24"/>
        </w:rPr>
        <w:t>an</w:t>
      </w:r>
      <w:r w:rsidR="00474640">
        <w:rPr>
          <w:sz w:val="24"/>
          <w:szCs w:val="24"/>
        </w:rPr>
        <w:t xml:space="preserve"> RFB must submit </w:t>
      </w:r>
      <w:r>
        <w:rPr>
          <w:sz w:val="24"/>
          <w:szCs w:val="24"/>
        </w:rPr>
        <w:t>details of it legal structure and its business plan. T</w:t>
      </w:r>
      <w:r w:rsidR="003976A5">
        <w:rPr>
          <w:sz w:val="24"/>
          <w:szCs w:val="24"/>
        </w:rPr>
        <w:t>h</w:t>
      </w:r>
      <w:r>
        <w:rPr>
          <w:sz w:val="24"/>
          <w:szCs w:val="24"/>
        </w:rPr>
        <w:t xml:space="preserve">e RFB should not have an ownership interest in subsidiaries that engage in prohibited activities, however, there may be subsidiaries in the group that carry on prohibited </w:t>
      </w:r>
      <w:r>
        <w:rPr>
          <w:sz w:val="24"/>
          <w:szCs w:val="24"/>
        </w:rPr>
        <w:lastRenderedPageBreak/>
        <w:t>activities</w:t>
      </w:r>
      <w:r>
        <w:rPr>
          <w:rStyle w:val="FootnoteReference"/>
          <w:sz w:val="24"/>
          <w:szCs w:val="24"/>
        </w:rPr>
        <w:footnoteReference w:id="118"/>
      </w:r>
      <w:r>
        <w:rPr>
          <w:sz w:val="24"/>
          <w:szCs w:val="24"/>
        </w:rPr>
        <w:t>. This is expected be addressed in structural arrangement known as  a ‘sibling structure’, where the holding company can have a cluster of subsidiaries engaging in R</w:t>
      </w:r>
      <w:r w:rsidR="002D55BF">
        <w:rPr>
          <w:sz w:val="24"/>
          <w:szCs w:val="24"/>
        </w:rPr>
        <w:t>F</w:t>
      </w:r>
      <w:r>
        <w:rPr>
          <w:sz w:val="24"/>
          <w:szCs w:val="24"/>
        </w:rPr>
        <w:t>B prohibited activity, and a cluster engaging in RFB activities</w:t>
      </w:r>
      <w:r>
        <w:rPr>
          <w:rStyle w:val="FootnoteReference"/>
          <w:sz w:val="24"/>
          <w:szCs w:val="24"/>
        </w:rPr>
        <w:footnoteReference w:id="119"/>
      </w:r>
      <w:r>
        <w:rPr>
          <w:sz w:val="24"/>
          <w:szCs w:val="24"/>
        </w:rPr>
        <w:t xml:space="preserve">.  </w:t>
      </w:r>
      <w:r w:rsidR="00185993">
        <w:rPr>
          <w:sz w:val="24"/>
          <w:szCs w:val="24"/>
        </w:rPr>
        <w:t xml:space="preserve">The RFB is not </w:t>
      </w:r>
      <w:r w:rsidR="00955774">
        <w:rPr>
          <w:sz w:val="24"/>
          <w:szCs w:val="24"/>
        </w:rPr>
        <w:t xml:space="preserve">legally </w:t>
      </w:r>
      <w:r w:rsidR="00185993">
        <w:rPr>
          <w:sz w:val="24"/>
          <w:szCs w:val="24"/>
        </w:rPr>
        <w:t>required to have a holding company, however, the PRA has expressed a preference for a holding company structure</w:t>
      </w:r>
      <w:r w:rsidR="00955774">
        <w:rPr>
          <w:rStyle w:val="FootnoteReference"/>
          <w:sz w:val="24"/>
          <w:szCs w:val="24"/>
        </w:rPr>
        <w:footnoteReference w:id="120"/>
      </w:r>
      <w:r w:rsidR="00185993">
        <w:rPr>
          <w:sz w:val="24"/>
          <w:szCs w:val="24"/>
        </w:rPr>
        <w:t>. In the event of resolution the debts of the RFB can be transferred into the holding company and the BoE (the Resolution Authority) can use the holding company as the Single Point of Entry (SPE) to resolve the RFB.</w:t>
      </w:r>
    </w:p>
    <w:p w:rsidR="003976A5" w:rsidRDefault="003976A5" w:rsidP="00E31F1B">
      <w:pPr>
        <w:tabs>
          <w:tab w:val="left" w:pos="2702"/>
        </w:tabs>
        <w:spacing w:line="480" w:lineRule="auto"/>
        <w:jc w:val="both"/>
        <w:rPr>
          <w:sz w:val="24"/>
          <w:szCs w:val="24"/>
        </w:rPr>
      </w:pPr>
    </w:p>
    <w:p w:rsidR="003976A5" w:rsidRDefault="003976A5" w:rsidP="00E31F1B">
      <w:pPr>
        <w:tabs>
          <w:tab w:val="left" w:pos="2702"/>
        </w:tabs>
        <w:spacing w:line="480" w:lineRule="auto"/>
        <w:jc w:val="both"/>
        <w:rPr>
          <w:sz w:val="24"/>
          <w:szCs w:val="24"/>
        </w:rPr>
      </w:pPr>
      <w:r>
        <w:rPr>
          <w:sz w:val="24"/>
          <w:szCs w:val="24"/>
        </w:rPr>
        <w:t>The RFB may not have subsidiaries or branches outside the EEA, although there is an exemption for ancillary services that do not constitute activities that would be regulated in the UK</w:t>
      </w:r>
      <w:r>
        <w:rPr>
          <w:rStyle w:val="FootnoteReference"/>
          <w:sz w:val="24"/>
          <w:szCs w:val="24"/>
        </w:rPr>
        <w:footnoteReference w:id="121"/>
      </w:r>
      <w:r>
        <w:rPr>
          <w:sz w:val="24"/>
          <w:szCs w:val="24"/>
        </w:rPr>
        <w:t xml:space="preserve">. However, an RFB can operate branches and / or conduct activities </w:t>
      </w:r>
      <w:r w:rsidR="00955774">
        <w:rPr>
          <w:sz w:val="24"/>
          <w:szCs w:val="24"/>
        </w:rPr>
        <w:t xml:space="preserve">in the EU </w:t>
      </w:r>
      <w:r>
        <w:rPr>
          <w:sz w:val="24"/>
          <w:szCs w:val="24"/>
        </w:rPr>
        <w:t>under the EU pass</w:t>
      </w:r>
      <w:r w:rsidR="00340B3A">
        <w:rPr>
          <w:sz w:val="24"/>
          <w:szCs w:val="24"/>
        </w:rPr>
        <w:t>-</w:t>
      </w:r>
      <w:r>
        <w:rPr>
          <w:sz w:val="24"/>
          <w:szCs w:val="24"/>
        </w:rPr>
        <w:t xml:space="preserve">porting rights. </w:t>
      </w:r>
    </w:p>
    <w:p w:rsidR="003976A5" w:rsidRDefault="003976A5" w:rsidP="00E31F1B">
      <w:pPr>
        <w:tabs>
          <w:tab w:val="left" w:pos="2702"/>
        </w:tabs>
        <w:spacing w:line="480" w:lineRule="auto"/>
        <w:jc w:val="both"/>
        <w:rPr>
          <w:sz w:val="24"/>
          <w:szCs w:val="24"/>
        </w:rPr>
      </w:pPr>
    </w:p>
    <w:p w:rsidR="00576BA0" w:rsidRDefault="003976A5" w:rsidP="00E31F1B">
      <w:pPr>
        <w:tabs>
          <w:tab w:val="left" w:pos="2702"/>
        </w:tabs>
        <w:spacing w:line="480" w:lineRule="auto"/>
        <w:jc w:val="both"/>
        <w:rPr>
          <w:sz w:val="24"/>
          <w:szCs w:val="24"/>
        </w:rPr>
      </w:pPr>
      <w:r>
        <w:rPr>
          <w:sz w:val="24"/>
          <w:szCs w:val="24"/>
        </w:rPr>
        <w:t>Pass</w:t>
      </w:r>
      <w:r w:rsidR="00340B3A">
        <w:rPr>
          <w:sz w:val="24"/>
          <w:szCs w:val="24"/>
        </w:rPr>
        <w:t>-</w:t>
      </w:r>
      <w:r>
        <w:rPr>
          <w:sz w:val="24"/>
          <w:szCs w:val="24"/>
        </w:rPr>
        <w:t>porting right</w:t>
      </w:r>
      <w:r w:rsidR="002D55BF">
        <w:rPr>
          <w:sz w:val="24"/>
          <w:szCs w:val="24"/>
        </w:rPr>
        <w:t>s</w:t>
      </w:r>
      <w:r>
        <w:rPr>
          <w:sz w:val="24"/>
          <w:szCs w:val="24"/>
        </w:rPr>
        <w:t xml:space="preserve"> ha</w:t>
      </w:r>
      <w:r w:rsidR="002D55BF">
        <w:rPr>
          <w:sz w:val="24"/>
          <w:szCs w:val="24"/>
        </w:rPr>
        <w:t>ve</w:t>
      </w:r>
      <w:r>
        <w:rPr>
          <w:sz w:val="24"/>
          <w:szCs w:val="24"/>
        </w:rPr>
        <w:t xml:space="preserve"> been an area of confusion for banks. It is clear when establishing a branch that a passport waiver </w:t>
      </w:r>
      <w:r w:rsidR="00955774">
        <w:rPr>
          <w:sz w:val="24"/>
          <w:szCs w:val="24"/>
        </w:rPr>
        <w:t xml:space="preserve">application </w:t>
      </w:r>
      <w:r>
        <w:rPr>
          <w:sz w:val="24"/>
          <w:szCs w:val="24"/>
        </w:rPr>
        <w:t>has to be made to the regulator, however in the case of</w:t>
      </w:r>
      <w:r w:rsidR="002D55BF">
        <w:rPr>
          <w:sz w:val="24"/>
          <w:szCs w:val="24"/>
        </w:rPr>
        <w:t xml:space="preserve">the provision of </w:t>
      </w:r>
      <w:r w:rsidR="00576BA0">
        <w:rPr>
          <w:sz w:val="24"/>
          <w:szCs w:val="24"/>
        </w:rPr>
        <w:t>cross-border services and modern communication capabilities it is more complicated. EEA regulators appear to have taken different positions on the issue with two different tests:</w:t>
      </w:r>
    </w:p>
    <w:p w:rsidR="00576BA0" w:rsidRDefault="00576BA0" w:rsidP="00E31F1B">
      <w:pPr>
        <w:tabs>
          <w:tab w:val="left" w:pos="2702"/>
        </w:tabs>
        <w:spacing w:line="480" w:lineRule="auto"/>
        <w:jc w:val="both"/>
        <w:rPr>
          <w:sz w:val="24"/>
          <w:szCs w:val="24"/>
        </w:rPr>
      </w:pPr>
    </w:p>
    <w:p w:rsidR="003976A5" w:rsidRDefault="00576BA0" w:rsidP="00E31F1B">
      <w:pPr>
        <w:pStyle w:val="ListParagraph"/>
        <w:numPr>
          <w:ilvl w:val="0"/>
          <w:numId w:val="21"/>
        </w:numPr>
        <w:tabs>
          <w:tab w:val="left" w:pos="2702"/>
        </w:tabs>
        <w:spacing w:line="480" w:lineRule="auto"/>
        <w:jc w:val="both"/>
        <w:rPr>
          <w:sz w:val="24"/>
          <w:szCs w:val="24"/>
        </w:rPr>
      </w:pPr>
      <w:r>
        <w:rPr>
          <w:sz w:val="24"/>
          <w:szCs w:val="24"/>
        </w:rPr>
        <w:lastRenderedPageBreak/>
        <w:t>the ‘characteristic performance test’ – the place of provision of the service, i.e. the essential supply for which payment is due must be determined</w:t>
      </w:r>
    </w:p>
    <w:p w:rsidR="00576BA0" w:rsidRDefault="00576BA0" w:rsidP="00E31F1B">
      <w:pPr>
        <w:pStyle w:val="ListParagraph"/>
        <w:numPr>
          <w:ilvl w:val="0"/>
          <w:numId w:val="21"/>
        </w:numPr>
        <w:tabs>
          <w:tab w:val="left" w:pos="2702"/>
        </w:tabs>
        <w:spacing w:line="480" w:lineRule="auto"/>
        <w:jc w:val="both"/>
        <w:rPr>
          <w:sz w:val="24"/>
          <w:szCs w:val="24"/>
        </w:rPr>
      </w:pPr>
      <w:r>
        <w:rPr>
          <w:sz w:val="24"/>
          <w:szCs w:val="24"/>
        </w:rPr>
        <w:t xml:space="preserve">the ‘solicitation test’ – </w:t>
      </w:r>
      <w:r w:rsidR="00955774">
        <w:rPr>
          <w:sz w:val="24"/>
          <w:szCs w:val="24"/>
        </w:rPr>
        <w:t>the location</w:t>
      </w:r>
      <w:r>
        <w:rPr>
          <w:sz w:val="24"/>
          <w:szCs w:val="24"/>
        </w:rPr>
        <w:t xml:space="preserve"> under which the transaction that is conducted was solicited by the bank.</w:t>
      </w:r>
    </w:p>
    <w:p w:rsidR="00576BA0" w:rsidRDefault="00576BA0" w:rsidP="00E31F1B">
      <w:pPr>
        <w:tabs>
          <w:tab w:val="left" w:pos="2702"/>
        </w:tabs>
        <w:spacing w:line="480" w:lineRule="auto"/>
        <w:jc w:val="both"/>
        <w:rPr>
          <w:sz w:val="24"/>
          <w:szCs w:val="24"/>
        </w:rPr>
      </w:pPr>
    </w:p>
    <w:p w:rsidR="00576BA0" w:rsidRDefault="00576BA0" w:rsidP="00E31F1B">
      <w:pPr>
        <w:tabs>
          <w:tab w:val="left" w:pos="2702"/>
        </w:tabs>
        <w:spacing w:line="480" w:lineRule="auto"/>
        <w:jc w:val="both"/>
        <w:rPr>
          <w:sz w:val="24"/>
          <w:szCs w:val="24"/>
        </w:rPr>
      </w:pPr>
      <w:r>
        <w:rPr>
          <w:sz w:val="24"/>
          <w:szCs w:val="24"/>
        </w:rPr>
        <w:t>The UK has followed an EU interpretative communication</w:t>
      </w:r>
      <w:r>
        <w:rPr>
          <w:rStyle w:val="FootnoteReference"/>
          <w:sz w:val="24"/>
          <w:szCs w:val="24"/>
        </w:rPr>
        <w:footnoteReference w:id="122"/>
      </w:r>
      <w:r>
        <w:rPr>
          <w:sz w:val="24"/>
          <w:szCs w:val="24"/>
        </w:rPr>
        <w:t>, and applies the characteristic performance test. Unfortunately neither the PRA</w:t>
      </w:r>
      <w:r w:rsidR="002D55BF">
        <w:rPr>
          <w:sz w:val="24"/>
          <w:szCs w:val="24"/>
        </w:rPr>
        <w:t>,</w:t>
      </w:r>
      <w:r>
        <w:rPr>
          <w:sz w:val="24"/>
          <w:szCs w:val="24"/>
        </w:rPr>
        <w:t xml:space="preserve"> nor the EU Communication</w:t>
      </w:r>
      <w:r w:rsidR="002D55BF">
        <w:rPr>
          <w:sz w:val="24"/>
          <w:szCs w:val="24"/>
        </w:rPr>
        <w:t>,</w:t>
      </w:r>
      <w:r>
        <w:rPr>
          <w:sz w:val="24"/>
          <w:szCs w:val="24"/>
        </w:rPr>
        <w:t xml:space="preserve"> have defined or articulated how to apply the test, with the Communication acknowledging:</w:t>
      </w:r>
    </w:p>
    <w:p w:rsidR="00576BA0" w:rsidRDefault="00576BA0" w:rsidP="00E31F1B">
      <w:pPr>
        <w:tabs>
          <w:tab w:val="left" w:pos="2702"/>
        </w:tabs>
        <w:spacing w:line="480" w:lineRule="auto"/>
        <w:jc w:val="both"/>
        <w:rPr>
          <w:sz w:val="24"/>
          <w:szCs w:val="24"/>
        </w:rPr>
      </w:pPr>
    </w:p>
    <w:p w:rsidR="00576BA0" w:rsidRPr="00576BA0" w:rsidRDefault="00576BA0" w:rsidP="00E31F1B">
      <w:pPr>
        <w:tabs>
          <w:tab w:val="left" w:pos="2702"/>
        </w:tabs>
        <w:ind w:left="720"/>
        <w:jc w:val="both"/>
        <w:rPr>
          <w:i/>
          <w:sz w:val="24"/>
          <w:szCs w:val="24"/>
        </w:rPr>
      </w:pPr>
      <w:r w:rsidRPr="00576BA0">
        <w:rPr>
          <w:i/>
          <w:sz w:val="24"/>
          <w:szCs w:val="24"/>
        </w:rPr>
        <w:t xml:space="preserve">“...any credit institution is at liberty to choose, for reasons of legal certainty, to make use of the notification procedures provided for in the Second Directive, even, if according to the criteria proposed above, notification may not be necessary.” </w:t>
      </w:r>
    </w:p>
    <w:p w:rsidR="001A050C" w:rsidRDefault="001A050C" w:rsidP="00E31F1B">
      <w:pPr>
        <w:tabs>
          <w:tab w:val="left" w:pos="2702"/>
        </w:tabs>
        <w:spacing w:line="480" w:lineRule="auto"/>
        <w:jc w:val="both"/>
        <w:rPr>
          <w:sz w:val="24"/>
          <w:szCs w:val="24"/>
        </w:rPr>
      </w:pPr>
    </w:p>
    <w:p w:rsidR="00576BA0" w:rsidRDefault="00576BA0" w:rsidP="00E31F1B">
      <w:pPr>
        <w:tabs>
          <w:tab w:val="left" w:pos="2702"/>
        </w:tabs>
        <w:spacing w:line="480" w:lineRule="auto"/>
        <w:jc w:val="both"/>
        <w:rPr>
          <w:sz w:val="24"/>
          <w:szCs w:val="24"/>
        </w:rPr>
      </w:pPr>
      <w:r>
        <w:rPr>
          <w:sz w:val="24"/>
          <w:szCs w:val="24"/>
        </w:rPr>
        <w:t>Give</w:t>
      </w:r>
      <w:r w:rsidR="00955774">
        <w:rPr>
          <w:sz w:val="24"/>
          <w:szCs w:val="24"/>
        </w:rPr>
        <w:t>n</w:t>
      </w:r>
      <w:r>
        <w:rPr>
          <w:sz w:val="24"/>
          <w:szCs w:val="24"/>
        </w:rPr>
        <w:t xml:space="preserve"> modern communications banks are erring on the side of caution and the recently established TSB Bank (which will in due course become an RFB) applied for thirty passports.   </w:t>
      </w:r>
    </w:p>
    <w:p w:rsidR="00576BA0" w:rsidRDefault="00576BA0" w:rsidP="00E31F1B">
      <w:pPr>
        <w:tabs>
          <w:tab w:val="left" w:pos="2702"/>
        </w:tabs>
        <w:spacing w:line="480" w:lineRule="auto"/>
        <w:jc w:val="both"/>
        <w:rPr>
          <w:sz w:val="24"/>
          <w:szCs w:val="24"/>
        </w:rPr>
      </w:pPr>
    </w:p>
    <w:p w:rsidR="00BD4FC3" w:rsidRDefault="00474640" w:rsidP="00E31F1B">
      <w:pPr>
        <w:tabs>
          <w:tab w:val="left" w:pos="2702"/>
        </w:tabs>
        <w:spacing w:line="480" w:lineRule="auto"/>
        <w:jc w:val="both"/>
        <w:rPr>
          <w:sz w:val="24"/>
          <w:szCs w:val="24"/>
        </w:rPr>
      </w:pPr>
      <w:r>
        <w:rPr>
          <w:sz w:val="24"/>
          <w:szCs w:val="24"/>
        </w:rPr>
        <w:t xml:space="preserve">The majority of RFBs will be serving both Personal Customers and Corporate Customers </w:t>
      </w:r>
      <w:r w:rsidR="005C231A">
        <w:rPr>
          <w:sz w:val="24"/>
          <w:szCs w:val="24"/>
        </w:rPr>
        <w:t xml:space="preserve">(mainly SMEs) </w:t>
      </w:r>
      <w:r>
        <w:rPr>
          <w:sz w:val="24"/>
          <w:szCs w:val="24"/>
        </w:rPr>
        <w:t xml:space="preserve">and may choose to use a simple two Division structure.  </w:t>
      </w:r>
      <w:r w:rsidR="00BD4FC3">
        <w:rPr>
          <w:sz w:val="24"/>
          <w:szCs w:val="24"/>
        </w:rPr>
        <w:t xml:space="preserve">The business plan should indicate the segments that the bank currently operates in, its plans for growth over the next five years (the ICAAP assessment period), any plans to introduce new products or services, its marketing strategy and anything else that </w:t>
      </w:r>
      <w:r w:rsidR="001A050C">
        <w:rPr>
          <w:sz w:val="24"/>
          <w:szCs w:val="24"/>
        </w:rPr>
        <w:t>a</w:t>
      </w:r>
      <w:r w:rsidR="00BD4FC3">
        <w:rPr>
          <w:sz w:val="24"/>
          <w:szCs w:val="24"/>
        </w:rPr>
        <w:t>ssists the PRA</w:t>
      </w:r>
      <w:r w:rsidR="005C231A">
        <w:rPr>
          <w:sz w:val="24"/>
          <w:szCs w:val="24"/>
        </w:rPr>
        <w:t xml:space="preserve"> (from a prudential perspective)</w:t>
      </w:r>
      <w:r w:rsidR="00BD4FC3">
        <w:rPr>
          <w:sz w:val="24"/>
          <w:szCs w:val="24"/>
        </w:rPr>
        <w:t xml:space="preserve"> and the FCA</w:t>
      </w:r>
      <w:r w:rsidR="005C231A">
        <w:rPr>
          <w:sz w:val="24"/>
          <w:szCs w:val="24"/>
        </w:rPr>
        <w:t xml:space="preserve"> (from a conduct perspective)</w:t>
      </w:r>
      <w:r w:rsidR="00BD4FC3">
        <w:rPr>
          <w:sz w:val="24"/>
          <w:szCs w:val="24"/>
        </w:rPr>
        <w:t xml:space="preserve"> in assessing the bank’s plans.</w:t>
      </w:r>
    </w:p>
    <w:p w:rsidR="00474640" w:rsidRDefault="00474640" w:rsidP="00E31F1B">
      <w:pPr>
        <w:tabs>
          <w:tab w:val="left" w:pos="2702"/>
        </w:tabs>
        <w:spacing w:line="480" w:lineRule="auto"/>
        <w:jc w:val="both"/>
        <w:rPr>
          <w:sz w:val="24"/>
          <w:szCs w:val="24"/>
        </w:rPr>
      </w:pPr>
    </w:p>
    <w:p w:rsidR="004B115B" w:rsidRDefault="004B115B" w:rsidP="00E31F1B">
      <w:pPr>
        <w:pStyle w:val="Heading2"/>
        <w:tabs>
          <w:tab w:val="left" w:pos="2702"/>
        </w:tabs>
        <w:spacing w:line="480" w:lineRule="auto"/>
      </w:pPr>
      <w:bookmarkStart w:id="12" w:name="_Toc428779484"/>
      <w:r>
        <w:lastRenderedPageBreak/>
        <w:t>Governance Arrangements</w:t>
      </w:r>
      <w:bookmarkEnd w:id="12"/>
    </w:p>
    <w:p w:rsidR="00474640" w:rsidRDefault="00474640" w:rsidP="00E31F1B">
      <w:pPr>
        <w:tabs>
          <w:tab w:val="left" w:pos="2702"/>
        </w:tabs>
        <w:spacing w:line="480" w:lineRule="auto"/>
        <w:jc w:val="both"/>
        <w:rPr>
          <w:sz w:val="24"/>
          <w:szCs w:val="24"/>
        </w:rPr>
      </w:pPr>
      <w:r w:rsidRPr="00474640">
        <w:rPr>
          <w:sz w:val="24"/>
          <w:szCs w:val="24"/>
        </w:rPr>
        <w:t>The UK operates a unitary board system with a Board</w:t>
      </w:r>
      <w:r>
        <w:rPr>
          <w:sz w:val="24"/>
          <w:szCs w:val="24"/>
        </w:rPr>
        <w:t xml:space="preserve"> made up of both executive directors and non-executive directors. This creates some difficulty as European legislation in the past had a very clear distinction between the ‘governing body’ and the ‘management body’ – largely to cater for the fact that many European Countries operate a two tier Board system. This was satisfactory for the UK, where the ‘governing body’ was seen as the Board with responsibility for direction and oversight, and the ‘management body’ as the Executive Committee with responsibility for managing the business. This created a healthy tension between the Board and the Executive Committee </w:t>
      </w:r>
      <w:r w:rsidR="005C231A">
        <w:rPr>
          <w:sz w:val="24"/>
          <w:szCs w:val="24"/>
        </w:rPr>
        <w:t xml:space="preserve">management </w:t>
      </w:r>
      <w:r>
        <w:rPr>
          <w:sz w:val="24"/>
          <w:szCs w:val="24"/>
        </w:rPr>
        <w:t xml:space="preserve">(similar to two-tier Boards), </w:t>
      </w:r>
      <w:r w:rsidR="00AB5B36">
        <w:rPr>
          <w:sz w:val="24"/>
          <w:szCs w:val="24"/>
        </w:rPr>
        <w:t>albeit</w:t>
      </w:r>
      <w:r>
        <w:rPr>
          <w:sz w:val="24"/>
          <w:szCs w:val="24"/>
        </w:rPr>
        <w:t xml:space="preserve"> that some </w:t>
      </w:r>
      <w:r w:rsidR="00AB5B36">
        <w:rPr>
          <w:sz w:val="24"/>
          <w:szCs w:val="24"/>
        </w:rPr>
        <w:t>Board</w:t>
      </w:r>
      <w:r w:rsidR="008D71F9">
        <w:rPr>
          <w:sz w:val="24"/>
          <w:szCs w:val="24"/>
        </w:rPr>
        <w:t xml:space="preserve"> members had </w:t>
      </w:r>
      <w:r w:rsidR="00C74622">
        <w:rPr>
          <w:sz w:val="24"/>
          <w:szCs w:val="24"/>
        </w:rPr>
        <w:t xml:space="preserve">(and still have) </w:t>
      </w:r>
      <w:r w:rsidR="008D71F9">
        <w:rPr>
          <w:sz w:val="24"/>
          <w:szCs w:val="24"/>
        </w:rPr>
        <w:t xml:space="preserve">a functional role in respect of managing the business (usually the Chief Executive Officer, Chief Finance Officer, and Chief Risk Officer) and a collective responsibility </w:t>
      </w:r>
      <w:r w:rsidR="00566406">
        <w:rPr>
          <w:sz w:val="24"/>
          <w:szCs w:val="24"/>
        </w:rPr>
        <w:t xml:space="preserve">role </w:t>
      </w:r>
      <w:r w:rsidR="008D71F9">
        <w:rPr>
          <w:sz w:val="24"/>
          <w:szCs w:val="24"/>
        </w:rPr>
        <w:t>for direction and oversight as members of the Board.</w:t>
      </w:r>
    </w:p>
    <w:p w:rsidR="008D71F9" w:rsidRDefault="008D71F9" w:rsidP="00E31F1B">
      <w:pPr>
        <w:tabs>
          <w:tab w:val="left" w:pos="2702"/>
        </w:tabs>
        <w:spacing w:line="480" w:lineRule="auto"/>
        <w:jc w:val="both"/>
        <w:rPr>
          <w:sz w:val="24"/>
          <w:szCs w:val="24"/>
        </w:rPr>
      </w:pPr>
    </w:p>
    <w:p w:rsidR="008D71F9" w:rsidRDefault="008D71F9" w:rsidP="00E31F1B">
      <w:pPr>
        <w:tabs>
          <w:tab w:val="left" w:pos="2702"/>
        </w:tabs>
        <w:spacing w:line="480" w:lineRule="auto"/>
        <w:jc w:val="both"/>
        <w:rPr>
          <w:sz w:val="24"/>
          <w:szCs w:val="24"/>
        </w:rPr>
      </w:pPr>
      <w:r>
        <w:rPr>
          <w:sz w:val="24"/>
          <w:szCs w:val="24"/>
        </w:rPr>
        <w:t>Recent regulation has caused some confusion here where both EU regulators have started to use ‘governing body’ and ‘management body’ inter</w:t>
      </w:r>
      <w:r w:rsidR="004051DC">
        <w:rPr>
          <w:sz w:val="24"/>
          <w:szCs w:val="24"/>
        </w:rPr>
        <w:t>c</w:t>
      </w:r>
      <w:r>
        <w:rPr>
          <w:sz w:val="24"/>
          <w:szCs w:val="24"/>
        </w:rPr>
        <w:t>hangeably</w:t>
      </w:r>
      <w:r w:rsidR="0075392C">
        <w:rPr>
          <w:sz w:val="24"/>
          <w:szCs w:val="24"/>
        </w:rPr>
        <w:t>, and in particular management body to represent the Board</w:t>
      </w:r>
      <w:r w:rsidR="0075392C">
        <w:rPr>
          <w:rStyle w:val="FootnoteReference"/>
          <w:sz w:val="24"/>
          <w:szCs w:val="24"/>
        </w:rPr>
        <w:footnoteReference w:id="123"/>
      </w:r>
      <w:r>
        <w:rPr>
          <w:sz w:val="24"/>
          <w:szCs w:val="24"/>
        </w:rPr>
        <w:t xml:space="preserve">.  </w:t>
      </w:r>
    </w:p>
    <w:p w:rsidR="00BD4FC3" w:rsidRDefault="00BD4FC3" w:rsidP="00E31F1B">
      <w:pPr>
        <w:tabs>
          <w:tab w:val="left" w:pos="2702"/>
        </w:tabs>
        <w:spacing w:line="480" w:lineRule="auto"/>
        <w:jc w:val="both"/>
        <w:rPr>
          <w:sz w:val="24"/>
          <w:szCs w:val="24"/>
        </w:rPr>
      </w:pPr>
    </w:p>
    <w:p w:rsidR="004051DC" w:rsidRDefault="004051DC" w:rsidP="00E31F1B">
      <w:pPr>
        <w:tabs>
          <w:tab w:val="left" w:pos="2702"/>
        </w:tabs>
        <w:spacing w:line="480" w:lineRule="auto"/>
        <w:jc w:val="both"/>
        <w:rPr>
          <w:sz w:val="24"/>
          <w:szCs w:val="24"/>
        </w:rPr>
      </w:pPr>
      <w:r>
        <w:rPr>
          <w:sz w:val="24"/>
          <w:szCs w:val="24"/>
        </w:rPr>
        <w:t xml:space="preserve">The </w:t>
      </w:r>
      <w:r w:rsidR="00566406">
        <w:rPr>
          <w:sz w:val="24"/>
          <w:szCs w:val="24"/>
        </w:rPr>
        <w:t xml:space="preserve">Financial Services (Banking Reform) </w:t>
      </w:r>
      <w:r>
        <w:rPr>
          <w:sz w:val="24"/>
          <w:szCs w:val="24"/>
        </w:rPr>
        <w:t>Act</w:t>
      </w:r>
      <w:r w:rsidR="00566406">
        <w:rPr>
          <w:sz w:val="24"/>
          <w:szCs w:val="24"/>
        </w:rPr>
        <w:t xml:space="preserve"> 2013 (the FSBRA)</w:t>
      </w:r>
      <w:r>
        <w:rPr>
          <w:sz w:val="24"/>
          <w:szCs w:val="24"/>
        </w:rPr>
        <w:t xml:space="preserve"> requires the PRA to make rules</w:t>
      </w:r>
      <w:r>
        <w:rPr>
          <w:rStyle w:val="FootnoteReference"/>
          <w:sz w:val="24"/>
          <w:szCs w:val="24"/>
        </w:rPr>
        <w:footnoteReference w:id="124"/>
      </w:r>
      <w:r>
        <w:rPr>
          <w:sz w:val="24"/>
          <w:szCs w:val="24"/>
        </w:rPr>
        <w:t xml:space="preserve"> requiring an RFB to have a board of directors which includes members who are treated by the rules as:</w:t>
      </w:r>
    </w:p>
    <w:p w:rsidR="004051DC" w:rsidRDefault="004051DC" w:rsidP="00E31F1B">
      <w:pPr>
        <w:tabs>
          <w:tab w:val="left" w:pos="2702"/>
        </w:tabs>
        <w:spacing w:line="480" w:lineRule="auto"/>
        <w:jc w:val="both"/>
        <w:rPr>
          <w:sz w:val="24"/>
          <w:szCs w:val="24"/>
        </w:rPr>
      </w:pPr>
    </w:p>
    <w:p w:rsidR="004051DC" w:rsidRDefault="004051DC" w:rsidP="00E31F1B">
      <w:pPr>
        <w:pStyle w:val="ListParagraph"/>
        <w:numPr>
          <w:ilvl w:val="0"/>
          <w:numId w:val="22"/>
        </w:numPr>
        <w:tabs>
          <w:tab w:val="left" w:pos="2702"/>
        </w:tabs>
        <w:spacing w:line="480" w:lineRule="auto"/>
        <w:jc w:val="both"/>
        <w:rPr>
          <w:sz w:val="24"/>
          <w:szCs w:val="24"/>
        </w:rPr>
      </w:pPr>
      <w:r>
        <w:rPr>
          <w:sz w:val="24"/>
          <w:szCs w:val="24"/>
        </w:rPr>
        <w:t>being independent of other members of the RFB’s group;</w:t>
      </w:r>
    </w:p>
    <w:p w:rsidR="004051DC" w:rsidRDefault="004051DC" w:rsidP="00E31F1B">
      <w:pPr>
        <w:pStyle w:val="ListParagraph"/>
        <w:numPr>
          <w:ilvl w:val="0"/>
          <w:numId w:val="22"/>
        </w:numPr>
        <w:tabs>
          <w:tab w:val="left" w:pos="2702"/>
        </w:tabs>
        <w:spacing w:line="480" w:lineRule="auto"/>
        <w:jc w:val="both"/>
        <w:rPr>
          <w:sz w:val="24"/>
          <w:szCs w:val="24"/>
        </w:rPr>
      </w:pPr>
      <w:r>
        <w:rPr>
          <w:sz w:val="24"/>
          <w:szCs w:val="24"/>
        </w:rPr>
        <w:lastRenderedPageBreak/>
        <w:t>being independent of the RFB itself; and</w:t>
      </w:r>
    </w:p>
    <w:p w:rsidR="004051DC" w:rsidRPr="004051DC" w:rsidRDefault="004051DC" w:rsidP="00E31F1B">
      <w:pPr>
        <w:pStyle w:val="ListParagraph"/>
        <w:numPr>
          <w:ilvl w:val="0"/>
          <w:numId w:val="22"/>
        </w:numPr>
        <w:tabs>
          <w:tab w:val="left" w:pos="2702"/>
        </w:tabs>
        <w:spacing w:line="480" w:lineRule="auto"/>
        <w:jc w:val="both"/>
        <w:rPr>
          <w:sz w:val="24"/>
          <w:szCs w:val="24"/>
        </w:rPr>
      </w:pPr>
      <w:r>
        <w:rPr>
          <w:sz w:val="24"/>
          <w:szCs w:val="24"/>
        </w:rPr>
        <w:t xml:space="preserve">non-executive members.   </w:t>
      </w:r>
    </w:p>
    <w:p w:rsidR="004051DC" w:rsidRDefault="004051DC" w:rsidP="00E31F1B">
      <w:pPr>
        <w:tabs>
          <w:tab w:val="left" w:pos="2702"/>
        </w:tabs>
        <w:spacing w:line="480" w:lineRule="auto"/>
        <w:jc w:val="both"/>
        <w:rPr>
          <w:sz w:val="24"/>
          <w:szCs w:val="24"/>
        </w:rPr>
      </w:pPr>
    </w:p>
    <w:p w:rsidR="004051DC" w:rsidRDefault="004051DC" w:rsidP="00E31F1B">
      <w:pPr>
        <w:tabs>
          <w:tab w:val="left" w:pos="2702"/>
        </w:tabs>
        <w:spacing w:line="480" w:lineRule="auto"/>
        <w:jc w:val="both"/>
        <w:rPr>
          <w:sz w:val="24"/>
          <w:szCs w:val="24"/>
        </w:rPr>
      </w:pPr>
      <w:r>
        <w:rPr>
          <w:sz w:val="24"/>
          <w:szCs w:val="24"/>
        </w:rPr>
        <w:t xml:space="preserve">In accordance </w:t>
      </w:r>
      <w:r w:rsidR="00566406">
        <w:rPr>
          <w:sz w:val="24"/>
          <w:szCs w:val="24"/>
        </w:rPr>
        <w:t xml:space="preserve">with </w:t>
      </w:r>
      <w:r>
        <w:rPr>
          <w:sz w:val="24"/>
          <w:szCs w:val="24"/>
        </w:rPr>
        <w:t xml:space="preserve">the </w:t>
      </w:r>
      <w:r w:rsidR="00566406">
        <w:rPr>
          <w:sz w:val="24"/>
          <w:szCs w:val="24"/>
        </w:rPr>
        <w:t>FSBRA</w:t>
      </w:r>
      <w:r>
        <w:rPr>
          <w:sz w:val="24"/>
          <w:szCs w:val="24"/>
        </w:rPr>
        <w:t>, the PRA has introduce</w:t>
      </w:r>
      <w:r w:rsidR="005C231A">
        <w:rPr>
          <w:sz w:val="24"/>
          <w:szCs w:val="24"/>
        </w:rPr>
        <w:t>d</w:t>
      </w:r>
      <w:r>
        <w:rPr>
          <w:sz w:val="24"/>
          <w:szCs w:val="24"/>
        </w:rPr>
        <w:t xml:space="preserve"> rules to achieve the following outcomes:</w:t>
      </w:r>
    </w:p>
    <w:p w:rsidR="004051DC" w:rsidRDefault="004051DC" w:rsidP="00E31F1B">
      <w:pPr>
        <w:tabs>
          <w:tab w:val="left" w:pos="2702"/>
        </w:tabs>
        <w:spacing w:line="480" w:lineRule="auto"/>
        <w:jc w:val="both"/>
        <w:rPr>
          <w:sz w:val="24"/>
          <w:szCs w:val="24"/>
        </w:rPr>
      </w:pPr>
    </w:p>
    <w:p w:rsidR="004051DC" w:rsidRPr="00C9071E" w:rsidRDefault="00C9071E" w:rsidP="00340B3A">
      <w:pPr>
        <w:pStyle w:val="ListParagraph"/>
        <w:numPr>
          <w:ilvl w:val="0"/>
          <w:numId w:val="23"/>
        </w:numPr>
        <w:tabs>
          <w:tab w:val="left" w:pos="2702"/>
        </w:tabs>
        <w:ind w:left="714" w:hanging="357"/>
        <w:jc w:val="both"/>
        <w:rPr>
          <w:i/>
          <w:sz w:val="24"/>
          <w:szCs w:val="24"/>
        </w:rPr>
      </w:pPr>
      <w:r w:rsidRPr="00C9071E">
        <w:rPr>
          <w:i/>
          <w:sz w:val="24"/>
          <w:szCs w:val="24"/>
        </w:rPr>
        <w:t>“RFBs are able to take decisions independently of other members of the group;</w:t>
      </w:r>
    </w:p>
    <w:p w:rsidR="00C9071E" w:rsidRPr="00C9071E" w:rsidRDefault="00C9071E" w:rsidP="00340B3A">
      <w:pPr>
        <w:pStyle w:val="ListParagraph"/>
        <w:numPr>
          <w:ilvl w:val="0"/>
          <w:numId w:val="23"/>
        </w:numPr>
        <w:tabs>
          <w:tab w:val="left" w:pos="2702"/>
        </w:tabs>
        <w:ind w:left="714" w:hanging="357"/>
        <w:jc w:val="both"/>
        <w:rPr>
          <w:i/>
          <w:sz w:val="24"/>
          <w:szCs w:val="24"/>
        </w:rPr>
      </w:pPr>
      <w:r w:rsidRPr="00C9071E">
        <w:rPr>
          <w:i/>
          <w:sz w:val="24"/>
          <w:szCs w:val="24"/>
        </w:rPr>
        <w:t>RFBs take all reasonable steps to identify and manage conflicts of interest with other group members;</w:t>
      </w:r>
    </w:p>
    <w:p w:rsidR="00C9071E" w:rsidRPr="00C9071E" w:rsidRDefault="00C9071E" w:rsidP="00340B3A">
      <w:pPr>
        <w:pStyle w:val="ListParagraph"/>
        <w:numPr>
          <w:ilvl w:val="0"/>
          <w:numId w:val="23"/>
        </w:numPr>
        <w:tabs>
          <w:tab w:val="left" w:pos="2702"/>
        </w:tabs>
        <w:ind w:left="714" w:hanging="357"/>
        <w:jc w:val="both"/>
        <w:rPr>
          <w:i/>
          <w:sz w:val="24"/>
          <w:szCs w:val="24"/>
        </w:rPr>
      </w:pPr>
      <w:r w:rsidRPr="00C9071E">
        <w:rPr>
          <w:i/>
          <w:sz w:val="24"/>
          <w:szCs w:val="24"/>
        </w:rPr>
        <w:t>RFBs take reasonable steps to identify and manage any conflicts between the duties senior management owe to the RFB and other interest that they may have; and</w:t>
      </w:r>
    </w:p>
    <w:p w:rsidR="00C9071E" w:rsidRPr="00C9071E" w:rsidRDefault="00C9071E" w:rsidP="00340B3A">
      <w:pPr>
        <w:pStyle w:val="ListParagraph"/>
        <w:numPr>
          <w:ilvl w:val="0"/>
          <w:numId w:val="23"/>
        </w:numPr>
        <w:tabs>
          <w:tab w:val="left" w:pos="2702"/>
        </w:tabs>
        <w:ind w:left="714" w:hanging="357"/>
        <w:jc w:val="both"/>
        <w:rPr>
          <w:i/>
          <w:sz w:val="24"/>
          <w:szCs w:val="24"/>
        </w:rPr>
      </w:pPr>
      <w:r w:rsidRPr="00C9071E">
        <w:rPr>
          <w:i/>
          <w:sz w:val="24"/>
          <w:szCs w:val="24"/>
        </w:rPr>
        <w:t>RFBs can demonstrate that they are meeting the ring-fencing rules.</w:t>
      </w:r>
      <w:r>
        <w:rPr>
          <w:rStyle w:val="FootnoteReference"/>
          <w:i/>
          <w:sz w:val="24"/>
          <w:szCs w:val="24"/>
        </w:rPr>
        <w:footnoteReference w:id="125"/>
      </w:r>
      <w:r w:rsidRPr="00C9071E">
        <w:rPr>
          <w:i/>
          <w:sz w:val="24"/>
          <w:szCs w:val="24"/>
        </w:rPr>
        <w:t xml:space="preserve">” </w:t>
      </w:r>
    </w:p>
    <w:p w:rsidR="004051DC" w:rsidRDefault="004051DC" w:rsidP="00E31F1B">
      <w:pPr>
        <w:tabs>
          <w:tab w:val="left" w:pos="2702"/>
        </w:tabs>
        <w:spacing w:line="480" w:lineRule="auto"/>
        <w:jc w:val="both"/>
        <w:rPr>
          <w:sz w:val="24"/>
          <w:szCs w:val="24"/>
        </w:rPr>
      </w:pPr>
    </w:p>
    <w:p w:rsidR="004051DC" w:rsidRDefault="004051DC" w:rsidP="00E31F1B">
      <w:pPr>
        <w:tabs>
          <w:tab w:val="left" w:pos="2702"/>
        </w:tabs>
        <w:spacing w:line="480" w:lineRule="auto"/>
        <w:jc w:val="both"/>
        <w:rPr>
          <w:sz w:val="24"/>
          <w:szCs w:val="24"/>
        </w:rPr>
      </w:pPr>
    </w:p>
    <w:p w:rsidR="00930DBA" w:rsidRDefault="00930DBA" w:rsidP="00E31F1B">
      <w:pPr>
        <w:tabs>
          <w:tab w:val="left" w:pos="2702"/>
        </w:tabs>
        <w:spacing w:line="480" w:lineRule="auto"/>
        <w:jc w:val="both"/>
        <w:rPr>
          <w:sz w:val="24"/>
          <w:szCs w:val="24"/>
        </w:rPr>
      </w:pPr>
      <w:r>
        <w:rPr>
          <w:sz w:val="24"/>
          <w:szCs w:val="24"/>
        </w:rPr>
        <w:t>No matter how much liquidity and capital the RFB has a key factor in its success will be the quality, training, professionalism, and behaviour of its staff. The FSA introduced an Approved Persons regime with FSMA 2000</w:t>
      </w:r>
      <w:r>
        <w:rPr>
          <w:rStyle w:val="FootnoteReference"/>
          <w:sz w:val="24"/>
          <w:szCs w:val="24"/>
        </w:rPr>
        <w:footnoteReference w:id="126"/>
      </w:r>
      <w:r>
        <w:rPr>
          <w:sz w:val="24"/>
          <w:szCs w:val="24"/>
        </w:rPr>
        <w:t>. Up until the financial crisis</w:t>
      </w:r>
      <w:r w:rsidR="005C231A">
        <w:rPr>
          <w:sz w:val="24"/>
          <w:szCs w:val="24"/>
        </w:rPr>
        <w:t>,</w:t>
      </w:r>
      <w:r>
        <w:rPr>
          <w:sz w:val="24"/>
          <w:szCs w:val="24"/>
        </w:rPr>
        <w:t xml:space="preserve"> banks would apply for a person to be an </w:t>
      </w:r>
      <w:r w:rsidR="005C231A">
        <w:rPr>
          <w:sz w:val="24"/>
          <w:szCs w:val="24"/>
        </w:rPr>
        <w:t>A</w:t>
      </w:r>
      <w:r>
        <w:rPr>
          <w:sz w:val="24"/>
          <w:szCs w:val="24"/>
        </w:rPr>
        <w:t xml:space="preserve">pproved </w:t>
      </w:r>
      <w:r w:rsidR="005C231A">
        <w:rPr>
          <w:sz w:val="24"/>
          <w:szCs w:val="24"/>
        </w:rPr>
        <w:t>P</w:t>
      </w:r>
      <w:r>
        <w:rPr>
          <w:sz w:val="24"/>
          <w:szCs w:val="24"/>
        </w:rPr>
        <w:t>erson</w:t>
      </w:r>
      <w:r w:rsidR="004177D5">
        <w:rPr>
          <w:sz w:val="24"/>
          <w:szCs w:val="24"/>
        </w:rPr>
        <w:t xml:space="preserve"> </w:t>
      </w:r>
      <w:r>
        <w:rPr>
          <w:sz w:val="24"/>
          <w:szCs w:val="24"/>
        </w:rPr>
        <w:t>and they would largely be approved as it was the responsibility of the bank to ensure that they met the ‘fit and proper</w:t>
      </w:r>
      <w:r w:rsidR="00C74622">
        <w:rPr>
          <w:sz w:val="24"/>
          <w:szCs w:val="24"/>
        </w:rPr>
        <w:t>’</w:t>
      </w:r>
      <w:r>
        <w:rPr>
          <w:sz w:val="24"/>
          <w:szCs w:val="24"/>
        </w:rPr>
        <w:t xml:space="preserve"> criteria</w:t>
      </w:r>
      <w:r>
        <w:rPr>
          <w:rStyle w:val="FootnoteReference"/>
          <w:sz w:val="24"/>
          <w:szCs w:val="24"/>
        </w:rPr>
        <w:footnoteReference w:id="127"/>
      </w:r>
      <w:r>
        <w:rPr>
          <w:sz w:val="24"/>
          <w:szCs w:val="24"/>
        </w:rPr>
        <w:t>.</w:t>
      </w:r>
    </w:p>
    <w:p w:rsidR="00930DBA" w:rsidRDefault="00930DBA" w:rsidP="00E31F1B">
      <w:pPr>
        <w:tabs>
          <w:tab w:val="left" w:pos="2702"/>
        </w:tabs>
        <w:spacing w:line="480" w:lineRule="auto"/>
        <w:jc w:val="both"/>
        <w:rPr>
          <w:sz w:val="24"/>
          <w:szCs w:val="24"/>
        </w:rPr>
      </w:pPr>
    </w:p>
    <w:p w:rsidR="008C14E1" w:rsidRDefault="00930DBA" w:rsidP="00E31F1B">
      <w:pPr>
        <w:tabs>
          <w:tab w:val="left" w:pos="2702"/>
        </w:tabs>
        <w:spacing w:line="480" w:lineRule="auto"/>
        <w:jc w:val="both"/>
        <w:rPr>
          <w:sz w:val="24"/>
          <w:szCs w:val="24"/>
        </w:rPr>
      </w:pPr>
      <w:r>
        <w:rPr>
          <w:sz w:val="24"/>
          <w:szCs w:val="24"/>
        </w:rPr>
        <w:t xml:space="preserve">The Approved Persons regime was the subject of severe criticism during the financial crisis and the regime was reinforced with all Significant Influence Functions </w:t>
      </w:r>
      <w:r w:rsidR="005C231A">
        <w:rPr>
          <w:sz w:val="24"/>
          <w:szCs w:val="24"/>
        </w:rPr>
        <w:t xml:space="preserve">(those with direction and senior management responsibility, in particular the Board and executive management) </w:t>
      </w:r>
      <w:r w:rsidR="00566406">
        <w:rPr>
          <w:sz w:val="24"/>
          <w:szCs w:val="24"/>
        </w:rPr>
        <w:t xml:space="preserve">required to be </w:t>
      </w:r>
      <w:r>
        <w:rPr>
          <w:sz w:val="24"/>
          <w:szCs w:val="24"/>
        </w:rPr>
        <w:t>interviewed by the FSA</w:t>
      </w:r>
      <w:r w:rsidR="008C14E1">
        <w:rPr>
          <w:sz w:val="24"/>
          <w:szCs w:val="24"/>
        </w:rPr>
        <w:t>. This was also criticised as creating moral hazard in th</w:t>
      </w:r>
      <w:r w:rsidR="00566406">
        <w:rPr>
          <w:sz w:val="24"/>
          <w:szCs w:val="24"/>
        </w:rPr>
        <w:t>at</w:t>
      </w:r>
      <w:r w:rsidR="008C14E1">
        <w:rPr>
          <w:sz w:val="24"/>
          <w:szCs w:val="24"/>
        </w:rPr>
        <w:t xml:space="preserve"> firms were selecting employees and using the FSA to do the </w:t>
      </w:r>
      <w:r w:rsidR="00C74622">
        <w:rPr>
          <w:sz w:val="24"/>
          <w:szCs w:val="24"/>
        </w:rPr>
        <w:t>‘</w:t>
      </w:r>
      <w:r w:rsidR="008C14E1">
        <w:rPr>
          <w:sz w:val="24"/>
          <w:szCs w:val="24"/>
        </w:rPr>
        <w:t>fit and proper</w:t>
      </w:r>
      <w:r w:rsidR="00C74622">
        <w:rPr>
          <w:sz w:val="24"/>
          <w:szCs w:val="24"/>
        </w:rPr>
        <w:t>’</w:t>
      </w:r>
      <w:r w:rsidR="008C14E1">
        <w:rPr>
          <w:sz w:val="24"/>
          <w:szCs w:val="24"/>
        </w:rPr>
        <w:t xml:space="preserve"> assessment. This came to a head </w:t>
      </w:r>
      <w:r w:rsidR="008C14E1">
        <w:rPr>
          <w:sz w:val="24"/>
          <w:szCs w:val="24"/>
        </w:rPr>
        <w:lastRenderedPageBreak/>
        <w:t xml:space="preserve">with the appointment of </w:t>
      </w:r>
      <w:r w:rsidR="005C231A">
        <w:rPr>
          <w:sz w:val="24"/>
          <w:szCs w:val="24"/>
        </w:rPr>
        <w:t xml:space="preserve">the </w:t>
      </w:r>
      <w:r w:rsidR="008C14E1">
        <w:rPr>
          <w:sz w:val="24"/>
          <w:szCs w:val="24"/>
        </w:rPr>
        <w:t xml:space="preserve">Chairman of the Co-op, who was interviewed by the FSA and whose appointment was approved despite the fact that he </w:t>
      </w:r>
      <w:r w:rsidR="005C231A">
        <w:rPr>
          <w:sz w:val="24"/>
          <w:szCs w:val="24"/>
        </w:rPr>
        <w:t xml:space="preserve">had little experience of </w:t>
      </w:r>
      <w:r w:rsidR="008C14E1">
        <w:rPr>
          <w:sz w:val="24"/>
          <w:szCs w:val="24"/>
        </w:rPr>
        <w:t>banking</w:t>
      </w:r>
      <w:r w:rsidR="005C231A">
        <w:rPr>
          <w:rStyle w:val="FootnoteReference"/>
          <w:sz w:val="24"/>
          <w:szCs w:val="24"/>
        </w:rPr>
        <w:footnoteReference w:id="128"/>
      </w:r>
      <w:r w:rsidR="008C14E1">
        <w:rPr>
          <w:sz w:val="24"/>
          <w:szCs w:val="24"/>
        </w:rPr>
        <w:t>.</w:t>
      </w:r>
    </w:p>
    <w:p w:rsidR="008C14E1" w:rsidRDefault="008C14E1" w:rsidP="00E31F1B">
      <w:pPr>
        <w:tabs>
          <w:tab w:val="left" w:pos="2702"/>
        </w:tabs>
        <w:spacing w:line="480" w:lineRule="auto"/>
        <w:jc w:val="both"/>
        <w:rPr>
          <w:sz w:val="24"/>
          <w:szCs w:val="24"/>
        </w:rPr>
      </w:pPr>
    </w:p>
    <w:p w:rsidR="008C14E1" w:rsidRDefault="008C14E1" w:rsidP="00E31F1B">
      <w:pPr>
        <w:tabs>
          <w:tab w:val="left" w:pos="2702"/>
        </w:tabs>
        <w:spacing w:line="480" w:lineRule="auto"/>
        <w:jc w:val="both"/>
        <w:rPr>
          <w:sz w:val="24"/>
          <w:szCs w:val="24"/>
        </w:rPr>
      </w:pPr>
      <w:r>
        <w:rPr>
          <w:sz w:val="24"/>
          <w:szCs w:val="24"/>
        </w:rPr>
        <w:t>This issue was not addressed by Vickers but was picked up by the PCBS review who, in their report, mandated a new regime for approving people into senior banking position, and is addressed in the FSBRA</w:t>
      </w:r>
      <w:r w:rsidR="005C231A">
        <w:rPr>
          <w:sz w:val="24"/>
          <w:szCs w:val="24"/>
        </w:rPr>
        <w:t xml:space="preserve"> 2013</w:t>
      </w:r>
      <w:r>
        <w:rPr>
          <w:rStyle w:val="FootnoteReference"/>
          <w:sz w:val="24"/>
          <w:szCs w:val="24"/>
        </w:rPr>
        <w:footnoteReference w:id="129"/>
      </w:r>
      <w:r>
        <w:rPr>
          <w:sz w:val="24"/>
          <w:szCs w:val="24"/>
        </w:rPr>
        <w:t xml:space="preserve">. </w:t>
      </w:r>
      <w:r w:rsidR="00B04FB3">
        <w:rPr>
          <w:sz w:val="24"/>
          <w:szCs w:val="24"/>
        </w:rPr>
        <w:t>The PRA and the FCA initiated a joint consultation on the new regime in July 2014</w:t>
      </w:r>
      <w:r w:rsidR="00B04FB3">
        <w:rPr>
          <w:rStyle w:val="FootnoteReference"/>
          <w:sz w:val="24"/>
          <w:szCs w:val="24"/>
        </w:rPr>
        <w:footnoteReference w:id="130"/>
      </w:r>
      <w:r w:rsidR="00B04FB3">
        <w:rPr>
          <w:sz w:val="24"/>
          <w:szCs w:val="24"/>
        </w:rPr>
        <w:t>with a view to encouraging accountability for decision making and aiming for good conduct at all levels in the organisation.</w:t>
      </w:r>
      <w:r w:rsidR="004177D5">
        <w:rPr>
          <w:sz w:val="24"/>
          <w:szCs w:val="24"/>
        </w:rPr>
        <w:t xml:space="preserve"> </w:t>
      </w:r>
      <w:r w:rsidR="006F7596">
        <w:rPr>
          <w:sz w:val="24"/>
          <w:szCs w:val="24"/>
        </w:rPr>
        <w:t>This will bring in two new individual accountability regimes from 7</w:t>
      </w:r>
      <w:r w:rsidR="006F7596" w:rsidRPr="006F7596">
        <w:rPr>
          <w:sz w:val="24"/>
          <w:szCs w:val="24"/>
          <w:vertAlign w:val="superscript"/>
        </w:rPr>
        <w:t>th</w:t>
      </w:r>
      <w:r w:rsidR="006F7596">
        <w:rPr>
          <w:sz w:val="24"/>
          <w:szCs w:val="24"/>
        </w:rPr>
        <w:t xml:space="preserve"> March 2016 – a Senior Managers Regime</w:t>
      </w:r>
      <w:r w:rsidR="005A7BA8">
        <w:rPr>
          <w:sz w:val="24"/>
          <w:szCs w:val="24"/>
        </w:rPr>
        <w:t xml:space="preserve"> (SMR)</w:t>
      </w:r>
      <w:r w:rsidR="006F7596">
        <w:rPr>
          <w:sz w:val="24"/>
          <w:szCs w:val="24"/>
        </w:rPr>
        <w:t>, and a Certification Regime</w:t>
      </w:r>
      <w:r w:rsidR="005A7BA8">
        <w:rPr>
          <w:sz w:val="24"/>
          <w:szCs w:val="24"/>
        </w:rPr>
        <w:t xml:space="preserve"> (CR)</w:t>
      </w:r>
      <w:r w:rsidR="006F7596">
        <w:rPr>
          <w:sz w:val="24"/>
          <w:szCs w:val="24"/>
        </w:rPr>
        <w:t>. The final Policy Statement was published in July 2015</w:t>
      </w:r>
      <w:r w:rsidR="006F7596">
        <w:rPr>
          <w:rStyle w:val="FootnoteReference"/>
          <w:sz w:val="24"/>
          <w:szCs w:val="24"/>
        </w:rPr>
        <w:footnoteReference w:id="131"/>
      </w:r>
      <w:r w:rsidR="006F7596">
        <w:rPr>
          <w:sz w:val="24"/>
          <w:szCs w:val="24"/>
        </w:rPr>
        <w:t>.</w:t>
      </w:r>
    </w:p>
    <w:p w:rsidR="00566406" w:rsidRDefault="00566406" w:rsidP="00E31F1B">
      <w:pPr>
        <w:tabs>
          <w:tab w:val="left" w:pos="2702"/>
        </w:tabs>
        <w:spacing w:line="480" w:lineRule="auto"/>
        <w:jc w:val="both"/>
        <w:rPr>
          <w:sz w:val="24"/>
          <w:szCs w:val="24"/>
        </w:rPr>
      </w:pPr>
    </w:p>
    <w:p w:rsidR="0048004B" w:rsidRPr="006F7596" w:rsidRDefault="0048004B" w:rsidP="00E31F1B">
      <w:pPr>
        <w:tabs>
          <w:tab w:val="left" w:pos="2702"/>
        </w:tabs>
        <w:spacing w:line="480" w:lineRule="auto"/>
        <w:jc w:val="both"/>
        <w:rPr>
          <w:i/>
          <w:sz w:val="24"/>
          <w:szCs w:val="24"/>
        </w:rPr>
      </w:pPr>
      <w:r w:rsidRPr="006F7596">
        <w:rPr>
          <w:i/>
          <w:sz w:val="24"/>
          <w:szCs w:val="24"/>
        </w:rPr>
        <w:t>Senior Managers Regime</w:t>
      </w:r>
    </w:p>
    <w:p w:rsidR="005A7BA8" w:rsidRDefault="005A7BA8" w:rsidP="00E31F1B">
      <w:pPr>
        <w:tabs>
          <w:tab w:val="left" w:pos="2702"/>
        </w:tabs>
        <w:spacing w:line="480" w:lineRule="auto"/>
        <w:jc w:val="both"/>
        <w:rPr>
          <w:sz w:val="24"/>
          <w:szCs w:val="24"/>
        </w:rPr>
      </w:pPr>
      <w:r>
        <w:rPr>
          <w:sz w:val="24"/>
          <w:szCs w:val="24"/>
        </w:rPr>
        <w:t>The SMR divides the Senior Management Functions (SMFs) into Oversight SMFs and Executive SMFs. The Executive SMFs are those that have functional responsibility for the management of the business, e.g. the Chief Executive Officer</w:t>
      </w:r>
      <w:r>
        <w:rPr>
          <w:rStyle w:val="FootnoteReference"/>
          <w:sz w:val="24"/>
          <w:szCs w:val="24"/>
        </w:rPr>
        <w:footnoteReference w:id="132"/>
      </w:r>
      <w:r>
        <w:rPr>
          <w:sz w:val="24"/>
          <w:szCs w:val="24"/>
        </w:rPr>
        <w:t xml:space="preserve"> (CEO), the Chief Financial Officer</w:t>
      </w:r>
      <w:r w:rsidR="0048004B">
        <w:rPr>
          <w:rStyle w:val="FootnoteReference"/>
          <w:sz w:val="24"/>
          <w:szCs w:val="24"/>
        </w:rPr>
        <w:footnoteReference w:id="133"/>
      </w:r>
      <w:r>
        <w:rPr>
          <w:sz w:val="24"/>
          <w:szCs w:val="24"/>
        </w:rPr>
        <w:t xml:space="preserve"> (CFO) and </w:t>
      </w:r>
      <w:r>
        <w:rPr>
          <w:sz w:val="24"/>
          <w:szCs w:val="24"/>
        </w:rPr>
        <w:lastRenderedPageBreak/>
        <w:t>the Chief Risk Officer</w:t>
      </w:r>
      <w:r w:rsidR="0048004B">
        <w:rPr>
          <w:rStyle w:val="FootnoteReference"/>
          <w:sz w:val="24"/>
          <w:szCs w:val="24"/>
        </w:rPr>
        <w:footnoteReference w:id="134"/>
      </w:r>
      <w:r>
        <w:rPr>
          <w:sz w:val="24"/>
          <w:szCs w:val="24"/>
        </w:rPr>
        <w:t xml:space="preserve"> (CRO)</w:t>
      </w:r>
      <w:r w:rsidR="0048004B">
        <w:rPr>
          <w:sz w:val="24"/>
          <w:szCs w:val="24"/>
        </w:rPr>
        <w:t xml:space="preserve">, and </w:t>
      </w:r>
      <w:r w:rsidR="00904B81">
        <w:rPr>
          <w:sz w:val="24"/>
          <w:szCs w:val="24"/>
        </w:rPr>
        <w:t>other Executive Director</w:t>
      </w:r>
      <w:r w:rsidR="005C231A">
        <w:rPr>
          <w:sz w:val="24"/>
          <w:szCs w:val="24"/>
        </w:rPr>
        <w:t>s</w:t>
      </w:r>
      <w:r w:rsidR="00904B81">
        <w:rPr>
          <w:rStyle w:val="FootnoteReference"/>
          <w:sz w:val="24"/>
          <w:szCs w:val="24"/>
        </w:rPr>
        <w:footnoteReference w:id="135"/>
      </w:r>
      <w:r w:rsidR="00904B81">
        <w:rPr>
          <w:sz w:val="24"/>
          <w:szCs w:val="24"/>
        </w:rPr>
        <w:t xml:space="preserve">. The regime also applies to </w:t>
      </w:r>
      <w:r w:rsidR="0048004B">
        <w:rPr>
          <w:sz w:val="24"/>
          <w:szCs w:val="24"/>
        </w:rPr>
        <w:t>thos</w:t>
      </w:r>
      <w:r w:rsidR="00904B81">
        <w:rPr>
          <w:sz w:val="24"/>
          <w:szCs w:val="24"/>
        </w:rPr>
        <w:t>e</w:t>
      </w:r>
      <w:r w:rsidR="0048004B">
        <w:rPr>
          <w:sz w:val="24"/>
          <w:szCs w:val="24"/>
        </w:rPr>
        <w:t xml:space="preserve"> in charge of a Key Business Area</w:t>
      </w:r>
      <w:r w:rsidR="0048004B">
        <w:rPr>
          <w:rStyle w:val="FootnoteReference"/>
          <w:sz w:val="24"/>
          <w:szCs w:val="24"/>
        </w:rPr>
        <w:footnoteReference w:id="136"/>
      </w:r>
      <w:r w:rsidR="0048004B">
        <w:rPr>
          <w:sz w:val="24"/>
          <w:szCs w:val="24"/>
        </w:rPr>
        <w:t>.</w:t>
      </w:r>
    </w:p>
    <w:p w:rsidR="005A7BA8" w:rsidRDefault="005A7BA8" w:rsidP="00E31F1B">
      <w:pPr>
        <w:tabs>
          <w:tab w:val="left" w:pos="2702"/>
        </w:tabs>
        <w:spacing w:line="480" w:lineRule="auto"/>
        <w:jc w:val="both"/>
        <w:rPr>
          <w:sz w:val="24"/>
          <w:szCs w:val="24"/>
        </w:rPr>
      </w:pPr>
    </w:p>
    <w:p w:rsidR="00BD4FC3" w:rsidRDefault="0048004B" w:rsidP="00E31F1B">
      <w:pPr>
        <w:tabs>
          <w:tab w:val="left" w:pos="2702"/>
        </w:tabs>
        <w:spacing w:line="480" w:lineRule="auto"/>
        <w:jc w:val="both"/>
        <w:rPr>
          <w:sz w:val="24"/>
          <w:szCs w:val="24"/>
        </w:rPr>
      </w:pPr>
      <w:r>
        <w:rPr>
          <w:sz w:val="24"/>
          <w:szCs w:val="24"/>
        </w:rPr>
        <w:t>Oversight SMFs, on the other hand, are those that carry out non-executive roles. The regime does not apply to all non-executive directors, but only the Chair roles (Chairman of the Board</w:t>
      </w:r>
      <w:r>
        <w:rPr>
          <w:rStyle w:val="FootnoteReference"/>
          <w:sz w:val="24"/>
          <w:szCs w:val="24"/>
        </w:rPr>
        <w:footnoteReference w:id="137"/>
      </w:r>
      <w:r>
        <w:rPr>
          <w:sz w:val="24"/>
          <w:szCs w:val="24"/>
        </w:rPr>
        <w:t>; Chairman of the Risk Committee</w:t>
      </w:r>
      <w:r>
        <w:rPr>
          <w:rStyle w:val="FootnoteReference"/>
          <w:sz w:val="24"/>
          <w:szCs w:val="24"/>
        </w:rPr>
        <w:footnoteReference w:id="138"/>
      </w:r>
      <w:r>
        <w:rPr>
          <w:sz w:val="24"/>
          <w:szCs w:val="24"/>
        </w:rPr>
        <w:t>; Chairman of the Audit Committee</w:t>
      </w:r>
      <w:r>
        <w:rPr>
          <w:rStyle w:val="FootnoteReference"/>
          <w:sz w:val="24"/>
          <w:szCs w:val="24"/>
        </w:rPr>
        <w:footnoteReference w:id="139"/>
      </w:r>
      <w:r>
        <w:rPr>
          <w:sz w:val="24"/>
          <w:szCs w:val="24"/>
        </w:rPr>
        <w:t>; Chairman of the Remuneration Committee</w:t>
      </w:r>
      <w:r>
        <w:rPr>
          <w:rStyle w:val="FootnoteReference"/>
          <w:sz w:val="24"/>
          <w:szCs w:val="24"/>
        </w:rPr>
        <w:footnoteReference w:id="140"/>
      </w:r>
      <w:r>
        <w:rPr>
          <w:sz w:val="24"/>
          <w:szCs w:val="24"/>
        </w:rPr>
        <w:t>; and Chairman of the Nomination Committee</w:t>
      </w:r>
      <w:r>
        <w:rPr>
          <w:rStyle w:val="FootnoteReference"/>
          <w:sz w:val="24"/>
          <w:szCs w:val="24"/>
        </w:rPr>
        <w:footnoteReference w:id="141"/>
      </w:r>
      <w:r>
        <w:rPr>
          <w:sz w:val="24"/>
          <w:szCs w:val="24"/>
        </w:rPr>
        <w:t>) and the Senior Independent Director</w:t>
      </w:r>
      <w:r>
        <w:rPr>
          <w:rStyle w:val="FootnoteReference"/>
          <w:sz w:val="24"/>
          <w:szCs w:val="24"/>
        </w:rPr>
        <w:footnoteReference w:id="142"/>
      </w:r>
      <w:r>
        <w:rPr>
          <w:sz w:val="24"/>
          <w:szCs w:val="24"/>
        </w:rPr>
        <w:t xml:space="preserve"> (SID). </w:t>
      </w:r>
    </w:p>
    <w:p w:rsidR="00904B81" w:rsidRDefault="00904B81" w:rsidP="00E31F1B">
      <w:pPr>
        <w:tabs>
          <w:tab w:val="left" w:pos="2702"/>
        </w:tabs>
        <w:spacing w:line="480" w:lineRule="auto"/>
        <w:jc w:val="both"/>
        <w:rPr>
          <w:sz w:val="24"/>
          <w:szCs w:val="24"/>
        </w:rPr>
      </w:pPr>
    </w:p>
    <w:p w:rsidR="00BB1F14" w:rsidRDefault="00904B81" w:rsidP="00E31F1B">
      <w:pPr>
        <w:tabs>
          <w:tab w:val="left" w:pos="2702"/>
        </w:tabs>
        <w:spacing w:line="480" w:lineRule="auto"/>
        <w:jc w:val="both"/>
        <w:rPr>
          <w:sz w:val="24"/>
          <w:szCs w:val="24"/>
        </w:rPr>
      </w:pPr>
      <w:r>
        <w:rPr>
          <w:sz w:val="24"/>
          <w:szCs w:val="24"/>
        </w:rPr>
        <w:t>The SMR</w:t>
      </w:r>
      <w:r w:rsidR="00BB1F14">
        <w:rPr>
          <w:sz w:val="24"/>
          <w:szCs w:val="24"/>
        </w:rPr>
        <w:t xml:space="preserve"> requires</w:t>
      </w:r>
      <w:r>
        <w:rPr>
          <w:sz w:val="24"/>
          <w:szCs w:val="24"/>
        </w:rPr>
        <w:t>, in line with the UK Corporate Governance Code</w:t>
      </w:r>
      <w:r>
        <w:rPr>
          <w:rStyle w:val="FootnoteReference"/>
          <w:sz w:val="24"/>
          <w:szCs w:val="24"/>
        </w:rPr>
        <w:footnoteReference w:id="143"/>
      </w:r>
      <w:r w:rsidR="00BB1F14">
        <w:rPr>
          <w:sz w:val="24"/>
          <w:szCs w:val="24"/>
        </w:rPr>
        <w:t>, that the Chairman of the Board and the CEO are differen</w:t>
      </w:r>
      <w:r w:rsidR="00566406">
        <w:rPr>
          <w:sz w:val="24"/>
          <w:szCs w:val="24"/>
        </w:rPr>
        <w:t>t</w:t>
      </w:r>
      <w:r w:rsidR="00BB1F14">
        <w:rPr>
          <w:sz w:val="24"/>
          <w:szCs w:val="24"/>
        </w:rPr>
        <w:t xml:space="preserve"> people</w:t>
      </w:r>
      <w:r w:rsidR="00BB1F14">
        <w:rPr>
          <w:rStyle w:val="FootnoteReference"/>
          <w:sz w:val="24"/>
          <w:szCs w:val="24"/>
        </w:rPr>
        <w:footnoteReference w:id="144"/>
      </w:r>
      <w:r w:rsidR="00BB1F14">
        <w:rPr>
          <w:sz w:val="24"/>
          <w:szCs w:val="24"/>
        </w:rPr>
        <w:t>. It also requires that the CEO and the CFO are different people (compliance with the ‘four eyes’ principle) and that RFBs will have a Chairman, CEO and CFO.</w:t>
      </w:r>
    </w:p>
    <w:p w:rsidR="00BB1F14" w:rsidRDefault="00BB1F14" w:rsidP="00E31F1B">
      <w:pPr>
        <w:tabs>
          <w:tab w:val="left" w:pos="2702"/>
        </w:tabs>
        <w:spacing w:line="480" w:lineRule="auto"/>
        <w:jc w:val="both"/>
        <w:rPr>
          <w:sz w:val="24"/>
          <w:szCs w:val="24"/>
        </w:rPr>
      </w:pPr>
    </w:p>
    <w:p w:rsidR="00BB1F14" w:rsidRDefault="00BB1F14" w:rsidP="00E31F1B">
      <w:pPr>
        <w:tabs>
          <w:tab w:val="left" w:pos="2702"/>
        </w:tabs>
        <w:spacing w:line="480" w:lineRule="auto"/>
        <w:jc w:val="both"/>
        <w:rPr>
          <w:sz w:val="24"/>
          <w:szCs w:val="24"/>
        </w:rPr>
      </w:pPr>
      <w:r>
        <w:rPr>
          <w:sz w:val="24"/>
          <w:szCs w:val="24"/>
        </w:rPr>
        <w:lastRenderedPageBreak/>
        <w:t>CRD IV requires significant CRR firms to establish Risk, Remuneration, and Nomination Committees. This PRA have indicated that significant firms will be those that are classed by the PRA as Category 1 and Category 2 firms</w:t>
      </w:r>
      <w:r>
        <w:rPr>
          <w:rStyle w:val="FootnoteReference"/>
          <w:sz w:val="24"/>
          <w:szCs w:val="24"/>
        </w:rPr>
        <w:footnoteReference w:id="145"/>
      </w:r>
      <w:r>
        <w:rPr>
          <w:sz w:val="24"/>
          <w:szCs w:val="24"/>
        </w:rPr>
        <w:t xml:space="preserve">. Given the </w:t>
      </w:r>
      <w:r w:rsidR="0090115F">
        <w:rPr>
          <w:sz w:val="24"/>
          <w:szCs w:val="24"/>
        </w:rPr>
        <w:t>deposit</w:t>
      </w:r>
      <w:r>
        <w:rPr>
          <w:sz w:val="24"/>
          <w:szCs w:val="24"/>
        </w:rPr>
        <w:t xml:space="preserve"> requirement</w:t>
      </w:r>
      <w:r w:rsidR="0090115F">
        <w:rPr>
          <w:sz w:val="24"/>
          <w:szCs w:val="24"/>
        </w:rPr>
        <w:t xml:space="preserve"> (£25bn)</w:t>
      </w:r>
      <w:r>
        <w:rPr>
          <w:sz w:val="24"/>
          <w:szCs w:val="24"/>
        </w:rPr>
        <w:t xml:space="preserve"> for RFBs it is reasonable to assume that all RFBs will be either Category 1 or Category 2 and therefore must have these committees.</w:t>
      </w:r>
    </w:p>
    <w:p w:rsidR="007D199F" w:rsidRDefault="007D199F" w:rsidP="00E31F1B">
      <w:pPr>
        <w:tabs>
          <w:tab w:val="left" w:pos="2702"/>
        </w:tabs>
        <w:spacing w:line="480" w:lineRule="auto"/>
        <w:jc w:val="both"/>
        <w:rPr>
          <w:sz w:val="24"/>
          <w:szCs w:val="24"/>
        </w:rPr>
      </w:pPr>
    </w:p>
    <w:p w:rsidR="007D199F" w:rsidRDefault="007D199F" w:rsidP="00E31F1B">
      <w:pPr>
        <w:tabs>
          <w:tab w:val="left" w:pos="2702"/>
        </w:tabs>
        <w:spacing w:line="480" w:lineRule="auto"/>
        <w:jc w:val="both"/>
        <w:rPr>
          <w:sz w:val="24"/>
          <w:szCs w:val="24"/>
        </w:rPr>
      </w:pPr>
      <w:r>
        <w:rPr>
          <w:sz w:val="24"/>
          <w:szCs w:val="24"/>
        </w:rPr>
        <w:t>The introduction of th</w:t>
      </w:r>
      <w:r w:rsidR="0090115F">
        <w:rPr>
          <w:sz w:val="24"/>
          <w:szCs w:val="24"/>
        </w:rPr>
        <w:t>e</w:t>
      </w:r>
      <w:r>
        <w:rPr>
          <w:sz w:val="24"/>
          <w:szCs w:val="24"/>
        </w:rPr>
        <w:t xml:space="preserve"> new </w:t>
      </w:r>
      <w:r w:rsidR="0090115F">
        <w:rPr>
          <w:sz w:val="24"/>
          <w:szCs w:val="24"/>
        </w:rPr>
        <w:t xml:space="preserve">SMR </w:t>
      </w:r>
      <w:r>
        <w:rPr>
          <w:sz w:val="24"/>
          <w:szCs w:val="24"/>
        </w:rPr>
        <w:t>regime has caused concern in the industry as in the case of breaching a ‘relevant requirement</w:t>
      </w:r>
      <w:r>
        <w:rPr>
          <w:rStyle w:val="FootnoteReference"/>
          <w:sz w:val="24"/>
          <w:szCs w:val="24"/>
        </w:rPr>
        <w:footnoteReference w:id="146"/>
      </w:r>
      <w:r>
        <w:rPr>
          <w:sz w:val="24"/>
          <w:szCs w:val="24"/>
        </w:rPr>
        <w:t>, there is a presumption of responsibility with the onus on the SMF to show that he/she has acted appropriately in relation to the issue</w:t>
      </w:r>
      <w:r>
        <w:rPr>
          <w:rStyle w:val="FootnoteReference"/>
          <w:sz w:val="24"/>
          <w:szCs w:val="24"/>
        </w:rPr>
        <w:footnoteReference w:id="147"/>
      </w:r>
      <w:r>
        <w:rPr>
          <w:sz w:val="24"/>
          <w:szCs w:val="24"/>
        </w:rPr>
        <w:t xml:space="preserve">. </w:t>
      </w:r>
      <w:r w:rsidR="00B87142">
        <w:rPr>
          <w:sz w:val="24"/>
          <w:szCs w:val="24"/>
        </w:rPr>
        <w:t>An SMF can also be guilty of misconduct if they breach a conduct rule</w:t>
      </w:r>
      <w:r w:rsidR="00B87142">
        <w:rPr>
          <w:rStyle w:val="FootnoteReference"/>
          <w:sz w:val="24"/>
          <w:szCs w:val="24"/>
        </w:rPr>
        <w:footnoteReference w:id="148"/>
      </w:r>
      <w:r w:rsidR="00B87142">
        <w:rPr>
          <w:sz w:val="24"/>
          <w:szCs w:val="24"/>
        </w:rPr>
        <w:t xml:space="preserve"> or a</w:t>
      </w:r>
      <w:r w:rsidR="00566406">
        <w:rPr>
          <w:sz w:val="24"/>
          <w:szCs w:val="24"/>
        </w:rPr>
        <w:t>re in</w:t>
      </w:r>
      <w:r w:rsidR="00B87142">
        <w:rPr>
          <w:sz w:val="24"/>
          <w:szCs w:val="24"/>
        </w:rPr>
        <w:t xml:space="preserve"> contravention of a relevant requirement</w:t>
      </w:r>
      <w:r w:rsidR="00B87142">
        <w:rPr>
          <w:rStyle w:val="FootnoteReference"/>
          <w:sz w:val="24"/>
          <w:szCs w:val="24"/>
        </w:rPr>
        <w:footnoteReference w:id="149"/>
      </w:r>
      <w:r w:rsidR="00B87142">
        <w:rPr>
          <w:sz w:val="24"/>
          <w:szCs w:val="24"/>
        </w:rPr>
        <w:t>.</w:t>
      </w:r>
    </w:p>
    <w:p w:rsidR="00904B81" w:rsidRDefault="00904B81" w:rsidP="00E31F1B">
      <w:pPr>
        <w:tabs>
          <w:tab w:val="left" w:pos="2702"/>
        </w:tabs>
        <w:spacing w:line="480" w:lineRule="auto"/>
        <w:jc w:val="both"/>
        <w:rPr>
          <w:sz w:val="24"/>
          <w:szCs w:val="24"/>
        </w:rPr>
      </w:pPr>
    </w:p>
    <w:p w:rsidR="00EE6631" w:rsidRDefault="0090115F" w:rsidP="00E31F1B">
      <w:pPr>
        <w:tabs>
          <w:tab w:val="left" w:pos="2702"/>
        </w:tabs>
        <w:spacing w:line="480" w:lineRule="auto"/>
        <w:jc w:val="both"/>
        <w:rPr>
          <w:sz w:val="24"/>
          <w:szCs w:val="24"/>
        </w:rPr>
      </w:pPr>
      <w:r>
        <w:rPr>
          <w:sz w:val="24"/>
          <w:szCs w:val="24"/>
        </w:rPr>
        <w:t xml:space="preserve">In respect of all bank directors (not just SMF directors) </w:t>
      </w:r>
      <w:r w:rsidR="00EE6631">
        <w:rPr>
          <w:sz w:val="24"/>
          <w:szCs w:val="24"/>
        </w:rPr>
        <w:t>CRD IV has restricted the number of director roles that a bank director can hold as follows</w:t>
      </w:r>
      <w:r w:rsidR="00EE6631">
        <w:rPr>
          <w:rStyle w:val="FootnoteReference"/>
          <w:sz w:val="24"/>
          <w:szCs w:val="24"/>
        </w:rPr>
        <w:footnoteReference w:id="150"/>
      </w:r>
      <w:r w:rsidR="00EE6631">
        <w:rPr>
          <w:sz w:val="24"/>
          <w:szCs w:val="24"/>
        </w:rPr>
        <w:t>:</w:t>
      </w:r>
    </w:p>
    <w:p w:rsidR="00EE6631" w:rsidRDefault="00EE6631" w:rsidP="00E31F1B">
      <w:pPr>
        <w:tabs>
          <w:tab w:val="left" w:pos="2702"/>
        </w:tabs>
        <w:spacing w:line="480" w:lineRule="auto"/>
        <w:jc w:val="both"/>
        <w:rPr>
          <w:sz w:val="24"/>
          <w:szCs w:val="24"/>
        </w:rPr>
      </w:pPr>
    </w:p>
    <w:p w:rsidR="0075392C" w:rsidRDefault="0075392C" w:rsidP="00E31F1B">
      <w:pPr>
        <w:pStyle w:val="ListParagraph"/>
        <w:numPr>
          <w:ilvl w:val="0"/>
          <w:numId w:val="27"/>
        </w:numPr>
        <w:tabs>
          <w:tab w:val="left" w:pos="2702"/>
        </w:tabs>
        <w:spacing w:line="480" w:lineRule="auto"/>
        <w:jc w:val="both"/>
        <w:rPr>
          <w:sz w:val="24"/>
          <w:szCs w:val="24"/>
        </w:rPr>
      </w:pPr>
      <w:r>
        <w:rPr>
          <w:sz w:val="24"/>
          <w:szCs w:val="24"/>
        </w:rPr>
        <w:t>One executive directorship with two non-executive directorships; or</w:t>
      </w:r>
    </w:p>
    <w:p w:rsidR="00EE6631" w:rsidRDefault="00EE6631" w:rsidP="00E31F1B">
      <w:pPr>
        <w:pStyle w:val="ListParagraph"/>
        <w:numPr>
          <w:ilvl w:val="0"/>
          <w:numId w:val="27"/>
        </w:numPr>
        <w:tabs>
          <w:tab w:val="left" w:pos="2702"/>
        </w:tabs>
        <w:spacing w:line="480" w:lineRule="auto"/>
        <w:jc w:val="both"/>
        <w:rPr>
          <w:sz w:val="24"/>
          <w:szCs w:val="24"/>
        </w:rPr>
      </w:pPr>
      <w:r>
        <w:rPr>
          <w:sz w:val="24"/>
          <w:szCs w:val="24"/>
        </w:rPr>
        <w:t xml:space="preserve">Four </w:t>
      </w:r>
      <w:r w:rsidR="0075392C">
        <w:rPr>
          <w:sz w:val="24"/>
          <w:szCs w:val="24"/>
        </w:rPr>
        <w:t>non</w:t>
      </w:r>
      <w:r w:rsidR="00340B3A">
        <w:rPr>
          <w:sz w:val="24"/>
          <w:szCs w:val="24"/>
        </w:rPr>
        <w:t>-</w:t>
      </w:r>
      <w:r w:rsidR="0075392C">
        <w:rPr>
          <w:sz w:val="24"/>
          <w:szCs w:val="24"/>
        </w:rPr>
        <w:t>executive directorships.</w:t>
      </w:r>
    </w:p>
    <w:p w:rsidR="00566406" w:rsidRDefault="00566406" w:rsidP="00E31F1B">
      <w:pPr>
        <w:tabs>
          <w:tab w:val="left" w:pos="2702"/>
        </w:tabs>
        <w:spacing w:line="480" w:lineRule="auto"/>
        <w:jc w:val="both"/>
        <w:rPr>
          <w:sz w:val="24"/>
          <w:szCs w:val="24"/>
        </w:rPr>
      </w:pPr>
    </w:p>
    <w:p w:rsidR="00566406" w:rsidRDefault="0075392C" w:rsidP="00E31F1B">
      <w:pPr>
        <w:tabs>
          <w:tab w:val="left" w:pos="2702"/>
        </w:tabs>
        <w:spacing w:line="480" w:lineRule="auto"/>
        <w:jc w:val="both"/>
        <w:rPr>
          <w:sz w:val="24"/>
          <w:szCs w:val="24"/>
        </w:rPr>
      </w:pPr>
      <w:r>
        <w:rPr>
          <w:sz w:val="24"/>
          <w:szCs w:val="24"/>
        </w:rPr>
        <w:lastRenderedPageBreak/>
        <w:t>The regulator may, at its discretion, allow one additional non-executive directorship</w:t>
      </w:r>
      <w:r w:rsidR="004A733F">
        <w:rPr>
          <w:rStyle w:val="FootnoteReference"/>
          <w:sz w:val="24"/>
          <w:szCs w:val="24"/>
        </w:rPr>
        <w:footnoteReference w:id="151"/>
      </w:r>
      <w:r>
        <w:rPr>
          <w:sz w:val="24"/>
          <w:szCs w:val="24"/>
        </w:rPr>
        <w:t xml:space="preserve">. </w:t>
      </w:r>
      <w:r w:rsidR="00C74622">
        <w:rPr>
          <w:sz w:val="24"/>
          <w:szCs w:val="24"/>
        </w:rPr>
        <w:t>S</w:t>
      </w:r>
      <w:r>
        <w:rPr>
          <w:sz w:val="24"/>
          <w:szCs w:val="24"/>
        </w:rPr>
        <w:t>everal non-executive directorships</w:t>
      </w:r>
      <w:r w:rsidR="004A733F">
        <w:rPr>
          <w:sz w:val="24"/>
          <w:szCs w:val="24"/>
        </w:rPr>
        <w:t xml:space="preserve"> in the same group count as a single non-executive director role</w:t>
      </w:r>
      <w:r w:rsidR="004A733F">
        <w:rPr>
          <w:rStyle w:val="FootnoteReference"/>
          <w:sz w:val="24"/>
          <w:szCs w:val="24"/>
        </w:rPr>
        <w:footnoteReference w:id="152"/>
      </w:r>
      <w:r w:rsidR="004A733F">
        <w:rPr>
          <w:sz w:val="24"/>
          <w:szCs w:val="24"/>
        </w:rPr>
        <w:t>.</w:t>
      </w:r>
    </w:p>
    <w:p w:rsidR="00566406" w:rsidRDefault="00566406" w:rsidP="00E31F1B">
      <w:pPr>
        <w:tabs>
          <w:tab w:val="left" w:pos="2702"/>
        </w:tabs>
        <w:spacing w:line="480" w:lineRule="auto"/>
        <w:jc w:val="both"/>
        <w:rPr>
          <w:sz w:val="24"/>
          <w:szCs w:val="24"/>
        </w:rPr>
      </w:pPr>
    </w:p>
    <w:p w:rsidR="00EE6631" w:rsidRDefault="00EE6631" w:rsidP="00E31F1B">
      <w:pPr>
        <w:tabs>
          <w:tab w:val="left" w:pos="2702"/>
        </w:tabs>
        <w:spacing w:line="480" w:lineRule="auto"/>
        <w:jc w:val="both"/>
        <w:rPr>
          <w:sz w:val="24"/>
          <w:szCs w:val="24"/>
        </w:rPr>
      </w:pPr>
      <w:r>
        <w:rPr>
          <w:sz w:val="24"/>
          <w:szCs w:val="24"/>
        </w:rPr>
        <w:t xml:space="preserve">The PRA has also indicated that it will, if necessary consider using powers </w:t>
      </w:r>
      <w:r w:rsidR="0090115F">
        <w:rPr>
          <w:sz w:val="24"/>
          <w:szCs w:val="24"/>
        </w:rPr>
        <w:t>in respect of</w:t>
      </w:r>
      <w:r>
        <w:rPr>
          <w:sz w:val="24"/>
          <w:szCs w:val="24"/>
        </w:rPr>
        <w:t xml:space="preserve"> the role of Chairs (Chairman of the Board and of the Committees) to limit their ability to take on other external roles </w:t>
      </w:r>
      <w:r w:rsidR="007C35D8">
        <w:rPr>
          <w:sz w:val="24"/>
          <w:szCs w:val="24"/>
        </w:rPr>
        <w:t xml:space="preserve">to ensure </w:t>
      </w:r>
      <w:r>
        <w:rPr>
          <w:sz w:val="24"/>
          <w:szCs w:val="24"/>
        </w:rPr>
        <w:t>that they devote adequate time to the</w:t>
      </w:r>
      <w:r w:rsidR="007C35D8">
        <w:rPr>
          <w:sz w:val="24"/>
          <w:szCs w:val="24"/>
        </w:rPr>
        <w:t>ir</w:t>
      </w:r>
      <w:r>
        <w:rPr>
          <w:sz w:val="24"/>
          <w:szCs w:val="24"/>
        </w:rPr>
        <w:t xml:space="preserve"> role in the authorised institution</w:t>
      </w:r>
      <w:r>
        <w:rPr>
          <w:rStyle w:val="FootnoteReference"/>
          <w:sz w:val="24"/>
          <w:szCs w:val="24"/>
        </w:rPr>
        <w:footnoteReference w:id="153"/>
      </w:r>
      <w:r>
        <w:rPr>
          <w:sz w:val="24"/>
          <w:szCs w:val="24"/>
        </w:rPr>
        <w:t>.</w:t>
      </w:r>
    </w:p>
    <w:p w:rsidR="00EE6631" w:rsidRDefault="00EE6631" w:rsidP="00E31F1B">
      <w:pPr>
        <w:tabs>
          <w:tab w:val="left" w:pos="2702"/>
        </w:tabs>
        <w:spacing w:line="480" w:lineRule="auto"/>
        <w:jc w:val="both"/>
        <w:rPr>
          <w:sz w:val="24"/>
          <w:szCs w:val="24"/>
        </w:rPr>
      </w:pPr>
    </w:p>
    <w:p w:rsidR="00EE6631" w:rsidRDefault="00EE6631" w:rsidP="00E31F1B">
      <w:pPr>
        <w:tabs>
          <w:tab w:val="left" w:pos="2702"/>
        </w:tabs>
        <w:spacing w:line="480" w:lineRule="auto"/>
        <w:jc w:val="both"/>
        <w:rPr>
          <w:sz w:val="24"/>
          <w:szCs w:val="24"/>
        </w:rPr>
      </w:pPr>
      <w:r>
        <w:rPr>
          <w:sz w:val="24"/>
          <w:szCs w:val="24"/>
        </w:rPr>
        <w:t>One of the aspects of the S</w:t>
      </w:r>
      <w:r w:rsidR="007C35D8">
        <w:rPr>
          <w:sz w:val="24"/>
          <w:szCs w:val="24"/>
        </w:rPr>
        <w:t xml:space="preserve">enior </w:t>
      </w:r>
      <w:r>
        <w:rPr>
          <w:sz w:val="24"/>
          <w:szCs w:val="24"/>
        </w:rPr>
        <w:t>I</w:t>
      </w:r>
      <w:r w:rsidR="007C35D8">
        <w:rPr>
          <w:sz w:val="24"/>
          <w:szCs w:val="24"/>
        </w:rPr>
        <w:t xml:space="preserve">ndependent </w:t>
      </w:r>
      <w:r>
        <w:rPr>
          <w:sz w:val="24"/>
          <w:szCs w:val="24"/>
        </w:rPr>
        <w:t>D</w:t>
      </w:r>
      <w:r w:rsidR="007C35D8">
        <w:rPr>
          <w:sz w:val="24"/>
          <w:szCs w:val="24"/>
        </w:rPr>
        <w:t>irector (SID)</w:t>
      </w:r>
      <w:r>
        <w:rPr>
          <w:sz w:val="24"/>
          <w:szCs w:val="24"/>
        </w:rPr>
        <w:t xml:space="preserve"> role expected by the PRA is an assessment of the resources allocated to the Chairman’s office.</w:t>
      </w:r>
      <w:r w:rsidR="00E81510">
        <w:rPr>
          <w:sz w:val="24"/>
          <w:szCs w:val="24"/>
        </w:rPr>
        <w:t xml:space="preserve"> This is particularly important given that the regulator not only expects the Board to be aware of the Threshold Condition</w:t>
      </w:r>
      <w:r w:rsidR="0090115F">
        <w:rPr>
          <w:sz w:val="24"/>
          <w:szCs w:val="24"/>
        </w:rPr>
        <w:t>s</w:t>
      </w:r>
      <w:r w:rsidR="00E81510">
        <w:rPr>
          <w:sz w:val="24"/>
          <w:szCs w:val="24"/>
        </w:rPr>
        <w:t xml:space="preserve"> (for achieving and maintaining authorisation) but also the more detailed rule</w:t>
      </w:r>
      <w:r w:rsidR="007C35D8">
        <w:rPr>
          <w:sz w:val="24"/>
          <w:szCs w:val="24"/>
        </w:rPr>
        <w:t>s</w:t>
      </w:r>
      <w:r w:rsidR="00E81510">
        <w:rPr>
          <w:sz w:val="24"/>
          <w:szCs w:val="24"/>
        </w:rPr>
        <w:t xml:space="preserve"> in the PRA Rulebook.</w:t>
      </w:r>
    </w:p>
    <w:p w:rsidR="00E81510" w:rsidRDefault="00E81510" w:rsidP="00E31F1B">
      <w:pPr>
        <w:tabs>
          <w:tab w:val="left" w:pos="2702"/>
        </w:tabs>
        <w:spacing w:line="480" w:lineRule="auto"/>
        <w:jc w:val="both"/>
        <w:rPr>
          <w:sz w:val="24"/>
          <w:szCs w:val="24"/>
        </w:rPr>
      </w:pPr>
    </w:p>
    <w:p w:rsidR="00E81510" w:rsidRDefault="00E81510" w:rsidP="00E31F1B">
      <w:pPr>
        <w:tabs>
          <w:tab w:val="left" w:pos="2702"/>
        </w:tabs>
        <w:spacing w:line="480" w:lineRule="auto"/>
        <w:jc w:val="both"/>
        <w:rPr>
          <w:sz w:val="24"/>
          <w:szCs w:val="24"/>
        </w:rPr>
      </w:pPr>
      <w:r>
        <w:rPr>
          <w:sz w:val="24"/>
          <w:szCs w:val="24"/>
        </w:rPr>
        <w:t>As part of the SMR the PRA have reiterated their expectation of the SMF holders to play a role in ensuring that their firms have an appropriate and sustainable culture</w:t>
      </w:r>
      <w:r>
        <w:rPr>
          <w:rStyle w:val="FootnoteReference"/>
          <w:sz w:val="24"/>
          <w:szCs w:val="24"/>
        </w:rPr>
        <w:footnoteReference w:id="154"/>
      </w:r>
      <w:r>
        <w:rPr>
          <w:sz w:val="24"/>
          <w:szCs w:val="24"/>
        </w:rPr>
        <w:t xml:space="preserve">, in particular the role of the Chairman and the CEO. </w:t>
      </w:r>
    </w:p>
    <w:p w:rsidR="00E81510" w:rsidRDefault="00E81510" w:rsidP="00E31F1B">
      <w:pPr>
        <w:tabs>
          <w:tab w:val="left" w:pos="2702"/>
        </w:tabs>
        <w:spacing w:line="480" w:lineRule="auto"/>
        <w:jc w:val="both"/>
        <w:rPr>
          <w:sz w:val="24"/>
          <w:szCs w:val="24"/>
        </w:rPr>
      </w:pPr>
    </w:p>
    <w:p w:rsidR="00E81510" w:rsidRPr="00EE6631" w:rsidRDefault="00E81510" w:rsidP="00E31F1B">
      <w:pPr>
        <w:tabs>
          <w:tab w:val="left" w:pos="2702"/>
        </w:tabs>
        <w:spacing w:line="480" w:lineRule="auto"/>
        <w:jc w:val="both"/>
        <w:rPr>
          <w:sz w:val="24"/>
          <w:szCs w:val="24"/>
        </w:rPr>
      </w:pPr>
      <w:r>
        <w:rPr>
          <w:sz w:val="24"/>
          <w:szCs w:val="24"/>
        </w:rPr>
        <w:t xml:space="preserve">As part of the SMR each SMF must have a Statement of Responsibility, and re-submit a new one </w:t>
      </w:r>
      <w:r w:rsidR="00B87142">
        <w:rPr>
          <w:sz w:val="24"/>
          <w:szCs w:val="24"/>
        </w:rPr>
        <w:t>anytime the role changes</w:t>
      </w:r>
      <w:r w:rsidR="00B87142">
        <w:rPr>
          <w:rStyle w:val="FootnoteReference"/>
          <w:sz w:val="24"/>
          <w:szCs w:val="24"/>
        </w:rPr>
        <w:footnoteReference w:id="155"/>
      </w:r>
      <w:r w:rsidR="00B87142">
        <w:rPr>
          <w:sz w:val="24"/>
          <w:szCs w:val="24"/>
        </w:rPr>
        <w:t>. In allocating responsibilities</w:t>
      </w:r>
      <w:r w:rsidR="00C74622">
        <w:rPr>
          <w:sz w:val="24"/>
          <w:szCs w:val="24"/>
        </w:rPr>
        <w:t>,</w:t>
      </w:r>
      <w:r w:rsidR="00B87142">
        <w:rPr>
          <w:sz w:val="24"/>
          <w:szCs w:val="24"/>
        </w:rPr>
        <w:t xml:space="preserve"> the RFB must document and maintain a Management Responsibilities Map</w:t>
      </w:r>
      <w:r w:rsidR="007C35D8">
        <w:rPr>
          <w:sz w:val="24"/>
          <w:szCs w:val="24"/>
        </w:rPr>
        <w:t xml:space="preserve"> for the bank</w:t>
      </w:r>
      <w:r w:rsidR="00B87142">
        <w:rPr>
          <w:sz w:val="24"/>
          <w:szCs w:val="24"/>
        </w:rPr>
        <w:t xml:space="preserve">. </w:t>
      </w:r>
    </w:p>
    <w:p w:rsidR="00EE6631" w:rsidRDefault="00EE6631" w:rsidP="00E31F1B">
      <w:pPr>
        <w:tabs>
          <w:tab w:val="left" w:pos="2702"/>
        </w:tabs>
        <w:spacing w:line="480" w:lineRule="auto"/>
        <w:jc w:val="both"/>
        <w:rPr>
          <w:sz w:val="24"/>
          <w:szCs w:val="24"/>
        </w:rPr>
      </w:pPr>
    </w:p>
    <w:p w:rsidR="00BD4FC3" w:rsidRDefault="00BD4FC3" w:rsidP="00E31F1B">
      <w:pPr>
        <w:tabs>
          <w:tab w:val="left" w:pos="2702"/>
        </w:tabs>
        <w:spacing w:line="480" w:lineRule="auto"/>
        <w:jc w:val="both"/>
        <w:rPr>
          <w:i/>
          <w:sz w:val="24"/>
          <w:szCs w:val="24"/>
        </w:rPr>
      </w:pPr>
      <w:r w:rsidRPr="006F7596">
        <w:rPr>
          <w:i/>
          <w:sz w:val="24"/>
          <w:szCs w:val="24"/>
        </w:rPr>
        <w:t>Certification Regime</w:t>
      </w:r>
    </w:p>
    <w:p w:rsidR="00B87142" w:rsidRDefault="00B87142" w:rsidP="00E31F1B">
      <w:pPr>
        <w:tabs>
          <w:tab w:val="left" w:pos="2702"/>
        </w:tabs>
        <w:spacing w:line="480" w:lineRule="auto"/>
        <w:jc w:val="both"/>
        <w:rPr>
          <w:sz w:val="24"/>
          <w:szCs w:val="24"/>
        </w:rPr>
      </w:pPr>
      <w:r>
        <w:rPr>
          <w:sz w:val="24"/>
          <w:szCs w:val="24"/>
        </w:rPr>
        <w:t>The Certification Regime (CR) is also applied by both the PRA and FCA. In the PRA’s case it is applied to what the PRA calls a Significant Risk Taker, which is aligned to the definition of material Risk Taker – which for remuneration purposes is defined in the Material Risk Takers Regulation</w:t>
      </w:r>
      <w:r>
        <w:rPr>
          <w:rStyle w:val="FootnoteReference"/>
          <w:sz w:val="24"/>
          <w:szCs w:val="24"/>
        </w:rPr>
        <w:footnoteReference w:id="156"/>
      </w:r>
      <w:r>
        <w:rPr>
          <w:sz w:val="24"/>
          <w:szCs w:val="24"/>
        </w:rPr>
        <w:t>.</w:t>
      </w:r>
      <w:r w:rsidR="004177D5">
        <w:rPr>
          <w:sz w:val="24"/>
          <w:szCs w:val="24"/>
        </w:rPr>
        <w:t xml:space="preserve"> </w:t>
      </w:r>
      <w:r>
        <w:rPr>
          <w:sz w:val="24"/>
          <w:szCs w:val="24"/>
        </w:rPr>
        <w:t xml:space="preserve">The FCA CR is wider and includes staff </w:t>
      </w:r>
      <w:r w:rsidR="00C74622">
        <w:rPr>
          <w:sz w:val="24"/>
          <w:szCs w:val="24"/>
        </w:rPr>
        <w:t>that</w:t>
      </w:r>
      <w:r>
        <w:rPr>
          <w:sz w:val="24"/>
          <w:szCs w:val="24"/>
        </w:rPr>
        <w:t xml:space="preserve"> have customer responsibilities. </w:t>
      </w:r>
    </w:p>
    <w:p w:rsidR="00705DEB" w:rsidRDefault="00705DEB" w:rsidP="00E31F1B">
      <w:pPr>
        <w:tabs>
          <w:tab w:val="left" w:pos="2702"/>
        </w:tabs>
        <w:spacing w:line="480" w:lineRule="auto"/>
        <w:jc w:val="both"/>
        <w:rPr>
          <w:sz w:val="24"/>
          <w:szCs w:val="24"/>
        </w:rPr>
      </w:pPr>
    </w:p>
    <w:p w:rsidR="00705DEB" w:rsidRPr="00B87142" w:rsidRDefault="00705DEB" w:rsidP="00E31F1B">
      <w:pPr>
        <w:tabs>
          <w:tab w:val="left" w:pos="2702"/>
        </w:tabs>
        <w:spacing w:line="480" w:lineRule="auto"/>
        <w:jc w:val="both"/>
        <w:rPr>
          <w:sz w:val="24"/>
          <w:szCs w:val="24"/>
        </w:rPr>
      </w:pPr>
      <w:r>
        <w:rPr>
          <w:sz w:val="24"/>
          <w:szCs w:val="24"/>
        </w:rPr>
        <w:t>The CR requires a ‘fit and proper’ assessment</w:t>
      </w:r>
      <w:r>
        <w:rPr>
          <w:rStyle w:val="FootnoteReference"/>
          <w:sz w:val="24"/>
          <w:szCs w:val="24"/>
        </w:rPr>
        <w:footnoteReference w:id="157"/>
      </w:r>
      <w:r>
        <w:rPr>
          <w:sz w:val="24"/>
          <w:szCs w:val="24"/>
        </w:rPr>
        <w:t xml:space="preserve"> and the issuing of a certificate</w:t>
      </w:r>
      <w:r>
        <w:rPr>
          <w:rStyle w:val="FootnoteReference"/>
          <w:sz w:val="24"/>
          <w:szCs w:val="24"/>
        </w:rPr>
        <w:footnoteReference w:id="158"/>
      </w:r>
      <w:r>
        <w:rPr>
          <w:sz w:val="24"/>
          <w:szCs w:val="24"/>
        </w:rPr>
        <w:t>.</w:t>
      </w:r>
    </w:p>
    <w:p w:rsidR="004B115B" w:rsidRDefault="004B115B" w:rsidP="00E31F1B">
      <w:pPr>
        <w:tabs>
          <w:tab w:val="left" w:pos="2702"/>
        </w:tabs>
        <w:spacing w:line="480" w:lineRule="auto"/>
        <w:jc w:val="both"/>
        <w:rPr>
          <w:sz w:val="24"/>
          <w:szCs w:val="24"/>
        </w:rPr>
      </w:pPr>
    </w:p>
    <w:p w:rsidR="004B115B" w:rsidRDefault="004B115B" w:rsidP="00E31F1B">
      <w:pPr>
        <w:pStyle w:val="Heading2"/>
        <w:tabs>
          <w:tab w:val="left" w:pos="2702"/>
        </w:tabs>
        <w:spacing w:line="480" w:lineRule="auto"/>
      </w:pPr>
      <w:bookmarkStart w:id="13" w:name="_Toc428779485"/>
      <w:r>
        <w:t>Enterprise Wide Risk Management Arrangements</w:t>
      </w:r>
      <w:bookmarkEnd w:id="13"/>
    </w:p>
    <w:p w:rsidR="004E724D" w:rsidRDefault="0068213E" w:rsidP="00E31F1B">
      <w:pPr>
        <w:tabs>
          <w:tab w:val="left" w:pos="2702"/>
        </w:tabs>
        <w:spacing w:line="480" w:lineRule="auto"/>
        <w:jc w:val="both"/>
        <w:rPr>
          <w:sz w:val="24"/>
          <w:szCs w:val="24"/>
        </w:rPr>
      </w:pPr>
      <w:r>
        <w:rPr>
          <w:sz w:val="24"/>
          <w:szCs w:val="24"/>
        </w:rPr>
        <w:t>In parallel with the Basel Committee</w:t>
      </w:r>
      <w:r w:rsidR="000C04F6">
        <w:rPr>
          <w:sz w:val="24"/>
          <w:szCs w:val="24"/>
        </w:rPr>
        <w:t>’</w:t>
      </w:r>
      <w:r>
        <w:rPr>
          <w:sz w:val="24"/>
          <w:szCs w:val="24"/>
        </w:rPr>
        <w:t>s work</w:t>
      </w:r>
      <w:r w:rsidR="00564D97">
        <w:rPr>
          <w:sz w:val="24"/>
          <w:szCs w:val="24"/>
        </w:rPr>
        <w:t xml:space="preserve"> o</w:t>
      </w:r>
      <w:r w:rsidR="007C35D8">
        <w:rPr>
          <w:sz w:val="24"/>
          <w:szCs w:val="24"/>
        </w:rPr>
        <w:t>n</w:t>
      </w:r>
      <w:r w:rsidR="00564D97">
        <w:rPr>
          <w:sz w:val="24"/>
          <w:szCs w:val="24"/>
        </w:rPr>
        <w:t xml:space="preserve"> credit risk management, market risk management, and operational risk management</w:t>
      </w:r>
      <w:r w:rsidR="007C35D8">
        <w:rPr>
          <w:sz w:val="24"/>
          <w:szCs w:val="24"/>
        </w:rPr>
        <w:t xml:space="preserve"> in Basel II</w:t>
      </w:r>
      <w:r>
        <w:rPr>
          <w:sz w:val="24"/>
          <w:szCs w:val="24"/>
        </w:rPr>
        <w:t xml:space="preserve">, an organisation in the US known as the Committee of the Sponsoring Organisations of the Treadway Commission (COSO) had started to look at control infrastructure </w:t>
      </w:r>
      <w:r w:rsidR="00564D97">
        <w:rPr>
          <w:sz w:val="24"/>
          <w:szCs w:val="24"/>
        </w:rPr>
        <w:t xml:space="preserve">in response to US accounting failings </w:t>
      </w:r>
      <w:r>
        <w:rPr>
          <w:sz w:val="24"/>
          <w:szCs w:val="24"/>
        </w:rPr>
        <w:t>and published two influential papers, the first on internal control in 1992</w:t>
      </w:r>
      <w:r>
        <w:rPr>
          <w:rStyle w:val="FootnoteReference"/>
          <w:sz w:val="24"/>
          <w:szCs w:val="24"/>
        </w:rPr>
        <w:footnoteReference w:id="159"/>
      </w:r>
      <w:r>
        <w:rPr>
          <w:sz w:val="24"/>
          <w:szCs w:val="24"/>
        </w:rPr>
        <w:t>, and the second on enterprise risk management in 2004</w:t>
      </w:r>
      <w:r>
        <w:rPr>
          <w:rStyle w:val="FootnoteReference"/>
          <w:sz w:val="24"/>
          <w:szCs w:val="24"/>
        </w:rPr>
        <w:footnoteReference w:id="160"/>
      </w:r>
      <w:r>
        <w:rPr>
          <w:sz w:val="24"/>
          <w:szCs w:val="24"/>
        </w:rPr>
        <w:t xml:space="preserve">. </w:t>
      </w:r>
      <w:r w:rsidR="004E724D">
        <w:rPr>
          <w:sz w:val="24"/>
          <w:szCs w:val="24"/>
        </w:rPr>
        <w:t xml:space="preserve"> COSO described Enterprise Risk Management as:</w:t>
      </w:r>
    </w:p>
    <w:p w:rsidR="004E724D" w:rsidRDefault="004E724D" w:rsidP="00E31F1B">
      <w:pPr>
        <w:tabs>
          <w:tab w:val="left" w:pos="2702"/>
        </w:tabs>
        <w:spacing w:line="480" w:lineRule="auto"/>
        <w:jc w:val="both"/>
        <w:rPr>
          <w:sz w:val="24"/>
          <w:szCs w:val="24"/>
        </w:rPr>
      </w:pPr>
    </w:p>
    <w:p w:rsidR="004E724D" w:rsidRPr="004E724D" w:rsidRDefault="004E724D" w:rsidP="00E31F1B">
      <w:pPr>
        <w:tabs>
          <w:tab w:val="left" w:pos="2702"/>
        </w:tabs>
        <w:ind w:left="720"/>
        <w:jc w:val="both"/>
        <w:rPr>
          <w:sz w:val="24"/>
          <w:szCs w:val="24"/>
        </w:rPr>
      </w:pPr>
      <w:r w:rsidRPr="004E724D">
        <w:rPr>
          <w:i/>
          <w:sz w:val="24"/>
          <w:szCs w:val="24"/>
        </w:rPr>
        <w:t xml:space="preserve">‘a process, effected by an entity's board of directors, management, and other personnel, applied in strategy setting and across the enterprise, designed to identify potential events </w:t>
      </w:r>
      <w:r w:rsidRPr="004E724D">
        <w:rPr>
          <w:i/>
          <w:sz w:val="24"/>
          <w:szCs w:val="24"/>
        </w:rPr>
        <w:lastRenderedPageBreak/>
        <w:t>that may affect the entity, and manage risk to be within its risk appetite, to provide reasonable assurance regarding the achievement of entity objectives</w:t>
      </w:r>
      <w:r w:rsidRPr="004E724D">
        <w:rPr>
          <w:sz w:val="24"/>
          <w:szCs w:val="24"/>
        </w:rPr>
        <w:t>’.</w:t>
      </w:r>
    </w:p>
    <w:p w:rsidR="0068213E" w:rsidRDefault="0068213E" w:rsidP="00E31F1B">
      <w:pPr>
        <w:tabs>
          <w:tab w:val="left" w:pos="2702"/>
        </w:tabs>
        <w:spacing w:line="480" w:lineRule="auto"/>
        <w:jc w:val="both"/>
        <w:rPr>
          <w:sz w:val="24"/>
          <w:szCs w:val="24"/>
        </w:rPr>
      </w:pPr>
    </w:p>
    <w:p w:rsidR="004E724D" w:rsidRDefault="004E724D" w:rsidP="00E31F1B">
      <w:pPr>
        <w:tabs>
          <w:tab w:val="left" w:pos="2702"/>
        </w:tabs>
        <w:spacing w:line="480" w:lineRule="auto"/>
        <w:jc w:val="both"/>
        <w:rPr>
          <w:sz w:val="24"/>
          <w:szCs w:val="24"/>
        </w:rPr>
      </w:pPr>
      <w:r>
        <w:rPr>
          <w:sz w:val="24"/>
          <w:szCs w:val="24"/>
        </w:rPr>
        <w:t xml:space="preserve">This has been picked up by regulators around the world and it is now an expectation that a bank (including an RFB) will have an </w:t>
      </w:r>
      <w:r w:rsidR="000C04F6">
        <w:rPr>
          <w:sz w:val="24"/>
          <w:szCs w:val="24"/>
        </w:rPr>
        <w:t>E</w:t>
      </w:r>
      <w:r>
        <w:rPr>
          <w:sz w:val="24"/>
          <w:szCs w:val="24"/>
        </w:rPr>
        <w:t xml:space="preserve">nterprise </w:t>
      </w:r>
      <w:r w:rsidR="000C04F6">
        <w:rPr>
          <w:sz w:val="24"/>
          <w:szCs w:val="24"/>
        </w:rPr>
        <w:t>W</w:t>
      </w:r>
      <w:r>
        <w:rPr>
          <w:sz w:val="24"/>
          <w:szCs w:val="24"/>
        </w:rPr>
        <w:t xml:space="preserve">ide </w:t>
      </w:r>
      <w:r w:rsidR="000C04F6">
        <w:rPr>
          <w:sz w:val="24"/>
          <w:szCs w:val="24"/>
        </w:rPr>
        <w:t>R</w:t>
      </w:r>
      <w:r>
        <w:rPr>
          <w:sz w:val="24"/>
          <w:szCs w:val="24"/>
        </w:rPr>
        <w:t xml:space="preserve">isk </w:t>
      </w:r>
      <w:r w:rsidR="000C04F6">
        <w:rPr>
          <w:sz w:val="24"/>
          <w:szCs w:val="24"/>
        </w:rPr>
        <w:t>M</w:t>
      </w:r>
      <w:r>
        <w:rPr>
          <w:sz w:val="24"/>
          <w:szCs w:val="24"/>
        </w:rPr>
        <w:t>anagement</w:t>
      </w:r>
      <w:r w:rsidR="000C04F6">
        <w:rPr>
          <w:sz w:val="24"/>
          <w:szCs w:val="24"/>
        </w:rPr>
        <w:t xml:space="preserve"> (EWRM)</w:t>
      </w:r>
      <w:r>
        <w:rPr>
          <w:sz w:val="24"/>
          <w:szCs w:val="24"/>
        </w:rPr>
        <w:t xml:space="preserve"> framework led by a Chief Risk Officer</w:t>
      </w:r>
      <w:r w:rsidR="007C35D8">
        <w:rPr>
          <w:sz w:val="24"/>
          <w:szCs w:val="24"/>
        </w:rPr>
        <w:t xml:space="preserve"> (CRO)</w:t>
      </w:r>
      <w:r>
        <w:rPr>
          <w:sz w:val="24"/>
          <w:szCs w:val="24"/>
        </w:rPr>
        <w:t>. The Financial Stability Board noted in a 2013 thematic review that:</w:t>
      </w:r>
    </w:p>
    <w:p w:rsidR="004E724D" w:rsidRDefault="004E724D" w:rsidP="00E31F1B">
      <w:pPr>
        <w:tabs>
          <w:tab w:val="left" w:pos="2702"/>
        </w:tabs>
        <w:spacing w:line="480" w:lineRule="auto"/>
        <w:jc w:val="both"/>
        <w:rPr>
          <w:sz w:val="24"/>
          <w:szCs w:val="24"/>
        </w:rPr>
      </w:pPr>
    </w:p>
    <w:p w:rsidR="004E724D" w:rsidRPr="004E724D" w:rsidRDefault="004E724D" w:rsidP="00E31F1B">
      <w:pPr>
        <w:tabs>
          <w:tab w:val="left" w:pos="2702"/>
        </w:tabs>
        <w:ind w:left="720"/>
        <w:rPr>
          <w:sz w:val="24"/>
          <w:szCs w:val="24"/>
        </w:rPr>
      </w:pPr>
      <w:r w:rsidRPr="004E724D">
        <w:rPr>
          <w:sz w:val="24"/>
          <w:szCs w:val="24"/>
        </w:rPr>
        <w:t>‘</w:t>
      </w:r>
      <w:r w:rsidRPr="004E724D">
        <w:rPr>
          <w:i/>
          <w:sz w:val="24"/>
          <w:szCs w:val="24"/>
        </w:rPr>
        <w:t>At the core of effective risk governance is a well-designed and articulated enterprise risk management framework, which reflects the firm’s risk culture and enumerates the firm’s risk appetite</w:t>
      </w:r>
      <w:r>
        <w:rPr>
          <w:i/>
          <w:sz w:val="24"/>
          <w:szCs w:val="24"/>
        </w:rPr>
        <w:t>.</w:t>
      </w:r>
      <w:r>
        <w:rPr>
          <w:rStyle w:val="FootnoteReference"/>
          <w:i/>
          <w:sz w:val="24"/>
          <w:szCs w:val="24"/>
        </w:rPr>
        <w:footnoteReference w:id="161"/>
      </w:r>
      <w:r w:rsidRPr="004E724D">
        <w:rPr>
          <w:sz w:val="24"/>
          <w:szCs w:val="24"/>
        </w:rPr>
        <w:t xml:space="preserve">’ </w:t>
      </w:r>
    </w:p>
    <w:p w:rsidR="008D71F9" w:rsidRDefault="008D71F9" w:rsidP="00E31F1B">
      <w:pPr>
        <w:tabs>
          <w:tab w:val="left" w:pos="2702"/>
        </w:tabs>
        <w:spacing w:line="480" w:lineRule="auto"/>
        <w:jc w:val="both"/>
        <w:rPr>
          <w:sz w:val="24"/>
          <w:szCs w:val="24"/>
        </w:rPr>
      </w:pPr>
    </w:p>
    <w:p w:rsidR="00604EE9" w:rsidRDefault="00185993" w:rsidP="00E31F1B">
      <w:pPr>
        <w:tabs>
          <w:tab w:val="left" w:pos="2702"/>
        </w:tabs>
        <w:spacing w:line="480" w:lineRule="auto"/>
        <w:jc w:val="both"/>
        <w:rPr>
          <w:sz w:val="24"/>
          <w:szCs w:val="24"/>
        </w:rPr>
      </w:pPr>
      <w:r>
        <w:rPr>
          <w:sz w:val="24"/>
          <w:szCs w:val="24"/>
        </w:rPr>
        <w:t>Key to effective risk management, and an approach that has now become standard in the financial services industry</w:t>
      </w:r>
      <w:r w:rsidR="00604EE9">
        <w:rPr>
          <w:sz w:val="24"/>
          <w:szCs w:val="24"/>
        </w:rPr>
        <w:t>, is that of the ‘three lines of defence’. The three lines of defence is a business risk management model that creates a system of checks and balances in the RFB’s management of risk.</w:t>
      </w:r>
      <w:r w:rsidR="004177D5">
        <w:rPr>
          <w:sz w:val="24"/>
          <w:szCs w:val="24"/>
        </w:rPr>
        <w:t xml:space="preserve"> </w:t>
      </w:r>
      <w:r w:rsidR="00604EE9">
        <w:rPr>
          <w:sz w:val="24"/>
          <w:szCs w:val="24"/>
        </w:rPr>
        <w:t>The Board delegates the execution of strategy and the management of risk to strategy to the CEO, and the CEO uses the three lines of defence to ensure effective oversight over the management of risk – the three lines of defence are:</w:t>
      </w:r>
    </w:p>
    <w:p w:rsidR="00604EE9" w:rsidRDefault="00604EE9" w:rsidP="00E31F1B">
      <w:pPr>
        <w:tabs>
          <w:tab w:val="left" w:pos="2702"/>
        </w:tabs>
        <w:spacing w:line="480" w:lineRule="auto"/>
        <w:jc w:val="both"/>
        <w:rPr>
          <w:sz w:val="24"/>
          <w:szCs w:val="24"/>
        </w:rPr>
      </w:pPr>
    </w:p>
    <w:p w:rsidR="00185993" w:rsidRDefault="00604EE9" w:rsidP="00E31F1B">
      <w:pPr>
        <w:pStyle w:val="ListParagraph"/>
        <w:numPr>
          <w:ilvl w:val="0"/>
          <w:numId w:val="27"/>
        </w:numPr>
        <w:tabs>
          <w:tab w:val="left" w:pos="2702"/>
        </w:tabs>
        <w:spacing w:line="480" w:lineRule="auto"/>
        <w:jc w:val="both"/>
        <w:rPr>
          <w:sz w:val="24"/>
          <w:szCs w:val="24"/>
        </w:rPr>
      </w:pPr>
      <w:r>
        <w:rPr>
          <w:sz w:val="24"/>
          <w:szCs w:val="24"/>
        </w:rPr>
        <w:t>First line of defence – the Business;</w:t>
      </w:r>
    </w:p>
    <w:p w:rsidR="00604EE9" w:rsidRDefault="00604EE9" w:rsidP="00E31F1B">
      <w:pPr>
        <w:pStyle w:val="ListParagraph"/>
        <w:numPr>
          <w:ilvl w:val="0"/>
          <w:numId w:val="27"/>
        </w:numPr>
        <w:tabs>
          <w:tab w:val="left" w:pos="2702"/>
        </w:tabs>
        <w:spacing w:line="480" w:lineRule="auto"/>
        <w:jc w:val="both"/>
        <w:rPr>
          <w:sz w:val="24"/>
          <w:szCs w:val="24"/>
        </w:rPr>
      </w:pPr>
      <w:r>
        <w:rPr>
          <w:sz w:val="24"/>
          <w:szCs w:val="24"/>
        </w:rPr>
        <w:t>Second line of defence – the Risk Function; and</w:t>
      </w:r>
    </w:p>
    <w:p w:rsidR="00604EE9" w:rsidRDefault="00604EE9" w:rsidP="00E31F1B">
      <w:pPr>
        <w:pStyle w:val="ListParagraph"/>
        <w:numPr>
          <w:ilvl w:val="0"/>
          <w:numId w:val="27"/>
        </w:numPr>
        <w:tabs>
          <w:tab w:val="left" w:pos="2702"/>
        </w:tabs>
        <w:spacing w:line="480" w:lineRule="auto"/>
        <w:jc w:val="both"/>
        <w:rPr>
          <w:sz w:val="24"/>
          <w:szCs w:val="24"/>
        </w:rPr>
      </w:pPr>
      <w:r>
        <w:rPr>
          <w:sz w:val="24"/>
          <w:szCs w:val="24"/>
        </w:rPr>
        <w:t>Third line of defence – Internal Audit</w:t>
      </w:r>
      <w:r w:rsidR="000C04F6">
        <w:rPr>
          <w:sz w:val="24"/>
          <w:szCs w:val="24"/>
        </w:rPr>
        <w:t>.</w:t>
      </w:r>
    </w:p>
    <w:p w:rsidR="00604EE9" w:rsidRDefault="00604EE9" w:rsidP="00E31F1B">
      <w:pPr>
        <w:tabs>
          <w:tab w:val="left" w:pos="2702"/>
        </w:tabs>
        <w:spacing w:line="480" w:lineRule="auto"/>
        <w:jc w:val="both"/>
        <w:rPr>
          <w:sz w:val="24"/>
          <w:szCs w:val="24"/>
        </w:rPr>
      </w:pPr>
    </w:p>
    <w:p w:rsidR="00604EE9" w:rsidRPr="00604EE9" w:rsidRDefault="00604EE9" w:rsidP="00E31F1B">
      <w:pPr>
        <w:tabs>
          <w:tab w:val="left" w:pos="2702"/>
        </w:tabs>
        <w:spacing w:line="480" w:lineRule="auto"/>
        <w:jc w:val="both"/>
        <w:rPr>
          <w:sz w:val="24"/>
          <w:szCs w:val="24"/>
        </w:rPr>
      </w:pPr>
      <w:r>
        <w:rPr>
          <w:sz w:val="24"/>
          <w:szCs w:val="24"/>
        </w:rPr>
        <w:t xml:space="preserve">The second line of defence is usually led by the CRO </w:t>
      </w:r>
      <w:r w:rsidR="000C04F6">
        <w:rPr>
          <w:sz w:val="24"/>
          <w:szCs w:val="24"/>
        </w:rPr>
        <w:t>who</w:t>
      </w:r>
      <w:r>
        <w:rPr>
          <w:sz w:val="24"/>
          <w:szCs w:val="24"/>
        </w:rPr>
        <w:t xml:space="preserve"> is accountable to the CEO for the oversight of the management of risk</w:t>
      </w:r>
      <w:r w:rsidR="007C35D8">
        <w:rPr>
          <w:sz w:val="24"/>
          <w:szCs w:val="24"/>
        </w:rPr>
        <w:t>, with a dotted reporting line to the Chair of the Board Risk Committee</w:t>
      </w:r>
      <w:r w:rsidR="00AD63E7">
        <w:rPr>
          <w:sz w:val="24"/>
          <w:szCs w:val="24"/>
        </w:rPr>
        <w:t>.</w:t>
      </w:r>
    </w:p>
    <w:p w:rsidR="00185993" w:rsidRDefault="00185993" w:rsidP="00E31F1B">
      <w:pPr>
        <w:tabs>
          <w:tab w:val="left" w:pos="2702"/>
        </w:tabs>
        <w:spacing w:line="480" w:lineRule="auto"/>
        <w:jc w:val="both"/>
        <w:rPr>
          <w:sz w:val="24"/>
          <w:szCs w:val="24"/>
        </w:rPr>
      </w:pPr>
    </w:p>
    <w:p w:rsidR="00C70022" w:rsidRPr="00C70022" w:rsidRDefault="00C70022" w:rsidP="00E31F1B">
      <w:pPr>
        <w:tabs>
          <w:tab w:val="left" w:pos="2702"/>
        </w:tabs>
        <w:spacing w:line="480" w:lineRule="auto"/>
        <w:jc w:val="both"/>
        <w:rPr>
          <w:sz w:val="24"/>
          <w:szCs w:val="24"/>
        </w:rPr>
      </w:pPr>
      <w:r>
        <w:rPr>
          <w:sz w:val="24"/>
          <w:szCs w:val="24"/>
        </w:rPr>
        <w:lastRenderedPageBreak/>
        <w:t xml:space="preserve">The two things that lead to failure of a bank are (1) inability to pay its debts as they fall due, addressed by the management of Liquidity Risk; and (2) the banks liabilities are greater than its assets addressed by the management of </w:t>
      </w:r>
      <w:r w:rsidR="000C04F6">
        <w:rPr>
          <w:sz w:val="24"/>
          <w:szCs w:val="24"/>
        </w:rPr>
        <w:t>C</w:t>
      </w:r>
      <w:r>
        <w:rPr>
          <w:sz w:val="24"/>
          <w:szCs w:val="24"/>
        </w:rPr>
        <w:t xml:space="preserve">apital </w:t>
      </w:r>
      <w:r w:rsidR="000C04F6">
        <w:rPr>
          <w:sz w:val="24"/>
          <w:szCs w:val="24"/>
        </w:rPr>
        <w:t>A</w:t>
      </w:r>
      <w:r>
        <w:rPr>
          <w:sz w:val="24"/>
          <w:szCs w:val="24"/>
        </w:rPr>
        <w:t>dequacy</w:t>
      </w:r>
      <w:r w:rsidR="000C04F6">
        <w:rPr>
          <w:sz w:val="24"/>
          <w:szCs w:val="24"/>
        </w:rPr>
        <w:t xml:space="preserve"> (all other risks)</w:t>
      </w:r>
      <w:r>
        <w:rPr>
          <w:sz w:val="24"/>
          <w:szCs w:val="24"/>
        </w:rPr>
        <w:t xml:space="preserve">. </w:t>
      </w:r>
      <w:r w:rsidR="000C04F6">
        <w:rPr>
          <w:sz w:val="24"/>
          <w:szCs w:val="24"/>
        </w:rPr>
        <w:t xml:space="preserve">Liquidity management and </w:t>
      </w:r>
      <w:r>
        <w:rPr>
          <w:sz w:val="24"/>
          <w:szCs w:val="24"/>
        </w:rPr>
        <w:t xml:space="preserve">Capital </w:t>
      </w:r>
      <w:r w:rsidR="000C04F6">
        <w:rPr>
          <w:sz w:val="24"/>
          <w:szCs w:val="24"/>
        </w:rPr>
        <w:t>A</w:t>
      </w:r>
      <w:r>
        <w:rPr>
          <w:sz w:val="24"/>
          <w:szCs w:val="24"/>
        </w:rPr>
        <w:t xml:space="preserve">dequacy management are highly technical activities in bank regulation. The core information for these activities is set out in the </w:t>
      </w:r>
      <w:r w:rsidR="000C04F6">
        <w:rPr>
          <w:sz w:val="24"/>
          <w:szCs w:val="24"/>
        </w:rPr>
        <w:t xml:space="preserve">Internal Liquidity Assessment Process (ILAAP) and </w:t>
      </w:r>
      <w:r>
        <w:rPr>
          <w:sz w:val="24"/>
          <w:szCs w:val="24"/>
        </w:rPr>
        <w:t>Internal Capital Adequacy Assessment Process (ICAAP)</w:t>
      </w:r>
      <w:r w:rsidR="000C04F6">
        <w:rPr>
          <w:sz w:val="24"/>
          <w:szCs w:val="24"/>
        </w:rPr>
        <w:t>.</w:t>
      </w:r>
      <w:r>
        <w:rPr>
          <w:sz w:val="24"/>
          <w:szCs w:val="24"/>
        </w:rPr>
        <w:t xml:space="preserve"> Th</w:t>
      </w:r>
      <w:r w:rsidR="00AD63E7">
        <w:rPr>
          <w:sz w:val="24"/>
          <w:szCs w:val="24"/>
        </w:rPr>
        <w:t xml:space="preserve">e production of both of these documents </w:t>
      </w:r>
      <w:r>
        <w:rPr>
          <w:sz w:val="24"/>
          <w:szCs w:val="24"/>
        </w:rPr>
        <w:t>is</w:t>
      </w:r>
      <w:r w:rsidR="00AD63E7">
        <w:rPr>
          <w:sz w:val="24"/>
          <w:szCs w:val="24"/>
        </w:rPr>
        <w:t xml:space="preserve"> usually co-ordinated by the EWRM team</w:t>
      </w:r>
      <w:r w:rsidR="00592FB4">
        <w:rPr>
          <w:sz w:val="24"/>
          <w:szCs w:val="24"/>
        </w:rPr>
        <w:t xml:space="preserve">. A key component of both documents is the risk appetite that guides the development of the framework.  </w:t>
      </w:r>
    </w:p>
    <w:p w:rsidR="00C70022" w:rsidRDefault="00C70022" w:rsidP="00E31F1B">
      <w:pPr>
        <w:tabs>
          <w:tab w:val="left" w:pos="2702"/>
        </w:tabs>
        <w:spacing w:line="480" w:lineRule="auto"/>
        <w:jc w:val="both"/>
        <w:rPr>
          <w:i/>
          <w:sz w:val="24"/>
          <w:szCs w:val="24"/>
        </w:rPr>
      </w:pPr>
    </w:p>
    <w:p w:rsidR="00A96C64" w:rsidRPr="00A96C64" w:rsidRDefault="00A96C64" w:rsidP="00E31F1B">
      <w:pPr>
        <w:tabs>
          <w:tab w:val="left" w:pos="2702"/>
        </w:tabs>
        <w:spacing w:line="480" w:lineRule="auto"/>
        <w:jc w:val="both"/>
        <w:rPr>
          <w:i/>
          <w:sz w:val="24"/>
          <w:szCs w:val="24"/>
        </w:rPr>
      </w:pPr>
      <w:r w:rsidRPr="00A96C64">
        <w:rPr>
          <w:i/>
          <w:sz w:val="24"/>
          <w:szCs w:val="24"/>
        </w:rPr>
        <w:t>Risk Appetite</w:t>
      </w:r>
    </w:p>
    <w:p w:rsidR="001A79AA" w:rsidRDefault="00A96C64" w:rsidP="00E31F1B">
      <w:pPr>
        <w:tabs>
          <w:tab w:val="left" w:pos="2702"/>
        </w:tabs>
        <w:spacing w:line="480" w:lineRule="auto"/>
        <w:jc w:val="both"/>
        <w:rPr>
          <w:sz w:val="24"/>
          <w:szCs w:val="24"/>
        </w:rPr>
      </w:pPr>
      <w:r>
        <w:rPr>
          <w:sz w:val="24"/>
          <w:szCs w:val="24"/>
        </w:rPr>
        <w:t>A key aspect of any enterprise wide risk management framework is establishing what the firm’s appetite for risk is. Risk appetite in banking and RFBs is inextricably linked with liquidity and capital through the risk categories credit risk and market risk (the risk</w:t>
      </w:r>
      <w:r w:rsidR="000C04F6">
        <w:rPr>
          <w:sz w:val="24"/>
          <w:szCs w:val="24"/>
        </w:rPr>
        <w:t>s</w:t>
      </w:r>
      <w:r>
        <w:rPr>
          <w:sz w:val="24"/>
          <w:szCs w:val="24"/>
        </w:rPr>
        <w:t xml:space="preserve"> that banks take to generate a return) and operational risk (which is a risk that has to be managed and is a cost of doing business). </w:t>
      </w:r>
    </w:p>
    <w:p w:rsidR="001A79AA" w:rsidRDefault="001A79AA" w:rsidP="00E31F1B">
      <w:pPr>
        <w:tabs>
          <w:tab w:val="left" w:pos="2702"/>
        </w:tabs>
        <w:spacing w:line="480" w:lineRule="auto"/>
        <w:jc w:val="both"/>
        <w:rPr>
          <w:sz w:val="24"/>
          <w:szCs w:val="24"/>
        </w:rPr>
      </w:pPr>
    </w:p>
    <w:p w:rsidR="001A79AA" w:rsidRDefault="000C04F6" w:rsidP="00E31F1B">
      <w:pPr>
        <w:tabs>
          <w:tab w:val="left" w:pos="2702"/>
        </w:tabs>
        <w:spacing w:line="480" w:lineRule="auto"/>
        <w:jc w:val="both"/>
        <w:rPr>
          <w:sz w:val="24"/>
          <w:szCs w:val="24"/>
        </w:rPr>
      </w:pPr>
      <w:r>
        <w:rPr>
          <w:sz w:val="24"/>
          <w:szCs w:val="24"/>
        </w:rPr>
        <w:t xml:space="preserve">Large banks often have a banking book (lending and credit risk) and a trading book (trading and market risk). </w:t>
      </w:r>
      <w:r w:rsidR="00C70022">
        <w:rPr>
          <w:sz w:val="24"/>
          <w:szCs w:val="24"/>
        </w:rPr>
        <w:t>RFB</w:t>
      </w:r>
      <w:r w:rsidR="001A79AA">
        <w:rPr>
          <w:sz w:val="24"/>
          <w:szCs w:val="24"/>
        </w:rPr>
        <w:t xml:space="preserve">s cannot have a trading book and therefore do not need to hold capital against market risk. This does not however meant that they do not have to manage market </w:t>
      </w:r>
      <w:r w:rsidR="00592FB4">
        <w:rPr>
          <w:sz w:val="24"/>
          <w:szCs w:val="24"/>
        </w:rPr>
        <w:t xml:space="preserve">risk </w:t>
      </w:r>
      <w:r w:rsidR="001A79AA">
        <w:rPr>
          <w:sz w:val="24"/>
          <w:szCs w:val="24"/>
        </w:rPr>
        <w:t xml:space="preserve">– although they will not have traded market risk they may have </w:t>
      </w:r>
      <w:r w:rsidR="00592FB4">
        <w:rPr>
          <w:sz w:val="24"/>
          <w:szCs w:val="24"/>
        </w:rPr>
        <w:t>non-trad</w:t>
      </w:r>
      <w:r>
        <w:rPr>
          <w:sz w:val="24"/>
          <w:szCs w:val="24"/>
        </w:rPr>
        <w:t>ed</w:t>
      </w:r>
      <w:r w:rsidR="004177D5">
        <w:rPr>
          <w:sz w:val="24"/>
          <w:szCs w:val="24"/>
        </w:rPr>
        <w:t xml:space="preserve"> </w:t>
      </w:r>
      <w:r w:rsidR="001A79AA">
        <w:rPr>
          <w:sz w:val="24"/>
          <w:szCs w:val="24"/>
        </w:rPr>
        <w:t>marke</w:t>
      </w:r>
      <w:r w:rsidR="00592FB4">
        <w:rPr>
          <w:sz w:val="24"/>
          <w:szCs w:val="24"/>
        </w:rPr>
        <w:t>t</w:t>
      </w:r>
      <w:r w:rsidR="001A79AA">
        <w:rPr>
          <w:sz w:val="24"/>
          <w:szCs w:val="24"/>
        </w:rPr>
        <w:t xml:space="preserve"> risk from their treasury departments hedging activities</w:t>
      </w:r>
      <w:r w:rsidR="00592FB4">
        <w:rPr>
          <w:sz w:val="24"/>
          <w:szCs w:val="24"/>
        </w:rPr>
        <w:t>, and all will have to manage interest rate risk in the banking book (IRRBB)</w:t>
      </w:r>
      <w:r w:rsidR="00C74622">
        <w:rPr>
          <w:sz w:val="24"/>
          <w:szCs w:val="24"/>
        </w:rPr>
        <w:t xml:space="preserve"> – see Appendix 1</w:t>
      </w:r>
      <w:r w:rsidR="001A79AA">
        <w:rPr>
          <w:sz w:val="24"/>
          <w:szCs w:val="24"/>
        </w:rPr>
        <w:t>. The three key risks</w:t>
      </w:r>
      <w:r>
        <w:rPr>
          <w:sz w:val="24"/>
          <w:szCs w:val="24"/>
        </w:rPr>
        <w:t>, fo</w:t>
      </w:r>
      <w:r w:rsidR="00C74622">
        <w:rPr>
          <w:sz w:val="24"/>
          <w:szCs w:val="24"/>
        </w:rPr>
        <w:t>r</w:t>
      </w:r>
      <w:r>
        <w:rPr>
          <w:sz w:val="24"/>
          <w:szCs w:val="24"/>
        </w:rPr>
        <w:t xml:space="preserve"> which an appetite must be set,</w:t>
      </w:r>
      <w:r w:rsidR="001A79AA">
        <w:rPr>
          <w:sz w:val="24"/>
          <w:szCs w:val="24"/>
        </w:rPr>
        <w:t xml:space="preserve"> will be credit risk, and operational risk</w:t>
      </w:r>
      <w:r w:rsidR="004177D5">
        <w:rPr>
          <w:sz w:val="24"/>
          <w:szCs w:val="24"/>
        </w:rPr>
        <w:t xml:space="preserve"> </w:t>
      </w:r>
      <w:r w:rsidR="001A79AA">
        <w:rPr>
          <w:sz w:val="24"/>
          <w:szCs w:val="24"/>
        </w:rPr>
        <w:t>which must be addressed in the ICAAP, and liquidity risk which must be addressed in the ILAAP.</w:t>
      </w:r>
    </w:p>
    <w:p w:rsidR="00BF6ADB" w:rsidRDefault="00BF6ADB" w:rsidP="00E31F1B">
      <w:pPr>
        <w:tabs>
          <w:tab w:val="left" w:pos="2702"/>
        </w:tabs>
        <w:spacing w:line="480" w:lineRule="auto"/>
        <w:jc w:val="both"/>
        <w:rPr>
          <w:sz w:val="24"/>
          <w:szCs w:val="24"/>
        </w:rPr>
      </w:pPr>
    </w:p>
    <w:p w:rsidR="00BF6ADB" w:rsidRDefault="00BF6ADB" w:rsidP="00E31F1B">
      <w:pPr>
        <w:tabs>
          <w:tab w:val="left" w:pos="2702"/>
        </w:tabs>
        <w:spacing w:line="480" w:lineRule="auto"/>
        <w:jc w:val="both"/>
        <w:rPr>
          <w:sz w:val="24"/>
          <w:szCs w:val="24"/>
        </w:rPr>
      </w:pPr>
      <w:r w:rsidRPr="00BF6ADB">
        <w:rPr>
          <w:sz w:val="24"/>
          <w:szCs w:val="24"/>
        </w:rPr>
        <w:lastRenderedPageBreak/>
        <w:t>A risk appetite approach and language was set out by the FSB</w:t>
      </w:r>
      <w:r w:rsidRPr="00BF6ADB">
        <w:rPr>
          <w:rStyle w:val="FootnoteReference"/>
          <w:sz w:val="24"/>
          <w:szCs w:val="24"/>
        </w:rPr>
        <w:footnoteReference w:id="162"/>
      </w:r>
      <w:r w:rsidRPr="00BF6ADB">
        <w:rPr>
          <w:sz w:val="24"/>
          <w:szCs w:val="24"/>
        </w:rPr>
        <w:t>, which is logical and which RFBs could use. A number of consultancies have also published papers on risk appetite</w:t>
      </w:r>
      <w:r w:rsidRPr="00BF6ADB">
        <w:rPr>
          <w:rStyle w:val="FootnoteReference"/>
          <w:sz w:val="24"/>
          <w:szCs w:val="24"/>
        </w:rPr>
        <w:footnoteReference w:id="163"/>
      </w:r>
      <w:r w:rsidRPr="00BF6ADB">
        <w:rPr>
          <w:sz w:val="24"/>
          <w:szCs w:val="24"/>
        </w:rPr>
        <w:t>.</w:t>
      </w:r>
    </w:p>
    <w:p w:rsidR="00017667" w:rsidRDefault="00017667" w:rsidP="00E31F1B">
      <w:pPr>
        <w:tabs>
          <w:tab w:val="left" w:pos="2702"/>
        </w:tabs>
        <w:spacing w:line="480" w:lineRule="auto"/>
        <w:jc w:val="both"/>
        <w:rPr>
          <w:sz w:val="24"/>
          <w:szCs w:val="24"/>
        </w:rPr>
      </w:pPr>
    </w:p>
    <w:p w:rsidR="00564D97" w:rsidRPr="00C70022" w:rsidRDefault="00564D97" w:rsidP="00E31F1B">
      <w:pPr>
        <w:tabs>
          <w:tab w:val="left" w:pos="2702"/>
        </w:tabs>
        <w:spacing w:line="480" w:lineRule="auto"/>
        <w:jc w:val="both"/>
        <w:rPr>
          <w:i/>
          <w:sz w:val="24"/>
          <w:szCs w:val="24"/>
        </w:rPr>
      </w:pPr>
      <w:r w:rsidRPr="00C70022">
        <w:rPr>
          <w:i/>
          <w:sz w:val="24"/>
          <w:szCs w:val="24"/>
        </w:rPr>
        <w:t>Credit Risk</w:t>
      </w:r>
    </w:p>
    <w:p w:rsidR="00573FB3" w:rsidRDefault="00926E97" w:rsidP="00E31F1B">
      <w:pPr>
        <w:tabs>
          <w:tab w:val="left" w:pos="2702"/>
        </w:tabs>
        <w:spacing w:line="480" w:lineRule="auto"/>
        <w:jc w:val="both"/>
        <w:rPr>
          <w:sz w:val="24"/>
          <w:szCs w:val="24"/>
        </w:rPr>
      </w:pPr>
      <w:r>
        <w:rPr>
          <w:sz w:val="24"/>
          <w:szCs w:val="24"/>
        </w:rPr>
        <w:t>This is the key risk for an RFB and a risk that RFBs need to take to be able to pay interest to their depositors and bondholders, and earn a return for their shareholders. It is also the risk that</w:t>
      </w:r>
      <w:r w:rsidR="00573FB3">
        <w:rPr>
          <w:sz w:val="24"/>
          <w:szCs w:val="24"/>
        </w:rPr>
        <w:t xml:space="preserve"> supports maturity transformation and lending to the wider economy (both personal customers and SME businesses)</w:t>
      </w:r>
      <w:r w:rsidR="00592FB4">
        <w:rPr>
          <w:sz w:val="24"/>
          <w:szCs w:val="24"/>
        </w:rPr>
        <w:t>. In modern banking</w:t>
      </w:r>
      <w:r w:rsidR="000C2144">
        <w:rPr>
          <w:sz w:val="24"/>
          <w:szCs w:val="24"/>
        </w:rPr>
        <w:t>,</w:t>
      </w:r>
      <w:r w:rsidR="00592FB4">
        <w:rPr>
          <w:sz w:val="24"/>
          <w:szCs w:val="24"/>
        </w:rPr>
        <w:t xml:space="preserve"> both retail credit risk and SME credit risk are managed using statistical techniques that allow for volume lending. Private banking and large corporate tend to get a more bespoke service.</w:t>
      </w:r>
      <w:r w:rsidR="000C2144">
        <w:rPr>
          <w:sz w:val="24"/>
          <w:szCs w:val="24"/>
        </w:rPr>
        <w:t xml:space="preserve"> Other risks that will need to be covered under credit risk are Counterparty Risk and Concentration Risk</w:t>
      </w:r>
      <w:r w:rsidR="00C74622">
        <w:rPr>
          <w:sz w:val="24"/>
          <w:szCs w:val="24"/>
        </w:rPr>
        <w:t xml:space="preserve"> – see Appendix 1</w:t>
      </w:r>
      <w:r w:rsidR="000C2144">
        <w:rPr>
          <w:sz w:val="24"/>
          <w:szCs w:val="24"/>
        </w:rPr>
        <w:t xml:space="preserve">. </w:t>
      </w:r>
    </w:p>
    <w:p w:rsidR="00592FB4" w:rsidRDefault="00592FB4" w:rsidP="00E31F1B">
      <w:pPr>
        <w:tabs>
          <w:tab w:val="left" w:pos="2702"/>
        </w:tabs>
        <w:spacing w:line="480" w:lineRule="auto"/>
        <w:jc w:val="both"/>
        <w:rPr>
          <w:sz w:val="24"/>
          <w:szCs w:val="24"/>
        </w:rPr>
      </w:pPr>
    </w:p>
    <w:p w:rsidR="00592FB4" w:rsidRDefault="00592FB4" w:rsidP="00E31F1B">
      <w:pPr>
        <w:tabs>
          <w:tab w:val="left" w:pos="2702"/>
        </w:tabs>
        <w:spacing w:line="480" w:lineRule="auto"/>
        <w:jc w:val="both"/>
        <w:rPr>
          <w:sz w:val="24"/>
          <w:szCs w:val="24"/>
        </w:rPr>
      </w:pPr>
      <w:r>
        <w:rPr>
          <w:sz w:val="24"/>
          <w:szCs w:val="24"/>
        </w:rPr>
        <w:t>SME are a key part of the economy and often generate the majority of an economy’s employment. For this reason they are in the RFB as the government would want to rescue a bank that is supporting the national economy and generating employment. The importance of SME’s to national economies</w:t>
      </w:r>
      <w:r w:rsidR="00BC1309">
        <w:rPr>
          <w:sz w:val="24"/>
          <w:szCs w:val="24"/>
        </w:rPr>
        <w:t xml:space="preserve"> was also recognised in the CRR and the regulation allows an SME discount for the bank in respect of lending to SMEs</w:t>
      </w:r>
      <w:r w:rsidR="00BC1309">
        <w:rPr>
          <w:rStyle w:val="FootnoteReference"/>
          <w:sz w:val="24"/>
          <w:szCs w:val="24"/>
        </w:rPr>
        <w:footnoteReference w:id="164"/>
      </w:r>
      <w:r w:rsidR="00BC1309">
        <w:rPr>
          <w:sz w:val="24"/>
          <w:szCs w:val="24"/>
        </w:rPr>
        <w:t>.</w:t>
      </w:r>
    </w:p>
    <w:p w:rsidR="00573FB3" w:rsidRDefault="00573FB3" w:rsidP="00E31F1B">
      <w:pPr>
        <w:tabs>
          <w:tab w:val="left" w:pos="2702"/>
        </w:tabs>
        <w:spacing w:line="480" w:lineRule="auto"/>
        <w:jc w:val="both"/>
        <w:rPr>
          <w:sz w:val="24"/>
          <w:szCs w:val="24"/>
        </w:rPr>
      </w:pPr>
    </w:p>
    <w:p w:rsidR="00C70022" w:rsidRPr="00926E97" w:rsidRDefault="00573FB3" w:rsidP="00E31F1B">
      <w:pPr>
        <w:tabs>
          <w:tab w:val="left" w:pos="2702"/>
        </w:tabs>
        <w:spacing w:line="480" w:lineRule="auto"/>
        <w:jc w:val="both"/>
        <w:rPr>
          <w:sz w:val="24"/>
          <w:szCs w:val="24"/>
        </w:rPr>
      </w:pPr>
      <w:r>
        <w:rPr>
          <w:sz w:val="24"/>
          <w:szCs w:val="24"/>
        </w:rPr>
        <w:t>The RFBs approach to credit risk will need to be described in its ICAAP.</w:t>
      </w:r>
    </w:p>
    <w:p w:rsidR="00FC4BB6" w:rsidRDefault="00FC4BB6" w:rsidP="00E31F1B">
      <w:pPr>
        <w:tabs>
          <w:tab w:val="left" w:pos="2702"/>
        </w:tabs>
        <w:spacing w:line="480" w:lineRule="auto"/>
        <w:jc w:val="both"/>
        <w:rPr>
          <w:i/>
          <w:sz w:val="24"/>
          <w:szCs w:val="24"/>
        </w:rPr>
      </w:pPr>
    </w:p>
    <w:p w:rsidR="00564D97" w:rsidRPr="00CB304C" w:rsidRDefault="00564D97" w:rsidP="00E31F1B">
      <w:pPr>
        <w:tabs>
          <w:tab w:val="left" w:pos="2702"/>
        </w:tabs>
        <w:spacing w:line="480" w:lineRule="auto"/>
        <w:jc w:val="both"/>
        <w:rPr>
          <w:i/>
          <w:sz w:val="24"/>
          <w:szCs w:val="24"/>
        </w:rPr>
      </w:pPr>
      <w:r w:rsidRPr="00CB304C">
        <w:rPr>
          <w:i/>
          <w:sz w:val="24"/>
          <w:szCs w:val="24"/>
        </w:rPr>
        <w:t>Operational Risk</w:t>
      </w:r>
    </w:p>
    <w:p w:rsidR="00CB304C" w:rsidRDefault="00CB304C" w:rsidP="00E31F1B">
      <w:pPr>
        <w:tabs>
          <w:tab w:val="left" w:pos="2702"/>
        </w:tabs>
        <w:spacing w:line="480" w:lineRule="auto"/>
        <w:jc w:val="both"/>
        <w:rPr>
          <w:sz w:val="24"/>
          <w:szCs w:val="24"/>
        </w:rPr>
      </w:pPr>
      <w:r>
        <w:rPr>
          <w:sz w:val="24"/>
          <w:szCs w:val="24"/>
        </w:rPr>
        <w:lastRenderedPageBreak/>
        <w:t>Following the numerous operational risk failings in the 1990s</w:t>
      </w:r>
      <w:r w:rsidR="00A96C64">
        <w:rPr>
          <w:rStyle w:val="FootnoteReference"/>
          <w:sz w:val="24"/>
          <w:szCs w:val="24"/>
        </w:rPr>
        <w:footnoteReference w:id="165"/>
      </w:r>
      <w:r>
        <w:rPr>
          <w:sz w:val="24"/>
          <w:szCs w:val="24"/>
        </w:rPr>
        <w:t>, the Basel Committee made operational risk one of their priorities</w:t>
      </w:r>
      <w:r w:rsidR="00602AA3">
        <w:rPr>
          <w:rStyle w:val="FootnoteReference"/>
          <w:sz w:val="24"/>
          <w:szCs w:val="24"/>
        </w:rPr>
        <w:footnoteReference w:id="166"/>
      </w:r>
      <w:r>
        <w:rPr>
          <w:sz w:val="24"/>
          <w:szCs w:val="24"/>
        </w:rPr>
        <w:t xml:space="preserve"> and </w:t>
      </w:r>
      <w:r w:rsidR="00602AA3">
        <w:rPr>
          <w:sz w:val="24"/>
          <w:szCs w:val="24"/>
        </w:rPr>
        <w:t>introduced a requirement to hold capital</w:t>
      </w:r>
      <w:r w:rsidR="00C70022">
        <w:rPr>
          <w:sz w:val="24"/>
          <w:szCs w:val="24"/>
        </w:rPr>
        <w:t xml:space="preserve"> in respect of </w:t>
      </w:r>
      <w:r w:rsidR="00602AA3">
        <w:rPr>
          <w:sz w:val="24"/>
          <w:szCs w:val="24"/>
        </w:rPr>
        <w:t>operational risk in the Basel II Accord</w:t>
      </w:r>
      <w:r w:rsidR="00602AA3">
        <w:rPr>
          <w:rStyle w:val="FootnoteReference"/>
          <w:sz w:val="24"/>
          <w:szCs w:val="24"/>
        </w:rPr>
        <w:footnoteReference w:id="167"/>
      </w:r>
      <w:r w:rsidR="00602AA3">
        <w:rPr>
          <w:sz w:val="24"/>
          <w:szCs w:val="24"/>
        </w:rPr>
        <w:t>.</w:t>
      </w:r>
      <w:r w:rsidR="00C74622">
        <w:rPr>
          <w:sz w:val="24"/>
          <w:szCs w:val="24"/>
        </w:rPr>
        <w:t xml:space="preserve"> </w:t>
      </w:r>
      <w:r w:rsidR="00602AA3">
        <w:rPr>
          <w:sz w:val="24"/>
          <w:szCs w:val="24"/>
        </w:rPr>
        <w:t>Following the financial crisis there has been further interest in operational risk, and update of the Sound Practices paper</w:t>
      </w:r>
      <w:r w:rsidR="00602AA3">
        <w:rPr>
          <w:rStyle w:val="FootnoteReference"/>
          <w:sz w:val="24"/>
          <w:szCs w:val="24"/>
        </w:rPr>
        <w:footnoteReference w:id="168"/>
      </w:r>
      <w:r w:rsidR="00C70022">
        <w:rPr>
          <w:sz w:val="24"/>
          <w:szCs w:val="24"/>
        </w:rPr>
        <w:t xml:space="preserve">, and feedback on best practices </w:t>
      </w:r>
      <w:r w:rsidR="00C74622">
        <w:rPr>
          <w:sz w:val="24"/>
          <w:szCs w:val="24"/>
        </w:rPr>
        <w:t>i</w:t>
      </w:r>
      <w:r w:rsidR="00C70022">
        <w:rPr>
          <w:sz w:val="24"/>
          <w:szCs w:val="24"/>
        </w:rPr>
        <w:t>n operational risk management</w:t>
      </w:r>
      <w:r w:rsidR="00C70022">
        <w:rPr>
          <w:rStyle w:val="FootnoteReference"/>
          <w:sz w:val="24"/>
          <w:szCs w:val="24"/>
        </w:rPr>
        <w:footnoteReference w:id="169"/>
      </w:r>
      <w:r w:rsidR="00C70022">
        <w:rPr>
          <w:sz w:val="24"/>
          <w:szCs w:val="24"/>
        </w:rPr>
        <w:t>.</w:t>
      </w:r>
    </w:p>
    <w:p w:rsidR="000C09B2" w:rsidRDefault="000C09B2" w:rsidP="00E31F1B">
      <w:pPr>
        <w:tabs>
          <w:tab w:val="left" w:pos="2702"/>
        </w:tabs>
        <w:spacing w:line="480" w:lineRule="auto"/>
        <w:jc w:val="both"/>
        <w:rPr>
          <w:sz w:val="24"/>
          <w:szCs w:val="24"/>
        </w:rPr>
      </w:pPr>
    </w:p>
    <w:p w:rsidR="000C09B2" w:rsidRDefault="000C09B2" w:rsidP="00E31F1B">
      <w:pPr>
        <w:tabs>
          <w:tab w:val="left" w:pos="2702"/>
        </w:tabs>
        <w:spacing w:line="480" w:lineRule="auto"/>
        <w:jc w:val="both"/>
        <w:rPr>
          <w:sz w:val="24"/>
          <w:szCs w:val="24"/>
        </w:rPr>
      </w:pPr>
      <w:r>
        <w:rPr>
          <w:sz w:val="24"/>
          <w:szCs w:val="24"/>
        </w:rPr>
        <w:t>The definition of operational risk indicates why it is such an important risk:</w:t>
      </w:r>
    </w:p>
    <w:p w:rsidR="000C09B2" w:rsidRDefault="000C09B2" w:rsidP="00E31F1B">
      <w:pPr>
        <w:tabs>
          <w:tab w:val="left" w:pos="2702"/>
        </w:tabs>
        <w:spacing w:line="480" w:lineRule="auto"/>
        <w:jc w:val="both"/>
        <w:rPr>
          <w:sz w:val="24"/>
          <w:szCs w:val="24"/>
        </w:rPr>
      </w:pPr>
    </w:p>
    <w:p w:rsidR="000C09B2" w:rsidRDefault="000C09B2" w:rsidP="00A72AD6">
      <w:pPr>
        <w:tabs>
          <w:tab w:val="left" w:pos="2702"/>
        </w:tabs>
        <w:ind w:left="720"/>
        <w:rPr>
          <w:i/>
          <w:sz w:val="24"/>
          <w:szCs w:val="24"/>
        </w:rPr>
      </w:pPr>
      <w:r>
        <w:rPr>
          <w:i/>
          <w:sz w:val="24"/>
          <w:szCs w:val="24"/>
        </w:rPr>
        <w:t>“</w:t>
      </w:r>
      <w:r w:rsidRPr="000C09B2">
        <w:rPr>
          <w:i/>
          <w:sz w:val="24"/>
          <w:szCs w:val="24"/>
        </w:rPr>
        <w:t>the risk of loss resulting from inadequate or failed internal processes, people and systems, or external events. This definition includes legal risk, but excludes strategic and reputational ris</w:t>
      </w:r>
      <w:r>
        <w:rPr>
          <w:i/>
          <w:sz w:val="24"/>
          <w:szCs w:val="24"/>
        </w:rPr>
        <w:t>k</w:t>
      </w:r>
      <w:r>
        <w:rPr>
          <w:rStyle w:val="FootnoteReference"/>
          <w:i/>
          <w:sz w:val="24"/>
          <w:szCs w:val="24"/>
        </w:rPr>
        <w:footnoteReference w:id="170"/>
      </w:r>
      <w:r>
        <w:rPr>
          <w:i/>
          <w:sz w:val="24"/>
          <w:szCs w:val="24"/>
        </w:rPr>
        <w:t>”</w:t>
      </w:r>
    </w:p>
    <w:p w:rsidR="000C09B2" w:rsidRDefault="000C09B2" w:rsidP="00E31F1B">
      <w:pPr>
        <w:tabs>
          <w:tab w:val="left" w:pos="2702"/>
        </w:tabs>
        <w:spacing w:line="480" w:lineRule="auto"/>
        <w:ind w:left="720"/>
        <w:rPr>
          <w:i/>
          <w:sz w:val="24"/>
          <w:szCs w:val="24"/>
        </w:rPr>
      </w:pPr>
    </w:p>
    <w:p w:rsidR="000C09B2" w:rsidRPr="000C09B2" w:rsidRDefault="000C09B2" w:rsidP="00E31F1B">
      <w:pPr>
        <w:tabs>
          <w:tab w:val="left" w:pos="2702"/>
        </w:tabs>
        <w:spacing w:line="480" w:lineRule="auto"/>
        <w:jc w:val="both"/>
        <w:rPr>
          <w:sz w:val="24"/>
          <w:szCs w:val="24"/>
        </w:rPr>
      </w:pPr>
      <w:r>
        <w:rPr>
          <w:sz w:val="24"/>
          <w:szCs w:val="24"/>
        </w:rPr>
        <w:lastRenderedPageBreak/>
        <w:t xml:space="preserve">There is no function in </w:t>
      </w:r>
      <w:r w:rsidR="0020505D">
        <w:rPr>
          <w:sz w:val="24"/>
          <w:szCs w:val="24"/>
        </w:rPr>
        <w:t xml:space="preserve">an </w:t>
      </w:r>
      <w:r>
        <w:rPr>
          <w:sz w:val="24"/>
          <w:szCs w:val="24"/>
        </w:rPr>
        <w:t xml:space="preserve">RFB </w:t>
      </w:r>
      <w:r w:rsidR="0020505D">
        <w:rPr>
          <w:sz w:val="24"/>
          <w:szCs w:val="24"/>
        </w:rPr>
        <w:t xml:space="preserve">(or any modern organisation) </w:t>
      </w:r>
      <w:r>
        <w:rPr>
          <w:sz w:val="24"/>
          <w:szCs w:val="24"/>
        </w:rPr>
        <w:t xml:space="preserve">that can be run without effective </w:t>
      </w:r>
      <w:r w:rsidR="0020505D">
        <w:rPr>
          <w:sz w:val="24"/>
          <w:szCs w:val="24"/>
        </w:rPr>
        <w:t>‘processes, people and systems’ and as such operational risk is a key business enabler</w:t>
      </w:r>
      <w:r w:rsidR="0020505D">
        <w:rPr>
          <w:rStyle w:val="FootnoteReference"/>
          <w:sz w:val="24"/>
          <w:szCs w:val="24"/>
        </w:rPr>
        <w:footnoteReference w:id="171"/>
      </w:r>
      <w:r w:rsidR="005F5C3D">
        <w:rPr>
          <w:sz w:val="24"/>
          <w:szCs w:val="24"/>
        </w:rPr>
        <w:t xml:space="preserve"> in respect of both quality control and culture</w:t>
      </w:r>
      <w:r w:rsidR="005F5C3D">
        <w:rPr>
          <w:rStyle w:val="FootnoteReference"/>
          <w:sz w:val="24"/>
          <w:szCs w:val="24"/>
        </w:rPr>
        <w:footnoteReference w:id="172"/>
      </w:r>
      <w:r w:rsidR="005F5C3D">
        <w:rPr>
          <w:sz w:val="24"/>
          <w:szCs w:val="24"/>
        </w:rPr>
        <w:t>.</w:t>
      </w:r>
    </w:p>
    <w:p w:rsidR="000C09B2" w:rsidRDefault="000C09B2" w:rsidP="00E31F1B">
      <w:pPr>
        <w:tabs>
          <w:tab w:val="left" w:pos="2702"/>
        </w:tabs>
        <w:spacing w:line="480" w:lineRule="auto"/>
        <w:jc w:val="both"/>
        <w:rPr>
          <w:sz w:val="24"/>
          <w:szCs w:val="24"/>
        </w:rPr>
      </w:pPr>
    </w:p>
    <w:p w:rsidR="00564D97" w:rsidRDefault="00564D97" w:rsidP="00E31F1B">
      <w:pPr>
        <w:tabs>
          <w:tab w:val="left" w:pos="2702"/>
        </w:tabs>
        <w:spacing w:line="480" w:lineRule="auto"/>
        <w:jc w:val="both"/>
        <w:rPr>
          <w:i/>
          <w:sz w:val="24"/>
          <w:szCs w:val="24"/>
        </w:rPr>
      </w:pPr>
      <w:r w:rsidRPr="001A79AA">
        <w:rPr>
          <w:i/>
          <w:sz w:val="24"/>
          <w:szCs w:val="24"/>
        </w:rPr>
        <w:t>Outsourcing</w:t>
      </w:r>
    </w:p>
    <w:p w:rsidR="001A79AA" w:rsidRPr="001A79AA" w:rsidRDefault="001A79AA" w:rsidP="00E31F1B">
      <w:pPr>
        <w:tabs>
          <w:tab w:val="left" w:pos="2702"/>
        </w:tabs>
        <w:spacing w:line="480" w:lineRule="auto"/>
        <w:jc w:val="both"/>
        <w:rPr>
          <w:sz w:val="24"/>
          <w:szCs w:val="24"/>
        </w:rPr>
      </w:pPr>
      <w:r>
        <w:rPr>
          <w:sz w:val="24"/>
          <w:szCs w:val="24"/>
        </w:rPr>
        <w:t>Outsourcing was a key focus for the regulator at the beginning of the century, with banks having come late to outsourcing suddenly saw it as a major cost reduction tool. The regulatory principles for managing outsourcing risks have not changed that much</w:t>
      </w:r>
      <w:r>
        <w:rPr>
          <w:rStyle w:val="FootnoteReference"/>
          <w:sz w:val="24"/>
          <w:szCs w:val="24"/>
        </w:rPr>
        <w:footnoteReference w:id="173"/>
      </w:r>
      <w:r w:rsidR="008F36D2">
        <w:rPr>
          <w:sz w:val="24"/>
          <w:szCs w:val="24"/>
        </w:rPr>
        <w:t xml:space="preserve">. The provisions and risk broadly remain the same, although the regulator is unlikely to allow major outsourcing to the parent as it will create a critical dependency, with many firms looking at systems cloning approaches. </w:t>
      </w:r>
    </w:p>
    <w:p w:rsidR="001A79AA" w:rsidRPr="001A79AA" w:rsidRDefault="001A79AA" w:rsidP="00E31F1B">
      <w:pPr>
        <w:tabs>
          <w:tab w:val="left" w:pos="2702"/>
        </w:tabs>
        <w:spacing w:line="480" w:lineRule="auto"/>
        <w:jc w:val="both"/>
        <w:rPr>
          <w:i/>
          <w:sz w:val="24"/>
          <w:szCs w:val="24"/>
        </w:rPr>
      </w:pPr>
    </w:p>
    <w:p w:rsidR="008D71F9" w:rsidRDefault="001A79AA" w:rsidP="00E31F1B">
      <w:pPr>
        <w:tabs>
          <w:tab w:val="left" w:pos="2702"/>
        </w:tabs>
        <w:spacing w:line="480" w:lineRule="auto"/>
        <w:jc w:val="both"/>
        <w:rPr>
          <w:i/>
          <w:sz w:val="24"/>
          <w:szCs w:val="24"/>
        </w:rPr>
      </w:pPr>
      <w:r w:rsidRPr="001A79AA">
        <w:rPr>
          <w:i/>
          <w:sz w:val="24"/>
          <w:szCs w:val="24"/>
        </w:rPr>
        <w:t>Liquidity Risk</w:t>
      </w:r>
    </w:p>
    <w:p w:rsidR="00FC4BB6" w:rsidRPr="008F36D2" w:rsidRDefault="008F36D2" w:rsidP="00E31F1B">
      <w:pPr>
        <w:tabs>
          <w:tab w:val="left" w:pos="2702"/>
        </w:tabs>
        <w:spacing w:line="480" w:lineRule="auto"/>
        <w:jc w:val="both"/>
        <w:rPr>
          <w:sz w:val="24"/>
          <w:szCs w:val="24"/>
        </w:rPr>
      </w:pPr>
      <w:r>
        <w:rPr>
          <w:sz w:val="24"/>
          <w:szCs w:val="24"/>
        </w:rPr>
        <w:t>Liquidity risk become particularly important after the financial crisis, in particular in recognition that Northern Rock was not insolvent but got into difficulty form a liquidity perspective based on the level of wholesale funding that it was using – leaving it vulnerable when the market froze.  The FSA introduced stringent liquidity provisions immediately after this and these have been broadly implemented around the world</w:t>
      </w:r>
      <w:r w:rsidR="00C74622">
        <w:rPr>
          <w:sz w:val="24"/>
          <w:szCs w:val="24"/>
        </w:rPr>
        <w:t xml:space="preserve"> – see Appendix 3</w:t>
      </w:r>
      <w:r>
        <w:rPr>
          <w:sz w:val="24"/>
          <w:szCs w:val="24"/>
        </w:rPr>
        <w:t>.</w:t>
      </w:r>
    </w:p>
    <w:p w:rsidR="001A79AA" w:rsidRDefault="001A79AA" w:rsidP="00E31F1B">
      <w:pPr>
        <w:tabs>
          <w:tab w:val="left" w:pos="2702"/>
        </w:tabs>
        <w:spacing w:line="480" w:lineRule="auto"/>
        <w:jc w:val="both"/>
        <w:rPr>
          <w:sz w:val="24"/>
          <w:szCs w:val="24"/>
        </w:rPr>
      </w:pPr>
    </w:p>
    <w:p w:rsidR="004B115B" w:rsidRDefault="004B115B" w:rsidP="00E31F1B">
      <w:pPr>
        <w:pStyle w:val="Heading2"/>
        <w:tabs>
          <w:tab w:val="left" w:pos="2702"/>
        </w:tabs>
        <w:spacing w:line="480" w:lineRule="auto"/>
      </w:pPr>
      <w:bookmarkStart w:id="14" w:name="_Toc428779486"/>
      <w:r>
        <w:lastRenderedPageBreak/>
        <w:t>ICAA</w:t>
      </w:r>
      <w:r w:rsidR="00DE7838">
        <w:t>P</w:t>
      </w:r>
      <w:bookmarkEnd w:id="14"/>
    </w:p>
    <w:p w:rsidR="00BC1309" w:rsidRDefault="00BC1309" w:rsidP="00E31F1B">
      <w:pPr>
        <w:tabs>
          <w:tab w:val="left" w:pos="2702"/>
        </w:tabs>
        <w:spacing w:line="480" w:lineRule="auto"/>
        <w:jc w:val="both"/>
        <w:rPr>
          <w:sz w:val="24"/>
          <w:szCs w:val="24"/>
        </w:rPr>
      </w:pPr>
      <w:r>
        <w:rPr>
          <w:sz w:val="24"/>
          <w:szCs w:val="24"/>
        </w:rPr>
        <w:t xml:space="preserve">The ICAAP is the most important prudential regulatory document that an RFB has to produce (or any bank for that matter) and was introduced by the Basel II Accord. </w:t>
      </w:r>
      <w:r w:rsidR="00B83593">
        <w:rPr>
          <w:sz w:val="24"/>
          <w:szCs w:val="24"/>
        </w:rPr>
        <w:t>Further d</w:t>
      </w:r>
      <w:r>
        <w:rPr>
          <w:sz w:val="24"/>
          <w:szCs w:val="24"/>
        </w:rPr>
        <w:t xml:space="preserve">etail on the ICAAP </w:t>
      </w:r>
      <w:r w:rsidR="000C2144">
        <w:rPr>
          <w:sz w:val="24"/>
          <w:szCs w:val="24"/>
        </w:rPr>
        <w:t>is</w:t>
      </w:r>
      <w:r>
        <w:rPr>
          <w:sz w:val="24"/>
          <w:szCs w:val="24"/>
        </w:rPr>
        <w:t xml:space="preserve"> set out in Appendix 1.</w:t>
      </w:r>
    </w:p>
    <w:p w:rsidR="00BC1309" w:rsidRDefault="00BC1309" w:rsidP="00E31F1B">
      <w:pPr>
        <w:tabs>
          <w:tab w:val="left" w:pos="2702"/>
        </w:tabs>
        <w:spacing w:line="480" w:lineRule="auto"/>
        <w:jc w:val="both"/>
        <w:rPr>
          <w:sz w:val="24"/>
          <w:szCs w:val="24"/>
        </w:rPr>
      </w:pPr>
    </w:p>
    <w:p w:rsidR="00961123" w:rsidRDefault="00961123" w:rsidP="00E31F1B">
      <w:pPr>
        <w:tabs>
          <w:tab w:val="left" w:pos="2702"/>
        </w:tabs>
        <w:spacing w:line="480" w:lineRule="auto"/>
        <w:jc w:val="both"/>
        <w:rPr>
          <w:sz w:val="24"/>
          <w:szCs w:val="24"/>
        </w:rPr>
      </w:pPr>
      <w:r>
        <w:rPr>
          <w:sz w:val="24"/>
          <w:szCs w:val="24"/>
        </w:rPr>
        <w:t>A unique function of banks is there ability to create money (the credit multiplier), and it has been the practice for many central banks prior to the Basel Accords to use reserve asset ratios as a means to controlling credit expansion – a macro-economic tool to control money supply, but also a form of enforced liquidity management. However, this did not stop banks from taking unhealthy credit concentrations onto their balance sheets, as seen in the secondary banking crisis in the early 1970s</w:t>
      </w:r>
      <w:r>
        <w:rPr>
          <w:rStyle w:val="FootnoteReference"/>
          <w:sz w:val="24"/>
          <w:szCs w:val="24"/>
        </w:rPr>
        <w:footnoteReference w:id="174"/>
      </w:r>
      <w:r>
        <w:rPr>
          <w:sz w:val="24"/>
          <w:szCs w:val="24"/>
        </w:rPr>
        <w:t xml:space="preserve">.  </w:t>
      </w:r>
    </w:p>
    <w:p w:rsidR="00961123" w:rsidRDefault="00961123" w:rsidP="00E31F1B">
      <w:pPr>
        <w:tabs>
          <w:tab w:val="left" w:pos="2702"/>
        </w:tabs>
        <w:spacing w:line="480" w:lineRule="auto"/>
        <w:jc w:val="both"/>
        <w:rPr>
          <w:sz w:val="24"/>
          <w:szCs w:val="24"/>
        </w:rPr>
      </w:pPr>
    </w:p>
    <w:p w:rsidR="00961123" w:rsidRDefault="00961123" w:rsidP="00E31F1B">
      <w:pPr>
        <w:tabs>
          <w:tab w:val="left" w:pos="2702"/>
        </w:tabs>
        <w:spacing w:line="480" w:lineRule="auto"/>
        <w:jc w:val="both"/>
        <w:rPr>
          <w:sz w:val="24"/>
          <w:szCs w:val="24"/>
        </w:rPr>
      </w:pPr>
      <w:r>
        <w:rPr>
          <w:sz w:val="24"/>
          <w:szCs w:val="24"/>
        </w:rPr>
        <w:t>Following an international settlement failure, also in the early 1970s, at Bankhaus Herstatt (settlement risk sometimes known as Herstatt Risk) the Basel Committee on Banking Supervision was established at the Bank for International Settlements in 1974</w:t>
      </w:r>
      <w:r>
        <w:rPr>
          <w:rStyle w:val="FootnoteReference"/>
          <w:sz w:val="24"/>
          <w:szCs w:val="24"/>
        </w:rPr>
        <w:footnoteReference w:id="175"/>
      </w:r>
      <w:r>
        <w:rPr>
          <w:sz w:val="24"/>
          <w:szCs w:val="24"/>
        </w:rPr>
        <w:t>. Two key issues that they addressed at a very early stage were provisions to address ‘large exposures’ to address issues like the secondary banking crisis and more specifically the later Johnson Matthey rescue</w:t>
      </w:r>
      <w:r>
        <w:rPr>
          <w:rStyle w:val="FootnoteReference"/>
          <w:sz w:val="24"/>
          <w:szCs w:val="24"/>
        </w:rPr>
        <w:footnoteReference w:id="176"/>
      </w:r>
      <w:r>
        <w:rPr>
          <w:sz w:val="24"/>
          <w:szCs w:val="24"/>
        </w:rPr>
        <w:t>, and capital adequacy (a replacement for the reserve asset ratio system) in what has become known as Basel 1</w:t>
      </w:r>
      <w:r w:rsidR="00B83593">
        <w:rPr>
          <w:sz w:val="24"/>
          <w:szCs w:val="24"/>
        </w:rPr>
        <w:t xml:space="preserve"> (although without a leverage ratio to restrict banks fr</w:t>
      </w:r>
      <w:r w:rsidR="000C2144">
        <w:rPr>
          <w:sz w:val="24"/>
          <w:szCs w:val="24"/>
        </w:rPr>
        <w:t>om</w:t>
      </w:r>
      <w:r w:rsidR="00B83593">
        <w:rPr>
          <w:sz w:val="24"/>
          <w:szCs w:val="24"/>
        </w:rPr>
        <w:t xml:space="preserve"> leveraging their balance sheets to dangerous levels)</w:t>
      </w:r>
      <w:r>
        <w:rPr>
          <w:sz w:val="24"/>
          <w:szCs w:val="24"/>
        </w:rPr>
        <w:t xml:space="preserve">.  </w:t>
      </w:r>
    </w:p>
    <w:p w:rsidR="00961123" w:rsidRDefault="00961123" w:rsidP="00E31F1B">
      <w:pPr>
        <w:tabs>
          <w:tab w:val="left" w:pos="2702"/>
        </w:tabs>
        <w:spacing w:line="480" w:lineRule="auto"/>
        <w:jc w:val="both"/>
        <w:rPr>
          <w:sz w:val="24"/>
          <w:szCs w:val="24"/>
        </w:rPr>
      </w:pPr>
    </w:p>
    <w:p w:rsidR="00961123" w:rsidRDefault="00961123" w:rsidP="00E31F1B">
      <w:pPr>
        <w:tabs>
          <w:tab w:val="left" w:pos="2702"/>
        </w:tabs>
        <w:spacing w:line="480" w:lineRule="auto"/>
        <w:jc w:val="both"/>
        <w:rPr>
          <w:sz w:val="24"/>
          <w:szCs w:val="24"/>
        </w:rPr>
      </w:pPr>
      <w:r>
        <w:rPr>
          <w:sz w:val="24"/>
          <w:szCs w:val="24"/>
        </w:rPr>
        <w:t>Basel 1 was completed in 1988</w:t>
      </w:r>
      <w:r>
        <w:rPr>
          <w:rStyle w:val="FootnoteReference"/>
          <w:sz w:val="24"/>
          <w:szCs w:val="24"/>
        </w:rPr>
        <w:footnoteReference w:id="177"/>
      </w:r>
      <w:r>
        <w:rPr>
          <w:sz w:val="24"/>
          <w:szCs w:val="24"/>
        </w:rPr>
        <w:t xml:space="preserve"> (although not required to</w:t>
      </w:r>
      <w:r w:rsidR="00B83593">
        <w:rPr>
          <w:sz w:val="24"/>
          <w:szCs w:val="24"/>
        </w:rPr>
        <w:t xml:space="preserve"> be implemented </w:t>
      </w:r>
      <w:r>
        <w:rPr>
          <w:sz w:val="24"/>
          <w:szCs w:val="24"/>
        </w:rPr>
        <w:t xml:space="preserve">until 1992) and introduced a simple form of calculating capital adequacy by applying a risk weight to a bank’s assets </w:t>
      </w:r>
      <w:r w:rsidR="00B83593">
        <w:rPr>
          <w:sz w:val="24"/>
          <w:szCs w:val="24"/>
        </w:rPr>
        <w:t xml:space="preserve">(loans) </w:t>
      </w:r>
      <w:r>
        <w:rPr>
          <w:sz w:val="24"/>
          <w:szCs w:val="24"/>
        </w:rPr>
        <w:t>and calculating the amount of capital that the bank must hold. For example a loan secured on residential property by way of mortgage was risk weighted at 50%, so that if a bank had a mortgage book of £200m, for capital adequacy purpose</w:t>
      </w:r>
      <w:r w:rsidR="00B83593">
        <w:rPr>
          <w:sz w:val="24"/>
          <w:szCs w:val="24"/>
        </w:rPr>
        <w:t>s</w:t>
      </w:r>
      <w:r>
        <w:rPr>
          <w:sz w:val="24"/>
          <w:szCs w:val="24"/>
        </w:rPr>
        <w:t xml:space="preserve"> it would constitute a risk weighted asset of £100m. The bank would then apply the Basel capital ratio of 8% meaning that it would be required to hold £8m of capital in respect of its £200m mortgage book. However, the regulator, based on its supervisory review had the power to vary the 8% based on its assessment of the risk profile of the institution</w:t>
      </w:r>
      <w:r w:rsidR="00C74622">
        <w:rPr>
          <w:sz w:val="24"/>
          <w:szCs w:val="24"/>
        </w:rPr>
        <w:t xml:space="preserve"> </w:t>
      </w:r>
      <w:r>
        <w:rPr>
          <w:sz w:val="24"/>
          <w:szCs w:val="24"/>
        </w:rPr>
        <w:t xml:space="preserve">- with some banks having an Individual Capital ratio in excess of 20%. Although only intended to apply to </w:t>
      </w:r>
      <w:r w:rsidR="000C2144">
        <w:rPr>
          <w:sz w:val="24"/>
          <w:szCs w:val="24"/>
        </w:rPr>
        <w:t xml:space="preserve">the Basel Committee’s </w:t>
      </w:r>
      <w:r>
        <w:rPr>
          <w:sz w:val="24"/>
          <w:szCs w:val="24"/>
        </w:rPr>
        <w:t>G10 members the Basel 1 Accord was adopted by over 120 countries. Although not acknowledged by the BCBS</w:t>
      </w:r>
      <w:r>
        <w:rPr>
          <w:rStyle w:val="FootnoteReference"/>
          <w:sz w:val="24"/>
          <w:szCs w:val="24"/>
        </w:rPr>
        <w:footnoteReference w:id="178"/>
      </w:r>
      <w:r>
        <w:rPr>
          <w:sz w:val="24"/>
          <w:szCs w:val="24"/>
        </w:rPr>
        <w:t xml:space="preserve"> the development and growth of securitisation was a response to Basel 1 allowing banks to engage in more lending by moving assets off balance sheet and obtaining funding at the same time.</w:t>
      </w:r>
    </w:p>
    <w:p w:rsidR="00961123" w:rsidRDefault="00961123" w:rsidP="00E31F1B">
      <w:pPr>
        <w:tabs>
          <w:tab w:val="left" w:pos="2702"/>
        </w:tabs>
        <w:spacing w:line="480" w:lineRule="auto"/>
        <w:jc w:val="both"/>
        <w:rPr>
          <w:sz w:val="24"/>
          <w:szCs w:val="24"/>
        </w:rPr>
      </w:pPr>
    </w:p>
    <w:p w:rsidR="00961123" w:rsidRDefault="00961123" w:rsidP="00E31F1B">
      <w:pPr>
        <w:tabs>
          <w:tab w:val="left" w:pos="2702"/>
        </w:tabs>
        <w:spacing w:line="480" w:lineRule="auto"/>
        <w:jc w:val="both"/>
        <w:rPr>
          <w:sz w:val="24"/>
          <w:szCs w:val="24"/>
        </w:rPr>
      </w:pPr>
      <w:r>
        <w:rPr>
          <w:sz w:val="24"/>
          <w:szCs w:val="24"/>
        </w:rPr>
        <w:t>Basel 1 only addressed credit risk, and in 1996, BCBS addressed market risk in a formal amendment to the Capital Accord</w:t>
      </w:r>
      <w:r>
        <w:rPr>
          <w:rStyle w:val="FootnoteReference"/>
          <w:sz w:val="24"/>
          <w:szCs w:val="24"/>
        </w:rPr>
        <w:footnoteReference w:id="179"/>
      </w:r>
      <w:r>
        <w:rPr>
          <w:sz w:val="24"/>
          <w:szCs w:val="24"/>
        </w:rPr>
        <w:t xml:space="preserve"> splitting the banks activities into a ‘banking book’ (lending) and ‘trading book’ (trading</w:t>
      </w:r>
      <w:r w:rsidR="00B83593">
        <w:rPr>
          <w:sz w:val="24"/>
          <w:szCs w:val="24"/>
        </w:rPr>
        <w:t>)</w:t>
      </w:r>
      <w:r>
        <w:rPr>
          <w:sz w:val="24"/>
          <w:szCs w:val="24"/>
        </w:rPr>
        <w:t xml:space="preserve"> and allowing the use of Value-at-Risk (VaR) models for calculating market risk capital</w:t>
      </w:r>
      <w:r>
        <w:rPr>
          <w:rStyle w:val="FootnoteReference"/>
          <w:sz w:val="24"/>
          <w:szCs w:val="24"/>
        </w:rPr>
        <w:footnoteReference w:id="180"/>
      </w:r>
      <w:r>
        <w:rPr>
          <w:sz w:val="24"/>
          <w:szCs w:val="24"/>
        </w:rPr>
        <w:t xml:space="preserve">. However, the real change came with the Basel II Accord, which introduced </w:t>
      </w:r>
      <w:r>
        <w:rPr>
          <w:sz w:val="24"/>
          <w:szCs w:val="24"/>
        </w:rPr>
        <w:lastRenderedPageBreak/>
        <w:t>a requirement for firms to hold capital against operational risk, and allowed for modelling approaches (subject to regulatory approval) for calculating credit risk capital (Internal Ratings Based (IRB) models) and for calculating operational risk capital (an Advanced Measurement Approach (AMA) model).  Following the financial crisis, all of these approaches have been reviewed and / or are currently under review.</w:t>
      </w:r>
    </w:p>
    <w:p w:rsidR="00961123" w:rsidRDefault="00961123" w:rsidP="00E31F1B">
      <w:pPr>
        <w:tabs>
          <w:tab w:val="left" w:pos="2702"/>
        </w:tabs>
        <w:spacing w:line="480" w:lineRule="auto"/>
        <w:jc w:val="both"/>
        <w:rPr>
          <w:sz w:val="24"/>
          <w:szCs w:val="24"/>
        </w:rPr>
      </w:pPr>
    </w:p>
    <w:p w:rsidR="00961123" w:rsidRDefault="00961123" w:rsidP="00E31F1B">
      <w:pPr>
        <w:tabs>
          <w:tab w:val="left" w:pos="2702"/>
        </w:tabs>
        <w:spacing w:line="480" w:lineRule="auto"/>
        <w:jc w:val="both"/>
        <w:rPr>
          <w:sz w:val="24"/>
          <w:szCs w:val="24"/>
        </w:rPr>
      </w:pPr>
      <w:r>
        <w:rPr>
          <w:sz w:val="24"/>
          <w:szCs w:val="24"/>
        </w:rPr>
        <w:t>Although there has been much criticism of the Basel II modelling approach (much of which is being currently reviewed and revised)</w:t>
      </w:r>
      <w:r>
        <w:rPr>
          <w:rStyle w:val="FootnoteReference"/>
          <w:sz w:val="24"/>
          <w:szCs w:val="24"/>
        </w:rPr>
        <w:footnoteReference w:id="181"/>
      </w:r>
      <w:r>
        <w:rPr>
          <w:sz w:val="24"/>
          <w:szCs w:val="24"/>
        </w:rPr>
        <w:t>, the Internal Capital Adequacy Assessment Process (ICAAP) and Supervisory Review and Evaluation Process (SREP) have been retained, and have been extended to liquidity with an Internal Liquidity Adequacy Assessment Process (ILAAP) and Liquidity Supervisory Review and Evaluation Process (L-SREP)</w:t>
      </w:r>
      <w:r w:rsidR="005A4559">
        <w:rPr>
          <w:rStyle w:val="FootnoteReference"/>
          <w:sz w:val="24"/>
          <w:szCs w:val="24"/>
        </w:rPr>
        <w:footnoteReference w:id="182"/>
      </w:r>
      <w:r>
        <w:rPr>
          <w:sz w:val="24"/>
          <w:szCs w:val="24"/>
        </w:rPr>
        <w:t>.</w:t>
      </w:r>
    </w:p>
    <w:p w:rsidR="00961123" w:rsidRDefault="00961123" w:rsidP="00E31F1B">
      <w:pPr>
        <w:tabs>
          <w:tab w:val="left" w:pos="2702"/>
        </w:tabs>
        <w:spacing w:line="480" w:lineRule="auto"/>
        <w:jc w:val="both"/>
        <w:rPr>
          <w:sz w:val="24"/>
          <w:szCs w:val="24"/>
        </w:rPr>
      </w:pPr>
    </w:p>
    <w:p w:rsidR="003B0D84" w:rsidRDefault="003B0D84" w:rsidP="00E31F1B">
      <w:pPr>
        <w:tabs>
          <w:tab w:val="left" w:pos="2702"/>
        </w:tabs>
        <w:spacing w:line="480" w:lineRule="auto"/>
        <w:jc w:val="both"/>
        <w:rPr>
          <w:sz w:val="24"/>
          <w:szCs w:val="24"/>
        </w:rPr>
      </w:pPr>
      <w:r>
        <w:rPr>
          <w:sz w:val="24"/>
          <w:szCs w:val="24"/>
        </w:rPr>
        <w:t xml:space="preserve">The ICAAP is one of two documents that has to be submitted to the PRA on an annual basis. The other document is the ILAAP. The purpose of the ICAAP is to inform the Board of the on-going assessment of the RFB’s risks relative to its five year strategic plan, how the RFB intends to manage and mitigate those risks, and how much current and future capital is necessary having considered other mitigating factors. </w:t>
      </w:r>
      <w:r w:rsidR="001C328B">
        <w:rPr>
          <w:sz w:val="24"/>
          <w:szCs w:val="24"/>
        </w:rPr>
        <w:t xml:space="preserve">Technical detail on the ICAAP is set out in Appendix </w:t>
      </w:r>
      <w:r w:rsidR="000C2144">
        <w:rPr>
          <w:sz w:val="24"/>
          <w:szCs w:val="24"/>
        </w:rPr>
        <w:t>1</w:t>
      </w:r>
      <w:r w:rsidR="001C328B">
        <w:rPr>
          <w:sz w:val="24"/>
          <w:szCs w:val="24"/>
        </w:rPr>
        <w:t xml:space="preserve">, with detail on capital structure in Appendix </w:t>
      </w:r>
      <w:r w:rsidR="000C2144">
        <w:rPr>
          <w:sz w:val="24"/>
          <w:szCs w:val="24"/>
        </w:rPr>
        <w:t>2</w:t>
      </w:r>
      <w:r w:rsidR="001C328B">
        <w:rPr>
          <w:sz w:val="24"/>
          <w:szCs w:val="24"/>
        </w:rPr>
        <w:t>.</w:t>
      </w:r>
    </w:p>
    <w:p w:rsidR="003B0D84" w:rsidRDefault="003B0D84" w:rsidP="00E31F1B">
      <w:pPr>
        <w:tabs>
          <w:tab w:val="left" w:pos="2702"/>
        </w:tabs>
        <w:spacing w:line="480" w:lineRule="auto"/>
        <w:jc w:val="both"/>
        <w:rPr>
          <w:sz w:val="24"/>
          <w:szCs w:val="24"/>
        </w:rPr>
      </w:pPr>
    </w:p>
    <w:p w:rsidR="003B0D84" w:rsidRDefault="003B0D84" w:rsidP="00E31F1B">
      <w:pPr>
        <w:tabs>
          <w:tab w:val="left" w:pos="2702"/>
        </w:tabs>
        <w:spacing w:line="480" w:lineRule="auto"/>
        <w:jc w:val="both"/>
        <w:rPr>
          <w:sz w:val="24"/>
          <w:szCs w:val="24"/>
        </w:rPr>
      </w:pPr>
      <w:r>
        <w:rPr>
          <w:sz w:val="24"/>
          <w:szCs w:val="24"/>
        </w:rPr>
        <w:t>It is also used to formalise the RFB’s approach to understanding its risk profile</w:t>
      </w:r>
      <w:r w:rsidR="0048698D">
        <w:rPr>
          <w:sz w:val="24"/>
          <w:szCs w:val="24"/>
        </w:rPr>
        <w:t>, its capital demand,</w:t>
      </w:r>
      <w:r>
        <w:rPr>
          <w:sz w:val="24"/>
          <w:szCs w:val="24"/>
        </w:rPr>
        <w:t xml:space="preserve"> and the processes and systems that it needs in place to assess, quantify and monitor </w:t>
      </w:r>
      <w:r w:rsidR="00BC5147">
        <w:rPr>
          <w:sz w:val="24"/>
          <w:szCs w:val="24"/>
        </w:rPr>
        <w:t>its</w:t>
      </w:r>
      <w:r>
        <w:rPr>
          <w:sz w:val="24"/>
          <w:szCs w:val="24"/>
        </w:rPr>
        <w:t xml:space="preserve"> </w:t>
      </w:r>
      <w:r>
        <w:rPr>
          <w:sz w:val="24"/>
          <w:szCs w:val="24"/>
        </w:rPr>
        <w:lastRenderedPageBreak/>
        <w:t>risks. Risk identification and assessment is a core part of the ICAAP process and ensures that the RFB will have sufficient capital to cover its risk profile over the five year planning horizon. RFBs should adopt an integrated approach to risk assessment to ensure all risks are identified, assessed, mitigated and monitored on an ongoing basis.</w:t>
      </w:r>
    </w:p>
    <w:p w:rsidR="003B0D84" w:rsidRDefault="003B0D84" w:rsidP="00E31F1B">
      <w:pPr>
        <w:tabs>
          <w:tab w:val="left" w:pos="2702"/>
        </w:tabs>
        <w:spacing w:line="480" w:lineRule="auto"/>
        <w:jc w:val="both"/>
        <w:rPr>
          <w:sz w:val="24"/>
          <w:szCs w:val="24"/>
        </w:rPr>
      </w:pPr>
    </w:p>
    <w:p w:rsidR="002D4DA2" w:rsidRDefault="003B0D84" w:rsidP="00E31F1B">
      <w:pPr>
        <w:tabs>
          <w:tab w:val="left" w:pos="2702"/>
        </w:tabs>
        <w:spacing w:line="480" w:lineRule="auto"/>
        <w:jc w:val="both"/>
        <w:rPr>
          <w:sz w:val="24"/>
          <w:szCs w:val="24"/>
        </w:rPr>
      </w:pPr>
      <w:r>
        <w:rPr>
          <w:sz w:val="24"/>
          <w:szCs w:val="24"/>
        </w:rPr>
        <w:t>As the PRA, using its Supervisory Review and Evaluation Process (SREP) will be basing many of its views on the information contained in the ICAAP document it is important that the RFB</w:t>
      </w:r>
      <w:r w:rsidR="000F0B33">
        <w:rPr>
          <w:sz w:val="24"/>
          <w:szCs w:val="24"/>
        </w:rPr>
        <w:t xml:space="preserve"> senior management and Board formally approve its contents. The document should be in a format that is easily understood and contains all the relevant information that is necessary for the Board and the PRA to make an informed judgement and decision as to the appropriate capital level and risk management approach. </w:t>
      </w:r>
      <w:r w:rsidR="0048698D">
        <w:rPr>
          <w:sz w:val="24"/>
          <w:szCs w:val="24"/>
        </w:rPr>
        <w:t xml:space="preserve">The submission of the ICAAP is ultimately the bank’s assessment of its capital demand for supporting the existing risk profile and predicted risk profile of its business – in accordance with its strategic plan. </w:t>
      </w:r>
      <w:r w:rsidR="000F0B33">
        <w:rPr>
          <w:sz w:val="24"/>
          <w:szCs w:val="24"/>
        </w:rPr>
        <w:t>The outcome of the PRA</w:t>
      </w:r>
      <w:r w:rsidR="0048698D">
        <w:rPr>
          <w:sz w:val="24"/>
          <w:szCs w:val="24"/>
        </w:rPr>
        <w:t xml:space="preserve"> SREP</w:t>
      </w:r>
      <w:r w:rsidR="000F0B33">
        <w:rPr>
          <w:sz w:val="24"/>
          <w:szCs w:val="24"/>
        </w:rPr>
        <w:t xml:space="preserve"> review</w:t>
      </w:r>
      <w:r w:rsidR="0048698D">
        <w:rPr>
          <w:sz w:val="24"/>
          <w:szCs w:val="24"/>
        </w:rPr>
        <w:t xml:space="preserve"> – which is a regulatory evaluation of the bank’s assessment of its capital demand - </w:t>
      </w:r>
      <w:r w:rsidR="000F0B33">
        <w:rPr>
          <w:sz w:val="24"/>
          <w:szCs w:val="24"/>
        </w:rPr>
        <w:t xml:space="preserve">is the issuance </w:t>
      </w:r>
      <w:r w:rsidR="0048698D">
        <w:rPr>
          <w:sz w:val="24"/>
          <w:szCs w:val="24"/>
        </w:rPr>
        <w:t>o</w:t>
      </w:r>
      <w:r w:rsidR="000F0B33">
        <w:rPr>
          <w:sz w:val="24"/>
          <w:szCs w:val="24"/>
        </w:rPr>
        <w:t>f Individual Capital Guidance (ICG).</w:t>
      </w:r>
      <w:r w:rsidR="0048698D">
        <w:rPr>
          <w:sz w:val="24"/>
          <w:szCs w:val="24"/>
        </w:rPr>
        <w:t xml:space="preserve"> The ICG will either confirm the bank’s capital demand, or as is more often the case set it at a higher level. Once the capital demand is set the bank must address the issue of capital supply, i.e. ensuring that the bank is appropriately capitalised. Although much of the capital supply mix is pre-determined by existing regulation, the ICG can also influence the make-up of the capital supply. Further detail on capital supply is set out in Appendix 2</w:t>
      </w:r>
      <w:r w:rsidR="00340B3A">
        <w:rPr>
          <w:sz w:val="24"/>
          <w:szCs w:val="24"/>
        </w:rPr>
        <w:t>.</w:t>
      </w:r>
    </w:p>
    <w:p w:rsidR="00325EB9" w:rsidRDefault="00325EB9" w:rsidP="00E31F1B">
      <w:pPr>
        <w:tabs>
          <w:tab w:val="left" w:pos="2702"/>
        </w:tabs>
        <w:spacing w:line="480" w:lineRule="auto"/>
        <w:jc w:val="both"/>
        <w:rPr>
          <w:sz w:val="24"/>
          <w:szCs w:val="24"/>
        </w:rPr>
      </w:pPr>
    </w:p>
    <w:p w:rsidR="00BC5147" w:rsidRDefault="00BC5147" w:rsidP="00E31F1B">
      <w:pPr>
        <w:tabs>
          <w:tab w:val="left" w:pos="2702"/>
        </w:tabs>
        <w:spacing w:line="480" w:lineRule="auto"/>
        <w:jc w:val="both"/>
        <w:rPr>
          <w:sz w:val="24"/>
          <w:szCs w:val="24"/>
        </w:rPr>
      </w:pPr>
      <w:r>
        <w:rPr>
          <w:sz w:val="24"/>
          <w:szCs w:val="24"/>
        </w:rPr>
        <w:t>There are two Pillars of capital assessment – Pillar 1 which is formulaic and based on the CRR</w:t>
      </w:r>
      <w:r w:rsidR="00C74622">
        <w:rPr>
          <w:sz w:val="24"/>
          <w:szCs w:val="24"/>
        </w:rPr>
        <w:t>,</w:t>
      </w:r>
      <w:r>
        <w:rPr>
          <w:sz w:val="24"/>
          <w:szCs w:val="24"/>
        </w:rPr>
        <w:t xml:space="preserve"> Pillar 2A which covers risk that are not adequately covered in Pillar 1</w:t>
      </w:r>
      <w:r w:rsidR="00C74622">
        <w:rPr>
          <w:sz w:val="24"/>
          <w:szCs w:val="24"/>
        </w:rPr>
        <w:t>,</w:t>
      </w:r>
      <w:r>
        <w:rPr>
          <w:sz w:val="24"/>
          <w:szCs w:val="24"/>
        </w:rPr>
        <w:t xml:space="preserve"> and Pillar 2B that generates an additional capital charge based on stress testing – currently know as the Capital Planning Buffer.</w:t>
      </w:r>
    </w:p>
    <w:p w:rsidR="00BC5147" w:rsidRDefault="00BC5147" w:rsidP="00E31F1B">
      <w:pPr>
        <w:tabs>
          <w:tab w:val="left" w:pos="2702"/>
        </w:tabs>
        <w:spacing w:line="480" w:lineRule="auto"/>
        <w:jc w:val="both"/>
        <w:rPr>
          <w:sz w:val="24"/>
          <w:szCs w:val="24"/>
        </w:rPr>
      </w:pPr>
    </w:p>
    <w:p w:rsidR="00325EB9" w:rsidRDefault="00325EB9" w:rsidP="00E31F1B">
      <w:pPr>
        <w:tabs>
          <w:tab w:val="left" w:pos="2702"/>
        </w:tabs>
        <w:spacing w:line="480" w:lineRule="auto"/>
        <w:jc w:val="both"/>
        <w:rPr>
          <w:sz w:val="24"/>
          <w:szCs w:val="24"/>
        </w:rPr>
      </w:pPr>
      <w:r>
        <w:rPr>
          <w:sz w:val="24"/>
          <w:szCs w:val="24"/>
        </w:rPr>
        <w:t>CRD IV buffers come into force in January</w:t>
      </w:r>
      <w:r w:rsidR="001F1065">
        <w:rPr>
          <w:sz w:val="24"/>
          <w:szCs w:val="24"/>
        </w:rPr>
        <w:t xml:space="preserve"> 2016</w:t>
      </w:r>
      <w:r>
        <w:rPr>
          <w:rStyle w:val="FootnoteReference"/>
          <w:sz w:val="24"/>
          <w:szCs w:val="24"/>
        </w:rPr>
        <w:footnoteReference w:id="183"/>
      </w:r>
      <w:r>
        <w:rPr>
          <w:sz w:val="24"/>
          <w:szCs w:val="24"/>
        </w:rPr>
        <w:t xml:space="preserve"> and are a key regulatory intervention in building bank resilience. There are four buffers above the Pillar 1 and Pillar 2 capital charge:</w:t>
      </w:r>
    </w:p>
    <w:p w:rsidR="00325EB9" w:rsidRDefault="00325EB9" w:rsidP="00E31F1B">
      <w:pPr>
        <w:tabs>
          <w:tab w:val="left" w:pos="2702"/>
        </w:tabs>
        <w:spacing w:line="480" w:lineRule="auto"/>
        <w:jc w:val="both"/>
        <w:rPr>
          <w:sz w:val="24"/>
          <w:szCs w:val="24"/>
        </w:rPr>
      </w:pPr>
    </w:p>
    <w:p w:rsidR="00325EB9" w:rsidRDefault="00325EB9" w:rsidP="00E31F1B">
      <w:pPr>
        <w:pStyle w:val="ListParagraph"/>
        <w:numPr>
          <w:ilvl w:val="0"/>
          <w:numId w:val="28"/>
        </w:numPr>
        <w:tabs>
          <w:tab w:val="left" w:pos="2702"/>
        </w:tabs>
        <w:spacing w:line="480" w:lineRule="auto"/>
        <w:jc w:val="both"/>
        <w:rPr>
          <w:sz w:val="24"/>
          <w:szCs w:val="24"/>
        </w:rPr>
      </w:pPr>
      <w:r>
        <w:rPr>
          <w:sz w:val="24"/>
          <w:szCs w:val="24"/>
        </w:rPr>
        <w:t>Countercyclical Capital Buffer (CCB)</w:t>
      </w:r>
    </w:p>
    <w:p w:rsidR="00325EB9" w:rsidRDefault="00325EB9" w:rsidP="00E31F1B">
      <w:pPr>
        <w:tabs>
          <w:tab w:val="left" w:pos="2702"/>
        </w:tabs>
        <w:spacing w:line="480" w:lineRule="auto"/>
        <w:ind w:left="720"/>
        <w:jc w:val="both"/>
        <w:rPr>
          <w:sz w:val="24"/>
          <w:szCs w:val="24"/>
        </w:rPr>
      </w:pPr>
      <w:r>
        <w:rPr>
          <w:sz w:val="24"/>
          <w:szCs w:val="24"/>
        </w:rPr>
        <w:t xml:space="preserve">The CCB </w:t>
      </w:r>
      <w:r w:rsidR="00BC5147">
        <w:rPr>
          <w:sz w:val="24"/>
          <w:szCs w:val="24"/>
        </w:rPr>
        <w:t>applies to all banks (including RFBs)</w:t>
      </w:r>
      <w:r>
        <w:rPr>
          <w:sz w:val="24"/>
          <w:szCs w:val="24"/>
        </w:rPr>
        <w:t>. It is set by the FPC and is currently set at zero. What is interesting about the CCB is that the FPC has agreed reciprocal arrangements with other regulators to apply their CCB, such that a bank with £100m of exposure to borrowers based in Sweden must apply the Swedish regulator</w:t>
      </w:r>
      <w:r w:rsidR="00BC5147">
        <w:rPr>
          <w:sz w:val="24"/>
          <w:szCs w:val="24"/>
        </w:rPr>
        <w:t>’</w:t>
      </w:r>
      <w:r>
        <w:rPr>
          <w:sz w:val="24"/>
          <w:szCs w:val="24"/>
        </w:rPr>
        <w:t xml:space="preserve">s CCB. </w:t>
      </w:r>
    </w:p>
    <w:p w:rsidR="00325EB9" w:rsidRPr="00325EB9" w:rsidRDefault="00325EB9" w:rsidP="00E31F1B">
      <w:pPr>
        <w:tabs>
          <w:tab w:val="left" w:pos="2702"/>
        </w:tabs>
        <w:spacing w:line="480" w:lineRule="auto"/>
        <w:jc w:val="both"/>
        <w:rPr>
          <w:sz w:val="24"/>
          <w:szCs w:val="24"/>
        </w:rPr>
      </w:pPr>
    </w:p>
    <w:p w:rsidR="00325EB9" w:rsidRDefault="00325EB9" w:rsidP="00E31F1B">
      <w:pPr>
        <w:pStyle w:val="ListParagraph"/>
        <w:numPr>
          <w:ilvl w:val="0"/>
          <w:numId w:val="28"/>
        </w:numPr>
        <w:tabs>
          <w:tab w:val="left" w:pos="2702"/>
        </w:tabs>
        <w:spacing w:line="480" w:lineRule="auto"/>
        <w:jc w:val="both"/>
        <w:rPr>
          <w:sz w:val="24"/>
          <w:szCs w:val="24"/>
        </w:rPr>
      </w:pPr>
      <w:r>
        <w:rPr>
          <w:sz w:val="24"/>
          <w:szCs w:val="24"/>
        </w:rPr>
        <w:t>Systemic Buffer (SB)</w:t>
      </w:r>
    </w:p>
    <w:p w:rsidR="00325EB9" w:rsidRDefault="00325EB9" w:rsidP="00E31F1B">
      <w:pPr>
        <w:pStyle w:val="ListParagraph"/>
        <w:tabs>
          <w:tab w:val="left" w:pos="2702"/>
        </w:tabs>
        <w:spacing w:line="480" w:lineRule="auto"/>
        <w:jc w:val="both"/>
        <w:rPr>
          <w:sz w:val="24"/>
          <w:szCs w:val="24"/>
        </w:rPr>
      </w:pPr>
      <w:r>
        <w:rPr>
          <w:sz w:val="24"/>
          <w:szCs w:val="24"/>
        </w:rPr>
        <w:t>The Systemic buffer is aimed at globally systemic banks, however the PRA has indicated that it intend</w:t>
      </w:r>
      <w:r w:rsidR="00BC5147">
        <w:rPr>
          <w:sz w:val="24"/>
          <w:szCs w:val="24"/>
        </w:rPr>
        <w:t>s</w:t>
      </w:r>
      <w:r>
        <w:rPr>
          <w:sz w:val="24"/>
          <w:szCs w:val="24"/>
        </w:rPr>
        <w:t xml:space="preserve"> to apply a Ring-fenced Bank buffer i</w:t>
      </w:r>
      <w:r w:rsidR="00BC5147">
        <w:rPr>
          <w:sz w:val="24"/>
          <w:szCs w:val="24"/>
        </w:rPr>
        <w:t>n</w:t>
      </w:r>
      <w:r>
        <w:rPr>
          <w:sz w:val="24"/>
          <w:szCs w:val="24"/>
        </w:rPr>
        <w:t xml:space="preserve"> this category of 1 – 3%</w:t>
      </w:r>
      <w:r w:rsidR="00CA6E95">
        <w:rPr>
          <w:rStyle w:val="FootnoteReference"/>
          <w:sz w:val="24"/>
          <w:szCs w:val="24"/>
        </w:rPr>
        <w:footnoteReference w:id="184"/>
      </w:r>
    </w:p>
    <w:p w:rsidR="00325EB9" w:rsidRDefault="00325EB9" w:rsidP="00E31F1B">
      <w:pPr>
        <w:pStyle w:val="ListParagraph"/>
        <w:tabs>
          <w:tab w:val="left" w:pos="2702"/>
        </w:tabs>
        <w:spacing w:line="480" w:lineRule="auto"/>
        <w:jc w:val="both"/>
        <w:rPr>
          <w:sz w:val="24"/>
          <w:szCs w:val="24"/>
        </w:rPr>
      </w:pPr>
    </w:p>
    <w:p w:rsidR="00325EB9" w:rsidRDefault="00325EB9" w:rsidP="00E31F1B">
      <w:pPr>
        <w:pStyle w:val="ListParagraph"/>
        <w:numPr>
          <w:ilvl w:val="0"/>
          <w:numId w:val="28"/>
        </w:numPr>
        <w:tabs>
          <w:tab w:val="left" w:pos="2702"/>
        </w:tabs>
        <w:spacing w:line="480" w:lineRule="auto"/>
        <w:jc w:val="both"/>
        <w:rPr>
          <w:sz w:val="24"/>
          <w:szCs w:val="24"/>
        </w:rPr>
      </w:pPr>
      <w:r>
        <w:rPr>
          <w:sz w:val="24"/>
          <w:szCs w:val="24"/>
        </w:rPr>
        <w:t>Capital Conservation Buffer (CCoB)</w:t>
      </w:r>
    </w:p>
    <w:p w:rsidR="00CA6E95" w:rsidRDefault="00CA6E95" w:rsidP="00E31F1B">
      <w:pPr>
        <w:pStyle w:val="ListParagraph"/>
        <w:tabs>
          <w:tab w:val="left" w:pos="2702"/>
        </w:tabs>
        <w:spacing w:line="480" w:lineRule="auto"/>
        <w:jc w:val="both"/>
        <w:rPr>
          <w:sz w:val="24"/>
          <w:szCs w:val="24"/>
        </w:rPr>
      </w:pPr>
      <w:r>
        <w:rPr>
          <w:sz w:val="24"/>
          <w:szCs w:val="24"/>
        </w:rPr>
        <w:t xml:space="preserve">The CCoB is </w:t>
      </w:r>
      <w:r w:rsidR="00BC5147">
        <w:rPr>
          <w:sz w:val="24"/>
          <w:szCs w:val="24"/>
        </w:rPr>
        <w:t>a capital sum that is required to be held to protect the core capital and can be used to absorb losses without breaching regulatory capital limits</w:t>
      </w:r>
    </w:p>
    <w:p w:rsidR="00CA6E95" w:rsidRDefault="00CA6E95" w:rsidP="00E31F1B">
      <w:pPr>
        <w:pStyle w:val="ListParagraph"/>
        <w:tabs>
          <w:tab w:val="left" w:pos="2702"/>
        </w:tabs>
        <w:spacing w:line="480" w:lineRule="auto"/>
        <w:jc w:val="both"/>
        <w:rPr>
          <w:sz w:val="24"/>
          <w:szCs w:val="24"/>
        </w:rPr>
      </w:pPr>
    </w:p>
    <w:p w:rsidR="00325EB9" w:rsidRDefault="00325EB9" w:rsidP="00E31F1B">
      <w:pPr>
        <w:pStyle w:val="ListParagraph"/>
        <w:numPr>
          <w:ilvl w:val="0"/>
          <w:numId w:val="28"/>
        </w:numPr>
        <w:tabs>
          <w:tab w:val="left" w:pos="2702"/>
        </w:tabs>
        <w:spacing w:line="480" w:lineRule="auto"/>
        <w:jc w:val="both"/>
        <w:rPr>
          <w:sz w:val="24"/>
          <w:szCs w:val="24"/>
        </w:rPr>
      </w:pPr>
      <w:r>
        <w:rPr>
          <w:sz w:val="24"/>
          <w:szCs w:val="24"/>
        </w:rPr>
        <w:t>PRA Buffer (PRA-B)</w:t>
      </w:r>
    </w:p>
    <w:p w:rsidR="00D022A9" w:rsidRDefault="00CA6E95" w:rsidP="00E31F1B">
      <w:pPr>
        <w:pStyle w:val="ListParagraph"/>
        <w:tabs>
          <w:tab w:val="left" w:pos="2702"/>
        </w:tabs>
        <w:spacing w:line="480" w:lineRule="auto"/>
        <w:jc w:val="both"/>
        <w:rPr>
          <w:sz w:val="24"/>
          <w:szCs w:val="24"/>
        </w:rPr>
      </w:pPr>
      <w:r>
        <w:rPr>
          <w:sz w:val="24"/>
          <w:szCs w:val="24"/>
        </w:rPr>
        <w:t>The PRA-B is</w:t>
      </w:r>
      <w:r w:rsidR="00D022A9">
        <w:rPr>
          <w:sz w:val="24"/>
          <w:szCs w:val="24"/>
        </w:rPr>
        <w:t xml:space="preserve"> intended to replace the Capital Planning Buffer (CPB) and has two components (1) a forward looking assessment component – largely following the current </w:t>
      </w:r>
      <w:r w:rsidR="00D022A9">
        <w:rPr>
          <w:sz w:val="24"/>
          <w:szCs w:val="24"/>
        </w:rPr>
        <w:lastRenderedPageBreak/>
        <w:t>CPB stress testing process; and (2) a component to cover identified weaknesses in governance and / or risk management</w:t>
      </w:r>
      <w:r w:rsidR="00BC5147">
        <w:rPr>
          <w:sz w:val="24"/>
          <w:szCs w:val="24"/>
        </w:rPr>
        <w:t xml:space="preserve"> (applied using a scalar based on SREP score)</w:t>
      </w:r>
      <w:r w:rsidR="00D022A9">
        <w:rPr>
          <w:sz w:val="24"/>
          <w:szCs w:val="24"/>
        </w:rPr>
        <w:t>.</w:t>
      </w:r>
    </w:p>
    <w:p w:rsidR="00D022A9" w:rsidRDefault="00D022A9" w:rsidP="00E31F1B">
      <w:pPr>
        <w:pStyle w:val="ListParagraph"/>
        <w:tabs>
          <w:tab w:val="left" w:pos="2702"/>
        </w:tabs>
        <w:spacing w:line="480" w:lineRule="auto"/>
        <w:jc w:val="both"/>
        <w:rPr>
          <w:sz w:val="24"/>
          <w:szCs w:val="24"/>
        </w:rPr>
      </w:pPr>
    </w:p>
    <w:p w:rsidR="002D4DA2" w:rsidRDefault="00D022A9" w:rsidP="00E31F1B">
      <w:pPr>
        <w:pStyle w:val="ListParagraph"/>
        <w:tabs>
          <w:tab w:val="left" w:pos="2702"/>
        </w:tabs>
        <w:spacing w:line="480" w:lineRule="auto"/>
        <w:ind w:left="0"/>
        <w:jc w:val="both"/>
        <w:rPr>
          <w:sz w:val="24"/>
          <w:szCs w:val="24"/>
        </w:rPr>
      </w:pPr>
      <w:r>
        <w:rPr>
          <w:sz w:val="24"/>
          <w:szCs w:val="24"/>
        </w:rPr>
        <w:t>Stress testing</w:t>
      </w:r>
      <w:r w:rsidR="0088701A">
        <w:rPr>
          <w:rStyle w:val="FootnoteReference"/>
          <w:sz w:val="24"/>
          <w:szCs w:val="24"/>
        </w:rPr>
        <w:footnoteReference w:id="185"/>
      </w:r>
      <w:r>
        <w:rPr>
          <w:sz w:val="24"/>
          <w:szCs w:val="24"/>
        </w:rPr>
        <w:t xml:space="preserve"> for the forward looking assessment component of the PRA-B (and the current CPB) is</w:t>
      </w:r>
      <w:r w:rsidR="0088701A">
        <w:rPr>
          <w:sz w:val="24"/>
          <w:szCs w:val="24"/>
        </w:rPr>
        <w:t xml:space="preserve"> based on </w:t>
      </w:r>
      <w:r w:rsidR="007E62B4">
        <w:rPr>
          <w:sz w:val="24"/>
          <w:szCs w:val="24"/>
        </w:rPr>
        <w:t>BoE</w:t>
      </w:r>
      <w:r w:rsidR="0088701A">
        <w:rPr>
          <w:sz w:val="24"/>
          <w:szCs w:val="24"/>
        </w:rPr>
        <w:t xml:space="preserve"> published scenarios</w:t>
      </w:r>
      <w:r w:rsidR="0088701A">
        <w:rPr>
          <w:rStyle w:val="FootnoteReference"/>
          <w:sz w:val="24"/>
          <w:szCs w:val="24"/>
        </w:rPr>
        <w:footnoteReference w:id="186"/>
      </w:r>
      <w:r w:rsidR="0088701A">
        <w:rPr>
          <w:sz w:val="24"/>
          <w:szCs w:val="24"/>
        </w:rPr>
        <w:t xml:space="preserve">, a concurrent stress scenario, and stress scenarios that are bespoke to the firm.  </w:t>
      </w:r>
      <w:r w:rsidR="00680CA0">
        <w:rPr>
          <w:sz w:val="24"/>
          <w:szCs w:val="24"/>
        </w:rPr>
        <w:t>Concurrent stress testing allows the regulator to assess risk across the banking sector and it produced a scenario for this purpose and specified the macro-economic variables that must be used in the scenario</w:t>
      </w:r>
      <w:r w:rsidR="00680CA0">
        <w:rPr>
          <w:rStyle w:val="FootnoteReference"/>
          <w:sz w:val="24"/>
          <w:szCs w:val="24"/>
        </w:rPr>
        <w:footnoteReference w:id="187"/>
      </w:r>
      <w:r w:rsidR="00680CA0">
        <w:rPr>
          <w:sz w:val="24"/>
          <w:szCs w:val="24"/>
        </w:rPr>
        <w:t>.</w:t>
      </w:r>
    </w:p>
    <w:p w:rsidR="004847CD" w:rsidRDefault="004847CD" w:rsidP="00E31F1B">
      <w:pPr>
        <w:pStyle w:val="ListParagraph"/>
        <w:tabs>
          <w:tab w:val="left" w:pos="2702"/>
        </w:tabs>
        <w:spacing w:line="480" w:lineRule="auto"/>
        <w:ind w:left="0"/>
        <w:jc w:val="both"/>
        <w:rPr>
          <w:sz w:val="24"/>
          <w:szCs w:val="24"/>
        </w:rPr>
      </w:pPr>
    </w:p>
    <w:p w:rsidR="004847CD" w:rsidRDefault="004847CD" w:rsidP="00E31F1B">
      <w:pPr>
        <w:pStyle w:val="ListParagraph"/>
        <w:tabs>
          <w:tab w:val="left" w:pos="2702"/>
        </w:tabs>
        <w:spacing w:line="480" w:lineRule="auto"/>
        <w:ind w:left="0"/>
        <w:jc w:val="both"/>
        <w:rPr>
          <w:sz w:val="24"/>
          <w:szCs w:val="24"/>
        </w:rPr>
      </w:pPr>
      <w:r>
        <w:rPr>
          <w:sz w:val="24"/>
          <w:szCs w:val="24"/>
        </w:rPr>
        <w:t>A key technique introduced post the financial crisis was a requirement f</w:t>
      </w:r>
      <w:r w:rsidR="00C865B5">
        <w:rPr>
          <w:sz w:val="24"/>
          <w:szCs w:val="24"/>
        </w:rPr>
        <w:t>or</w:t>
      </w:r>
      <w:r>
        <w:rPr>
          <w:sz w:val="24"/>
          <w:szCs w:val="24"/>
        </w:rPr>
        <w:t xml:space="preserve"> firms</w:t>
      </w:r>
      <w:r w:rsidR="00C865B5">
        <w:rPr>
          <w:sz w:val="24"/>
          <w:szCs w:val="24"/>
        </w:rPr>
        <w:t xml:space="preserve"> to</w:t>
      </w:r>
      <w:r>
        <w:rPr>
          <w:sz w:val="24"/>
          <w:szCs w:val="24"/>
        </w:rPr>
        <w:t xml:space="preserve"> conduct ‘reverse stress testing’</w:t>
      </w:r>
      <w:r>
        <w:rPr>
          <w:rStyle w:val="FootnoteReference"/>
          <w:sz w:val="24"/>
          <w:szCs w:val="24"/>
        </w:rPr>
        <w:footnoteReference w:id="188"/>
      </w:r>
      <w:r>
        <w:rPr>
          <w:sz w:val="24"/>
          <w:szCs w:val="24"/>
        </w:rPr>
        <w:t>, in essence a stress test that pushes the bank into failure. This was followed up by both CEBS (now EBA) guidance</w:t>
      </w:r>
      <w:r>
        <w:rPr>
          <w:rStyle w:val="FootnoteReference"/>
          <w:sz w:val="24"/>
          <w:szCs w:val="24"/>
        </w:rPr>
        <w:footnoteReference w:id="189"/>
      </w:r>
      <w:r>
        <w:rPr>
          <w:sz w:val="24"/>
          <w:szCs w:val="24"/>
        </w:rPr>
        <w:t>, and the Basel Committee</w:t>
      </w:r>
      <w:r>
        <w:rPr>
          <w:rStyle w:val="FootnoteReference"/>
          <w:sz w:val="24"/>
          <w:szCs w:val="24"/>
        </w:rPr>
        <w:footnoteReference w:id="190"/>
      </w:r>
      <w:r>
        <w:rPr>
          <w:sz w:val="24"/>
          <w:szCs w:val="24"/>
        </w:rPr>
        <w:t>. Reverse testing is also a requirement in the CRR</w:t>
      </w:r>
      <w:r>
        <w:rPr>
          <w:rStyle w:val="FootnoteReference"/>
          <w:sz w:val="24"/>
          <w:szCs w:val="24"/>
        </w:rPr>
        <w:footnoteReference w:id="191"/>
      </w:r>
      <w:r>
        <w:rPr>
          <w:sz w:val="24"/>
          <w:szCs w:val="24"/>
        </w:rPr>
        <w:t xml:space="preserve">.  </w:t>
      </w:r>
      <w:r w:rsidR="00680CA0">
        <w:rPr>
          <w:sz w:val="24"/>
          <w:szCs w:val="24"/>
        </w:rPr>
        <w:t xml:space="preserve">With the introduction of recovery and resolution planning, reverse stress testing, makes the link between the expected stress testing of business plans in the ICAAP for capital adequacy purposes, and management’s responsibility to create effective recovery and resolution plans.  </w:t>
      </w:r>
    </w:p>
    <w:p w:rsidR="00CA6E95" w:rsidRDefault="00CA6E95" w:rsidP="00E31F1B">
      <w:pPr>
        <w:pStyle w:val="ListParagraph"/>
        <w:tabs>
          <w:tab w:val="left" w:pos="2702"/>
        </w:tabs>
        <w:spacing w:line="480" w:lineRule="auto"/>
        <w:jc w:val="both"/>
        <w:rPr>
          <w:sz w:val="24"/>
          <w:szCs w:val="24"/>
        </w:rPr>
      </w:pPr>
    </w:p>
    <w:p w:rsidR="006C5B49" w:rsidRDefault="002D4DA2" w:rsidP="00E31F1B">
      <w:pPr>
        <w:tabs>
          <w:tab w:val="left" w:pos="2702"/>
        </w:tabs>
        <w:spacing w:line="480" w:lineRule="auto"/>
        <w:jc w:val="both"/>
        <w:rPr>
          <w:sz w:val="24"/>
          <w:szCs w:val="24"/>
        </w:rPr>
      </w:pPr>
      <w:r>
        <w:rPr>
          <w:sz w:val="24"/>
          <w:szCs w:val="24"/>
        </w:rPr>
        <w:lastRenderedPageBreak/>
        <w:t xml:space="preserve">Although the ICAAP assesses the capital adequacy of the firm, regulators have now put a cap on the ability of RFBs </w:t>
      </w:r>
      <w:r w:rsidR="00BC5147">
        <w:rPr>
          <w:sz w:val="24"/>
          <w:szCs w:val="24"/>
        </w:rPr>
        <w:t xml:space="preserve">(all banks) </w:t>
      </w:r>
      <w:r>
        <w:rPr>
          <w:sz w:val="24"/>
          <w:szCs w:val="24"/>
        </w:rPr>
        <w:t>to leverage the bal</w:t>
      </w:r>
      <w:r w:rsidR="001A27EE">
        <w:rPr>
          <w:sz w:val="24"/>
          <w:szCs w:val="24"/>
        </w:rPr>
        <w:t>a</w:t>
      </w:r>
      <w:r>
        <w:rPr>
          <w:sz w:val="24"/>
          <w:szCs w:val="24"/>
        </w:rPr>
        <w:t>nce sheet by applying a leverage ratio restriction</w:t>
      </w:r>
      <w:r w:rsidR="001A27EE">
        <w:rPr>
          <w:rStyle w:val="FootnoteReference"/>
          <w:sz w:val="24"/>
          <w:szCs w:val="24"/>
        </w:rPr>
        <w:footnoteReference w:id="192"/>
      </w:r>
      <w:r w:rsidR="001A27EE">
        <w:rPr>
          <w:sz w:val="24"/>
          <w:szCs w:val="24"/>
        </w:rPr>
        <w:t xml:space="preserve">. The leverage ratio is counterintuitive in that a low leverage ratio is bad and a high leverage ratio is good (see Appendix </w:t>
      </w:r>
      <w:r w:rsidR="007B50F6">
        <w:rPr>
          <w:sz w:val="24"/>
          <w:szCs w:val="24"/>
        </w:rPr>
        <w:t>2</w:t>
      </w:r>
      <w:r w:rsidR="001A27EE">
        <w:rPr>
          <w:sz w:val="24"/>
          <w:szCs w:val="24"/>
        </w:rPr>
        <w:t>). The Financial Policy Committee have set the leverage ratio floor at 3%</w:t>
      </w:r>
      <w:r w:rsidR="001A27EE">
        <w:rPr>
          <w:rStyle w:val="FootnoteReference"/>
          <w:sz w:val="24"/>
          <w:szCs w:val="24"/>
        </w:rPr>
        <w:footnoteReference w:id="193"/>
      </w:r>
      <w:r w:rsidR="001A27EE">
        <w:rPr>
          <w:sz w:val="24"/>
          <w:szCs w:val="24"/>
        </w:rPr>
        <w:t>, however, they have calibrated the leverage ratio to the new system of buffers</w:t>
      </w:r>
      <w:r w:rsidR="001A27EE">
        <w:rPr>
          <w:rStyle w:val="FootnoteReference"/>
          <w:sz w:val="24"/>
          <w:szCs w:val="24"/>
        </w:rPr>
        <w:footnoteReference w:id="194"/>
      </w:r>
      <w:r w:rsidR="001A27EE">
        <w:rPr>
          <w:sz w:val="24"/>
          <w:szCs w:val="24"/>
        </w:rPr>
        <w:t xml:space="preserve">, so that the leverage ratio will be 3% plus the addition of a proportion of the systemic buffer (which will include an RFB buffer) and the countercyclical buffer (set by the FPC).  </w:t>
      </w:r>
    </w:p>
    <w:p w:rsidR="006C5B49" w:rsidRDefault="006C5B49" w:rsidP="00E31F1B">
      <w:pPr>
        <w:tabs>
          <w:tab w:val="left" w:pos="2702"/>
        </w:tabs>
        <w:spacing w:line="480" w:lineRule="auto"/>
        <w:jc w:val="both"/>
        <w:rPr>
          <w:sz w:val="24"/>
          <w:szCs w:val="24"/>
        </w:rPr>
      </w:pPr>
    </w:p>
    <w:p w:rsidR="004B115B" w:rsidRDefault="006C5B49" w:rsidP="00E31F1B">
      <w:pPr>
        <w:tabs>
          <w:tab w:val="left" w:pos="2702"/>
        </w:tabs>
        <w:spacing w:line="480" w:lineRule="auto"/>
        <w:jc w:val="both"/>
        <w:rPr>
          <w:sz w:val="24"/>
          <w:szCs w:val="24"/>
        </w:rPr>
      </w:pPr>
      <w:r>
        <w:rPr>
          <w:sz w:val="24"/>
          <w:szCs w:val="24"/>
        </w:rPr>
        <w:t xml:space="preserve">The outcome of the PRA SREP is Individual Capital Guidance (ICG). </w:t>
      </w:r>
    </w:p>
    <w:p w:rsidR="003B0D84" w:rsidRDefault="003B0D84" w:rsidP="00E31F1B">
      <w:pPr>
        <w:tabs>
          <w:tab w:val="left" w:pos="2702"/>
        </w:tabs>
        <w:spacing w:line="480" w:lineRule="auto"/>
        <w:jc w:val="both"/>
        <w:rPr>
          <w:sz w:val="24"/>
          <w:szCs w:val="24"/>
        </w:rPr>
      </w:pPr>
    </w:p>
    <w:p w:rsidR="004B115B" w:rsidRDefault="004B115B" w:rsidP="00E31F1B">
      <w:pPr>
        <w:pStyle w:val="Heading2"/>
        <w:tabs>
          <w:tab w:val="left" w:pos="2702"/>
        </w:tabs>
        <w:spacing w:line="480" w:lineRule="auto"/>
      </w:pPr>
      <w:bookmarkStart w:id="15" w:name="_Toc428779487"/>
      <w:r>
        <w:t>ILAA</w:t>
      </w:r>
      <w:r w:rsidR="00DE7838">
        <w:t>P</w:t>
      </w:r>
      <w:bookmarkEnd w:id="15"/>
    </w:p>
    <w:p w:rsidR="008F36D2" w:rsidRDefault="000F0B33" w:rsidP="00E31F1B">
      <w:pPr>
        <w:tabs>
          <w:tab w:val="left" w:pos="2702"/>
        </w:tabs>
        <w:spacing w:line="480" w:lineRule="auto"/>
        <w:jc w:val="both"/>
        <w:rPr>
          <w:sz w:val="24"/>
          <w:szCs w:val="24"/>
        </w:rPr>
      </w:pPr>
      <w:r>
        <w:rPr>
          <w:sz w:val="24"/>
          <w:szCs w:val="24"/>
        </w:rPr>
        <w:t>The Internal Liquidity Assessment Process (ILAAP) is used to assess the RFB’s liquidity profile, the liquidity risks, and the amount of current and future liquidity required to mitigate the risks, The key function of the ILAAP is to inform the Board of the on-going assessment and quantification of liquidity risks, how liquidity risks are managed and how it details the RFB’s liquidity risk governance framework. Two key factors in the ILAAP are determining the Liquidity Asset Buffer (LAB) and developing a credible Liquidity Contingency Plan (LCP).</w:t>
      </w:r>
      <w:r w:rsidR="006C5B49">
        <w:rPr>
          <w:sz w:val="24"/>
          <w:szCs w:val="24"/>
        </w:rPr>
        <w:t xml:space="preserve">The cost of funding and liquidity should be built into the pricing products and services via transfer pricing. </w:t>
      </w:r>
    </w:p>
    <w:p w:rsidR="008F36D2" w:rsidRDefault="008F36D2" w:rsidP="00E31F1B">
      <w:pPr>
        <w:tabs>
          <w:tab w:val="left" w:pos="2702"/>
        </w:tabs>
        <w:spacing w:line="480" w:lineRule="auto"/>
        <w:jc w:val="both"/>
        <w:rPr>
          <w:sz w:val="24"/>
          <w:szCs w:val="24"/>
        </w:rPr>
      </w:pPr>
    </w:p>
    <w:p w:rsidR="000F0B33" w:rsidRDefault="008F36D2" w:rsidP="00E31F1B">
      <w:pPr>
        <w:tabs>
          <w:tab w:val="left" w:pos="2702"/>
        </w:tabs>
        <w:spacing w:line="480" w:lineRule="auto"/>
        <w:jc w:val="both"/>
        <w:rPr>
          <w:sz w:val="24"/>
          <w:szCs w:val="24"/>
        </w:rPr>
      </w:pPr>
      <w:r>
        <w:rPr>
          <w:sz w:val="24"/>
          <w:szCs w:val="24"/>
        </w:rPr>
        <w:lastRenderedPageBreak/>
        <w:t xml:space="preserve">The two main protections for liquidity risk are the introduction of a Liquidity Coverage Ratio (LCR) and a Nest Stable Funding Ratio (NSFR). </w:t>
      </w:r>
      <w:r w:rsidR="001C328B">
        <w:rPr>
          <w:sz w:val="24"/>
          <w:szCs w:val="24"/>
        </w:rPr>
        <w:t xml:space="preserve">Technical detail on liquidity regulation is set out in Appendix </w:t>
      </w:r>
      <w:r w:rsidR="006C5B49">
        <w:rPr>
          <w:sz w:val="24"/>
          <w:szCs w:val="24"/>
        </w:rPr>
        <w:t>3</w:t>
      </w:r>
    </w:p>
    <w:p w:rsidR="000F0B33" w:rsidRDefault="001C328B" w:rsidP="00E31F1B">
      <w:pPr>
        <w:tabs>
          <w:tab w:val="left" w:pos="2702"/>
          <w:tab w:val="left" w:pos="3255"/>
        </w:tabs>
        <w:spacing w:line="480" w:lineRule="auto"/>
        <w:jc w:val="both"/>
        <w:rPr>
          <w:sz w:val="24"/>
          <w:szCs w:val="24"/>
        </w:rPr>
      </w:pPr>
      <w:r>
        <w:rPr>
          <w:sz w:val="24"/>
          <w:szCs w:val="24"/>
        </w:rPr>
        <w:tab/>
      </w:r>
    </w:p>
    <w:p w:rsidR="006C5B49" w:rsidRDefault="000F0B33" w:rsidP="00E31F1B">
      <w:pPr>
        <w:tabs>
          <w:tab w:val="left" w:pos="2702"/>
        </w:tabs>
        <w:spacing w:line="480" w:lineRule="auto"/>
        <w:jc w:val="both"/>
        <w:rPr>
          <w:sz w:val="24"/>
          <w:szCs w:val="24"/>
        </w:rPr>
      </w:pPr>
      <w:r>
        <w:rPr>
          <w:sz w:val="24"/>
          <w:szCs w:val="24"/>
        </w:rPr>
        <w:t>As with the ICAAP, the IL</w:t>
      </w:r>
      <w:r w:rsidR="00A820D0">
        <w:rPr>
          <w:sz w:val="24"/>
          <w:szCs w:val="24"/>
        </w:rPr>
        <w:t>AA</w:t>
      </w:r>
      <w:r>
        <w:rPr>
          <w:sz w:val="24"/>
          <w:szCs w:val="24"/>
        </w:rPr>
        <w:t xml:space="preserve">P must be submitted to the PRA who will use their Liquidity Supervisory Review and Evaluation Process (L-SREP) to assess the RFB’s liquidity risk management, the appropriateness of the LAB, and the effectiveness of the LCP. </w:t>
      </w:r>
    </w:p>
    <w:p w:rsidR="006C5B49" w:rsidRDefault="006C5B49" w:rsidP="00E31F1B">
      <w:pPr>
        <w:tabs>
          <w:tab w:val="left" w:pos="2702"/>
        </w:tabs>
        <w:spacing w:line="480" w:lineRule="auto"/>
        <w:jc w:val="both"/>
        <w:rPr>
          <w:sz w:val="24"/>
          <w:szCs w:val="24"/>
        </w:rPr>
      </w:pPr>
    </w:p>
    <w:p w:rsidR="00AE5B25" w:rsidRDefault="000F0B33" w:rsidP="00E31F1B">
      <w:pPr>
        <w:tabs>
          <w:tab w:val="left" w:pos="2702"/>
        </w:tabs>
        <w:spacing w:line="480" w:lineRule="auto"/>
        <w:jc w:val="both"/>
        <w:rPr>
          <w:sz w:val="24"/>
          <w:szCs w:val="24"/>
        </w:rPr>
      </w:pPr>
      <w:r>
        <w:rPr>
          <w:sz w:val="24"/>
          <w:szCs w:val="24"/>
        </w:rPr>
        <w:t>The outcome of the PRA review is Individual Liquidity Guidance</w:t>
      </w:r>
      <w:r w:rsidR="006C5B49">
        <w:rPr>
          <w:sz w:val="24"/>
          <w:szCs w:val="24"/>
        </w:rPr>
        <w:t xml:space="preserve"> (ILG)</w:t>
      </w:r>
      <w:r>
        <w:rPr>
          <w:sz w:val="24"/>
          <w:szCs w:val="24"/>
        </w:rPr>
        <w:t xml:space="preserve">.      </w:t>
      </w:r>
    </w:p>
    <w:p w:rsidR="00C70022" w:rsidRDefault="00C70022" w:rsidP="00E31F1B">
      <w:pPr>
        <w:tabs>
          <w:tab w:val="left" w:pos="2702"/>
        </w:tabs>
        <w:spacing w:line="480" w:lineRule="auto"/>
        <w:jc w:val="both"/>
        <w:rPr>
          <w:sz w:val="24"/>
          <w:szCs w:val="24"/>
        </w:rPr>
      </w:pPr>
    </w:p>
    <w:p w:rsidR="000F4EB5" w:rsidRDefault="004B115B" w:rsidP="00E31F1B">
      <w:pPr>
        <w:pStyle w:val="Heading2"/>
        <w:tabs>
          <w:tab w:val="left" w:pos="2702"/>
        </w:tabs>
        <w:spacing w:line="480" w:lineRule="auto"/>
      </w:pPr>
      <w:bookmarkStart w:id="16" w:name="_Toc428779488"/>
      <w:r>
        <w:t>Recovery and Resolution Plans</w:t>
      </w:r>
      <w:bookmarkEnd w:id="16"/>
    </w:p>
    <w:p w:rsidR="001F1065" w:rsidRDefault="001F1065" w:rsidP="00E31F1B">
      <w:pPr>
        <w:tabs>
          <w:tab w:val="left" w:pos="2702"/>
        </w:tabs>
        <w:spacing w:line="480" w:lineRule="auto"/>
        <w:jc w:val="both"/>
        <w:rPr>
          <w:sz w:val="24"/>
          <w:szCs w:val="24"/>
        </w:rPr>
      </w:pPr>
      <w:r>
        <w:rPr>
          <w:sz w:val="24"/>
          <w:szCs w:val="24"/>
        </w:rPr>
        <w:t>The r</w:t>
      </w:r>
      <w:r w:rsidR="00D83DCF">
        <w:rPr>
          <w:sz w:val="24"/>
          <w:szCs w:val="24"/>
        </w:rPr>
        <w:t>ecovery and resolution</w:t>
      </w:r>
      <w:r>
        <w:rPr>
          <w:sz w:val="24"/>
          <w:szCs w:val="24"/>
        </w:rPr>
        <w:t xml:space="preserve"> debate</w:t>
      </w:r>
      <w:r w:rsidR="00D83DCF">
        <w:rPr>
          <w:sz w:val="24"/>
          <w:szCs w:val="24"/>
        </w:rPr>
        <w:t>, although currently high profile, is not new</w:t>
      </w:r>
      <w:r>
        <w:rPr>
          <w:sz w:val="24"/>
          <w:szCs w:val="24"/>
        </w:rPr>
        <w:t xml:space="preserve"> and has been addressed by the BCBS in the past</w:t>
      </w:r>
      <w:r>
        <w:rPr>
          <w:rStyle w:val="FootnoteReference"/>
          <w:sz w:val="24"/>
          <w:szCs w:val="24"/>
        </w:rPr>
        <w:footnoteReference w:id="195"/>
      </w:r>
      <w:r>
        <w:rPr>
          <w:sz w:val="24"/>
          <w:szCs w:val="24"/>
        </w:rPr>
        <w:t>, and recently updated</w:t>
      </w:r>
      <w:r>
        <w:rPr>
          <w:rStyle w:val="FootnoteReference"/>
          <w:sz w:val="24"/>
          <w:szCs w:val="24"/>
        </w:rPr>
        <w:footnoteReference w:id="196"/>
      </w:r>
      <w:r>
        <w:rPr>
          <w:sz w:val="24"/>
          <w:szCs w:val="24"/>
        </w:rPr>
        <w:t>.</w:t>
      </w:r>
      <w:r w:rsidR="00C865B5">
        <w:rPr>
          <w:sz w:val="24"/>
          <w:szCs w:val="24"/>
        </w:rPr>
        <w:t xml:space="preserve"> </w:t>
      </w:r>
      <w:r>
        <w:rPr>
          <w:sz w:val="24"/>
          <w:szCs w:val="24"/>
        </w:rPr>
        <w:t>However, the financial crisis has created renewed interest with the lead taken by the FSB</w:t>
      </w:r>
      <w:r w:rsidR="00104B0D">
        <w:rPr>
          <w:sz w:val="24"/>
          <w:szCs w:val="24"/>
        </w:rPr>
        <w:t xml:space="preserve"> who carried out a thematic review and issued two guidance papers on recovery and resolution in 2013</w:t>
      </w:r>
      <w:r>
        <w:rPr>
          <w:rStyle w:val="FootnoteReference"/>
          <w:sz w:val="24"/>
          <w:szCs w:val="24"/>
        </w:rPr>
        <w:footnoteReference w:id="197"/>
      </w:r>
      <w:r>
        <w:rPr>
          <w:sz w:val="24"/>
          <w:szCs w:val="24"/>
        </w:rPr>
        <w:t>, culminating in a key attributes of effective resolution regimes paper</w:t>
      </w:r>
      <w:r w:rsidR="00104B0D">
        <w:rPr>
          <w:sz w:val="24"/>
          <w:szCs w:val="24"/>
        </w:rPr>
        <w:t xml:space="preserve"> in 2014</w:t>
      </w:r>
      <w:r>
        <w:rPr>
          <w:rStyle w:val="FootnoteReference"/>
          <w:sz w:val="24"/>
          <w:szCs w:val="24"/>
        </w:rPr>
        <w:footnoteReference w:id="198"/>
      </w:r>
      <w:r>
        <w:rPr>
          <w:sz w:val="24"/>
          <w:szCs w:val="24"/>
        </w:rPr>
        <w:t>.</w:t>
      </w:r>
      <w:r w:rsidR="00A42A24">
        <w:rPr>
          <w:sz w:val="24"/>
          <w:szCs w:val="24"/>
        </w:rPr>
        <w:t xml:space="preserve"> However, while the FSB guidance i</w:t>
      </w:r>
      <w:r w:rsidR="00C865B5">
        <w:rPr>
          <w:sz w:val="24"/>
          <w:szCs w:val="24"/>
        </w:rPr>
        <w:t>s</w:t>
      </w:r>
      <w:r w:rsidR="00A42A24">
        <w:rPr>
          <w:sz w:val="24"/>
          <w:szCs w:val="24"/>
        </w:rPr>
        <w:t xml:space="preserve"> influential </w:t>
      </w:r>
      <w:r w:rsidR="00A42A24">
        <w:rPr>
          <w:sz w:val="24"/>
          <w:szCs w:val="24"/>
        </w:rPr>
        <w:lastRenderedPageBreak/>
        <w:t>soft law, the key requirements for the UK and R</w:t>
      </w:r>
      <w:r w:rsidR="00445F6F">
        <w:rPr>
          <w:sz w:val="24"/>
          <w:szCs w:val="24"/>
        </w:rPr>
        <w:t>F</w:t>
      </w:r>
      <w:r w:rsidR="00A42A24">
        <w:rPr>
          <w:sz w:val="24"/>
          <w:szCs w:val="24"/>
        </w:rPr>
        <w:t>Bs</w:t>
      </w:r>
      <w:r w:rsidR="00445F6F">
        <w:rPr>
          <w:sz w:val="24"/>
          <w:szCs w:val="24"/>
        </w:rPr>
        <w:t xml:space="preserve"> are contained in the </w:t>
      </w:r>
      <w:r w:rsidR="00A42A24">
        <w:rPr>
          <w:sz w:val="24"/>
          <w:szCs w:val="24"/>
        </w:rPr>
        <w:t xml:space="preserve">EU’s </w:t>
      </w:r>
      <w:r w:rsidR="00445F6F">
        <w:rPr>
          <w:sz w:val="24"/>
          <w:szCs w:val="24"/>
        </w:rPr>
        <w:t>Banking Recovery and Resolution Directive (BRRD)</w:t>
      </w:r>
      <w:r w:rsidR="00445F6F">
        <w:rPr>
          <w:rStyle w:val="FootnoteReference"/>
          <w:sz w:val="24"/>
          <w:szCs w:val="24"/>
        </w:rPr>
        <w:footnoteReference w:id="199"/>
      </w:r>
      <w:r w:rsidR="00445F6F">
        <w:rPr>
          <w:sz w:val="24"/>
          <w:szCs w:val="24"/>
        </w:rPr>
        <w:t>.</w:t>
      </w:r>
    </w:p>
    <w:p w:rsidR="00445F6F" w:rsidRDefault="00445F6F" w:rsidP="00E31F1B">
      <w:pPr>
        <w:tabs>
          <w:tab w:val="left" w:pos="2702"/>
        </w:tabs>
        <w:spacing w:line="480" w:lineRule="auto"/>
        <w:jc w:val="both"/>
        <w:rPr>
          <w:sz w:val="24"/>
          <w:szCs w:val="24"/>
        </w:rPr>
      </w:pPr>
    </w:p>
    <w:p w:rsidR="00445F6F" w:rsidRDefault="00445F6F" w:rsidP="00E31F1B">
      <w:pPr>
        <w:tabs>
          <w:tab w:val="left" w:pos="2702"/>
        </w:tabs>
        <w:spacing w:line="480" w:lineRule="auto"/>
        <w:jc w:val="both"/>
        <w:rPr>
          <w:sz w:val="24"/>
          <w:szCs w:val="24"/>
        </w:rPr>
      </w:pPr>
      <w:r>
        <w:rPr>
          <w:sz w:val="24"/>
          <w:szCs w:val="24"/>
        </w:rPr>
        <w:t>The BRRD is intended to:</w:t>
      </w:r>
    </w:p>
    <w:p w:rsidR="00445F6F" w:rsidRDefault="00445F6F" w:rsidP="00E31F1B">
      <w:pPr>
        <w:tabs>
          <w:tab w:val="left" w:pos="2702"/>
        </w:tabs>
        <w:spacing w:line="480" w:lineRule="auto"/>
        <w:jc w:val="both"/>
        <w:rPr>
          <w:sz w:val="24"/>
          <w:szCs w:val="24"/>
        </w:rPr>
      </w:pPr>
    </w:p>
    <w:p w:rsidR="00445F6F" w:rsidRPr="00B02B17" w:rsidRDefault="00445F6F" w:rsidP="00A72AD6">
      <w:pPr>
        <w:tabs>
          <w:tab w:val="left" w:pos="2702"/>
        </w:tabs>
        <w:ind w:left="720"/>
        <w:jc w:val="both"/>
        <w:rPr>
          <w:i/>
          <w:sz w:val="24"/>
          <w:szCs w:val="24"/>
        </w:rPr>
      </w:pPr>
      <w:r w:rsidRPr="00B02B17">
        <w:rPr>
          <w:i/>
          <w:sz w:val="24"/>
          <w:szCs w:val="24"/>
        </w:rPr>
        <w:t>“....provide national authorities</w:t>
      </w:r>
      <w:r w:rsidR="00B02B17" w:rsidRPr="00B02B17">
        <w:rPr>
          <w:i/>
          <w:sz w:val="24"/>
          <w:szCs w:val="24"/>
        </w:rPr>
        <w:t xml:space="preserve"> with common powers and instruments to pre-empt bank crises and to resolve any financial institution in an orderly manner in the event of failure, whilst preserving essential bank operations and minimising taxpayers’ exposures to losses.”</w:t>
      </w:r>
      <w:r w:rsidR="00B02B17">
        <w:rPr>
          <w:rStyle w:val="FootnoteReference"/>
          <w:i/>
          <w:sz w:val="24"/>
          <w:szCs w:val="24"/>
        </w:rPr>
        <w:footnoteReference w:id="200"/>
      </w:r>
    </w:p>
    <w:p w:rsidR="001F1065" w:rsidRDefault="001F1065" w:rsidP="00E31F1B">
      <w:pPr>
        <w:tabs>
          <w:tab w:val="left" w:pos="2702"/>
        </w:tabs>
        <w:spacing w:line="480" w:lineRule="auto"/>
        <w:jc w:val="both"/>
        <w:rPr>
          <w:sz w:val="24"/>
          <w:szCs w:val="24"/>
        </w:rPr>
      </w:pPr>
    </w:p>
    <w:p w:rsidR="00A820D0" w:rsidRDefault="00A820D0" w:rsidP="00E31F1B">
      <w:pPr>
        <w:tabs>
          <w:tab w:val="left" w:pos="2702"/>
        </w:tabs>
        <w:spacing w:line="480" w:lineRule="auto"/>
        <w:jc w:val="both"/>
        <w:rPr>
          <w:sz w:val="24"/>
          <w:szCs w:val="24"/>
        </w:rPr>
      </w:pPr>
      <w:r w:rsidRPr="00A820D0">
        <w:rPr>
          <w:sz w:val="24"/>
          <w:szCs w:val="24"/>
        </w:rPr>
        <w:t>The Recovery and Resolution Plan</w:t>
      </w:r>
      <w:r>
        <w:rPr>
          <w:sz w:val="24"/>
          <w:szCs w:val="24"/>
        </w:rPr>
        <w:t xml:space="preserve"> (RRP) </w:t>
      </w:r>
      <w:r w:rsidRPr="00A820D0">
        <w:rPr>
          <w:sz w:val="24"/>
          <w:szCs w:val="24"/>
        </w:rPr>
        <w:t>is</w:t>
      </w:r>
      <w:r>
        <w:rPr>
          <w:sz w:val="24"/>
          <w:szCs w:val="24"/>
        </w:rPr>
        <w:t xml:space="preserve"> in fact two plans – a Recovery Plan, and a Resolution Pack.</w:t>
      </w:r>
      <w:r w:rsidR="00B167C6">
        <w:rPr>
          <w:sz w:val="24"/>
          <w:szCs w:val="24"/>
        </w:rPr>
        <w:t xml:space="preserve"> </w:t>
      </w:r>
      <w:r>
        <w:rPr>
          <w:sz w:val="24"/>
          <w:szCs w:val="24"/>
        </w:rPr>
        <w:t>The Board must appoint a nominated individual to be the Board’s Recovery and Resolution Officer and this person will be the key contact for the PRA. Both the Recovery Plan and the Resolution Pack must be submitted to the PRA and kept up to date. The PRA must be promptly notified if there are any changes.</w:t>
      </w:r>
      <w:r w:rsidR="001C328B">
        <w:rPr>
          <w:sz w:val="24"/>
          <w:szCs w:val="24"/>
        </w:rPr>
        <w:t xml:space="preserve"> </w:t>
      </w:r>
      <w:r w:rsidR="00C865B5">
        <w:rPr>
          <w:sz w:val="24"/>
          <w:szCs w:val="24"/>
        </w:rPr>
        <w:t>Additional</w:t>
      </w:r>
      <w:r w:rsidR="001C328B">
        <w:rPr>
          <w:sz w:val="24"/>
          <w:szCs w:val="24"/>
        </w:rPr>
        <w:t xml:space="preserve"> detail on recovery and resolution is set out in Appendix 4.</w:t>
      </w:r>
    </w:p>
    <w:p w:rsidR="00A820D0" w:rsidRDefault="00A820D0" w:rsidP="00E31F1B">
      <w:pPr>
        <w:tabs>
          <w:tab w:val="left" w:pos="2702"/>
        </w:tabs>
        <w:spacing w:line="480" w:lineRule="auto"/>
        <w:jc w:val="both"/>
        <w:rPr>
          <w:sz w:val="24"/>
          <w:szCs w:val="24"/>
        </w:rPr>
      </w:pPr>
    </w:p>
    <w:p w:rsidR="00A820D0" w:rsidRDefault="00A820D0" w:rsidP="00E31F1B">
      <w:pPr>
        <w:tabs>
          <w:tab w:val="left" w:pos="2702"/>
        </w:tabs>
        <w:spacing w:line="480" w:lineRule="auto"/>
        <w:jc w:val="both"/>
        <w:rPr>
          <w:sz w:val="24"/>
          <w:szCs w:val="24"/>
        </w:rPr>
      </w:pPr>
      <w:r>
        <w:rPr>
          <w:sz w:val="24"/>
          <w:szCs w:val="24"/>
        </w:rPr>
        <w:t xml:space="preserve">The Recovery Plan is a key tool to identify options to recover financial strength and viability under severe stress. The objective is to identify Early Warning Indicators (EWIs) from the ICAAP and ILAAP that would trigger pre-considered credible recovery options that can be implemented quickly under a range of firm-specific and market wide stress scenarios, addressing both liquidity and capital shortfalls. Recovery planning is a logical extension of the processes for managing capital and liquidity under stress. However, it will usually require additional analysis </w:t>
      </w:r>
      <w:r>
        <w:rPr>
          <w:sz w:val="24"/>
          <w:szCs w:val="24"/>
        </w:rPr>
        <w:lastRenderedPageBreak/>
        <w:t>around more extreme responses, fo</w:t>
      </w:r>
      <w:r w:rsidR="00340B3A">
        <w:rPr>
          <w:sz w:val="24"/>
          <w:szCs w:val="24"/>
        </w:rPr>
        <w:t>r</w:t>
      </w:r>
      <w:r>
        <w:rPr>
          <w:sz w:val="24"/>
          <w:szCs w:val="24"/>
        </w:rPr>
        <w:t xml:space="preserve"> example, core asset disposals, and radical de-risking that may cause franchise damage. </w:t>
      </w:r>
    </w:p>
    <w:p w:rsidR="00A820D0" w:rsidRDefault="00A820D0" w:rsidP="00E31F1B">
      <w:pPr>
        <w:tabs>
          <w:tab w:val="left" w:pos="2702"/>
        </w:tabs>
        <w:spacing w:line="480" w:lineRule="auto"/>
        <w:jc w:val="both"/>
        <w:rPr>
          <w:sz w:val="24"/>
          <w:szCs w:val="24"/>
        </w:rPr>
      </w:pPr>
    </w:p>
    <w:p w:rsidR="008863A5" w:rsidRDefault="00A820D0" w:rsidP="00E31F1B">
      <w:pPr>
        <w:tabs>
          <w:tab w:val="left" w:pos="2702"/>
        </w:tabs>
        <w:spacing w:line="480" w:lineRule="auto"/>
        <w:jc w:val="both"/>
        <w:rPr>
          <w:sz w:val="24"/>
          <w:szCs w:val="24"/>
        </w:rPr>
      </w:pPr>
      <w:r>
        <w:rPr>
          <w:sz w:val="24"/>
          <w:szCs w:val="24"/>
        </w:rPr>
        <w:t>The Resolution Pack is to support a plan that comes into effect when recovery is no longer a viable option and the bank has failed or is likely to fail. The Pack is predominantly a compendium of information</w:t>
      </w:r>
      <w:r w:rsidR="00A81DCE">
        <w:rPr>
          <w:sz w:val="24"/>
          <w:szCs w:val="24"/>
        </w:rPr>
        <w:t xml:space="preserve"> that allows the regulator to plan for an orderly resolution. Although the Pack must be submitted to the PRA, the legislation gives powers to the BoE and / or HM Treasury to participate in and / or lead an orderly winding-up, a sale of the RFB, or manage the RFB for a period and either re-structure it for sale or re-launch.  </w:t>
      </w:r>
    </w:p>
    <w:p w:rsidR="008863A5" w:rsidRDefault="008863A5" w:rsidP="00E31F1B">
      <w:pPr>
        <w:tabs>
          <w:tab w:val="left" w:pos="2702"/>
        </w:tabs>
        <w:spacing w:line="480" w:lineRule="auto"/>
        <w:jc w:val="both"/>
        <w:rPr>
          <w:sz w:val="24"/>
          <w:szCs w:val="24"/>
        </w:rPr>
      </w:pPr>
    </w:p>
    <w:p w:rsidR="008863A5" w:rsidRDefault="008863A5" w:rsidP="00E31F1B">
      <w:pPr>
        <w:tabs>
          <w:tab w:val="left" w:pos="2702"/>
        </w:tabs>
        <w:spacing w:line="480" w:lineRule="auto"/>
        <w:jc w:val="both"/>
        <w:rPr>
          <w:sz w:val="24"/>
          <w:szCs w:val="24"/>
        </w:rPr>
      </w:pPr>
      <w:r>
        <w:rPr>
          <w:sz w:val="24"/>
          <w:szCs w:val="24"/>
        </w:rPr>
        <w:t>The BoE (the Resolution Authority) has four resolution options:</w:t>
      </w:r>
    </w:p>
    <w:p w:rsidR="008863A5" w:rsidRDefault="008863A5" w:rsidP="00E31F1B">
      <w:pPr>
        <w:tabs>
          <w:tab w:val="left" w:pos="2702"/>
        </w:tabs>
        <w:spacing w:line="480" w:lineRule="auto"/>
        <w:jc w:val="both"/>
        <w:rPr>
          <w:sz w:val="24"/>
          <w:szCs w:val="24"/>
        </w:rPr>
      </w:pPr>
    </w:p>
    <w:p w:rsidR="000F0B33" w:rsidRDefault="008863A5" w:rsidP="00E31F1B">
      <w:pPr>
        <w:pStyle w:val="ListParagraph"/>
        <w:numPr>
          <w:ilvl w:val="0"/>
          <w:numId w:val="28"/>
        </w:numPr>
        <w:tabs>
          <w:tab w:val="left" w:pos="2702"/>
        </w:tabs>
        <w:spacing w:line="480" w:lineRule="auto"/>
        <w:jc w:val="both"/>
        <w:rPr>
          <w:sz w:val="24"/>
          <w:szCs w:val="24"/>
        </w:rPr>
      </w:pPr>
      <w:r>
        <w:rPr>
          <w:sz w:val="24"/>
          <w:szCs w:val="24"/>
        </w:rPr>
        <w:t>A sale of business tool</w:t>
      </w:r>
      <w:r>
        <w:rPr>
          <w:rStyle w:val="FootnoteReference"/>
          <w:sz w:val="24"/>
          <w:szCs w:val="24"/>
        </w:rPr>
        <w:footnoteReference w:id="201"/>
      </w:r>
    </w:p>
    <w:p w:rsidR="008863A5" w:rsidRDefault="008863A5" w:rsidP="00E31F1B">
      <w:pPr>
        <w:pStyle w:val="ListParagraph"/>
        <w:tabs>
          <w:tab w:val="left" w:pos="2702"/>
        </w:tabs>
        <w:spacing w:line="480" w:lineRule="auto"/>
        <w:jc w:val="both"/>
        <w:rPr>
          <w:sz w:val="24"/>
          <w:szCs w:val="24"/>
        </w:rPr>
      </w:pPr>
    </w:p>
    <w:p w:rsidR="008863A5" w:rsidRPr="008863A5" w:rsidRDefault="008863A5" w:rsidP="00E31F1B">
      <w:pPr>
        <w:pStyle w:val="ListParagraph"/>
        <w:numPr>
          <w:ilvl w:val="0"/>
          <w:numId w:val="28"/>
        </w:numPr>
        <w:tabs>
          <w:tab w:val="left" w:pos="2702"/>
        </w:tabs>
        <w:spacing w:line="480" w:lineRule="auto"/>
        <w:jc w:val="both"/>
        <w:rPr>
          <w:sz w:val="24"/>
          <w:szCs w:val="24"/>
        </w:rPr>
      </w:pPr>
      <w:r w:rsidRPr="008863A5">
        <w:rPr>
          <w:sz w:val="24"/>
          <w:szCs w:val="24"/>
        </w:rPr>
        <w:t>A bridge institution tool</w:t>
      </w:r>
      <w:r>
        <w:rPr>
          <w:rStyle w:val="FootnoteReference"/>
          <w:sz w:val="24"/>
          <w:szCs w:val="24"/>
        </w:rPr>
        <w:footnoteReference w:id="202"/>
      </w:r>
    </w:p>
    <w:p w:rsidR="008863A5" w:rsidRDefault="008863A5" w:rsidP="00E31F1B">
      <w:pPr>
        <w:pStyle w:val="ListParagraph"/>
        <w:tabs>
          <w:tab w:val="left" w:pos="2702"/>
        </w:tabs>
        <w:spacing w:line="480" w:lineRule="auto"/>
        <w:jc w:val="both"/>
        <w:rPr>
          <w:sz w:val="24"/>
          <w:szCs w:val="24"/>
        </w:rPr>
      </w:pPr>
    </w:p>
    <w:p w:rsidR="008863A5" w:rsidRDefault="008863A5" w:rsidP="00E31F1B">
      <w:pPr>
        <w:pStyle w:val="ListParagraph"/>
        <w:numPr>
          <w:ilvl w:val="0"/>
          <w:numId w:val="28"/>
        </w:numPr>
        <w:tabs>
          <w:tab w:val="left" w:pos="2702"/>
        </w:tabs>
        <w:spacing w:line="480" w:lineRule="auto"/>
        <w:jc w:val="both"/>
        <w:rPr>
          <w:sz w:val="24"/>
          <w:szCs w:val="24"/>
        </w:rPr>
      </w:pPr>
      <w:r>
        <w:rPr>
          <w:sz w:val="24"/>
          <w:szCs w:val="24"/>
        </w:rPr>
        <w:t>An asset separation tool</w:t>
      </w:r>
      <w:r>
        <w:rPr>
          <w:rStyle w:val="FootnoteReference"/>
          <w:sz w:val="24"/>
          <w:szCs w:val="24"/>
        </w:rPr>
        <w:footnoteReference w:id="203"/>
      </w:r>
    </w:p>
    <w:p w:rsidR="008863A5" w:rsidRDefault="008863A5" w:rsidP="00E31F1B">
      <w:pPr>
        <w:pStyle w:val="ListParagraph"/>
        <w:tabs>
          <w:tab w:val="left" w:pos="2702"/>
        </w:tabs>
        <w:spacing w:line="480" w:lineRule="auto"/>
        <w:jc w:val="both"/>
        <w:rPr>
          <w:sz w:val="24"/>
          <w:szCs w:val="24"/>
        </w:rPr>
      </w:pPr>
    </w:p>
    <w:p w:rsidR="008863A5" w:rsidRDefault="008863A5" w:rsidP="00E31F1B">
      <w:pPr>
        <w:pStyle w:val="ListParagraph"/>
        <w:numPr>
          <w:ilvl w:val="0"/>
          <w:numId w:val="28"/>
        </w:numPr>
        <w:tabs>
          <w:tab w:val="left" w:pos="2702"/>
        </w:tabs>
        <w:spacing w:line="480" w:lineRule="auto"/>
        <w:jc w:val="both"/>
        <w:rPr>
          <w:sz w:val="24"/>
          <w:szCs w:val="24"/>
        </w:rPr>
      </w:pPr>
      <w:r>
        <w:rPr>
          <w:sz w:val="24"/>
          <w:szCs w:val="24"/>
        </w:rPr>
        <w:t>A bail-in tool</w:t>
      </w:r>
      <w:r>
        <w:rPr>
          <w:rStyle w:val="FootnoteReference"/>
          <w:sz w:val="24"/>
          <w:szCs w:val="24"/>
        </w:rPr>
        <w:footnoteReference w:id="204"/>
      </w:r>
    </w:p>
    <w:p w:rsidR="008863A5" w:rsidRPr="008863A5" w:rsidRDefault="008863A5" w:rsidP="00E31F1B">
      <w:pPr>
        <w:pStyle w:val="ListParagraph"/>
        <w:tabs>
          <w:tab w:val="left" w:pos="2702"/>
        </w:tabs>
        <w:spacing w:line="480" w:lineRule="auto"/>
        <w:rPr>
          <w:sz w:val="24"/>
          <w:szCs w:val="24"/>
        </w:rPr>
      </w:pPr>
    </w:p>
    <w:p w:rsidR="008863A5" w:rsidRPr="008863A5" w:rsidRDefault="008863A5" w:rsidP="00E31F1B">
      <w:pPr>
        <w:pStyle w:val="ListParagraph"/>
        <w:tabs>
          <w:tab w:val="left" w:pos="2702"/>
        </w:tabs>
        <w:spacing w:line="480" w:lineRule="auto"/>
        <w:ind w:left="0"/>
        <w:jc w:val="both"/>
        <w:rPr>
          <w:sz w:val="24"/>
          <w:szCs w:val="24"/>
        </w:rPr>
      </w:pPr>
      <w:r>
        <w:rPr>
          <w:sz w:val="24"/>
          <w:szCs w:val="24"/>
        </w:rPr>
        <w:lastRenderedPageBreak/>
        <w:t>A key factor in the bail-in tool is that there is something to bail-in. The FSB have introduced the concept of Total Loss Absorbing Capital (TLAC) for globally systemic banks. In the EU the BRRD has introduced a similar equivalent for all banks</w:t>
      </w:r>
      <w:r w:rsidR="00FC1439">
        <w:rPr>
          <w:sz w:val="24"/>
          <w:szCs w:val="24"/>
        </w:rPr>
        <w:t>,</w:t>
      </w:r>
      <w:r>
        <w:rPr>
          <w:sz w:val="24"/>
          <w:szCs w:val="24"/>
        </w:rPr>
        <w:t xml:space="preserve"> but calibrated to their risk profile</w:t>
      </w:r>
      <w:r w:rsidR="00FC1439">
        <w:rPr>
          <w:sz w:val="24"/>
          <w:szCs w:val="24"/>
        </w:rPr>
        <w:t>,</w:t>
      </w:r>
      <w:r>
        <w:rPr>
          <w:sz w:val="24"/>
          <w:szCs w:val="24"/>
        </w:rPr>
        <w:t xml:space="preserve"> known as Minimum Requirement for own funds and Eligible Liabilities (MREL)</w:t>
      </w:r>
      <w:r w:rsidR="00FC1439">
        <w:rPr>
          <w:rStyle w:val="FootnoteReference"/>
          <w:sz w:val="24"/>
          <w:szCs w:val="24"/>
        </w:rPr>
        <w:footnoteReference w:id="205"/>
      </w:r>
      <w:r w:rsidR="00FC1439">
        <w:rPr>
          <w:sz w:val="24"/>
          <w:szCs w:val="24"/>
        </w:rPr>
        <w:t>.The EBA have con</w:t>
      </w:r>
      <w:r w:rsidR="006C5B49">
        <w:rPr>
          <w:sz w:val="24"/>
          <w:szCs w:val="24"/>
        </w:rPr>
        <w:t xml:space="preserve">sulted </w:t>
      </w:r>
      <w:r w:rsidR="00FC1439">
        <w:rPr>
          <w:sz w:val="24"/>
          <w:szCs w:val="24"/>
        </w:rPr>
        <w:t xml:space="preserve">on pan EU level detail and the BoE as Resolution Authority will be consulting </w:t>
      </w:r>
      <w:r w:rsidR="006C5B49">
        <w:rPr>
          <w:sz w:val="24"/>
          <w:szCs w:val="24"/>
        </w:rPr>
        <w:t>o</w:t>
      </w:r>
      <w:r w:rsidR="00FC1439">
        <w:rPr>
          <w:sz w:val="24"/>
          <w:szCs w:val="24"/>
        </w:rPr>
        <w:t>n the detail as it applies to the UK later this year. The requirement to hold MREL commences on 1</w:t>
      </w:r>
      <w:r w:rsidR="00FC1439" w:rsidRPr="00FC1439">
        <w:rPr>
          <w:sz w:val="24"/>
          <w:szCs w:val="24"/>
          <w:vertAlign w:val="superscript"/>
        </w:rPr>
        <w:t>st</w:t>
      </w:r>
      <w:r w:rsidR="00FC1439">
        <w:rPr>
          <w:sz w:val="24"/>
          <w:szCs w:val="24"/>
        </w:rPr>
        <w:t xml:space="preserve"> January 2016.</w:t>
      </w:r>
    </w:p>
    <w:p w:rsidR="0033431F" w:rsidRDefault="0033431F" w:rsidP="00E31F1B">
      <w:pPr>
        <w:tabs>
          <w:tab w:val="left" w:pos="2702"/>
        </w:tabs>
        <w:spacing w:line="480" w:lineRule="auto"/>
        <w:rPr>
          <w:sz w:val="24"/>
          <w:szCs w:val="24"/>
        </w:rPr>
      </w:pPr>
    </w:p>
    <w:p w:rsidR="000F4EB5" w:rsidRDefault="00730ED5" w:rsidP="00E31F1B">
      <w:pPr>
        <w:pStyle w:val="Heading2"/>
        <w:tabs>
          <w:tab w:val="left" w:pos="2702"/>
        </w:tabs>
        <w:spacing w:line="480" w:lineRule="auto"/>
      </w:pPr>
      <w:bookmarkStart w:id="17" w:name="_Toc428779489"/>
      <w:r>
        <w:t>Part VII Transfer</w:t>
      </w:r>
      <w:bookmarkEnd w:id="17"/>
    </w:p>
    <w:p w:rsidR="007403E7" w:rsidRDefault="007403E7" w:rsidP="00E31F1B">
      <w:pPr>
        <w:tabs>
          <w:tab w:val="left" w:pos="2702"/>
        </w:tabs>
        <w:spacing w:line="480" w:lineRule="auto"/>
        <w:jc w:val="both"/>
        <w:rPr>
          <w:sz w:val="24"/>
          <w:szCs w:val="24"/>
        </w:rPr>
      </w:pPr>
      <w:r>
        <w:rPr>
          <w:sz w:val="24"/>
          <w:szCs w:val="24"/>
        </w:rPr>
        <w:t xml:space="preserve">The mechanism in Part VII </w:t>
      </w:r>
      <w:r w:rsidR="00D809C1">
        <w:rPr>
          <w:sz w:val="24"/>
          <w:szCs w:val="24"/>
        </w:rPr>
        <w:t>of</w:t>
      </w:r>
      <w:r>
        <w:rPr>
          <w:sz w:val="24"/>
          <w:szCs w:val="24"/>
        </w:rPr>
        <w:t xml:space="preserve"> FSMA 2000 was a new innovation for bank transfers. Prior to this there had been no statutory procedure for doing transfers of bank business. Pre FSMA 2000 such a transfer usually required a private Act of Parliament. As this </w:t>
      </w:r>
      <w:r w:rsidR="006C5B49">
        <w:rPr>
          <w:sz w:val="24"/>
          <w:szCs w:val="24"/>
        </w:rPr>
        <w:t>amounted to</w:t>
      </w:r>
      <w:r>
        <w:rPr>
          <w:sz w:val="24"/>
          <w:szCs w:val="24"/>
        </w:rPr>
        <w:t xml:space="preserve"> a contractual variation (in essence a novation of contracts by replacing one bank as contracting part</w:t>
      </w:r>
      <w:r w:rsidR="006C5B49">
        <w:rPr>
          <w:sz w:val="24"/>
          <w:szCs w:val="24"/>
        </w:rPr>
        <w:t>y</w:t>
      </w:r>
      <w:r>
        <w:rPr>
          <w:sz w:val="24"/>
          <w:szCs w:val="24"/>
        </w:rPr>
        <w:t xml:space="preserve"> with the other)</w:t>
      </w:r>
      <w:r w:rsidR="006C5B49">
        <w:rPr>
          <w:sz w:val="24"/>
          <w:szCs w:val="24"/>
        </w:rPr>
        <w:t xml:space="preserve">, when combined </w:t>
      </w:r>
      <w:r>
        <w:rPr>
          <w:sz w:val="24"/>
          <w:szCs w:val="24"/>
        </w:rPr>
        <w:t>with Parliament’s reluctance to interfere in the business affairs of individuals</w:t>
      </w:r>
      <w:r w:rsidR="006C5B49">
        <w:rPr>
          <w:sz w:val="24"/>
          <w:szCs w:val="24"/>
        </w:rPr>
        <w:t>,</w:t>
      </w:r>
      <w:r>
        <w:rPr>
          <w:sz w:val="24"/>
          <w:szCs w:val="24"/>
        </w:rPr>
        <w:t xml:space="preserve"> these were difficult to obtain</w:t>
      </w:r>
      <w:r>
        <w:rPr>
          <w:rStyle w:val="FootnoteReference"/>
          <w:sz w:val="24"/>
          <w:szCs w:val="24"/>
        </w:rPr>
        <w:footnoteReference w:id="206"/>
      </w:r>
      <w:r>
        <w:rPr>
          <w:sz w:val="24"/>
          <w:szCs w:val="24"/>
        </w:rPr>
        <w:t>.</w:t>
      </w:r>
    </w:p>
    <w:p w:rsidR="007403E7" w:rsidRDefault="007403E7" w:rsidP="00E31F1B">
      <w:pPr>
        <w:tabs>
          <w:tab w:val="left" w:pos="2702"/>
        </w:tabs>
        <w:spacing w:line="480" w:lineRule="auto"/>
        <w:jc w:val="both"/>
        <w:rPr>
          <w:sz w:val="24"/>
          <w:szCs w:val="24"/>
        </w:rPr>
      </w:pPr>
    </w:p>
    <w:p w:rsidR="00D809C1" w:rsidRDefault="00D53F0F" w:rsidP="00E31F1B">
      <w:pPr>
        <w:tabs>
          <w:tab w:val="left" w:pos="2702"/>
        </w:tabs>
        <w:spacing w:line="480" w:lineRule="auto"/>
        <w:jc w:val="both"/>
        <w:rPr>
          <w:sz w:val="24"/>
          <w:szCs w:val="24"/>
        </w:rPr>
      </w:pPr>
      <w:r w:rsidRPr="00434B1A">
        <w:rPr>
          <w:sz w:val="24"/>
          <w:szCs w:val="24"/>
        </w:rPr>
        <w:t xml:space="preserve">The Part VII transfer is a transfer of the assets and liabilities </w:t>
      </w:r>
      <w:r w:rsidR="00D809C1">
        <w:rPr>
          <w:sz w:val="24"/>
          <w:szCs w:val="24"/>
        </w:rPr>
        <w:t xml:space="preserve">(although it could be a transfer of just assets) </w:t>
      </w:r>
      <w:r w:rsidR="00EA3497" w:rsidRPr="00434B1A">
        <w:rPr>
          <w:sz w:val="24"/>
          <w:szCs w:val="24"/>
        </w:rPr>
        <w:t xml:space="preserve">from </w:t>
      </w:r>
      <w:r w:rsidR="00D809C1">
        <w:rPr>
          <w:sz w:val="24"/>
          <w:szCs w:val="24"/>
        </w:rPr>
        <w:t xml:space="preserve">one bank to another, and in the case of RFBs that are part of a group from </w:t>
      </w:r>
      <w:r w:rsidR="00EA3497" w:rsidRPr="00434B1A">
        <w:rPr>
          <w:sz w:val="24"/>
          <w:szCs w:val="24"/>
        </w:rPr>
        <w:t>the parent bank</w:t>
      </w:r>
      <w:r w:rsidR="009D1C80">
        <w:rPr>
          <w:sz w:val="24"/>
          <w:szCs w:val="24"/>
        </w:rPr>
        <w:t>, or other subsidiaries of the parent,</w:t>
      </w:r>
      <w:r w:rsidR="00EA3497" w:rsidRPr="00434B1A">
        <w:rPr>
          <w:sz w:val="24"/>
          <w:szCs w:val="24"/>
        </w:rPr>
        <w:t xml:space="preserve"> to the new RFB.</w:t>
      </w:r>
      <w:r w:rsidR="009D1C80">
        <w:rPr>
          <w:sz w:val="24"/>
          <w:szCs w:val="24"/>
        </w:rPr>
        <w:t xml:space="preserve"> Some banks will be transferring assets and liabilities fr</w:t>
      </w:r>
      <w:r w:rsidR="00D809C1">
        <w:rPr>
          <w:sz w:val="24"/>
          <w:szCs w:val="24"/>
        </w:rPr>
        <w:t>om</w:t>
      </w:r>
      <w:r w:rsidR="009D1C80">
        <w:rPr>
          <w:sz w:val="24"/>
          <w:szCs w:val="24"/>
        </w:rPr>
        <w:t xml:space="preserve"> a number of subsidiaries into the RFB. This can be very irritating for customers getting a new bank, new sort-codes, ne</w:t>
      </w:r>
      <w:r w:rsidR="00D809C1">
        <w:rPr>
          <w:sz w:val="24"/>
          <w:szCs w:val="24"/>
        </w:rPr>
        <w:t>w</w:t>
      </w:r>
      <w:r w:rsidR="009D1C80">
        <w:rPr>
          <w:sz w:val="24"/>
          <w:szCs w:val="24"/>
        </w:rPr>
        <w:t xml:space="preserve"> accounts, new cards and other banking essentials</w:t>
      </w:r>
      <w:r w:rsidR="00D809C1">
        <w:rPr>
          <w:sz w:val="24"/>
          <w:szCs w:val="24"/>
        </w:rPr>
        <w:t>. I</w:t>
      </w:r>
      <w:r w:rsidR="00564D97">
        <w:rPr>
          <w:sz w:val="24"/>
          <w:szCs w:val="24"/>
        </w:rPr>
        <w:t>t is very important that communication is managed properly</w:t>
      </w:r>
      <w:r w:rsidR="00D809C1">
        <w:rPr>
          <w:sz w:val="24"/>
          <w:szCs w:val="24"/>
        </w:rPr>
        <w:t xml:space="preserve"> as customers have to be </w:t>
      </w:r>
      <w:r w:rsidR="00D809C1">
        <w:rPr>
          <w:sz w:val="24"/>
          <w:szCs w:val="24"/>
        </w:rPr>
        <w:lastRenderedPageBreak/>
        <w:t>notified in advance</w:t>
      </w:r>
      <w:r w:rsidR="00A23EAA">
        <w:rPr>
          <w:rStyle w:val="FootnoteReference"/>
          <w:sz w:val="24"/>
          <w:szCs w:val="24"/>
        </w:rPr>
        <w:footnoteReference w:id="207"/>
      </w:r>
      <w:r w:rsidR="00D809C1">
        <w:rPr>
          <w:sz w:val="24"/>
          <w:szCs w:val="24"/>
        </w:rPr>
        <w:t xml:space="preserve"> and may decide to take unilateral action and bank somewhere completely different,</w:t>
      </w:r>
    </w:p>
    <w:p w:rsidR="00D809C1" w:rsidRDefault="00D809C1" w:rsidP="00E31F1B">
      <w:pPr>
        <w:tabs>
          <w:tab w:val="left" w:pos="2702"/>
        </w:tabs>
        <w:spacing w:line="480" w:lineRule="auto"/>
        <w:jc w:val="both"/>
        <w:rPr>
          <w:sz w:val="24"/>
          <w:szCs w:val="24"/>
        </w:rPr>
      </w:pPr>
    </w:p>
    <w:p w:rsidR="009E4E39" w:rsidRDefault="00D809C1" w:rsidP="00E31F1B">
      <w:pPr>
        <w:tabs>
          <w:tab w:val="left" w:pos="2702"/>
        </w:tabs>
        <w:spacing w:line="480" w:lineRule="auto"/>
        <w:jc w:val="both"/>
        <w:rPr>
          <w:sz w:val="24"/>
          <w:szCs w:val="24"/>
        </w:rPr>
      </w:pPr>
      <w:r>
        <w:rPr>
          <w:sz w:val="24"/>
          <w:szCs w:val="24"/>
        </w:rPr>
        <w:t>The banking transfer scheme will not be effective</w:t>
      </w:r>
      <w:r w:rsidR="00A23EAA">
        <w:rPr>
          <w:rStyle w:val="FootnoteReference"/>
          <w:sz w:val="24"/>
          <w:szCs w:val="24"/>
        </w:rPr>
        <w:footnoteReference w:id="208"/>
      </w:r>
      <w:r w:rsidR="00A23EAA">
        <w:rPr>
          <w:sz w:val="24"/>
          <w:szCs w:val="24"/>
        </w:rPr>
        <w:t>unless it has been sanctioned by the High Court (the court)</w:t>
      </w:r>
      <w:r w:rsidR="00A23EAA">
        <w:rPr>
          <w:rStyle w:val="FootnoteReference"/>
          <w:sz w:val="24"/>
          <w:szCs w:val="24"/>
        </w:rPr>
        <w:footnoteReference w:id="209"/>
      </w:r>
      <w:r w:rsidR="00564D97">
        <w:rPr>
          <w:sz w:val="24"/>
          <w:szCs w:val="24"/>
        </w:rPr>
        <w:t xml:space="preserve">. </w:t>
      </w:r>
      <w:r w:rsidR="00A23EAA">
        <w:rPr>
          <w:sz w:val="24"/>
          <w:szCs w:val="24"/>
        </w:rPr>
        <w:t>The court, before deciding to sanction the scheme must be satisfied as to two things:</w:t>
      </w:r>
    </w:p>
    <w:p w:rsidR="00A23EAA" w:rsidRDefault="00A23EAA" w:rsidP="00E31F1B">
      <w:pPr>
        <w:tabs>
          <w:tab w:val="left" w:pos="2702"/>
        </w:tabs>
        <w:spacing w:line="480" w:lineRule="auto"/>
        <w:jc w:val="both"/>
        <w:rPr>
          <w:sz w:val="24"/>
          <w:szCs w:val="24"/>
        </w:rPr>
      </w:pPr>
    </w:p>
    <w:p w:rsidR="00A23EAA" w:rsidRDefault="00A23EAA" w:rsidP="00C865B5">
      <w:pPr>
        <w:pStyle w:val="ListParagraph"/>
        <w:numPr>
          <w:ilvl w:val="0"/>
          <w:numId w:val="24"/>
        </w:numPr>
        <w:tabs>
          <w:tab w:val="left" w:pos="2702"/>
        </w:tabs>
        <w:spacing w:line="480" w:lineRule="auto"/>
        <w:jc w:val="both"/>
        <w:rPr>
          <w:sz w:val="24"/>
          <w:szCs w:val="24"/>
        </w:rPr>
      </w:pPr>
      <w:r>
        <w:rPr>
          <w:sz w:val="24"/>
          <w:szCs w:val="24"/>
        </w:rPr>
        <w:t>Certificate of adequate resources issued by the PRA</w:t>
      </w:r>
      <w:r>
        <w:rPr>
          <w:rStyle w:val="FootnoteReference"/>
          <w:sz w:val="24"/>
          <w:szCs w:val="24"/>
        </w:rPr>
        <w:footnoteReference w:id="210"/>
      </w:r>
    </w:p>
    <w:p w:rsidR="00A23EAA" w:rsidRDefault="00A23EAA" w:rsidP="00E31F1B">
      <w:pPr>
        <w:pStyle w:val="ListParagraph"/>
        <w:numPr>
          <w:ilvl w:val="0"/>
          <w:numId w:val="24"/>
        </w:numPr>
        <w:tabs>
          <w:tab w:val="left" w:pos="2702"/>
        </w:tabs>
        <w:spacing w:line="480" w:lineRule="auto"/>
        <w:jc w:val="both"/>
        <w:rPr>
          <w:sz w:val="24"/>
          <w:szCs w:val="24"/>
        </w:rPr>
      </w:pPr>
      <w:r>
        <w:rPr>
          <w:sz w:val="24"/>
          <w:szCs w:val="24"/>
        </w:rPr>
        <w:t>That the firm is authorised to conduct the business that is being transferred.</w:t>
      </w:r>
    </w:p>
    <w:p w:rsidR="006C5B49" w:rsidRDefault="006C5B49" w:rsidP="00E31F1B">
      <w:pPr>
        <w:tabs>
          <w:tab w:val="left" w:pos="2702"/>
        </w:tabs>
        <w:spacing w:line="480" w:lineRule="auto"/>
        <w:jc w:val="both"/>
        <w:rPr>
          <w:sz w:val="24"/>
          <w:szCs w:val="24"/>
        </w:rPr>
      </w:pPr>
    </w:p>
    <w:p w:rsidR="006C5B49" w:rsidRDefault="006C5B49" w:rsidP="00E31F1B">
      <w:pPr>
        <w:tabs>
          <w:tab w:val="left" w:pos="2702"/>
        </w:tabs>
        <w:spacing w:line="480" w:lineRule="auto"/>
        <w:jc w:val="both"/>
        <w:rPr>
          <w:sz w:val="24"/>
          <w:szCs w:val="24"/>
        </w:rPr>
      </w:pPr>
      <w:r>
        <w:rPr>
          <w:sz w:val="24"/>
          <w:szCs w:val="24"/>
        </w:rPr>
        <w:t xml:space="preserve">The FSBRA 2013 has </w:t>
      </w:r>
      <w:r w:rsidR="005C2A83">
        <w:rPr>
          <w:sz w:val="24"/>
          <w:szCs w:val="24"/>
        </w:rPr>
        <w:t xml:space="preserve">made appropriate amendments to Part VII to cater specifically for </w:t>
      </w:r>
      <w:r>
        <w:rPr>
          <w:sz w:val="24"/>
          <w:szCs w:val="24"/>
        </w:rPr>
        <w:t>RFB transfers</w:t>
      </w:r>
      <w:r w:rsidR="00331A0D">
        <w:rPr>
          <w:rStyle w:val="FootnoteReference"/>
          <w:sz w:val="24"/>
          <w:szCs w:val="24"/>
        </w:rPr>
        <w:footnoteReference w:id="211"/>
      </w:r>
      <w:r w:rsidR="00ED0ACC">
        <w:rPr>
          <w:sz w:val="24"/>
          <w:szCs w:val="24"/>
        </w:rPr>
        <w:t>.</w:t>
      </w:r>
    </w:p>
    <w:p w:rsidR="00ED0ACC" w:rsidRPr="006C5B49" w:rsidRDefault="00ED0ACC" w:rsidP="00E31F1B">
      <w:pPr>
        <w:tabs>
          <w:tab w:val="left" w:pos="2702"/>
        </w:tabs>
        <w:spacing w:line="480" w:lineRule="auto"/>
        <w:jc w:val="both"/>
        <w:rPr>
          <w:sz w:val="24"/>
          <w:szCs w:val="24"/>
        </w:rPr>
      </w:pPr>
    </w:p>
    <w:p w:rsidR="000F4EB5" w:rsidRDefault="009E4E39" w:rsidP="00E31F1B">
      <w:pPr>
        <w:pStyle w:val="Heading1"/>
        <w:tabs>
          <w:tab w:val="left" w:pos="2702"/>
        </w:tabs>
        <w:spacing w:line="480" w:lineRule="auto"/>
        <w:jc w:val="left"/>
      </w:pPr>
      <w:bookmarkStart w:id="18" w:name="_Toc428779490"/>
      <w:r w:rsidRPr="009E4E39">
        <w:t>Analysis</w:t>
      </w:r>
      <w:bookmarkEnd w:id="18"/>
    </w:p>
    <w:p w:rsidR="0019008F" w:rsidRDefault="0019008F" w:rsidP="00E31F1B">
      <w:pPr>
        <w:tabs>
          <w:tab w:val="left" w:pos="2702"/>
        </w:tabs>
        <w:spacing w:line="480" w:lineRule="auto"/>
        <w:jc w:val="both"/>
        <w:rPr>
          <w:sz w:val="24"/>
          <w:szCs w:val="24"/>
        </w:rPr>
      </w:pPr>
      <w:r>
        <w:rPr>
          <w:sz w:val="24"/>
          <w:szCs w:val="24"/>
        </w:rPr>
        <w:t>It ca</w:t>
      </w:r>
      <w:r w:rsidR="002D4970">
        <w:rPr>
          <w:sz w:val="24"/>
          <w:szCs w:val="24"/>
        </w:rPr>
        <w:t>n</w:t>
      </w:r>
      <w:r>
        <w:rPr>
          <w:sz w:val="24"/>
          <w:szCs w:val="24"/>
        </w:rPr>
        <w:t xml:space="preserve"> be seen from the preceding that much has been done since the financial crisis to improve the resilience of the banking system. The majority of these improvements, e.g. capital buffers; MREL, the introduction of the LCR and NSFR apply to all banks and not just RFBs.</w:t>
      </w:r>
      <w:r w:rsidR="00B167C6">
        <w:rPr>
          <w:sz w:val="24"/>
          <w:szCs w:val="24"/>
        </w:rPr>
        <w:t xml:space="preserve"> </w:t>
      </w:r>
      <w:r>
        <w:rPr>
          <w:sz w:val="24"/>
          <w:szCs w:val="24"/>
        </w:rPr>
        <w:t>However, the purpose of RFB</w:t>
      </w:r>
      <w:r w:rsidR="002D4970">
        <w:rPr>
          <w:sz w:val="24"/>
          <w:szCs w:val="24"/>
        </w:rPr>
        <w:t>s</w:t>
      </w:r>
      <w:r>
        <w:rPr>
          <w:sz w:val="24"/>
          <w:szCs w:val="24"/>
        </w:rPr>
        <w:t xml:space="preserve"> was not just to improve the resilience of UK banking but to ensure that if </w:t>
      </w:r>
      <w:r>
        <w:rPr>
          <w:sz w:val="24"/>
          <w:szCs w:val="24"/>
        </w:rPr>
        <w:lastRenderedPageBreak/>
        <w:t xml:space="preserve">such circumstances were to arise again that the government would be in a position </w:t>
      </w:r>
      <w:r w:rsidR="0023316C">
        <w:rPr>
          <w:sz w:val="24"/>
          <w:szCs w:val="24"/>
        </w:rPr>
        <w:t>save the banks that are critical to the effective functioning of the economy.</w:t>
      </w:r>
    </w:p>
    <w:p w:rsidR="0019008F" w:rsidRDefault="0019008F" w:rsidP="00E31F1B">
      <w:pPr>
        <w:tabs>
          <w:tab w:val="left" w:pos="2702"/>
        </w:tabs>
        <w:spacing w:line="480" w:lineRule="auto"/>
        <w:jc w:val="both"/>
        <w:rPr>
          <w:sz w:val="24"/>
          <w:szCs w:val="24"/>
        </w:rPr>
      </w:pPr>
    </w:p>
    <w:p w:rsidR="00F6448A" w:rsidRDefault="00F6448A" w:rsidP="00E31F1B">
      <w:pPr>
        <w:tabs>
          <w:tab w:val="left" w:pos="2702"/>
        </w:tabs>
        <w:spacing w:line="480" w:lineRule="auto"/>
        <w:jc w:val="both"/>
        <w:rPr>
          <w:sz w:val="24"/>
          <w:szCs w:val="24"/>
        </w:rPr>
      </w:pPr>
      <w:r>
        <w:rPr>
          <w:sz w:val="24"/>
          <w:szCs w:val="24"/>
        </w:rPr>
        <w:t>Whilst it is clearly right to focus on the banks that support the national economy (both personal customers and SMEs that generate employment), t</w:t>
      </w:r>
      <w:r w:rsidRPr="00F6448A">
        <w:rPr>
          <w:sz w:val="24"/>
          <w:szCs w:val="24"/>
        </w:rPr>
        <w:t>he Independent Commission on Banking</w:t>
      </w:r>
      <w:r>
        <w:rPr>
          <w:sz w:val="24"/>
          <w:szCs w:val="24"/>
        </w:rPr>
        <w:t xml:space="preserve"> with a mandate focussed on structural reform is not sufficient to resolve the malaise that is at the root cause of retail banking in the UK. It will treat a symptom but on its own it is not enough. This may have been recognised in the hindsight of our political leaders when shortly afterwards they decided to se up a further review with the Parliamentary Commission on Banking Standards.</w:t>
      </w:r>
    </w:p>
    <w:p w:rsidR="00F6448A" w:rsidRDefault="00F6448A" w:rsidP="00E31F1B">
      <w:pPr>
        <w:tabs>
          <w:tab w:val="left" w:pos="2702"/>
        </w:tabs>
        <w:spacing w:line="480" w:lineRule="auto"/>
        <w:jc w:val="both"/>
        <w:rPr>
          <w:sz w:val="24"/>
          <w:szCs w:val="24"/>
        </w:rPr>
      </w:pPr>
    </w:p>
    <w:p w:rsidR="00F6448A" w:rsidRDefault="00F6448A" w:rsidP="00E31F1B">
      <w:pPr>
        <w:tabs>
          <w:tab w:val="left" w:pos="2702"/>
        </w:tabs>
        <w:spacing w:line="480" w:lineRule="auto"/>
        <w:jc w:val="both"/>
        <w:rPr>
          <w:sz w:val="24"/>
          <w:szCs w:val="24"/>
        </w:rPr>
      </w:pPr>
      <w:r>
        <w:rPr>
          <w:sz w:val="24"/>
          <w:szCs w:val="24"/>
        </w:rPr>
        <w:t xml:space="preserve">Although both Barclays and HSBC have come out very strongly in arguing against ring-fenced banking, arguing that much of the new regulation that is now in place has solved the symptom and that the need for RFBs should no longer be a key objective. This </w:t>
      </w:r>
      <w:r w:rsidR="002D4970">
        <w:rPr>
          <w:sz w:val="24"/>
          <w:szCs w:val="24"/>
        </w:rPr>
        <w:t xml:space="preserve">is a very narrow view and </w:t>
      </w:r>
      <w:r>
        <w:rPr>
          <w:sz w:val="24"/>
          <w:szCs w:val="24"/>
        </w:rPr>
        <w:t xml:space="preserve">fails to recognise that the RFB </w:t>
      </w:r>
      <w:r w:rsidR="002D4970">
        <w:rPr>
          <w:sz w:val="24"/>
          <w:szCs w:val="24"/>
        </w:rPr>
        <w:t xml:space="preserve">could also be used as a tool to </w:t>
      </w:r>
      <w:r>
        <w:rPr>
          <w:sz w:val="24"/>
          <w:szCs w:val="24"/>
        </w:rPr>
        <w:t xml:space="preserve">allow that bank to re-connect with its customers and fulfil the </w:t>
      </w:r>
      <w:r w:rsidR="00474640">
        <w:rPr>
          <w:sz w:val="24"/>
          <w:szCs w:val="24"/>
        </w:rPr>
        <w:t>expectations of the PCBS and the BSB</w:t>
      </w:r>
      <w:r w:rsidR="002D4970">
        <w:rPr>
          <w:sz w:val="24"/>
          <w:szCs w:val="24"/>
        </w:rPr>
        <w:t>.</w:t>
      </w:r>
    </w:p>
    <w:p w:rsidR="00F6448A" w:rsidRDefault="00F6448A" w:rsidP="00E31F1B">
      <w:pPr>
        <w:tabs>
          <w:tab w:val="left" w:pos="2702"/>
        </w:tabs>
        <w:spacing w:line="480" w:lineRule="auto"/>
        <w:rPr>
          <w:sz w:val="24"/>
          <w:szCs w:val="24"/>
        </w:rPr>
      </w:pPr>
    </w:p>
    <w:p w:rsidR="00CB20A7" w:rsidRDefault="0023316C" w:rsidP="00E31F1B">
      <w:pPr>
        <w:tabs>
          <w:tab w:val="left" w:pos="2702"/>
        </w:tabs>
        <w:spacing w:line="480" w:lineRule="auto"/>
        <w:jc w:val="both"/>
        <w:rPr>
          <w:sz w:val="24"/>
          <w:szCs w:val="24"/>
        </w:rPr>
      </w:pPr>
      <w:r>
        <w:rPr>
          <w:sz w:val="24"/>
          <w:szCs w:val="24"/>
        </w:rPr>
        <w:t xml:space="preserve">Some commentators (e.g. Sir David Walker) have argued that that so much has been done to ensure the resilience of the banking system that the need </w:t>
      </w:r>
      <w:r w:rsidR="00CB20A7">
        <w:rPr>
          <w:sz w:val="24"/>
          <w:szCs w:val="24"/>
        </w:rPr>
        <w:t>f</w:t>
      </w:r>
      <w:r>
        <w:rPr>
          <w:sz w:val="24"/>
          <w:szCs w:val="24"/>
        </w:rPr>
        <w:t>or ring-fencing is redundant</w:t>
      </w:r>
      <w:r w:rsidR="002D4970">
        <w:rPr>
          <w:sz w:val="24"/>
          <w:szCs w:val="24"/>
        </w:rPr>
        <w:t xml:space="preserve">. Sir David is wrong in his assessment. Applying a traditional probability impact </w:t>
      </w:r>
      <w:r w:rsidR="00CB20A7">
        <w:rPr>
          <w:sz w:val="24"/>
          <w:szCs w:val="24"/>
        </w:rPr>
        <w:t xml:space="preserve">approach, </w:t>
      </w:r>
      <w:r w:rsidR="002D4970">
        <w:rPr>
          <w:sz w:val="24"/>
          <w:szCs w:val="24"/>
        </w:rPr>
        <w:t xml:space="preserve">it is true to say that all of the regulation reflected in this dissertation will contribute to reducing the probability of bank failure, however, without ring-fencing the impact remains the same. In Sir David’s case, the probability of Barclays failing has been reduced, however, were it to fail tomorrow the government, if circumstances required, would not be able to rescue the part that supports the national economy and would still have to rescue the whole of Barclays at great cost to the </w:t>
      </w:r>
      <w:r w:rsidR="002D4970">
        <w:rPr>
          <w:sz w:val="24"/>
          <w:szCs w:val="24"/>
        </w:rPr>
        <w:lastRenderedPageBreak/>
        <w:t>taxpayer. Post implementation of the RFB provisions the bank will be easier to resolve, and a government rescue</w:t>
      </w:r>
      <w:r w:rsidR="00CB20A7">
        <w:rPr>
          <w:sz w:val="24"/>
          <w:szCs w:val="24"/>
        </w:rPr>
        <w:t xml:space="preserve"> of the critical part only will be possible.</w:t>
      </w:r>
    </w:p>
    <w:p w:rsidR="00CB20A7" w:rsidRDefault="00CB20A7" w:rsidP="00E31F1B">
      <w:pPr>
        <w:tabs>
          <w:tab w:val="left" w:pos="2702"/>
        </w:tabs>
        <w:spacing w:line="480" w:lineRule="auto"/>
        <w:jc w:val="both"/>
        <w:rPr>
          <w:sz w:val="24"/>
          <w:szCs w:val="24"/>
        </w:rPr>
      </w:pPr>
    </w:p>
    <w:p w:rsidR="0023316C" w:rsidRDefault="00CB20A7" w:rsidP="00E31F1B">
      <w:pPr>
        <w:tabs>
          <w:tab w:val="left" w:pos="2702"/>
        </w:tabs>
        <w:spacing w:line="480" w:lineRule="auto"/>
        <w:jc w:val="both"/>
        <w:rPr>
          <w:sz w:val="24"/>
          <w:szCs w:val="24"/>
        </w:rPr>
      </w:pPr>
      <w:r>
        <w:rPr>
          <w:sz w:val="24"/>
          <w:szCs w:val="24"/>
        </w:rPr>
        <w:t>In addition the position put forward by Sir David, takes a very narrow view of RFBs only looking at the prudential benefits. Given the amount of money that Barclays spent commissioning the Salz review</w:t>
      </w:r>
      <w:r w:rsidR="00697A09">
        <w:rPr>
          <w:rStyle w:val="FootnoteReference"/>
          <w:sz w:val="24"/>
          <w:szCs w:val="24"/>
        </w:rPr>
        <w:footnoteReference w:id="212"/>
      </w:r>
      <w:r>
        <w:rPr>
          <w:sz w:val="24"/>
          <w:szCs w:val="24"/>
        </w:rPr>
        <w:t xml:space="preserve"> and </w:t>
      </w:r>
      <w:r w:rsidR="00C865B5">
        <w:rPr>
          <w:sz w:val="24"/>
          <w:szCs w:val="24"/>
        </w:rPr>
        <w:t>acknowledging</w:t>
      </w:r>
      <w:r>
        <w:rPr>
          <w:sz w:val="24"/>
          <w:szCs w:val="24"/>
        </w:rPr>
        <w:t xml:space="preserve"> that the bank (and many other banks) needed to change its culture – </w:t>
      </w:r>
      <w:r w:rsidR="00C865B5">
        <w:rPr>
          <w:sz w:val="24"/>
          <w:szCs w:val="24"/>
        </w:rPr>
        <w:t xml:space="preserve">it is important to </w:t>
      </w:r>
      <w:r>
        <w:rPr>
          <w:sz w:val="24"/>
          <w:szCs w:val="24"/>
        </w:rPr>
        <w:t>recognis</w:t>
      </w:r>
      <w:r w:rsidR="00C865B5">
        <w:rPr>
          <w:sz w:val="24"/>
          <w:szCs w:val="24"/>
        </w:rPr>
        <w:t>e</w:t>
      </w:r>
      <w:r>
        <w:rPr>
          <w:sz w:val="24"/>
          <w:szCs w:val="24"/>
        </w:rPr>
        <w:t xml:space="preserve"> that retail banks and investment banks require different cultures to reflect their respective relationship and transaction approaches (and stop investment bank transaction driven culture seeping into retail banks).    </w:t>
      </w:r>
    </w:p>
    <w:p w:rsidR="00F6448A" w:rsidRDefault="00F6448A" w:rsidP="00E31F1B">
      <w:pPr>
        <w:tabs>
          <w:tab w:val="left" w:pos="2702"/>
        </w:tabs>
        <w:spacing w:line="480" w:lineRule="aut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261"/>
      </w:tblGrid>
      <w:tr w:rsidR="006A7D39" w:rsidRPr="00407880" w:rsidTr="006A7D39">
        <w:tc>
          <w:tcPr>
            <w:tcW w:w="4153" w:type="dxa"/>
            <w:shd w:val="pct20" w:color="auto" w:fill="auto"/>
          </w:tcPr>
          <w:p w:rsidR="006A7D39" w:rsidRPr="006A7D39" w:rsidRDefault="006A7D39" w:rsidP="00E31F1B">
            <w:pPr>
              <w:tabs>
                <w:tab w:val="left" w:pos="2702"/>
              </w:tabs>
              <w:spacing w:line="480" w:lineRule="auto"/>
              <w:jc w:val="center"/>
              <w:rPr>
                <w:b/>
                <w:sz w:val="24"/>
                <w:szCs w:val="24"/>
              </w:rPr>
            </w:pPr>
            <w:r w:rsidRPr="006A7D39">
              <w:rPr>
                <w:b/>
                <w:sz w:val="24"/>
                <w:szCs w:val="24"/>
              </w:rPr>
              <w:t>Ring-fenced Bank</w:t>
            </w:r>
          </w:p>
        </w:tc>
        <w:tc>
          <w:tcPr>
            <w:tcW w:w="4261" w:type="dxa"/>
            <w:shd w:val="pct20" w:color="auto" w:fill="auto"/>
          </w:tcPr>
          <w:p w:rsidR="006A7D39" w:rsidRPr="006A7D39" w:rsidRDefault="006A7D39" w:rsidP="00E31F1B">
            <w:pPr>
              <w:tabs>
                <w:tab w:val="left" w:pos="2702"/>
              </w:tabs>
              <w:spacing w:line="480" w:lineRule="auto"/>
              <w:jc w:val="center"/>
              <w:rPr>
                <w:b/>
                <w:sz w:val="24"/>
                <w:szCs w:val="24"/>
              </w:rPr>
            </w:pPr>
            <w:r w:rsidRPr="006A7D39">
              <w:rPr>
                <w:b/>
                <w:sz w:val="24"/>
                <w:szCs w:val="24"/>
              </w:rPr>
              <w:t>Investment Bank</w:t>
            </w:r>
          </w:p>
        </w:tc>
      </w:tr>
      <w:tr w:rsidR="006A7D39" w:rsidTr="006A7D39">
        <w:tc>
          <w:tcPr>
            <w:tcW w:w="4153" w:type="dxa"/>
          </w:tcPr>
          <w:p w:rsidR="006A7D39" w:rsidRPr="006A7D39" w:rsidRDefault="006A7D39" w:rsidP="00E31F1B">
            <w:pPr>
              <w:tabs>
                <w:tab w:val="left" w:pos="2702"/>
              </w:tabs>
              <w:spacing w:line="480" w:lineRule="auto"/>
              <w:jc w:val="center"/>
              <w:rPr>
                <w:sz w:val="24"/>
                <w:szCs w:val="24"/>
              </w:rPr>
            </w:pPr>
            <w:r w:rsidRPr="006A7D39">
              <w:rPr>
                <w:sz w:val="24"/>
                <w:szCs w:val="24"/>
              </w:rPr>
              <w:t>Banker – Customer Relationship</w:t>
            </w:r>
          </w:p>
        </w:tc>
        <w:tc>
          <w:tcPr>
            <w:tcW w:w="4261" w:type="dxa"/>
          </w:tcPr>
          <w:p w:rsidR="006A7D39" w:rsidRPr="006A7D39" w:rsidRDefault="006A7D39" w:rsidP="00E31F1B">
            <w:pPr>
              <w:tabs>
                <w:tab w:val="left" w:pos="2702"/>
              </w:tabs>
              <w:spacing w:line="480" w:lineRule="auto"/>
              <w:jc w:val="center"/>
              <w:rPr>
                <w:sz w:val="24"/>
                <w:szCs w:val="24"/>
              </w:rPr>
            </w:pPr>
            <w:r w:rsidRPr="006A7D39">
              <w:rPr>
                <w:sz w:val="24"/>
                <w:szCs w:val="24"/>
              </w:rPr>
              <w:t>My word is my bond</w:t>
            </w:r>
          </w:p>
        </w:tc>
      </w:tr>
      <w:tr w:rsidR="006A7D39" w:rsidTr="006A7D39">
        <w:tc>
          <w:tcPr>
            <w:tcW w:w="4153" w:type="dxa"/>
          </w:tcPr>
          <w:p w:rsidR="006A7D39" w:rsidRPr="006A7D39" w:rsidRDefault="006A7D39" w:rsidP="00E31F1B">
            <w:pPr>
              <w:tabs>
                <w:tab w:val="left" w:pos="2702"/>
              </w:tabs>
              <w:spacing w:line="480" w:lineRule="auto"/>
              <w:jc w:val="center"/>
              <w:rPr>
                <w:sz w:val="24"/>
                <w:szCs w:val="24"/>
              </w:rPr>
            </w:pPr>
            <w:r w:rsidRPr="006A7D39">
              <w:rPr>
                <w:sz w:val="24"/>
                <w:szCs w:val="24"/>
              </w:rPr>
              <w:t>Trust and Confidence</w:t>
            </w:r>
          </w:p>
        </w:tc>
        <w:tc>
          <w:tcPr>
            <w:tcW w:w="4261" w:type="dxa"/>
          </w:tcPr>
          <w:p w:rsidR="006A7D39" w:rsidRPr="006A7D39" w:rsidRDefault="006A7D39" w:rsidP="00E31F1B">
            <w:pPr>
              <w:tabs>
                <w:tab w:val="left" w:pos="2702"/>
              </w:tabs>
              <w:spacing w:line="480" w:lineRule="auto"/>
              <w:jc w:val="center"/>
              <w:rPr>
                <w:sz w:val="24"/>
                <w:szCs w:val="24"/>
              </w:rPr>
            </w:pPr>
            <w:r w:rsidRPr="006A7D39">
              <w:rPr>
                <w:sz w:val="24"/>
                <w:szCs w:val="24"/>
              </w:rPr>
              <w:t>Knowledgeable Counterparties</w:t>
            </w:r>
          </w:p>
        </w:tc>
      </w:tr>
      <w:tr w:rsidR="006A7D39" w:rsidTr="006A7D39">
        <w:tc>
          <w:tcPr>
            <w:tcW w:w="4153" w:type="dxa"/>
          </w:tcPr>
          <w:p w:rsidR="006A7D39" w:rsidRPr="006A7D39" w:rsidRDefault="006A7D39" w:rsidP="00E31F1B">
            <w:pPr>
              <w:tabs>
                <w:tab w:val="left" w:pos="2702"/>
              </w:tabs>
              <w:spacing w:line="480" w:lineRule="auto"/>
              <w:jc w:val="center"/>
              <w:rPr>
                <w:sz w:val="24"/>
                <w:szCs w:val="24"/>
              </w:rPr>
            </w:pPr>
            <w:r w:rsidRPr="006A7D39">
              <w:rPr>
                <w:sz w:val="24"/>
                <w:szCs w:val="24"/>
              </w:rPr>
              <w:t>Relationship Based</w:t>
            </w:r>
          </w:p>
        </w:tc>
        <w:tc>
          <w:tcPr>
            <w:tcW w:w="4261" w:type="dxa"/>
          </w:tcPr>
          <w:p w:rsidR="006A7D39" w:rsidRPr="006A7D39" w:rsidRDefault="006A7D39" w:rsidP="00E31F1B">
            <w:pPr>
              <w:tabs>
                <w:tab w:val="left" w:pos="2702"/>
              </w:tabs>
              <w:spacing w:line="480" w:lineRule="auto"/>
              <w:jc w:val="center"/>
              <w:rPr>
                <w:sz w:val="24"/>
                <w:szCs w:val="24"/>
              </w:rPr>
            </w:pPr>
            <w:r w:rsidRPr="006A7D39">
              <w:rPr>
                <w:sz w:val="24"/>
                <w:szCs w:val="24"/>
              </w:rPr>
              <w:t>Transaction based</w:t>
            </w:r>
          </w:p>
        </w:tc>
      </w:tr>
    </w:tbl>
    <w:p w:rsidR="00F6448A" w:rsidRPr="00F6448A" w:rsidRDefault="00F6448A" w:rsidP="00E31F1B">
      <w:pPr>
        <w:tabs>
          <w:tab w:val="left" w:pos="2702"/>
        </w:tabs>
        <w:spacing w:line="480" w:lineRule="auto"/>
        <w:rPr>
          <w:sz w:val="24"/>
          <w:szCs w:val="24"/>
        </w:rPr>
      </w:pPr>
    </w:p>
    <w:p w:rsidR="00514131" w:rsidRDefault="00CB20A7" w:rsidP="00E31F1B">
      <w:pPr>
        <w:tabs>
          <w:tab w:val="left" w:pos="2702"/>
        </w:tabs>
        <w:spacing w:line="480" w:lineRule="auto"/>
        <w:jc w:val="both"/>
        <w:rPr>
          <w:sz w:val="24"/>
          <w:szCs w:val="24"/>
        </w:rPr>
      </w:pPr>
      <w:r w:rsidRPr="00CB20A7">
        <w:rPr>
          <w:sz w:val="24"/>
          <w:szCs w:val="24"/>
        </w:rPr>
        <w:t xml:space="preserve">RFBs that invest in re-discovering </w:t>
      </w:r>
      <w:r w:rsidR="00C865B5">
        <w:rPr>
          <w:sz w:val="24"/>
          <w:szCs w:val="24"/>
        </w:rPr>
        <w:t>and</w:t>
      </w:r>
      <w:r w:rsidRPr="00CB20A7">
        <w:rPr>
          <w:sz w:val="24"/>
          <w:szCs w:val="24"/>
        </w:rPr>
        <w:t xml:space="preserve"> developing </w:t>
      </w:r>
      <w:r w:rsidR="00514131">
        <w:rPr>
          <w:sz w:val="24"/>
          <w:szCs w:val="24"/>
        </w:rPr>
        <w:t xml:space="preserve">the relationship driven banker-customer relationship are those that are likely to be best placed to support the national economy </w:t>
      </w:r>
      <w:r w:rsidRPr="00CB20A7">
        <w:rPr>
          <w:sz w:val="24"/>
          <w:szCs w:val="24"/>
        </w:rPr>
        <w:t>a</w:t>
      </w:r>
      <w:r w:rsidR="00514131">
        <w:rPr>
          <w:sz w:val="24"/>
          <w:szCs w:val="24"/>
        </w:rPr>
        <w:t>nd less likely to find themselves in difficulty.</w:t>
      </w:r>
    </w:p>
    <w:p w:rsidR="00026BDB" w:rsidRDefault="00026BDB" w:rsidP="00E31F1B">
      <w:pPr>
        <w:tabs>
          <w:tab w:val="left" w:pos="2702"/>
        </w:tabs>
        <w:spacing w:line="480" w:lineRule="auto"/>
        <w:jc w:val="both"/>
        <w:rPr>
          <w:sz w:val="24"/>
          <w:szCs w:val="24"/>
        </w:rPr>
      </w:pPr>
    </w:p>
    <w:p w:rsidR="00026BDB" w:rsidRDefault="00026BDB" w:rsidP="00E31F1B">
      <w:pPr>
        <w:tabs>
          <w:tab w:val="left" w:pos="2702"/>
        </w:tabs>
        <w:spacing w:line="480" w:lineRule="auto"/>
        <w:jc w:val="both"/>
        <w:rPr>
          <w:sz w:val="24"/>
          <w:szCs w:val="24"/>
        </w:rPr>
      </w:pPr>
      <w:r>
        <w:rPr>
          <w:sz w:val="24"/>
          <w:szCs w:val="24"/>
        </w:rPr>
        <w:t xml:space="preserve">Whilst Vickers </w:t>
      </w:r>
      <w:r w:rsidR="00C865B5">
        <w:rPr>
          <w:sz w:val="24"/>
          <w:szCs w:val="24"/>
        </w:rPr>
        <w:t xml:space="preserve">has outlined </w:t>
      </w:r>
      <w:r>
        <w:rPr>
          <w:sz w:val="24"/>
          <w:szCs w:val="24"/>
        </w:rPr>
        <w:t>the structure</w:t>
      </w:r>
      <w:r w:rsidR="00C865B5">
        <w:rPr>
          <w:sz w:val="24"/>
          <w:szCs w:val="24"/>
        </w:rPr>
        <w:t>,</w:t>
      </w:r>
      <w:r>
        <w:rPr>
          <w:sz w:val="24"/>
          <w:szCs w:val="24"/>
        </w:rPr>
        <w:t xml:space="preserve"> the PCBS expect the RFB to provide a better service to their customers and are expecting the BSB to oversee the delivery better of standards, and consequent culture change. As Ed Balls, noted:</w:t>
      </w:r>
    </w:p>
    <w:p w:rsidR="00026BDB" w:rsidRDefault="00026BDB" w:rsidP="00E31F1B">
      <w:pPr>
        <w:tabs>
          <w:tab w:val="left" w:pos="2702"/>
        </w:tabs>
        <w:spacing w:line="480" w:lineRule="auto"/>
        <w:jc w:val="both"/>
        <w:rPr>
          <w:sz w:val="24"/>
          <w:szCs w:val="24"/>
        </w:rPr>
      </w:pPr>
    </w:p>
    <w:p w:rsidR="00026BDB" w:rsidRDefault="00026BDB" w:rsidP="00A72AD6">
      <w:pPr>
        <w:tabs>
          <w:tab w:val="left" w:pos="2702"/>
        </w:tabs>
        <w:ind w:left="851"/>
        <w:jc w:val="both"/>
        <w:rPr>
          <w:sz w:val="24"/>
          <w:szCs w:val="24"/>
        </w:rPr>
      </w:pPr>
      <w:r>
        <w:rPr>
          <w:sz w:val="24"/>
          <w:szCs w:val="24"/>
        </w:rPr>
        <w:lastRenderedPageBreak/>
        <w:t>“If the letter and the spirit of the Vickers proposals are not delivered and we do not see cultural change in our banks, full separation will be necessary:”</w:t>
      </w:r>
      <w:r>
        <w:rPr>
          <w:rStyle w:val="FootnoteReference"/>
          <w:sz w:val="24"/>
          <w:szCs w:val="24"/>
        </w:rPr>
        <w:footnoteReference w:id="213"/>
      </w:r>
    </w:p>
    <w:p w:rsidR="00331A0D" w:rsidRDefault="00331A0D" w:rsidP="00E31F1B">
      <w:pPr>
        <w:pStyle w:val="Heading1"/>
        <w:tabs>
          <w:tab w:val="left" w:pos="2702"/>
        </w:tabs>
        <w:spacing w:line="480" w:lineRule="auto"/>
        <w:jc w:val="left"/>
      </w:pPr>
    </w:p>
    <w:p w:rsidR="008E2439" w:rsidRDefault="008E2439" w:rsidP="00E31F1B">
      <w:pPr>
        <w:pStyle w:val="Heading1"/>
        <w:tabs>
          <w:tab w:val="left" w:pos="2702"/>
        </w:tabs>
        <w:spacing w:line="480" w:lineRule="auto"/>
        <w:jc w:val="left"/>
      </w:pPr>
      <w:bookmarkStart w:id="19" w:name="_Toc428779491"/>
      <w:r w:rsidRPr="008E2439">
        <w:t>Conclusion</w:t>
      </w:r>
      <w:bookmarkEnd w:id="19"/>
    </w:p>
    <w:p w:rsidR="00514131" w:rsidRDefault="00514131" w:rsidP="00E31F1B">
      <w:pPr>
        <w:tabs>
          <w:tab w:val="left" w:pos="2702"/>
        </w:tabs>
        <w:spacing w:line="480" w:lineRule="auto"/>
        <w:jc w:val="both"/>
        <w:rPr>
          <w:sz w:val="24"/>
          <w:szCs w:val="24"/>
        </w:rPr>
      </w:pPr>
      <w:r>
        <w:rPr>
          <w:sz w:val="24"/>
          <w:szCs w:val="24"/>
        </w:rPr>
        <w:t>Despite all the new regulation and the reduction in the likelihood of bank failure, ring-fenced banking must go ahead to achieve its primary purpose, which is to ensure that the government, if required, can rescue banks that are critical to the effective functioning of the economy.</w:t>
      </w:r>
    </w:p>
    <w:p w:rsidR="00026BDB" w:rsidRDefault="00026BDB" w:rsidP="00E31F1B">
      <w:pPr>
        <w:tabs>
          <w:tab w:val="left" w:pos="2702"/>
        </w:tabs>
        <w:spacing w:line="480" w:lineRule="auto"/>
        <w:jc w:val="both"/>
        <w:rPr>
          <w:sz w:val="24"/>
          <w:szCs w:val="24"/>
        </w:rPr>
      </w:pPr>
    </w:p>
    <w:p w:rsidR="00C865B5" w:rsidRDefault="00514131" w:rsidP="00E31F1B">
      <w:pPr>
        <w:tabs>
          <w:tab w:val="left" w:pos="2702"/>
        </w:tabs>
        <w:spacing w:line="480" w:lineRule="auto"/>
        <w:jc w:val="both"/>
        <w:rPr>
          <w:sz w:val="24"/>
          <w:szCs w:val="24"/>
        </w:rPr>
      </w:pPr>
      <w:r>
        <w:rPr>
          <w:sz w:val="24"/>
          <w:szCs w:val="24"/>
        </w:rPr>
        <w:t>A secondary purpose of increasing competition</w:t>
      </w:r>
      <w:r w:rsidR="00834A0A">
        <w:rPr>
          <w:sz w:val="24"/>
          <w:szCs w:val="24"/>
        </w:rPr>
        <w:t xml:space="preserve"> in the banking sector, and ensuring that RFBs support the economy is a much bigger task and will take a long time. This secondary purpose requires culture change, a more professional ethos in bank</w:t>
      </w:r>
      <w:r w:rsidR="00026BDB">
        <w:rPr>
          <w:sz w:val="24"/>
          <w:szCs w:val="24"/>
        </w:rPr>
        <w:t>s</w:t>
      </w:r>
      <w:r w:rsidR="00834A0A">
        <w:rPr>
          <w:sz w:val="24"/>
          <w:szCs w:val="24"/>
        </w:rPr>
        <w:t xml:space="preserve">, and a reconnection with customers. </w:t>
      </w:r>
    </w:p>
    <w:p w:rsidR="00C865B5" w:rsidRDefault="00C865B5" w:rsidP="00E31F1B">
      <w:pPr>
        <w:tabs>
          <w:tab w:val="left" w:pos="2702"/>
        </w:tabs>
        <w:spacing w:line="480" w:lineRule="auto"/>
        <w:jc w:val="both"/>
        <w:rPr>
          <w:sz w:val="24"/>
          <w:szCs w:val="24"/>
        </w:rPr>
      </w:pPr>
    </w:p>
    <w:p w:rsidR="007A3C74" w:rsidRDefault="00C865B5" w:rsidP="00E31F1B">
      <w:pPr>
        <w:tabs>
          <w:tab w:val="left" w:pos="2702"/>
        </w:tabs>
        <w:spacing w:line="480" w:lineRule="auto"/>
        <w:jc w:val="both"/>
        <w:rPr>
          <w:sz w:val="24"/>
          <w:szCs w:val="24"/>
        </w:rPr>
      </w:pPr>
      <w:r>
        <w:rPr>
          <w:sz w:val="24"/>
          <w:szCs w:val="24"/>
        </w:rPr>
        <w:t>The RFB provides a great opportunity for banks to reconnect with their customers and support the national economy. If the banks fail to deliver this it is likely that there will be further political and regulatory intervention.</w:t>
      </w:r>
    </w:p>
    <w:p w:rsidR="00026BDB" w:rsidRDefault="00026BDB" w:rsidP="00E31F1B">
      <w:pPr>
        <w:tabs>
          <w:tab w:val="left" w:pos="2702"/>
        </w:tabs>
        <w:spacing w:line="480" w:lineRule="auto"/>
        <w:jc w:val="both"/>
        <w:rPr>
          <w:sz w:val="24"/>
          <w:szCs w:val="24"/>
        </w:rPr>
      </w:pPr>
    </w:p>
    <w:p w:rsidR="00026BDB" w:rsidRDefault="00026BDB" w:rsidP="00DE7163">
      <w:pPr>
        <w:jc w:val="both"/>
        <w:rPr>
          <w:sz w:val="24"/>
          <w:szCs w:val="24"/>
        </w:rPr>
      </w:pPr>
    </w:p>
    <w:p w:rsidR="00514131" w:rsidRDefault="00514131" w:rsidP="00DE7163">
      <w:pPr>
        <w:jc w:val="both"/>
        <w:rPr>
          <w:sz w:val="24"/>
          <w:szCs w:val="24"/>
        </w:rPr>
      </w:pPr>
    </w:p>
    <w:p w:rsidR="002B565C" w:rsidRDefault="002B565C">
      <w:pPr>
        <w:overflowPunct/>
        <w:autoSpaceDE/>
        <w:autoSpaceDN/>
        <w:adjustRightInd/>
        <w:textAlignment w:val="auto"/>
        <w:rPr>
          <w:sz w:val="28"/>
          <w:szCs w:val="28"/>
        </w:rPr>
      </w:pPr>
      <w:bookmarkStart w:id="20" w:name="_Toc239137742"/>
      <w:r>
        <w:rPr>
          <w:b/>
          <w:bCs/>
          <w:smallCaps/>
        </w:rPr>
        <w:br w:type="page"/>
      </w:r>
    </w:p>
    <w:p w:rsidR="00BC1309" w:rsidRDefault="00BC1309" w:rsidP="002B565C">
      <w:pPr>
        <w:pStyle w:val="Heading1"/>
        <w:jc w:val="left"/>
      </w:pPr>
      <w:bookmarkStart w:id="21" w:name="_Toc428779492"/>
      <w:r w:rsidRPr="002B565C">
        <w:lastRenderedPageBreak/>
        <w:t xml:space="preserve">Appendix </w:t>
      </w:r>
      <w:r w:rsidR="00F201ED" w:rsidRPr="002B565C">
        <w:t>1</w:t>
      </w:r>
      <w:r w:rsidRPr="002B565C">
        <w:t xml:space="preserve"> – Capital Adequacy</w:t>
      </w:r>
      <w:bookmarkEnd w:id="21"/>
    </w:p>
    <w:p w:rsidR="002B565C" w:rsidRDefault="002B565C" w:rsidP="002B565C"/>
    <w:p w:rsidR="00BC1309" w:rsidRDefault="00BC1309" w:rsidP="00A72AD6">
      <w:pPr>
        <w:spacing w:line="480" w:lineRule="auto"/>
        <w:jc w:val="both"/>
        <w:rPr>
          <w:sz w:val="24"/>
          <w:szCs w:val="24"/>
        </w:rPr>
      </w:pPr>
      <w:r w:rsidRPr="001262D4">
        <w:rPr>
          <w:sz w:val="24"/>
          <w:szCs w:val="24"/>
        </w:rPr>
        <w:t>All banks must comply with the overall financial adequacy rule</w:t>
      </w:r>
      <w:r>
        <w:rPr>
          <w:rStyle w:val="FootnoteReference"/>
          <w:sz w:val="24"/>
          <w:szCs w:val="24"/>
        </w:rPr>
        <w:footnoteReference w:id="214"/>
      </w:r>
      <w:r>
        <w:rPr>
          <w:sz w:val="24"/>
          <w:szCs w:val="24"/>
        </w:rPr>
        <w:t>, which is necessary to meet the Threshold Conditions</w:t>
      </w:r>
      <w:r>
        <w:rPr>
          <w:rStyle w:val="FootnoteReference"/>
          <w:sz w:val="24"/>
          <w:szCs w:val="24"/>
        </w:rPr>
        <w:footnoteReference w:id="215"/>
      </w:r>
      <w:r>
        <w:rPr>
          <w:sz w:val="24"/>
          <w:szCs w:val="24"/>
        </w:rPr>
        <w:t xml:space="preserve"> to become a bank and remain an authorised bank. </w:t>
      </w:r>
    </w:p>
    <w:p w:rsidR="00BC1309" w:rsidRDefault="00BC1309" w:rsidP="00A72AD6">
      <w:pPr>
        <w:spacing w:line="480" w:lineRule="auto"/>
        <w:rPr>
          <w:sz w:val="24"/>
          <w:szCs w:val="24"/>
        </w:rPr>
      </w:pPr>
    </w:p>
    <w:p w:rsidR="00BC1309" w:rsidRDefault="00BC1309" w:rsidP="00A72AD6">
      <w:pPr>
        <w:ind w:left="720"/>
        <w:rPr>
          <w:sz w:val="24"/>
          <w:szCs w:val="24"/>
        </w:rPr>
      </w:pPr>
      <w:r>
        <w:rPr>
          <w:sz w:val="24"/>
          <w:szCs w:val="24"/>
        </w:rPr>
        <w:t>“</w:t>
      </w:r>
      <w:r w:rsidRPr="001262D4">
        <w:rPr>
          <w:i/>
          <w:sz w:val="24"/>
          <w:szCs w:val="24"/>
        </w:rPr>
        <w:t xml:space="preserve">A firm must at all times maintain overall financial resources, including own funds and liquidity resources, which are adequate both as to amount and quality to ensure there is no significant </w:t>
      </w:r>
      <w:r w:rsidR="00AE0FBC">
        <w:rPr>
          <w:i/>
          <w:sz w:val="24"/>
          <w:szCs w:val="24"/>
        </w:rPr>
        <w:t xml:space="preserve">risk </w:t>
      </w:r>
      <w:r w:rsidRPr="001262D4">
        <w:rPr>
          <w:i/>
          <w:sz w:val="24"/>
          <w:szCs w:val="24"/>
        </w:rPr>
        <w:t>that its liabilities cannot be met as they fall due.</w:t>
      </w:r>
      <w:r>
        <w:rPr>
          <w:sz w:val="24"/>
          <w:szCs w:val="24"/>
        </w:rPr>
        <w:t>”</w:t>
      </w:r>
    </w:p>
    <w:p w:rsidR="00BC1309" w:rsidRDefault="00BC1309" w:rsidP="00A72AD6">
      <w:pPr>
        <w:spacing w:line="480" w:lineRule="auto"/>
        <w:ind w:left="720"/>
        <w:rPr>
          <w:sz w:val="24"/>
          <w:szCs w:val="24"/>
        </w:rPr>
      </w:pPr>
    </w:p>
    <w:p w:rsidR="00AE0FBC" w:rsidRDefault="00BC1309" w:rsidP="00A72AD6">
      <w:pPr>
        <w:spacing w:line="480" w:lineRule="auto"/>
        <w:jc w:val="both"/>
        <w:rPr>
          <w:sz w:val="24"/>
          <w:szCs w:val="24"/>
        </w:rPr>
      </w:pPr>
      <w:r>
        <w:rPr>
          <w:sz w:val="24"/>
          <w:szCs w:val="24"/>
        </w:rPr>
        <w:t xml:space="preserve">This rule addresses both liquidity adequacy (addressed in Appendix </w:t>
      </w:r>
      <w:r w:rsidR="00AE0FBC">
        <w:rPr>
          <w:sz w:val="24"/>
          <w:szCs w:val="24"/>
        </w:rPr>
        <w:t>3</w:t>
      </w:r>
      <w:r>
        <w:rPr>
          <w:sz w:val="24"/>
          <w:szCs w:val="24"/>
        </w:rPr>
        <w:t>) and capital adequacy addressed in this Appendix. The assessment of capital is based on the Basel II</w:t>
      </w:r>
      <w:r>
        <w:rPr>
          <w:rStyle w:val="FootnoteReference"/>
          <w:sz w:val="24"/>
          <w:szCs w:val="24"/>
        </w:rPr>
        <w:footnoteReference w:id="216"/>
      </w:r>
      <w:r>
        <w:rPr>
          <w:sz w:val="24"/>
          <w:szCs w:val="24"/>
        </w:rPr>
        <w:t xml:space="preserve"> methodology that introduced </w:t>
      </w:r>
      <w:r w:rsidR="00AE0FBC">
        <w:rPr>
          <w:sz w:val="24"/>
          <w:szCs w:val="24"/>
        </w:rPr>
        <w:t xml:space="preserve">the </w:t>
      </w:r>
      <w:r>
        <w:rPr>
          <w:sz w:val="24"/>
          <w:szCs w:val="24"/>
        </w:rPr>
        <w:t>three pillar approach of</w:t>
      </w:r>
      <w:r w:rsidR="00AE0FBC">
        <w:rPr>
          <w:sz w:val="24"/>
          <w:szCs w:val="24"/>
        </w:rPr>
        <w:t>:</w:t>
      </w:r>
    </w:p>
    <w:p w:rsidR="00AE0FBC" w:rsidRDefault="00AE0FBC" w:rsidP="00A72AD6">
      <w:pPr>
        <w:spacing w:line="480" w:lineRule="auto"/>
        <w:jc w:val="both"/>
        <w:rPr>
          <w:sz w:val="24"/>
          <w:szCs w:val="24"/>
        </w:rPr>
      </w:pPr>
    </w:p>
    <w:p w:rsidR="00AE0FBC" w:rsidRDefault="00AE0FBC" w:rsidP="00A72AD6">
      <w:pPr>
        <w:pStyle w:val="ListParagraph"/>
        <w:numPr>
          <w:ilvl w:val="0"/>
          <w:numId w:val="29"/>
        </w:numPr>
        <w:spacing w:line="480" w:lineRule="auto"/>
        <w:jc w:val="both"/>
        <w:rPr>
          <w:sz w:val="24"/>
          <w:szCs w:val="24"/>
        </w:rPr>
      </w:pPr>
      <w:r>
        <w:rPr>
          <w:sz w:val="24"/>
          <w:szCs w:val="24"/>
        </w:rPr>
        <w:t>C</w:t>
      </w:r>
      <w:r w:rsidR="00BC1309" w:rsidRPr="00AE0FBC">
        <w:rPr>
          <w:sz w:val="24"/>
          <w:szCs w:val="24"/>
        </w:rPr>
        <w:t>apital adequacy assessments by the bank concerned (Pillar 1);</w:t>
      </w:r>
    </w:p>
    <w:p w:rsidR="00AE0FBC" w:rsidRDefault="00AE0FBC" w:rsidP="00A72AD6">
      <w:pPr>
        <w:pStyle w:val="ListParagraph"/>
        <w:numPr>
          <w:ilvl w:val="0"/>
          <w:numId w:val="29"/>
        </w:numPr>
        <w:spacing w:line="480" w:lineRule="auto"/>
        <w:jc w:val="both"/>
        <w:rPr>
          <w:sz w:val="24"/>
          <w:szCs w:val="24"/>
        </w:rPr>
      </w:pPr>
      <w:r>
        <w:rPr>
          <w:sz w:val="24"/>
          <w:szCs w:val="24"/>
        </w:rPr>
        <w:t>S</w:t>
      </w:r>
      <w:r w:rsidR="00BC1309" w:rsidRPr="00AE0FBC">
        <w:rPr>
          <w:sz w:val="24"/>
          <w:szCs w:val="24"/>
        </w:rPr>
        <w:t xml:space="preserve">upervisory </w:t>
      </w:r>
      <w:r>
        <w:rPr>
          <w:sz w:val="24"/>
          <w:szCs w:val="24"/>
        </w:rPr>
        <w:t>R</w:t>
      </w:r>
      <w:r w:rsidR="00BC1309" w:rsidRPr="00AE0FBC">
        <w:rPr>
          <w:sz w:val="24"/>
          <w:szCs w:val="24"/>
        </w:rPr>
        <w:t xml:space="preserve">eview and </w:t>
      </w:r>
      <w:r>
        <w:rPr>
          <w:sz w:val="24"/>
          <w:szCs w:val="24"/>
        </w:rPr>
        <w:t>E</w:t>
      </w:r>
      <w:r w:rsidR="00BC1309" w:rsidRPr="00AE0FBC">
        <w:rPr>
          <w:sz w:val="24"/>
          <w:szCs w:val="24"/>
        </w:rPr>
        <w:t>valuation</w:t>
      </w:r>
      <w:r>
        <w:rPr>
          <w:sz w:val="24"/>
          <w:szCs w:val="24"/>
        </w:rPr>
        <w:t xml:space="preserve"> Process (SREP)</w:t>
      </w:r>
      <w:r w:rsidR="00BC1309" w:rsidRPr="00AE0FBC">
        <w:rPr>
          <w:sz w:val="24"/>
          <w:szCs w:val="24"/>
        </w:rPr>
        <w:t xml:space="preserve"> by the regulator (Pillar 2)</w:t>
      </w:r>
      <w:r w:rsidRPr="00AE0FBC">
        <w:rPr>
          <w:sz w:val="24"/>
          <w:szCs w:val="24"/>
        </w:rPr>
        <w:t xml:space="preserve">; </w:t>
      </w:r>
      <w:r w:rsidR="00BC1309" w:rsidRPr="00AE0FBC">
        <w:rPr>
          <w:sz w:val="24"/>
          <w:szCs w:val="24"/>
        </w:rPr>
        <w:t>and</w:t>
      </w:r>
    </w:p>
    <w:p w:rsidR="00BC1309" w:rsidRPr="00AE0FBC" w:rsidRDefault="00AE0FBC" w:rsidP="00A72AD6">
      <w:pPr>
        <w:pStyle w:val="ListParagraph"/>
        <w:numPr>
          <w:ilvl w:val="0"/>
          <w:numId w:val="29"/>
        </w:numPr>
        <w:spacing w:line="480" w:lineRule="auto"/>
        <w:jc w:val="both"/>
        <w:rPr>
          <w:sz w:val="24"/>
          <w:szCs w:val="24"/>
        </w:rPr>
      </w:pPr>
      <w:r>
        <w:rPr>
          <w:sz w:val="24"/>
          <w:szCs w:val="24"/>
        </w:rPr>
        <w:t>D</w:t>
      </w:r>
      <w:r w:rsidR="00BC1309" w:rsidRPr="00AE0FBC">
        <w:rPr>
          <w:sz w:val="24"/>
          <w:szCs w:val="24"/>
        </w:rPr>
        <w:t xml:space="preserve">isclosure (Pillar 3). </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 xml:space="preserve">As </w:t>
      </w:r>
      <w:r w:rsidR="00AE0FBC">
        <w:rPr>
          <w:sz w:val="24"/>
          <w:szCs w:val="24"/>
        </w:rPr>
        <w:t>set out in Appendix 3</w:t>
      </w:r>
      <w:r>
        <w:rPr>
          <w:sz w:val="24"/>
          <w:szCs w:val="24"/>
        </w:rPr>
        <w:t>, the ILAA</w:t>
      </w:r>
      <w:r>
        <w:rPr>
          <w:rStyle w:val="FootnoteReference"/>
          <w:sz w:val="24"/>
          <w:szCs w:val="24"/>
        </w:rPr>
        <w:footnoteReference w:id="217"/>
      </w:r>
      <w:r>
        <w:rPr>
          <w:sz w:val="24"/>
          <w:szCs w:val="24"/>
        </w:rPr>
        <w:t xml:space="preserve"> is the process by which the bank assesses its liquidity adequacy, resulting in a ILAAP document which is submitted to the PRA for an L-SREP resulting in Individual Liquidity Guidance (ILG). The corresponding process for capital adequacy is the ICAA</w:t>
      </w:r>
      <w:r>
        <w:rPr>
          <w:rStyle w:val="FootnoteReference"/>
          <w:sz w:val="24"/>
          <w:szCs w:val="24"/>
        </w:rPr>
        <w:footnoteReference w:id="218"/>
      </w:r>
      <w:r>
        <w:rPr>
          <w:sz w:val="24"/>
          <w:szCs w:val="24"/>
        </w:rPr>
        <w:t xml:space="preserve">, resulting in an ICAAP document, which is submitted to the PRA for a SREP resulting </w:t>
      </w:r>
      <w:r>
        <w:rPr>
          <w:sz w:val="24"/>
          <w:szCs w:val="24"/>
        </w:rPr>
        <w:lastRenderedPageBreak/>
        <w:t>in Individual Capital Guidance (ICG). The European Banking Authority has issued guidance on SREP methodologies</w:t>
      </w:r>
      <w:r>
        <w:rPr>
          <w:rStyle w:val="FootnoteReference"/>
          <w:sz w:val="24"/>
          <w:szCs w:val="24"/>
        </w:rPr>
        <w:footnoteReference w:id="219"/>
      </w:r>
      <w:r>
        <w:rPr>
          <w:sz w:val="24"/>
          <w:szCs w:val="24"/>
        </w:rPr>
        <w:t xml:space="preserve">.  </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Unlike the previous regulatory regime, which was implemented by Directive, the majority of the new prudential regulatory regime for banks (including RFBs) key underlying legal source can be found in two key legal documents: (1) The Capital Requirements Directive (CRD IV)</w:t>
      </w:r>
      <w:r>
        <w:rPr>
          <w:rStyle w:val="FootnoteReference"/>
          <w:sz w:val="24"/>
          <w:szCs w:val="24"/>
        </w:rPr>
        <w:footnoteReference w:id="220"/>
      </w:r>
      <w:r>
        <w:rPr>
          <w:sz w:val="24"/>
          <w:szCs w:val="24"/>
        </w:rPr>
        <w:t>; and (2) the Capital Requirements Regulation (CRR)</w:t>
      </w:r>
      <w:r>
        <w:rPr>
          <w:rStyle w:val="FootnoteReference"/>
          <w:sz w:val="24"/>
          <w:szCs w:val="24"/>
        </w:rPr>
        <w:footnoteReference w:id="221"/>
      </w:r>
      <w:r>
        <w:rPr>
          <w:sz w:val="24"/>
          <w:szCs w:val="24"/>
        </w:rPr>
        <w:t>.</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 xml:space="preserve">In the context of the three Pillar Basel approach this Appendix is predominantly focussing on the </w:t>
      </w:r>
      <w:r w:rsidR="00FA425C">
        <w:rPr>
          <w:sz w:val="24"/>
          <w:szCs w:val="24"/>
        </w:rPr>
        <w:t>Basel</w:t>
      </w:r>
      <w:r>
        <w:rPr>
          <w:sz w:val="24"/>
          <w:szCs w:val="24"/>
        </w:rPr>
        <w:t xml:space="preserve"> Pillar 1 assessment of its own capital adequacy, i.e. the completion of its ICAAP which </w:t>
      </w:r>
      <w:r w:rsidR="00892D8E">
        <w:rPr>
          <w:sz w:val="24"/>
          <w:szCs w:val="24"/>
        </w:rPr>
        <w:t xml:space="preserve">will be </w:t>
      </w:r>
      <w:r>
        <w:rPr>
          <w:sz w:val="24"/>
          <w:szCs w:val="24"/>
        </w:rPr>
        <w:t xml:space="preserve">submitted to the PRA for a SREP. </w:t>
      </w:r>
      <w:r w:rsidR="00892D8E">
        <w:rPr>
          <w:sz w:val="24"/>
          <w:szCs w:val="24"/>
        </w:rPr>
        <w:t>Somewhat confusingly, t</w:t>
      </w:r>
      <w:r>
        <w:rPr>
          <w:sz w:val="24"/>
          <w:szCs w:val="24"/>
        </w:rPr>
        <w:t xml:space="preserve">he </w:t>
      </w:r>
      <w:r w:rsidR="00FA425C">
        <w:rPr>
          <w:sz w:val="24"/>
          <w:szCs w:val="24"/>
        </w:rPr>
        <w:t>Basel</w:t>
      </w:r>
      <w:r>
        <w:rPr>
          <w:sz w:val="24"/>
          <w:szCs w:val="24"/>
        </w:rPr>
        <w:t xml:space="preserve"> Pillar 1 assessment itself has two pillars, with the second pillar split into a Part A and a Part B, so that</w:t>
      </w:r>
      <w:r w:rsidR="00FA425C">
        <w:rPr>
          <w:sz w:val="24"/>
          <w:szCs w:val="24"/>
        </w:rPr>
        <w:t xml:space="preserve"> the Basel Pillar 1 consists of</w:t>
      </w:r>
      <w:r>
        <w:rPr>
          <w:sz w:val="24"/>
          <w:szCs w:val="24"/>
        </w:rPr>
        <w:t>:</w:t>
      </w:r>
    </w:p>
    <w:p w:rsidR="00BC1309" w:rsidRDefault="00BC1309" w:rsidP="00A72AD6">
      <w:pPr>
        <w:spacing w:line="480" w:lineRule="auto"/>
        <w:jc w:val="both"/>
        <w:rPr>
          <w:sz w:val="24"/>
          <w:szCs w:val="24"/>
        </w:rPr>
      </w:pPr>
    </w:p>
    <w:p w:rsidR="00BC1309" w:rsidRDefault="00BC1309" w:rsidP="00A72AD6">
      <w:pPr>
        <w:numPr>
          <w:ilvl w:val="0"/>
          <w:numId w:val="9"/>
        </w:numPr>
        <w:spacing w:line="480" w:lineRule="auto"/>
        <w:jc w:val="both"/>
        <w:rPr>
          <w:sz w:val="24"/>
          <w:szCs w:val="24"/>
        </w:rPr>
      </w:pPr>
      <w:r>
        <w:rPr>
          <w:sz w:val="24"/>
          <w:szCs w:val="24"/>
        </w:rPr>
        <w:t>Pillar 1 is a formulaic calculation of capital based on the RFBs risk exposure based on its financials, fo</w:t>
      </w:r>
      <w:r w:rsidR="00AE0FBC">
        <w:rPr>
          <w:sz w:val="24"/>
          <w:szCs w:val="24"/>
        </w:rPr>
        <w:t>r</w:t>
      </w:r>
      <w:r>
        <w:rPr>
          <w:sz w:val="24"/>
          <w:szCs w:val="24"/>
        </w:rPr>
        <w:t xml:space="preserve"> example, assets on its balance sheet for calculating credit risk capital; and turnover for calculating its operational risk capital;</w:t>
      </w:r>
    </w:p>
    <w:p w:rsidR="00BC1309" w:rsidRDefault="00BC1309" w:rsidP="00A72AD6">
      <w:pPr>
        <w:numPr>
          <w:ilvl w:val="0"/>
          <w:numId w:val="9"/>
        </w:numPr>
        <w:spacing w:line="480" w:lineRule="auto"/>
        <w:jc w:val="both"/>
        <w:rPr>
          <w:sz w:val="24"/>
          <w:szCs w:val="24"/>
        </w:rPr>
      </w:pPr>
      <w:r>
        <w:rPr>
          <w:sz w:val="24"/>
          <w:szCs w:val="24"/>
        </w:rPr>
        <w:t>Pillar 2A – is intended to capture risks that have not been capture</w:t>
      </w:r>
      <w:r w:rsidR="00AE0FBC">
        <w:rPr>
          <w:sz w:val="24"/>
          <w:szCs w:val="24"/>
        </w:rPr>
        <w:t>d</w:t>
      </w:r>
      <w:r>
        <w:rPr>
          <w:sz w:val="24"/>
          <w:szCs w:val="24"/>
        </w:rPr>
        <w:t xml:space="preserve"> (or not fully captured under Pillar 1</w:t>
      </w:r>
      <w:r w:rsidR="00892D8E">
        <w:rPr>
          <w:sz w:val="24"/>
          <w:szCs w:val="24"/>
        </w:rPr>
        <w:t>)</w:t>
      </w:r>
      <w:r>
        <w:rPr>
          <w:sz w:val="24"/>
          <w:szCs w:val="24"/>
        </w:rPr>
        <w:t>; and</w:t>
      </w:r>
    </w:p>
    <w:p w:rsidR="00BC1309" w:rsidRDefault="00BC1309" w:rsidP="00A72AD6">
      <w:pPr>
        <w:numPr>
          <w:ilvl w:val="0"/>
          <w:numId w:val="9"/>
        </w:numPr>
        <w:spacing w:line="480" w:lineRule="auto"/>
        <w:jc w:val="both"/>
        <w:rPr>
          <w:sz w:val="24"/>
          <w:szCs w:val="24"/>
        </w:rPr>
      </w:pPr>
      <w:r>
        <w:rPr>
          <w:sz w:val="24"/>
          <w:szCs w:val="24"/>
        </w:rPr>
        <w:t>Pillar 2B – is intended to capture risks which may arise in the bank’s five year planning period due to changes in the economic environment.</w:t>
      </w:r>
    </w:p>
    <w:p w:rsidR="00BC1309" w:rsidRDefault="00BC1309" w:rsidP="00A72AD6">
      <w:pPr>
        <w:spacing w:line="480" w:lineRule="auto"/>
        <w:ind w:left="780"/>
        <w:jc w:val="both"/>
        <w:rPr>
          <w:sz w:val="24"/>
          <w:szCs w:val="24"/>
        </w:rPr>
      </w:pPr>
    </w:p>
    <w:p w:rsidR="00A72AD6" w:rsidRDefault="00A72AD6" w:rsidP="00A72AD6">
      <w:pPr>
        <w:spacing w:line="480" w:lineRule="auto"/>
        <w:ind w:left="780"/>
        <w:jc w:val="both"/>
        <w:rPr>
          <w:sz w:val="24"/>
          <w:szCs w:val="24"/>
        </w:rPr>
      </w:pPr>
    </w:p>
    <w:p w:rsidR="00BC1309" w:rsidRDefault="00BC1309" w:rsidP="00A72AD6">
      <w:pPr>
        <w:spacing w:line="480" w:lineRule="auto"/>
        <w:jc w:val="both"/>
        <w:rPr>
          <w:b/>
          <w:i/>
          <w:sz w:val="24"/>
          <w:szCs w:val="24"/>
        </w:rPr>
      </w:pPr>
      <w:r w:rsidRPr="00E87D27">
        <w:rPr>
          <w:b/>
          <w:i/>
          <w:sz w:val="24"/>
          <w:szCs w:val="24"/>
        </w:rPr>
        <w:t>Calculating the Pillar 1 Capital Charge</w:t>
      </w:r>
    </w:p>
    <w:p w:rsidR="00BC1309" w:rsidRDefault="00BC1309" w:rsidP="00A72AD6">
      <w:pPr>
        <w:spacing w:line="480" w:lineRule="auto"/>
        <w:jc w:val="both"/>
        <w:rPr>
          <w:b/>
          <w:i/>
          <w:sz w:val="24"/>
          <w:szCs w:val="24"/>
        </w:rPr>
      </w:pPr>
    </w:p>
    <w:p w:rsidR="00BC1309" w:rsidRPr="006572B3" w:rsidRDefault="00BC1309" w:rsidP="00A72AD6">
      <w:pPr>
        <w:spacing w:line="480" w:lineRule="auto"/>
        <w:jc w:val="both"/>
        <w:rPr>
          <w:i/>
          <w:sz w:val="24"/>
          <w:szCs w:val="24"/>
          <w:u w:val="single"/>
        </w:rPr>
      </w:pPr>
      <w:r w:rsidRPr="006572B3">
        <w:rPr>
          <w:i/>
          <w:sz w:val="24"/>
          <w:szCs w:val="24"/>
          <w:u w:val="single"/>
        </w:rPr>
        <w:t>Credit Risk</w:t>
      </w:r>
    </w:p>
    <w:p w:rsidR="00BC1309" w:rsidRDefault="00AE0FBC" w:rsidP="00A72AD6">
      <w:pPr>
        <w:spacing w:line="480" w:lineRule="auto"/>
        <w:jc w:val="both"/>
        <w:rPr>
          <w:sz w:val="24"/>
          <w:szCs w:val="24"/>
        </w:rPr>
      </w:pPr>
      <w:r>
        <w:rPr>
          <w:sz w:val="24"/>
          <w:szCs w:val="24"/>
        </w:rPr>
        <w:t xml:space="preserve">This </w:t>
      </w:r>
      <w:r w:rsidR="00892D8E">
        <w:rPr>
          <w:sz w:val="24"/>
          <w:szCs w:val="24"/>
        </w:rPr>
        <w:t xml:space="preserve">will be </w:t>
      </w:r>
      <w:r>
        <w:rPr>
          <w:sz w:val="24"/>
          <w:szCs w:val="24"/>
        </w:rPr>
        <w:t>t</w:t>
      </w:r>
      <w:r w:rsidR="00BC1309" w:rsidRPr="008E3585">
        <w:rPr>
          <w:sz w:val="24"/>
          <w:szCs w:val="24"/>
        </w:rPr>
        <w:t xml:space="preserve">he main risk for most RFBs, the risk that supports the maturity transformation activity that is so important for the functioning of the economy and </w:t>
      </w:r>
      <w:r>
        <w:rPr>
          <w:sz w:val="24"/>
          <w:szCs w:val="24"/>
        </w:rPr>
        <w:t xml:space="preserve">the </w:t>
      </w:r>
      <w:r w:rsidR="00BC1309" w:rsidRPr="008E3585">
        <w:rPr>
          <w:sz w:val="24"/>
          <w:szCs w:val="24"/>
        </w:rPr>
        <w:t xml:space="preserve">risk that </w:t>
      </w:r>
      <w:r>
        <w:rPr>
          <w:sz w:val="24"/>
          <w:szCs w:val="24"/>
        </w:rPr>
        <w:t>an</w:t>
      </w:r>
      <w:r w:rsidR="00BC1309" w:rsidRPr="008E3585">
        <w:rPr>
          <w:sz w:val="24"/>
          <w:szCs w:val="24"/>
        </w:rPr>
        <w:t xml:space="preserve"> RFB must take on and manage if it is to </w:t>
      </w:r>
      <w:r w:rsidR="00A95E5B">
        <w:rPr>
          <w:sz w:val="24"/>
          <w:szCs w:val="24"/>
        </w:rPr>
        <w:t>make a reasonable profit and survive</w:t>
      </w:r>
      <w:r w:rsidR="00BC1309" w:rsidRPr="008E3585">
        <w:rPr>
          <w:sz w:val="24"/>
          <w:szCs w:val="24"/>
        </w:rPr>
        <w:t>. There are two differen</w:t>
      </w:r>
      <w:r w:rsidR="00A95E5B">
        <w:rPr>
          <w:sz w:val="24"/>
          <w:szCs w:val="24"/>
        </w:rPr>
        <w:t>t</w:t>
      </w:r>
      <w:r w:rsidR="00BC1309" w:rsidRPr="008E3585">
        <w:rPr>
          <w:sz w:val="24"/>
          <w:szCs w:val="24"/>
        </w:rPr>
        <w:t xml:space="preserve"> methods for calculating capital to support credit risk, which were set out in Basel II</w:t>
      </w:r>
      <w:r w:rsidR="00BC1309" w:rsidRPr="008E3585">
        <w:rPr>
          <w:rStyle w:val="FootnoteReference"/>
          <w:sz w:val="24"/>
          <w:szCs w:val="24"/>
        </w:rPr>
        <w:footnoteReference w:id="222"/>
      </w:r>
      <w:r w:rsidR="00892D8E">
        <w:rPr>
          <w:sz w:val="24"/>
          <w:szCs w:val="24"/>
        </w:rPr>
        <w:t>, and now reflected in the CRR</w:t>
      </w:r>
      <w:r w:rsidR="00BC1309" w:rsidRPr="008E3585">
        <w:rPr>
          <w:sz w:val="24"/>
          <w:szCs w:val="24"/>
        </w:rPr>
        <w:t>: (1</w:t>
      </w:r>
      <w:r>
        <w:rPr>
          <w:sz w:val="24"/>
          <w:szCs w:val="24"/>
        </w:rPr>
        <w:t>)</w:t>
      </w:r>
      <w:r w:rsidR="00BC1309" w:rsidRPr="008E3585">
        <w:rPr>
          <w:sz w:val="24"/>
          <w:szCs w:val="24"/>
        </w:rPr>
        <w:t xml:space="preserve"> the Standardised Approach</w:t>
      </w:r>
      <w:r w:rsidR="00BC1309" w:rsidRPr="008E3585">
        <w:rPr>
          <w:rStyle w:val="FootnoteReference"/>
          <w:sz w:val="24"/>
          <w:szCs w:val="24"/>
        </w:rPr>
        <w:footnoteReference w:id="223"/>
      </w:r>
      <w:r w:rsidR="00BC1309" w:rsidRPr="008E3585">
        <w:rPr>
          <w:sz w:val="24"/>
          <w:szCs w:val="24"/>
        </w:rPr>
        <w:t>; and (2) the Internal Ratings Based Approach</w:t>
      </w:r>
      <w:r w:rsidR="00892D8E">
        <w:rPr>
          <w:sz w:val="24"/>
          <w:szCs w:val="24"/>
        </w:rPr>
        <w:t xml:space="preserve"> (IRB)</w:t>
      </w:r>
      <w:r w:rsidR="00BC1309" w:rsidRPr="008E3585">
        <w:rPr>
          <w:rStyle w:val="FootnoteReference"/>
          <w:sz w:val="24"/>
          <w:szCs w:val="24"/>
        </w:rPr>
        <w:footnoteReference w:id="224"/>
      </w:r>
      <w:r w:rsidR="00892D8E">
        <w:rPr>
          <w:sz w:val="24"/>
          <w:szCs w:val="24"/>
        </w:rPr>
        <w:t>. The IRB is</w:t>
      </w:r>
      <w:r w:rsidR="00BC1309" w:rsidRPr="008E3585">
        <w:rPr>
          <w:sz w:val="24"/>
          <w:szCs w:val="24"/>
        </w:rPr>
        <w:t xml:space="preserve"> available (subject to regulatory approval) in Foundation or Advanced form – with lower capital requirements for </w:t>
      </w:r>
      <w:r w:rsidR="00A95E5B">
        <w:rPr>
          <w:sz w:val="24"/>
          <w:szCs w:val="24"/>
        </w:rPr>
        <w:t>more</w:t>
      </w:r>
      <w:r w:rsidR="00BC1309" w:rsidRPr="008E3585">
        <w:rPr>
          <w:sz w:val="24"/>
          <w:szCs w:val="24"/>
        </w:rPr>
        <w:t xml:space="preserve"> advanced approaches. These remain current at the time of writing, however, as part of the overall review of the regulatory architecture they are being reviewed</w:t>
      </w:r>
      <w:r w:rsidR="00BC1309" w:rsidRPr="008E3585">
        <w:rPr>
          <w:rStyle w:val="FootnoteReference"/>
          <w:sz w:val="24"/>
          <w:szCs w:val="24"/>
        </w:rPr>
        <w:footnoteReference w:id="225"/>
      </w:r>
      <w:r w:rsidR="00BC1309" w:rsidRPr="008E3585">
        <w:rPr>
          <w:sz w:val="24"/>
          <w:szCs w:val="24"/>
        </w:rPr>
        <w:t>. The current requirements are set out in the CRR</w:t>
      </w:r>
      <w:r w:rsidR="00BC1309" w:rsidRPr="008E3585">
        <w:rPr>
          <w:rStyle w:val="FootnoteReference"/>
          <w:sz w:val="24"/>
          <w:szCs w:val="24"/>
        </w:rPr>
        <w:footnoteReference w:id="226"/>
      </w:r>
      <w:r w:rsidR="00BC1309" w:rsidRPr="008E3585">
        <w:rPr>
          <w:sz w:val="24"/>
          <w:szCs w:val="24"/>
        </w:rPr>
        <w:t>. Using approaches other than the Standardise</w:t>
      </w:r>
      <w:r>
        <w:rPr>
          <w:sz w:val="24"/>
          <w:szCs w:val="24"/>
        </w:rPr>
        <w:t>d</w:t>
      </w:r>
      <w:r w:rsidR="00BC1309" w:rsidRPr="008E3585">
        <w:rPr>
          <w:sz w:val="24"/>
          <w:szCs w:val="24"/>
        </w:rPr>
        <w:t xml:space="preserve"> Approach require</w:t>
      </w:r>
      <w:r w:rsidR="00892D8E">
        <w:rPr>
          <w:sz w:val="24"/>
          <w:szCs w:val="24"/>
        </w:rPr>
        <w:t>s</w:t>
      </w:r>
      <w:r w:rsidR="00BC1309" w:rsidRPr="008E3585">
        <w:rPr>
          <w:sz w:val="24"/>
          <w:szCs w:val="24"/>
        </w:rPr>
        <w:t xml:space="preserve"> a waiver from the PRA</w:t>
      </w:r>
      <w:r w:rsidR="00BC1309" w:rsidRPr="008E3585">
        <w:rPr>
          <w:rStyle w:val="FootnoteReference"/>
          <w:sz w:val="24"/>
          <w:szCs w:val="24"/>
        </w:rPr>
        <w:footnoteReference w:id="227"/>
      </w:r>
      <w:r w:rsidR="00BC1309" w:rsidRPr="008E3585">
        <w:rPr>
          <w:sz w:val="24"/>
          <w:szCs w:val="24"/>
        </w:rPr>
        <w:t xml:space="preserve">. </w:t>
      </w:r>
    </w:p>
    <w:p w:rsidR="00BC1309" w:rsidRPr="008E3585" w:rsidRDefault="00BC1309" w:rsidP="00A72AD6">
      <w:pPr>
        <w:spacing w:line="480" w:lineRule="auto"/>
        <w:jc w:val="both"/>
        <w:rPr>
          <w:sz w:val="24"/>
          <w:szCs w:val="24"/>
        </w:rPr>
      </w:pPr>
    </w:p>
    <w:p w:rsidR="00BC1309" w:rsidRPr="00A34DE1" w:rsidRDefault="00BC1309" w:rsidP="00A72AD6">
      <w:pPr>
        <w:spacing w:line="480" w:lineRule="auto"/>
        <w:jc w:val="both"/>
        <w:rPr>
          <w:sz w:val="24"/>
          <w:szCs w:val="24"/>
        </w:rPr>
      </w:pPr>
      <w:r w:rsidRPr="00A34DE1">
        <w:rPr>
          <w:sz w:val="24"/>
          <w:szCs w:val="24"/>
        </w:rPr>
        <w:t>Unless an RFB is an existing legal entity with an IRB waiver, if it want</w:t>
      </w:r>
      <w:r>
        <w:rPr>
          <w:sz w:val="24"/>
          <w:szCs w:val="24"/>
        </w:rPr>
        <w:t>s</w:t>
      </w:r>
      <w:r w:rsidRPr="00A34DE1">
        <w:rPr>
          <w:sz w:val="24"/>
          <w:szCs w:val="24"/>
        </w:rPr>
        <w:t xml:space="preserve"> to lower its capital charge for credit risk, it will need to apply for an IRB waiver</w:t>
      </w:r>
      <w:r>
        <w:rPr>
          <w:sz w:val="24"/>
          <w:szCs w:val="24"/>
        </w:rPr>
        <w:t xml:space="preserve">. This used to be something that was </w:t>
      </w:r>
      <w:r w:rsidR="00A95E5B">
        <w:rPr>
          <w:sz w:val="24"/>
          <w:szCs w:val="24"/>
        </w:rPr>
        <w:lastRenderedPageBreak/>
        <w:t>assessed and decided by</w:t>
      </w:r>
      <w:r>
        <w:rPr>
          <w:sz w:val="24"/>
          <w:szCs w:val="24"/>
        </w:rPr>
        <w:t xml:space="preserve"> the national regulator, however, since the introduction of the CRR (a single EU prudential regulation rulebook), supplemented by additional regulation in the form of EBA Regulatory Technical Standards (RTS), the PRA is required to assess the waiver based on detailed criteria</w:t>
      </w:r>
      <w:r>
        <w:rPr>
          <w:rStyle w:val="FootnoteReference"/>
          <w:sz w:val="24"/>
          <w:szCs w:val="24"/>
        </w:rPr>
        <w:footnoteReference w:id="228"/>
      </w:r>
      <w:r>
        <w:rPr>
          <w:sz w:val="24"/>
          <w:szCs w:val="24"/>
        </w:rPr>
        <w:t>.As a result of this most firms will use the Standardised Approach initially</w:t>
      </w:r>
      <w:r w:rsidR="00787757">
        <w:rPr>
          <w:sz w:val="24"/>
          <w:szCs w:val="24"/>
        </w:rPr>
        <w:t xml:space="preserve"> – which is based on Risk Weighting an Asset (RWA)</w:t>
      </w:r>
      <w:r>
        <w:rPr>
          <w:sz w:val="24"/>
          <w:szCs w:val="24"/>
        </w:rPr>
        <w:t>.</w:t>
      </w:r>
    </w:p>
    <w:p w:rsidR="00BC1309" w:rsidRDefault="00BC1309" w:rsidP="00A72AD6">
      <w:pPr>
        <w:pStyle w:val="Heading1"/>
        <w:spacing w:line="480" w:lineRule="auto"/>
        <w:jc w:val="left"/>
      </w:pPr>
    </w:p>
    <w:p w:rsidR="00BC1309" w:rsidRDefault="00BC1309" w:rsidP="00A72AD6">
      <w:pPr>
        <w:spacing w:line="480" w:lineRule="auto"/>
        <w:jc w:val="both"/>
        <w:rPr>
          <w:sz w:val="24"/>
          <w:szCs w:val="24"/>
        </w:rPr>
      </w:pPr>
      <w:r w:rsidRPr="008E3585">
        <w:rPr>
          <w:sz w:val="24"/>
          <w:szCs w:val="24"/>
        </w:rPr>
        <w:t xml:space="preserve">Following the Basel II criteria (soft law), the CRR (hard law) has set out the calculation methodology. For </w:t>
      </w:r>
      <w:r w:rsidR="00AE0FBC">
        <w:rPr>
          <w:sz w:val="24"/>
          <w:szCs w:val="24"/>
        </w:rPr>
        <w:t xml:space="preserve">the </w:t>
      </w:r>
      <w:r w:rsidRPr="008E3585">
        <w:rPr>
          <w:sz w:val="24"/>
          <w:szCs w:val="24"/>
        </w:rPr>
        <w:t>core of an RFB business</w:t>
      </w:r>
      <w:r w:rsidR="00A95E5B">
        <w:rPr>
          <w:sz w:val="24"/>
          <w:szCs w:val="24"/>
        </w:rPr>
        <w:t>,</w:t>
      </w:r>
      <w:r w:rsidRPr="008E3585">
        <w:rPr>
          <w:sz w:val="24"/>
          <w:szCs w:val="24"/>
        </w:rPr>
        <w:t xml:space="preserve"> the </w:t>
      </w:r>
      <w:r w:rsidR="00787757">
        <w:rPr>
          <w:sz w:val="24"/>
          <w:szCs w:val="24"/>
        </w:rPr>
        <w:t>S</w:t>
      </w:r>
      <w:r w:rsidRPr="008E3585">
        <w:rPr>
          <w:sz w:val="24"/>
          <w:szCs w:val="24"/>
        </w:rPr>
        <w:t xml:space="preserve">tandardised </w:t>
      </w:r>
      <w:r w:rsidR="00787757">
        <w:rPr>
          <w:sz w:val="24"/>
          <w:szCs w:val="24"/>
        </w:rPr>
        <w:t>A</w:t>
      </w:r>
      <w:r w:rsidRPr="008E3585">
        <w:rPr>
          <w:sz w:val="24"/>
          <w:szCs w:val="24"/>
        </w:rPr>
        <w:t>pproach would be as follows:</w:t>
      </w:r>
    </w:p>
    <w:p w:rsidR="00BC1309" w:rsidRPr="008E3585" w:rsidRDefault="00BC1309" w:rsidP="00A72AD6">
      <w:pPr>
        <w:spacing w:line="480" w:lineRule="auto"/>
        <w:jc w:val="both"/>
        <w:rPr>
          <w:sz w:val="24"/>
          <w:szCs w:val="24"/>
        </w:rPr>
      </w:pPr>
    </w:p>
    <w:p w:rsidR="00BC1309" w:rsidRDefault="00BC1309" w:rsidP="00A72AD6">
      <w:pPr>
        <w:numPr>
          <w:ilvl w:val="0"/>
          <w:numId w:val="10"/>
        </w:numPr>
        <w:spacing w:line="480" w:lineRule="auto"/>
        <w:rPr>
          <w:sz w:val="24"/>
          <w:szCs w:val="24"/>
        </w:rPr>
      </w:pPr>
      <w:r w:rsidRPr="008E3585">
        <w:rPr>
          <w:sz w:val="24"/>
          <w:szCs w:val="24"/>
        </w:rPr>
        <w:t>a 35% risk weighting for residential mortgages (subject to a 80% loan</w:t>
      </w:r>
      <w:r w:rsidR="00AE0FBC">
        <w:rPr>
          <w:sz w:val="24"/>
          <w:szCs w:val="24"/>
        </w:rPr>
        <w:t>-</w:t>
      </w:r>
      <w:r w:rsidRPr="008E3585">
        <w:rPr>
          <w:sz w:val="24"/>
          <w:szCs w:val="24"/>
        </w:rPr>
        <w:t>to-value cap</w:t>
      </w:r>
      <w:r w:rsidR="00AE0FBC">
        <w:rPr>
          <w:sz w:val="24"/>
          <w:szCs w:val="24"/>
        </w:rPr>
        <w:t xml:space="preserve"> – when the risk weight increases</w:t>
      </w:r>
      <w:r w:rsidRPr="008E3585">
        <w:rPr>
          <w:sz w:val="24"/>
          <w:szCs w:val="24"/>
        </w:rPr>
        <w:t>);</w:t>
      </w:r>
    </w:p>
    <w:p w:rsidR="00787757" w:rsidRPr="008E3585" w:rsidRDefault="00787757" w:rsidP="00787757">
      <w:pPr>
        <w:spacing w:line="480" w:lineRule="auto"/>
        <w:ind w:left="720"/>
        <w:rPr>
          <w:sz w:val="24"/>
          <w:szCs w:val="24"/>
        </w:rPr>
      </w:pPr>
    </w:p>
    <w:p w:rsidR="00BC1309" w:rsidRDefault="00BC1309" w:rsidP="00A72AD6">
      <w:pPr>
        <w:numPr>
          <w:ilvl w:val="0"/>
          <w:numId w:val="10"/>
        </w:numPr>
        <w:spacing w:line="480" w:lineRule="auto"/>
        <w:rPr>
          <w:sz w:val="24"/>
          <w:szCs w:val="24"/>
        </w:rPr>
      </w:pPr>
      <w:r>
        <w:t xml:space="preserve">a </w:t>
      </w:r>
      <w:r w:rsidRPr="00C26B6B">
        <w:rPr>
          <w:sz w:val="24"/>
          <w:szCs w:val="24"/>
        </w:rPr>
        <w:t>75</w:t>
      </w:r>
      <w:r>
        <w:rPr>
          <w:sz w:val="24"/>
          <w:szCs w:val="24"/>
        </w:rPr>
        <w:t>%</w:t>
      </w:r>
      <w:r w:rsidRPr="00C26B6B">
        <w:rPr>
          <w:sz w:val="24"/>
          <w:szCs w:val="24"/>
        </w:rPr>
        <w:t xml:space="preserve"> risk weighting for personal</w:t>
      </w:r>
      <w:r w:rsidR="00B167C6">
        <w:rPr>
          <w:sz w:val="24"/>
          <w:szCs w:val="24"/>
        </w:rPr>
        <w:t xml:space="preserve"> </w:t>
      </w:r>
      <w:r w:rsidRPr="00C26B6B">
        <w:rPr>
          <w:sz w:val="24"/>
          <w:szCs w:val="24"/>
        </w:rPr>
        <w:t>lending</w:t>
      </w:r>
      <w:r w:rsidR="00787757">
        <w:rPr>
          <w:sz w:val="24"/>
          <w:szCs w:val="24"/>
        </w:rPr>
        <w:t>;</w:t>
      </w:r>
    </w:p>
    <w:p w:rsidR="00BC1309" w:rsidRDefault="00BC1309" w:rsidP="00A72AD6">
      <w:pPr>
        <w:spacing w:line="480" w:lineRule="auto"/>
        <w:ind w:left="720"/>
        <w:rPr>
          <w:sz w:val="24"/>
          <w:szCs w:val="24"/>
        </w:rPr>
      </w:pPr>
    </w:p>
    <w:p w:rsidR="00BC1309" w:rsidRDefault="00BC1309" w:rsidP="00A72AD6">
      <w:pPr>
        <w:numPr>
          <w:ilvl w:val="0"/>
          <w:numId w:val="10"/>
        </w:numPr>
        <w:spacing w:line="480" w:lineRule="auto"/>
        <w:rPr>
          <w:sz w:val="24"/>
          <w:szCs w:val="24"/>
        </w:rPr>
      </w:pPr>
      <w:r>
        <w:rPr>
          <w:sz w:val="24"/>
          <w:szCs w:val="24"/>
        </w:rPr>
        <w:t xml:space="preserve">SMEs – </w:t>
      </w:r>
      <w:r w:rsidR="00787757">
        <w:rPr>
          <w:sz w:val="24"/>
          <w:szCs w:val="24"/>
        </w:rPr>
        <w:t>are allowed a reduction in capital due to their importance to the economy</w:t>
      </w:r>
      <w:r w:rsidR="00787757">
        <w:rPr>
          <w:rStyle w:val="FootnoteReference"/>
          <w:sz w:val="24"/>
          <w:szCs w:val="24"/>
        </w:rPr>
        <w:footnoteReference w:id="229"/>
      </w:r>
      <w:r w:rsidR="00787757">
        <w:rPr>
          <w:sz w:val="24"/>
          <w:szCs w:val="24"/>
        </w:rPr>
        <w:t xml:space="preserve">; and </w:t>
      </w:r>
    </w:p>
    <w:p w:rsidR="00BC1309" w:rsidRDefault="00BC1309" w:rsidP="00A72AD6">
      <w:pPr>
        <w:pStyle w:val="ListParagraph"/>
        <w:spacing w:line="480" w:lineRule="auto"/>
        <w:rPr>
          <w:sz w:val="24"/>
          <w:szCs w:val="24"/>
        </w:rPr>
      </w:pPr>
    </w:p>
    <w:p w:rsidR="00BC1309" w:rsidRDefault="00BC1309" w:rsidP="00A72AD6">
      <w:pPr>
        <w:numPr>
          <w:ilvl w:val="0"/>
          <w:numId w:val="10"/>
        </w:numPr>
        <w:spacing w:line="480" w:lineRule="auto"/>
        <w:rPr>
          <w:sz w:val="24"/>
          <w:szCs w:val="24"/>
        </w:rPr>
      </w:pPr>
      <w:r>
        <w:rPr>
          <w:sz w:val="24"/>
          <w:szCs w:val="24"/>
        </w:rPr>
        <w:t>Large corporate with a rating – the risk weighting would be based on the rating of the respective companies given by a Credit Rating Agency (CRA).</w:t>
      </w:r>
    </w:p>
    <w:p w:rsidR="00BC1309" w:rsidRDefault="00BC1309" w:rsidP="00A72AD6">
      <w:pPr>
        <w:pStyle w:val="ListParagraph"/>
        <w:spacing w:line="480" w:lineRule="auto"/>
        <w:rPr>
          <w:sz w:val="24"/>
          <w:szCs w:val="24"/>
        </w:rPr>
      </w:pPr>
    </w:p>
    <w:p w:rsidR="00BC1309" w:rsidRDefault="00BC1309" w:rsidP="00A72AD6">
      <w:pPr>
        <w:spacing w:line="480" w:lineRule="auto"/>
        <w:jc w:val="both"/>
        <w:rPr>
          <w:sz w:val="24"/>
          <w:szCs w:val="24"/>
        </w:rPr>
      </w:pPr>
      <w:r>
        <w:rPr>
          <w:sz w:val="24"/>
          <w:szCs w:val="24"/>
        </w:rPr>
        <w:lastRenderedPageBreak/>
        <w:t>In relation to large corporate</w:t>
      </w:r>
      <w:r w:rsidR="00787757">
        <w:rPr>
          <w:sz w:val="24"/>
          <w:szCs w:val="24"/>
        </w:rPr>
        <w:t>s</w:t>
      </w:r>
      <w:r>
        <w:rPr>
          <w:sz w:val="24"/>
          <w:szCs w:val="24"/>
        </w:rPr>
        <w:t>, there was a loss of confidence in rating agencies during the financial crisis, and the inherent conflicts in the ratings agency business model, in particular when rating securitisations, the EU have reviewed this approach with CRAs, now regulated and known as European Credit Assessment Institutions (ECAIs). To ensure consistency of assessment, and pan-EU comparability, the EU have introduced six Credit Quality Steps (CQS), and aligned all the ECAI ratings to the CQS. In future CQS will be used for calculating exposures</w:t>
      </w:r>
      <w:r>
        <w:rPr>
          <w:rStyle w:val="FootnoteReference"/>
          <w:sz w:val="24"/>
          <w:szCs w:val="24"/>
        </w:rPr>
        <w:footnoteReference w:id="230"/>
      </w:r>
      <w:r>
        <w:rPr>
          <w:sz w:val="24"/>
          <w:szCs w:val="24"/>
        </w:rPr>
        <w:t xml:space="preserve">.       </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Within a credit risk context RFBs must also consider Counterparty Credit Risk, and any other non-credit assets</w:t>
      </w:r>
      <w:r>
        <w:rPr>
          <w:rStyle w:val="FootnoteReference"/>
          <w:sz w:val="24"/>
          <w:szCs w:val="24"/>
        </w:rPr>
        <w:footnoteReference w:id="231"/>
      </w:r>
      <w:r>
        <w:rPr>
          <w:sz w:val="24"/>
          <w:szCs w:val="24"/>
        </w:rPr>
        <w:t xml:space="preserve">. In </w:t>
      </w:r>
      <w:r w:rsidR="00787757">
        <w:rPr>
          <w:sz w:val="24"/>
          <w:szCs w:val="24"/>
        </w:rPr>
        <w:t xml:space="preserve">all </w:t>
      </w:r>
      <w:r>
        <w:rPr>
          <w:sz w:val="24"/>
          <w:szCs w:val="24"/>
        </w:rPr>
        <w:t>cases the relevant exposure is converted an RWA and the basic Pillar 1 capital charge of 8% is applied.</w:t>
      </w:r>
      <w:r w:rsidR="00787757">
        <w:rPr>
          <w:sz w:val="24"/>
          <w:szCs w:val="24"/>
        </w:rPr>
        <w:t xml:space="preserve"> In the mortgage example a £100m portfolio of mortgages (with LTV below 75%) would be risk weighted at 35% so that the Risk Weighted Asset would be £35m – the bank’s capital charge for the portfolio of mortgages (its asset) will be £35m by 8% or £2.</w:t>
      </w:r>
      <w:r w:rsidR="00A95E5B">
        <w:rPr>
          <w:sz w:val="24"/>
          <w:szCs w:val="24"/>
        </w:rPr>
        <w:t>8</w:t>
      </w:r>
      <w:r w:rsidR="00787757">
        <w:rPr>
          <w:sz w:val="24"/>
          <w:szCs w:val="24"/>
        </w:rPr>
        <w:t xml:space="preserve">m.  </w:t>
      </w:r>
    </w:p>
    <w:p w:rsidR="00BC1309" w:rsidRDefault="00BC1309" w:rsidP="00A72AD6">
      <w:pPr>
        <w:spacing w:line="480" w:lineRule="auto"/>
        <w:jc w:val="both"/>
        <w:rPr>
          <w:sz w:val="24"/>
          <w:szCs w:val="24"/>
        </w:rPr>
      </w:pPr>
    </w:p>
    <w:p w:rsidR="00BC1309" w:rsidRDefault="00BC1309" w:rsidP="00A72AD6">
      <w:pPr>
        <w:spacing w:line="480" w:lineRule="auto"/>
        <w:jc w:val="both"/>
        <w:rPr>
          <w:i/>
          <w:sz w:val="24"/>
          <w:szCs w:val="24"/>
          <w:u w:val="single"/>
        </w:rPr>
      </w:pPr>
      <w:r w:rsidRPr="005A7ABA">
        <w:rPr>
          <w:i/>
          <w:sz w:val="24"/>
          <w:szCs w:val="24"/>
          <w:u w:val="single"/>
        </w:rPr>
        <w:t>Market Risk</w:t>
      </w:r>
    </w:p>
    <w:p w:rsidR="00BC1309" w:rsidRDefault="00BC1309" w:rsidP="00A72AD6">
      <w:pPr>
        <w:spacing w:line="480" w:lineRule="auto"/>
        <w:jc w:val="both"/>
        <w:rPr>
          <w:sz w:val="24"/>
          <w:szCs w:val="24"/>
        </w:rPr>
      </w:pPr>
      <w:r>
        <w:rPr>
          <w:sz w:val="24"/>
          <w:szCs w:val="24"/>
        </w:rPr>
        <w:t>The 1966 Amendment to the Basel Accord</w:t>
      </w:r>
      <w:r>
        <w:rPr>
          <w:rStyle w:val="FootnoteReference"/>
          <w:sz w:val="24"/>
          <w:szCs w:val="24"/>
        </w:rPr>
        <w:footnoteReference w:id="232"/>
      </w:r>
      <w:r>
        <w:rPr>
          <w:sz w:val="24"/>
          <w:szCs w:val="24"/>
        </w:rPr>
        <w:t xml:space="preserve"> was aimed at banks that traded assets, and generally generated a lower capital requirement on the basis that the assets were available for sale, had a price set in the market, were supported by underlying liquidity, and were held in a newly introduced ‘trading book’. Assets that are held in the ‘banking book’ in the form of loans do not have these qualities, albeit that from the late 1980s a key objective of many banks, via securitisation, was to convert the assets in their banking book into something that could be traded – starting off in a relative simple way, and getting particularly complicated with synthetic </w:t>
      </w:r>
      <w:r>
        <w:rPr>
          <w:sz w:val="24"/>
          <w:szCs w:val="24"/>
        </w:rPr>
        <w:lastRenderedPageBreak/>
        <w:t>securitisation, i.e. using credit default swaps to transfer risk off the balance sheet and into a special purpose vehicle</w:t>
      </w:r>
      <w:r w:rsidR="00787757">
        <w:rPr>
          <w:sz w:val="24"/>
          <w:szCs w:val="24"/>
        </w:rPr>
        <w:t>, for onward selling to institutional investors</w:t>
      </w:r>
      <w:r>
        <w:rPr>
          <w:sz w:val="24"/>
          <w:szCs w:val="24"/>
        </w:rPr>
        <w:t>.</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 xml:space="preserve">RFBs </w:t>
      </w:r>
      <w:r w:rsidR="0053391D">
        <w:rPr>
          <w:sz w:val="24"/>
          <w:szCs w:val="24"/>
        </w:rPr>
        <w:t>will not be allowed to operate a trading book</w:t>
      </w:r>
      <w:r>
        <w:rPr>
          <w:sz w:val="24"/>
          <w:szCs w:val="24"/>
        </w:rPr>
        <w:t>. Although some trading will no doubt be carried out by the RFBs treasury function, such trading should not be for profit, i.e. any trading that is done should be done for hedging purposes only, for example, hedging a portfolio of fixed interest mortgages.</w:t>
      </w:r>
    </w:p>
    <w:p w:rsidR="00BC1309" w:rsidRDefault="00BC1309" w:rsidP="00A72AD6">
      <w:pPr>
        <w:spacing w:line="480" w:lineRule="auto"/>
        <w:jc w:val="both"/>
        <w:rPr>
          <w:sz w:val="24"/>
          <w:szCs w:val="24"/>
        </w:rPr>
      </w:pPr>
    </w:p>
    <w:p w:rsidR="00BC1309" w:rsidRDefault="00BC1309" w:rsidP="00A72AD6">
      <w:pPr>
        <w:spacing w:line="480" w:lineRule="auto"/>
        <w:jc w:val="both"/>
        <w:rPr>
          <w:i/>
          <w:sz w:val="24"/>
          <w:szCs w:val="24"/>
          <w:u w:val="single"/>
        </w:rPr>
      </w:pPr>
      <w:r w:rsidRPr="008E3228">
        <w:rPr>
          <w:i/>
          <w:sz w:val="24"/>
          <w:szCs w:val="24"/>
          <w:u w:val="single"/>
        </w:rPr>
        <w:t>Operational Risk</w:t>
      </w:r>
    </w:p>
    <w:p w:rsidR="00BC1309" w:rsidRDefault="00BC1309" w:rsidP="00A72AD6">
      <w:pPr>
        <w:spacing w:line="480" w:lineRule="auto"/>
        <w:jc w:val="both"/>
        <w:rPr>
          <w:sz w:val="24"/>
          <w:szCs w:val="24"/>
        </w:rPr>
      </w:pPr>
      <w:r>
        <w:rPr>
          <w:sz w:val="24"/>
          <w:szCs w:val="24"/>
        </w:rPr>
        <w:t xml:space="preserve">Operational risk </w:t>
      </w:r>
      <w:r w:rsidR="0053391D">
        <w:rPr>
          <w:sz w:val="24"/>
          <w:szCs w:val="24"/>
        </w:rPr>
        <w:t>will</w:t>
      </w:r>
      <w:r>
        <w:rPr>
          <w:sz w:val="24"/>
          <w:szCs w:val="24"/>
        </w:rPr>
        <w:t xml:space="preserve"> also </w:t>
      </w:r>
      <w:r w:rsidR="0053391D">
        <w:rPr>
          <w:sz w:val="24"/>
          <w:szCs w:val="24"/>
        </w:rPr>
        <w:t>be</w:t>
      </w:r>
      <w:r>
        <w:rPr>
          <w:sz w:val="24"/>
          <w:szCs w:val="24"/>
        </w:rPr>
        <w:t xml:space="preserve"> key risk for RFBs, however, unlike credit risk it is a risk that they would like to avoid as there is no profit to be made from it, and potentially serious losses, regulatory fines and</w:t>
      </w:r>
      <w:r w:rsidR="00B167C6">
        <w:rPr>
          <w:sz w:val="24"/>
          <w:szCs w:val="24"/>
        </w:rPr>
        <w:t xml:space="preserve"> </w:t>
      </w:r>
      <w:r>
        <w:rPr>
          <w:sz w:val="24"/>
          <w:szCs w:val="24"/>
        </w:rPr>
        <w:t>damage to the RFBs reputation could occur. Operational risk is a cost of doing business.</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As with credit risk RFBs will have three approaches to operational risk that they can choose from: (1) the Basic Indicator Approach (BIA)</w:t>
      </w:r>
      <w:r>
        <w:rPr>
          <w:rStyle w:val="FootnoteReference"/>
          <w:sz w:val="24"/>
          <w:szCs w:val="24"/>
        </w:rPr>
        <w:footnoteReference w:id="233"/>
      </w:r>
      <w:r>
        <w:rPr>
          <w:sz w:val="24"/>
          <w:szCs w:val="24"/>
        </w:rPr>
        <w:t>; (2) The Standardised Approach (TSA)</w:t>
      </w:r>
      <w:r>
        <w:rPr>
          <w:rStyle w:val="FootnoteReference"/>
          <w:sz w:val="24"/>
          <w:szCs w:val="24"/>
        </w:rPr>
        <w:footnoteReference w:id="234"/>
      </w:r>
      <w:r>
        <w:rPr>
          <w:sz w:val="24"/>
          <w:szCs w:val="24"/>
        </w:rPr>
        <w:t>; and the Advanced Measurement Approach (AMA)</w:t>
      </w:r>
      <w:r>
        <w:rPr>
          <w:rStyle w:val="FootnoteReference"/>
          <w:sz w:val="24"/>
          <w:szCs w:val="24"/>
        </w:rPr>
        <w:footnoteReference w:id="235"/>
      </w:r>
      <w:r>
        <w:rPr>
          <w:sz w:val="24"/>
          <w:szCs w:val="24"/>
        </w:rPr>
        <w:t xml:space="preserve"> – again with lower capital requirements for more advanced approaches. It is possible under the AMA to obtain a reduction on the basis of insurance, subject to meeting certain requirements</w:t>
      </w:r>
      <w:r>
        <w:rPr>
          <w:rStyle w:val="FootnoteReference"/>
          <w:sz w:val="24"/>
          <w:szCs w:val="24"/>
        </w:rPr>
        <w:footnoteReference w:id="236"/>
      </w:r>
      <w:r>
        <w:rPr>
          <w:sz w:val="24"/>
          <w:szCs w:val="24"/>
        </w:rPr>
        <w:t xml:space="preserve">. </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lastRenderedPageBreak/>
        <w:t>The Basic Indicator, with the highest operational risk capital requirement, is mainly for banks that have very basic business models and do not have an operational risk function. Very few firms are on the Advanced Measurement Approach, which requires substantial investment in modelling capability, and regulatory approval. The majority of firms are on the Standardised Approach, and it is to be expected that the majority of RFBs will be on such an approach, except in instance</w:t>
      </w:r>
      <w:r w:rsidR="00AE0FBC">
        <w:rPr>
          <w:sz w:val="24"/>
          <w:szCs w:val="24"/>
        </w:rPr>
        <w:t>s</w:t>
      </w:r>
      <w:r>
        <w:rPr>
          <w:sz w:val="24"/>
          <w:szCs w:val="24"/>
        </w:rPr>
        <w:t xml:space="preserve"> where their parent may have made an investment in developing AMA, and is either an AMA bank or ready to go AMA. In any event the RFB will need to apply to the PRA for a waiver to use the AMA and will need to satisfy the criteria set out in the relevant EBA RTS</w:t>
      </w:r>
      <w:r w:rsidR="0053391D">
        <w:rPr>
          <w:rStyle w:val="FootnoteReference"/>
          <w:sz w:val="24"/>
          <w:szCs w:val="24"/>
        </w:rPr>
        <w:footnoteReference w:id="237"/>
      </w:r>
      <w:r>
        <w:rPr>
          <w:sz w:val="24"/>
          <w:szCs w:val="24"/>
        </w:rPr>
        <w:t>. Given the nature of the business of an RFB, the cost-benefit analysis of moving from TSA to AM</w:t>
      </w:r>
      <w:r w:rsidR="00AE0FBC">
        <w:rPr>
          <w:sz w:val="24"/>
          <w:szCs w:val="24"/>
        </w:rPr>
        <w:t>A</w:t>
      </w:r>
      <w:r>
        <w:rPr>
          <w:sz w:val="24"/>
          <w:szCs w:val="24"/>
        </w:rPr>
        <w:t xml:space="preserve"> may not be justified.</w:t>
      </w:r>
    </w:p>
    <w:p w:rsidR="00BC1309" w:rsidRDefault="00BC1309" w:rsidP="00A72AD6">
      <w:pPr>
        <w:spacing w:line="480" w:lineRule="auto"/>
        <w:jc w:val="both"/>
        <w:rPr>
          <w:sz w:val="24"/>
          <w:szCs w:val="24"/>
        </w:rPr>
      </w:pPr>
    </w:p>
    <w:p w:rsidR="00BC1309" w:rsidRDefault="00BC1309" w:rsidP="00A72AD6">
      <w:pPr>
        <w:spacing w:line="480" w:lineRule="auto"/>
        <w:jc w:val="both"/>
        <w:rPr>
          <w:sz w:val="24"/>
          <w:szCs w:val="24"/>
        </w:rPr>
      </w:pPr>
      <w:r>
        <w:rPr>
          <w:sz w:val="24"/>
          <w:szCs w:val="24"/>
        </w:rPr>
        <w:t>For an RFB applying the TSA approach the Pillar 1 charge is based on the application of a Beta factor to the average of three years gross revenue of the relevant business lines</w:t>
      </w:r>
      <w:r>
        <w:rPr>
          <w:rStyle w:val="FootnoteReference"/>
          <w:sz w:val="24"/>
          <w:szCs w:val="24"/>
        </w:rPr>
        <w:footnoteReference w:id="238"/>
      </w:r>
      <w:r>
        <w:rPr>
          <w:sz w:val="24"/>
          <w:szCs w:val="24"/>
        </w:rPr>
        <w:t>. For the core business of an RFB – retail and commercial – the Betas are 12% and 15% respectively</w:t>
      </w:r>
      <w:r>
        <w:rPr>
          <w:rStyle w:val="FootnoteReference"/>
          <w:sz w:val="24"/>
          <w:szCs w:val="24"/>
        </w:rPr>
        <w:footnoteReference w:id="239"/>
      </w:r>
      <w:r>
        <w:rPr>
          <w:sz w:val="24"/>
          <w:szCs w:val="24"/>
        </w:rPr>
        <w:t>.</w:t>
      </w:r>
    </w:p>
    <w:p w:rsidR="00BC1309" w:rsidRDefault="00BC1309" w:rsidP="00A72AD6">
      <w:pPr>
        <w:spacing w:line="480" w:lineRule="auto"/>
        <w:jc w:val="both"/>
        <w:rPr>
          <w:sz w:val="24"/>
          <w:szCs w:val="24"/>
        </w:rPr>
      </w:pPr>
    </w:p>
    <w:p w:rsidR="00BC1309" w:rsidRDefault="00A72986" w:rsidP="00A72AD6">
      <w:pPr>
        <w:spacing w:line="480" w:lineRule="auto"/>
        <w:jc w:val="both"/>
        <w:rPr>
          <w:sz w:val="24"/>
          <w:szCs w:val="24"/>
        </w:rPr>
      </w:pPr>
      <w:r>
        <w:rPr>
          <w:sz w:val="24"/>
          <w:szCs w:val="24"/>
        </w:rPr>
        <w:t>All</w:t>
      </w:r>
      <w:r w:rsidR="00BC1309">
        <w:rPr>
          <w:sz w:val="24"/>
          <w:szCs w:val="24"/>
        </w:rPr>
        <w:t xml:space="preserve"> RFBs </w:t>
      </w:r>
      <w:r w:rsidR="0053391D">
        <w:rPr>
          <w:sz w:val="24"/>
          <w:szCs w:val="24"/>
        </w:rPr>
        <w:t xml:space="preserve">will </w:t>
      </w:r>
      <w:r w:rsidR="00BC1309">
        <w:rPr>
          <w:sz w:val="24"/>
          <w:szCs w:val="24"/>
        </w:rPr>
        <w:t xml:space="preserve">have </w:t>
      </w:r>
      <w:r w:rsidR="0053391D">
        <w:rPr>
          <w:sz w:val="24"/>
          <w:szCs w:val="24"/>
        </w:rPr>
        <w:t xml:space="preserve">the following </w:t>
      </w:r>
      <w:r w:rsidR="00BC1309">
        <w:rPr>
          <w:sz w:val="24"/>
          <w:szCs w:val="24"/>
        </w:rPr>
        <w:t>two components to their Pillar 1 capital charge:</w:t>
      </w:r>
    </w:p>
    <w:p w:rsidR="00BC1309" w:rsidRDefault="00BC1309" w:rsidP="00A72AD6">
      <w:pPr>
        <w:spacing w:line="480" w:lineRule="auto"/>
        <w:jc w:val="both"/>
        <w:rPr>
          <w:sz w:val="24"/>
          <w:szCs w:val="24"/>
        </w:rPr>
      </w:pPr>
    </w:p>
    <w:p w:rsidR="00BC1309" w:rsidRDefault="00BC1309" w:rsidP="00A72AD6">
      <w:pPr>
        <w:numPr>
          <w:ilvl w:val="0"/>
          <w:numId w:val="11"/>
        </w:numPr>
        <w:spacing w:line="480" w:lineRule="auto"/>
        <w:jc w:val="both"/>
        <w:rPr>
          <w:sz w:val="24"/>
          <w:szCs w:val="24"/>
        </w:rPr>
      </w:pPr>
      <w:r>
        <w:rPr>
          <w:sz w:val="24"/>
          <w:szCs w:val="24"/>
        </w:rPr>
        <w:t>Credit Risk</w:t>
      </w:r>
      <w:r w:rsidR="0053391D">
        <w:rPr>
          <w:sz w:val="24"/>
          <w:szCs w:val="24"/>
        </w:rPr>
        <w:t xml:space="preserve"> (including Counterparty Credit Risk)</w:t>
      </w:r>
      <w:r>
        <w:rPr>
          <w:sz w:val="24"/>
          <w:szCs w:val="24"/>
        </w:rPr>
        <w:t>; and</w:t>
      </w:r>
    </w:p>
    <w:p w:rsidR="00BC1309" w:rsidRPr="008E3228" w:rsidRDefault="00BC1309" w:rsidP="00A72AD6">
      <w:pPr>
        <w:numPr>
          <w:ilvl w:val="0"/>
          <w:numId w:val="11"/>
        </w:numPr>
        <w:spacing w:line="480" w:lineRule="auto"/>
        <w:jc w:val="both"/>
        <w:rPr>
          <w:sz w:val="24"/>
          <w:szCs w:val="24"/>
        </w:rPr>
      </w:pPr>
      <w:r>
        <w:rPr>
          <w:sz w:val="24"/>
          <w:szCs w:val="24"/>
        </w:rPr>
        <w:t>Operational Risk</w:t>
      </w:r>
    </w:p>
    <w:p w:rsidR="00BC1309" w:rsidRPr="005A7ABA" w:rsidRDefault="00BC1309" w:rsidP="00A72AD6">
      <w:pPr>
        <w:spacing w:line="480" w:lineRule="auto"/>
        <w:jc w:val="both"/>
        <w:rPr>
          <w:i/>
          <w:sz w:val="24"/>
          <w:szCs w:val="24"/>
          <w:u w:val="single"/>
        </w:rPr>
      </w:pPr>
    </w:p>
    <w:p w:rsidR="00BC1309" w:rsidRPr="00DA55A4" w:rsidRDefault="00BC1309" w:rsidP="00A72AD6">
      <w:pPr>
        <w:spacing w:line="480" w:lineRule="auto"/>
        <w:rPr>
          <w:b/>
          <w:i/>
          <w:sz w:val="24"/>
          <w:szCs w:val="24"/>
        </w:rPr>
      </w:pPr>
      <w:r w:rsidRPr="00DA55A4">
        <w:rPr>
          <w:b/>
          <w:i/>
          <w:sz w:val="24"/>
          <w:szCs w:val="24"/>
        </w:rPr>
        <w:t>Calculating the Pillar 2A Capital Charge</w:t>
      </w:r>
    </w:p>
    <w:p w:rsidR="00985258" w:rsidRDefault="00985258" w:rsidP="00A72AD6">
      <w:pPr>
        <w:spacing w:line="480" w:lineRule="auto"/>
        <w:jc w:val="both"/>
        <w:rPr>
          <w:sz w:val="24"/>
          <w:szCs w:val="24"/>
        </w:rPr>
      </w:pPr>
      <w:r>
        <w:rPr>
          <w:sz w:val="24"/>
          <w:szCs w:val="24"/>
        </w:rPr>
        <w:lastRenderedPageBreak/>
        <w:t>The purpose of Pillar 2A is to allow the RFB to assess whether the formulaic methodology used generates a reliable capital charge relative to the risk profile of the RFB.</w:t>
      </w:r>
    </w:p>
    <w:p w:rsidR="00985258" w:rsidRDefault="00985258" w:rsidP="00A72AD6">
      <w:pPr>
        <w:spacing w:line="480" w:lineRule="auto"/>
        <w:jc w:val="both"/>
        <w:rPr>
          <w:sz w:val="24"/>
          <w:szCs w:val="24"/>
        </w:rPr>
      </w:pPr>
    </w:p>
    <w:p w:rsidR="00BC1309" w:rsidRPr="000664A1" w:rsidRDefault="00BC1309" w:rsidP="00A72AD6">
      <w:pPr>
        <w:spacing w:line="480" w:lineRule="auto"/>
        <w:jc w:val="both"/>
        <w:rPr>
          <w:sz w:val="24"/>
          <w:szCs w:val="24"/>
        </w:rPr>
      </w:pPr>
      <w:r w:rsidRPr="000664A1">
        <w:rPr>
          <w:sz w:val="24"/>
          <w:szCs w:val="24"/>
        </w:rPr>
        <w:t>The Pillar 2A capital charge is based on the RFBs assessment of risk</w:t>
      </w:r>
      <w:r w:rsidR="00A95E5B">
        <w:rPr>
          <w:sz w:val="24"/>
          <w:szCs w:val="24"/>
        </w:rPr>
        <w:t>s</w:t>
      </w:r>
      <w:r w:rsidRPr="000664A1">
        <w:rPr>
          <w:sz w:val="24"/>
          <w:szCs w:val="24"/>
        </w:rPr>
        <w:t xml:space="preserve"> that are not covered by Pillar 1, or not adequately covered by Pillar 1. They are not covered by standard calculations, and are a bespoke assessment based on the idiosyncratic risk profile of each bank. The PRA is currently reviewing it</w:t>
      </w:r>
      <w:r w:rsidR="00AE0FBC">
        <w:rPr>
          <w:sz w:val="24"/>
          <w:szCs w:val="24"/>
        </w:rPr>
        <w:t>s</w:t>
      </w:r>
      <w:r w:rsidRPr="000664A1">
        <w:rPr>
          <w:sz w:val="24"/>
          <w:szCs w:val="24"/>
        </w:rPr>
        <w:t xml:space="preserve"> methodologies for assessing Pillar 2 capital requirements and is being more transparent about its methodologies</w:t>
      </w:r>
      <w:r w:rsidRPr="000664A1">
        <w:rPr>
          <w:rStyle w:val="FootnoteReference"/>
          <w:sz w:val="24"/>
          <w:szCs w:val="24"/>
        </w:rPr>
        <w:footnoteReference w:id="240"/>
      </w:r>
      <w:r w:rsidRPr="000664A1">
        <w:rPr>
          <w:sz w:val="24"/>
          <w:szCs w:val="24"/>
        </w:rPr>
        <w:t>.</w:t>
      </w:r>
    </w:p>
    <w:p w:rsidR="00BC1309" w:rsidRDefault="00BC1309" w:rsidP="00A72AD6">
      <w:pPr>
        <w:spacing w:line="480" w:lineRule="auto"/>
        <w:rPr>
          <w:b/>
          <w:bCs/>
          <w:smallCaps/>
          <w:sz w:val="24"/>
          <w:szCs w:val="24"/>
        </w:rPr>
      </w:pPr>
    </w:p>
    <w:p w:rsidR="00BC1309" w:rsidRDefault="00BC1309" w:rsidP="00A72AD6">
      <w:pPr>
        <w:spacing w:line="480" w:lineRule="auto"/>
        <w:jc w:val="both"/>
        <w:rPr>
          <w:sz w:val="24"/>
          <w:szCs w:val="24"/>
        </w:rPr>
      </w:pPr>
      <w:r w:rsidRPr="000664A1">
        <w:rPr>
          <w:sz w:val="24"/>
          <w:szCs w:val="24"/>
        </w:rPr>
        <w:t>The EBA SREP guidance</w:t>
      </w:r>
      <w:r w:rsidRPr="000664A1">
        <w:rPr>
          <w:rStyle w:val="FootnoteReference"/>
          <w:sz w:val="24"/>
          <w:szCs w:val="24"/>
        </w:rPr>
        <w:footnoteReference w:id="241"/>
      </w:r>
      <w:r w:rsidRPr="000664A1">
        <w:rPr>
          <w:sz w:val="24"/>
          <w:szCs w:val="24"/>
        </w:rPr>
        <w:t>, and the PRA Rulebook</w:t>
      </w:r>
      <w:r w:rsidRPr="000664A1">
        <w:rPr>
          <w:rStyle w:val="FootnoteReference"/>
          <w:sz w:val="24"/>
          <w:szCs w:val="24"/>
        </w:rPr>
        <w:footnoteReference w:id="242"/>
      </w:r>
      <w:r w:rsidRPr="000664A1">
        <w:rPr>
          <w:sz w:val="24"/>
          <w:szCs w:val="24"/>
        </w:rPr>
        <w:t>, suggest that the following should be assessed at Pillar 2A:</w:t>
      </w:r>
    </w:p>
    <w:p w:rsidR="00A72986" w:rsidRPr="000664A1" w:rsidRDefault="00A72986" w:rsidP="00A72AD6">
      <w:pPr>
        <w:spacing w:line="480" w:lineRule="auto"/>
        <w:jc w:val="both"/>
        <w:rPr>
          <w:sz w:val="24"/>
          <w:szCs w:val="24"/>
        </w:rPr>
      </w:pPr>
    </w:p>
    <w:p w:rsidR="00BC1309" w:rsidRDefault="00BC1309" w:rsidP="00A72AD6">
      <w:pPr>
        <w:numPr>
          <w:ilvl w:val="0"/>
          <w:numId w:val="12"/>
        </w:numPr>
        <w:spacing w:line="480" w:lineRule="auto"/>
        <w:rPr>
          <w:sz w:val="24"/>
          <w:szCs w:val="24"/>
        </w:rPr>
      </w:pPr>
      <w:r w:rsidRPr="00AB0475">
        <w:rPr>
          <w:sz w:val="24"/>
          <w:szCs w:val="24"/>
        </w:rPr>
        <w:t>Credit and Counterparty Risk</w:t>
      </w:r>
      <w:r>
        <w:rPr>
          <w:rStyle w:val="FootnoteReference"/>
          <w:sz w:val="24"/>
          <w:szCs w:val="24"/>
        </w:rPr>
        <w:footnoteReference w:id="243"/>
      </w:r>
      <w:r>
        <w:rPr>
          <w:sz w:val="24"/>
          <w:szCs w:val="24"/>
        </w:rPr>
        <w:t>;</w:t>
      </w:r>
    </w:p>
    <w:p w:rsidR="00BC1309" w:rsidRDefault="00BC1309" w:rsidP="00A72AD6">
      <w:pPr>
        <w:numPr>
          <w:ilvl w:val="0"/>
          <w:numId w:val="12"/>
        </w:numPr>
        <w:spacing w:line="480" w:lineRule="auto"/>
        <w:rPr>
          <w:sz w:val="24"/>
          <w:szCs w:val="24"/>
        </w:rPr>
      </w:pPr>
      <w:r>
        <w:rPr>
          <w:sz w:val="24"/>
          <w:szCs w:val="24"/>
        </w:rPr>
        <w:t>Market Risk</w:t>
      </w:r>
      <w:r>
        <w:rPr>
          <w:rStyle w:val="FootnoteReference"/>
          <w:sz w:val="24"/>
          <w:szCs w:val="24"/>
        </w:rPr>
        <w:footnoteReference w:id="244"/>
      </w:r>
      <w:r>
        <w:rPr>
          <w:sz w:val="24"/>
          <w:szCs w:val="24"/>
        </w:rPr>
        <w:t>;</w:t>
      </w:r>
    </w:p>
    <w:p w:rsidR="00BC1309" w:rsidRDefault="00BC1309" w:rsidP="00A72AD6">
      <w:pPr>
        <w:numPr>
          <w:ilvl w:val="0"/>
          <w:numId w:val="12"/>
        </w:numPr>
        <w:spacing w:line="480" w:lineRule="auto"/>
        <w:rPr>
          <w:sz w:val="24"/>
          <w:szCs w:val="24"/>
        </w:rPr>
      </w:pPr>
      <w:r>
        <w:rPr>
          <w:sz w:val="24"/>
          <w:szCs w:val="24"/>
        </w:rPr>
        <w:t>Liquidity Risk</w:t>
      </w:r>
      <w:r>
        <w:rPr>
          <w:rStyle w:val="FootnoteReference"/>
          <w:sz w:val="24"/>
          <w:szCs w:val="24"/>
        </w:rPr>
        <w:footnoteReference w:id="245"/>
      </w:r>
      <w:r>
        <w:rPr>
          <w:sz w:val="24"/>
          <w:szCs w:val="24"/>
        </w:rPr>
        <w:t>;</w:t>
      </w:r>
    </w:p>
    <w:p w:rsidR="00BC1309" w:rsidRDefault="00BC1309" w:rsidP="00A72AD6">
      <w:pPr>
        <w:numPr>
          <w:ilvl w:val="0"/>
          <w:numId w:val="12"/>
        </w:numPr>
        <w:spacing w:line="480" w:lineRule="auto"/>
        <w:rPr>
          <w:sz w:val="24"/>
          <w:szCs w:val="24"/>
        </w:rPr>
      </w:pPr>
      <w:r>
        <w:rPr>
          <w:sz w:val="24"/>
          <w:szCs w:val="24"/>
        </w:rPr>
        <w:t>Operational Risk</w:t>
      </w:r>
      <w:r>
        <w:rPr>
          <w:rStyle w:val="FootnoteReference"/>
          <w:sz w:val="24"/>
          <w:szCs w:val="24"/>
        </w:rPr>
        <w:footnoteReference w:id="246"/>
      </w:r>
      <w:r>
        <w:rPr>
          <w:sz w:val="24"/>
          <w:szCs w:val="24"/>
        </w:rPr>
        <w:t>;</w:t>
      </w:r>
    </w:p>
    <w:p w:rsidR="00BC1309" w:rsidRDefault="00BC1309" w:rsidP="00A72AD6">
      <w:pPr>
        <w:numPr>
          <w:ilvl w:val="0"/>
          <w:numId w:val="12"/>
        </w:numPr>
        <w:spacing w:line="480" w:lineRule="auto"/>
        <w:rPr>
          <w:sz w:val="24"/>
          <w:szCs w:val="24"/>
        </w:rPr>
      </w:pPr>
      <w:r>
        <w:rPr>
          <w:sz w:val="24"/>
          <w:szCs w:val="24"/>
        </w:rPr>
        <w:t>Concentration Risk</w:t>
      </w:r>
      <w:r>
        <w:rPr>
          <w:rStyle w:val="FootnoteReference"/>
          <w:sz w:val="24"/>
          <w:szCs w:val="24"/>
        </w:rPr>
        <w:footnoteReference w:id="247"/>
      </w:r>
      <w:r>
        <w:rPr>
          <w:sz w:val="24"/>
          <w:szCs w:val="24"/>
        </w:rPr>
        <w:t>;</w:t>
      </w:r>
    </w:p>
    <w:p w:rsidR="00BC1309" w:rsidRDefault="00BC1309" w:rsidP="00A72AD6">
      <w:pPr>
        <w:numPr>
          <w:ilvl w:val="0"/>
          <w:numId w:val="12"/>
        </w:numPr>
        <w:spacing w:line="480" w:lineRule="auto"/>
        <w:rPr>
          <w:sz w:val="24"/>
          <w:szCs w:val="24"/>
        </w:rPr>
      </w:pPr>
      <w:r>
        <w:rPr>
          <w:sz w:val="24"/>
          <w:szCs w:val="24"/>
        </w:rPr>
        <w:lastRenderedPageBreak/>
        <w:t>Residual Risk</w:t>
      </w:r>
      <w:r>
        <w:rPr>
          <w:rStyle w:val="FootnoteReference"/>
          <w:sz w:val="24"/>
          <w:szCs w:val="24"/>
        </w:rPr>
        <w:footnoteReference w:id="248"/>
      </w:r>
      <w:r>
        <w:rPr>
          <w:sz w:val="24"/>
          <w:szCs w:val="24"/>
        </w:rPr>
        <w:t>;</w:t>
      </w:r>
    </w:p>
    <w:p w:rsidR="00BC1309" w:rsidRDefault="00BC1309" w:rsidP="00A72AD6">
      <w:pPr>
        <w:numPr>
          <w:ilvl w:val="0"/>
          <w:numId w:val="12"/>
        </w:numPr>
        <w:spacing w:line="480" w:lineRule="auto"/>
        <w:rPr>
          <w:sz w:val="24"/>
          <w:szCs w:val="24"/>
        </w:rPr>
      </w:pPr>
      <w:r>
        <w:rPr>
          <w:sz w:val="24"/>
          <w:szCs w:val="24"/>
        </w:rPr>
        <w:t>Securitisation Risk</w:t>
      </w:r>
      <w:r>
        <w:rPr>
          <w:rStyle w:val="FootnoteReference"/>
          <w:sz w:val="24"/>
          <w:szCs w:val="24"/>
        </w:rPr>
        <w:footnoteReference w:id="249"/>
      </w:r>
      <w:r>
        <w:rPr>
          <w:sz w:val="24"/>
          <w:szCs w:val="24"/>
        </w:rPr>
        <w:t>;</w:t>
      </w:r>
    </w:p>
    <w:p w:rsidR="00BC1309" w:rsidRDefault="00BC1309" w:rsidP="00A72AD6">
      <w:pPr>
        <w:numPr>
          <w:ilvl w:val="0"/>
          <w:numId w:val="12"/>
        </w:numPr>
        <w:spacing w:line="480" w:lineRule="auto"/>
        <w:rPr>
          <w:sz w:val="24"/>
          <w:szCs w:val="24"/>
        </w:rPr>
      </w:pPr>
      <w:r>
        <w:rPr>
          <w:sz w:val="24"/>
          <w:szCs w:val="24"/>
        </w:rPr>
        <w:t>Business Risk;</w:t>
      </w:r>
    </w:p>
    <w:p w:rsidR="00BC1309" w:rsidRDefault="00BC1309" w:rsidP="00A72AD6">
      <w:pPr>
        <w:numPr>
          <w:ilvl w:val="0"/>
          <w:numId w:val="12"/>
        </w:numPr>
        <w:spacing w:line="480" w:lineRule="auto"/>
        <w:rPr>
          <w:sz w:val="24"/>
          <w:szCs w:val="24"/>
        </w:rPr>
      </w:pPr>
      <w:r>
        <w:rPr>
          <w:sz w:val="24"/>
          <w:szCs w:val="24"/>
        </w:rPr>
        <w:t>Interest Rate Risk in the Banking Book</w:t>
      </w:r>
      <w:r>
        <w:rPr>
          <w:rStyle w:val="FootnoteReference"/>
          <w:sz w:val="24"/>
          <w:szCs w:val="24"/>
        </w:rPr>
        <w:footnoteReference w:id="250"/>
      </w:r>
      <w:r>
        <w:rPr>
          <w:sz w:val="24"/>
          <w:szCs w:val="24"/>
        </w:rPr>
        <w:t>;</w:t>
      </w:r>
    </w:p>
    <w:p w:rsidR="00BC1309" w:rsidRDefault="00BC1309" w:rsidP="00A72AD6">
      <w:pPr>
        <w:numPr>
          <w:ilvl w:val="0"/>
          <w:numId w:val="12"/>
        </w:numPr>
        <w:spacing w:line="480" w:lineRule="auto"/>
        <w:rPr>
          <w:sz w:val="24"/>
          <w:szCs w:val="24"/>
        </w:rPr>
      </w:pPr>
      <w:r>
        <w:rPr>
          <w:sz w:val="24"/>
          <w:szCs w:val="24"/>
        </w:rPr>
        <w:t>Risk of Excessive Leverage</w:t>
      </w:r>
      <w:r>
        <w:rPr>
          <w:rStyle w:val="FootnoteReference"/>
          <w:sz w:val="24"/>
          <w:szCs w:val="24"/>
        </w:rPr>
        <w:footnoteReference w:id="251"/>
      </w:r>
      <w:r>
        <w:rPr>
          <w:sz w:val="24"/>
          <w:szCs w:val="24"/>
        </w:rPr>
        <w:t>;</w:t>
      </w:r>
    </w:p>
    <w:p w:rsidR="00BC1309" w:rsidRDefault="00BC1309" w:rsidP="00A72AD6">
      <w:pPr>
        <w:numPr>
          <w:ilvl w:val="0"/>
          <w:numId w:val="12"/>
        </w:numPr>
        <w:spacing w:line="480" w:lineRule="auto"/>
        <w:rPr>
          <w:sz w:val="24"/>
          <w:szCs w:val="24"/>
        </w:rPr>
      </w:pPr>
      <w:r>
        <w:rPr>
          <w:sz w:val="24"/>
          <w:szCs w:val="24"/>
        </w:rPr>
        <w:t>Pension Obligation Risk; and</w:t>
      </w:r>
    </w:p>
    <w:p w:rsidR="00BC1309" w:rsidRPr="00AB0475" w:rsidRDefault="00BC1309" w:rsidP="00A72AD6">
      <w:pPr>
        <w:numPr>
          <w:ilvl w:val="0"/>
          <w:numId w:val="12"/>
        </w:numPr>
        <w:spacing w:line="480" w:lineRule="auto"/>
        <w:rPr>
          <w:sz w:val="24"/>
          <w:szCs w:val="24"/>
        </w:rPr>
      </w:pPr>
      <w:r>
        <w:rPr>
          <w:sz w:val="24"/>
          <w:szCs w:val="24"/>
        </w:rPr>
        <w:t>Group Risk.</w:t>
      </w:r>
    </w:p>
    <w:p w:rsidR="00A72986" w:rsidRDefault="00A72986" w:rsidP="00A72AD6">
      <w:pPr>
        <w:spacing w:line="480" w:lineRule="auto"/>
        <w:jc w:val="both"/>
        <w:rPr>
          <w:sz w:val="24"/>
          <w:szCs w:val="24"/>
        </w:rPr>
      </w:pPr>
    </w:p>
    <w:p w:rsidR="00A72986" w:rsidRDefault="00A72986" w:rsidP="00A72AD6">
      <w:pPr>
        <w:spacing w:line="480" w:lineRule="auto"/>
        <w:jc w:val="both"/>
        <w:rPr>
          <w:sz w:val="24"/>
          <w:szCs w:val="24"/>
        </w:rPr>
      </w:pPr>
      <w:r>
        <w:rPr>
          <w:sz w:val="24"/>
          <w:szCs w:val="24"/>
        </w:rPr>
        <w:t>The c</w:t>
      </w:r>
      <w:r w:rsidR="00B63EFB">
        <w:rPr>
          <w:sz w:val="24"/>
          <w:szCs w:val="24"/>
        </w:rPr>
        <w:t>redit risk, market risk, and operational risk</w:t>
      </w:r>
      <w:r>
        <w:rPr>
          <w:sz w:val="24"/>
          <w:szCs w:val="24"/>
        </w:rPr>
        <w:t xml:space="preserve"> formulaic calculations are addressed in Pillar 1 above. </w:t>
      </w:r>
      <w:r w:rsidR="00985258">
        <w:rPr>
          <w:sz w:val="24"/>
          <w:szCs w:val="24"/>
        </w:rPr>
        <w:t>Although all risks should be considered, f</w:t>
      </w:r>
      <w:r>
        <w:rPr>
          <w:sz w:val="24"/>
          <w:szCs w:val="24"/>
        </w:rPr>
        <w:t>or a</w:t>
      </w:r>
      <w:r w:rsidR="00985258">
        <w:rPr>
          <w:sz w:val="24"/>
          <w:szCs w:val="24"/>
        </w:rPr>
        <w:t xml:space="preserve">n </w:t>
      </w:r>
      <w:r>
        <w:rPr>
          <w:sz w:val="24"/>
          <w:szCs w:val="24"/>
        </w:rPr>
        <w:t xml:space="preserve">RFB, the </w:t>
      </w:r>
      <w:r w:rsidR="00985258">
        <w:rPr>
          <w:sz w:val="24"/>
          <w:szCs w:val="24"/>
        </w:rPr>
        <w:t xml:space="preserve">key </w:t>
      </w:r>
      <w:r>
        <w:rPr>
          <w:sz w:val="24"/>
          <w:szCs w:val="24"/>
        </w:rPr>
        <w:t>Pillar 2A risks will be:</w:t>
      </w:r>
    </w:p>
    <w:p w:rsidR="00A72986" w:rsidRDefault="00A72986" w:rsidP="00A72AD6">
      <w:pPr>
        <w:spacing w:line="480" w:lineRule="auto"/>
        <w:jc w:val="both"/>
        <w:rPr>
          <w:sz w:val="24"/>
          <w:szCs w:val="24"/>
        </w:rPr>
      </w:pPr>
    </w:p>
    <w:p w:rsidR="00BC1309" w:rsidRDefault="00A72986" w:rsidP="00A72AD6">
      <w:pPr>
        <w:pStyle w:val="ListParagraph"/>
        <w:numPr>
          <w:ilvl w:val="0"/>
          <w:numId w:val="30"/>
        </w:numPr>
        <w:spacing w:line="480" w:lineRule="auto"/>
        <w:jc w:val="both"/>
        <w:rPr>
          <w:sz w:val="24"/>
          <w:szCs w:val="24"/>
        </w:rPr>
      </w:pPr>
      <w:r>
        <w:rPr>
          <w:sz w:val="24"/>
          <w:szCs w:val="24"/>
        </w:rPr>
        <w:t>Credit Risk</w:t>
      </w:r>
    </w:p>
    <w:p w:rsidR="00A72986" w:rsidRDefault="00A72986" w:rsidP="00A72AD6">
      <w:pPr>
        <w:pStyle w:val="ListParagraph"/>
        <w:numPr>
          <w:ilvl w:val="1"/>
          <w:numId w:val="30"/>
        </w:numPr>
        <w:spacing w:line="480" w:lineRule="auto"/>
        <w:jc w:val="both"/>
        <w:rPr>
          <w:sz w:val="24"/>
          <w:szCs w:val="24"/>
        </w:rPr>
      </w:pPr>
      <w:r>
        <w:rPr>
          <w:sz w:val="24"/>
          <w:szCs w:val="24"/>
        </w:rPr>
        <w:t>Core Credit Risk</w:t>
      </w:r>
    </w:p>
    <w:p w:rsidR="00A72986" w:rsidRDefault="00A72986" w:rsidP="00A72AD6">
      <w:pPr>
        <w:pStyle w:val="ListParagraph"/>
        <w:numPr>
          <w:ilvl w:val="1"/>
          <w:numId w:val="30"/>
        </w:numPr>
        <w:spacing w:line="480" w:lineRule="auto"/>
        <w:jc w:val="both"/>
        <w:rPr>
          <w:sz w:val="24"/>
          <w:szCs w:val="24"/>
        </w:rPr>
      </w:pPr>
      <w:r>
        <w:rPr>
          <w:sz w:val="24"/>
          <w:szCs w:val="24"/>
        </w:rPr>
        <w:t>Counterparty Credit Risk</w:t>
      </w:r>
    </w:p>
    <w:p w:rsidR="00A72986" w:rsidRDefault="00A72986" w:rsidP="00A72AD6">
      <w:pPr>
        <w:pStyle w:val="ListParagraph"/>
        <w:numPr>
          <w:ilvl w:val="1"/>
          <w:numId w:val="30"/>
        </w:numPr>
        <w:spacing w:line="480" w:lineRule="auto"/>
        <w:jc w:val="both"/>
        <w:rPr>
          <w:sz w:val="24"/>
          <w:szCs w:val="24"/>
        </w:rPr>
      </w:pPr>
      <w:r>
        <w:rPr>
          <w:sz w:val="24"/>
          <w:szCs w:val="24"/>
        </w:rPr>
        <w:t>Concentration Risk</w:t>
      </w:r>
    </w:p>
    <w:p w:rsidR="00A72986" w:rsidRDefault="00A72986" w:rsidP="00A72AD6">
      <w:pPr>
        <w:pStyle w:val="ListParagraph"/>
        <w:numPr>
          <w:ilvl w:val="0"/>
          <w:numId w:val="30"/>
        </w:numPr>
        <w:spacing w:line="480" w:lineRule="auto"/>
        <w:jc w:val="both"/>
        <w:rPr>
          <w:sz w:val="24"/>
          <w:szCs w:val="24"/>
        </w:rPr>
      </w:pPr>
      <w:r>
        <w:rPr>
          <w:sz w:val="24"/>
          <w:szCs w:val="24"/>
        </w:rPr>
        <w:t>Market Risk</w:t>
      </w:r>
    </w:p>
    <w:p w:rsidR="00A72986" w:rsidRDefault="00A72986" w:rsidP="00A72AD6">
      <w:pPr>
        <w:pStyle w:val="ListParagraph"/>
        <w:numPr>
          <w:ilvl w:val="1"/>
          <w:numId w:val="30"/>
        </w:numPr>
        <w:spacing w:line="480" w:lineRule="auto"/>
        <w:jc w:val="both"/>
        <w:rPr>
          <w:sz w:val="24"/>
          <w:szCs w:val="24"/>
        </w:rPr>
      </w:pPr>
      <w:r>
        <w:rPr>
          <w:sz w:val="24"/>
          <w:szCs w:val="24"/>
        </w:rPr>
        <w:t>Interest Rate Risk in the Banking Book</w:t>
      </w:r>
    </w:p>
    <w:p w:rsidR="00A72986" w:rsidRPr="00A72986" w:rsidRDefault="00A72986" w:rsidP="00A72AD6">
      <w:pPr>
        <w:pStyle w:val="ListParagraph"/>
        <w:numPr>
          <w:ilvl w:val="0"/>
          <w:numId w:val="30"/>
        </w:numPr>
        <w:spacing w:line="480" w:lineRule="auto"/>
        <w:jc w:val="both"/>
        <w:rPr>
          <w:sz w:val="24"/>
          <w:szCs w:val="24"/>
        </w:rPr>
      </w:pPr>
      <w:r>
        <w:rPr>
          <w:sz w:val="24"/>
          <w:szCs w:val="24"/>
        </w:rPr>
        <w:t>Operational Risk</w:t>
      </w:r>
    </w:p>
    <w:p w:rsidR="00BC1309" w:rsidRDefault="00BC1309" w:rsidP="00A72AD6">
      <w:pPr>
        <w:spacing w:line="480" w:lineRule="auto"/>
        <w:rPr>
          <w:sz w:val="24"/>
          <w:szCs w:val="24"/>
        </w:rPr>
      </w:pPr>
    </w:p>
    <w:p w:rsidR="00A72986" w:rsidRDefault="00A72986" w:rsidP="00A72AD6">
      <w:pPr>
        <w:spacing w:line="480" w:lineRule="auto"/>
        <w:jc w:val="both"/>
        <w:rPr>
          <w:sz w:val="24"/>
          <w:szCs w:val="24"/>
        </w:rPr>
      </w:pPr>
      <w:r>
        <w:rPr>
          <w:sz w:val="24"/>
          <w:szCs w:val="24"/>
        </w:rPr>
        <w:lastRenderedPageBreak/>
        <w:t>Capital is not considered a good mitigant for liquidity risk, although like all risks it has underlying operational risk - ‘people, process and systems’ – which is why operational risk is such an important risk. Liquidity risk is addressed in Appendix 3</w:t>
      </w:r>
      <w:r w:rsidR="00985258">
        <w:rPr>
          <w:sz w:val="24"/>
          <w:szCs w:val="24"/>
        </w:rPr>
        <w:t>.</w:t>
      </w:r>
    </w:p>
    <w:p w:rsidR="00A72986" w:rsidRPr="00374B22" w:rsidRDefault="00A72986" w:rsidP="00A72AD6">
      <w:pPr>
        <w:spacing w:line="480" w:lineRule="auto"/>
        <w:rPr>
          <w:sz w:val="24"/>
          <w:szCs w:val="24"/>
        </w:rPr>
      </w:pPr>
    </w:p>
    <w:p w:rsidR="00BC1309" w:rsidRPr="00374B22" w:rsidRDefault="00BC1309" w:rsidP="00A72AD6">
      <w:pPr>
        <w:spacing w:line="480" w:lineRule="auto"/>
        <w:jc w:val="both"/>
        <w:rPr>
          <w:i/>
          <w:sz w:val="24"/>
          <w:szCs w:val="24"/>
          <w:u w:val="single"/>
        </w:rPr>
      </w:pPr>
      <w:r w:rsidRPr="00374B22">
        <w:rPr>
          <w:i/>
          <w:sz w:val="24"/>
          <w:szCs w:val="24"/>
          <w:u w:val="single"/>
        </w:rPr>
        <w:t xml:space="preserve">Credit </w:t>
      </w:r>
      <w:r w:rsidR="00AE0FBC">
        <w:rPr>
          <w:i/>
          <w:sz w:val="24"/>
          <w:szCs w:val="24"/>
          <w:u w:val="single"/>
        </w:rPr>
        <w:t>Risk</w:t>
      </w:r>
    </w:p>
    <w:p w:rsidR="00BC1309" w:rsidRDefault="00BC1309" w:rsidP="00A72AD6">
      <w:pPr>
        <w:spacing w:line="480" w:lineRule="auto"/>
        <w:jc w:val="both"/>
        <w:rPr>
          <w:sz w:val="24"/>
          <w:szCs w:val="24"/>
        </w:rPr>
      </w:pPr>
      <w:r w:rsidRPr="00CE5C45">
        <w:rPr>
          <w:sz w:val="24"/>
          <w:szCs w:val="24"/>
        </w:rPr>
        <w:t xml:space="preserve">The PRA Pillar 2A assessment methodology is based on a comparison of Standardised Approach risk weights to a PRA produced table of IRB risk weight benchmarks. The PRA reserves the right to apply supervisory judgement for any perceived deficiency in the model. The PRA has not produced benchmarks for all portfolios due to a lack of data. The methodology is applied on an aggregate basis, e.g. if there is excess Standardised Approach capital relative to the benchmark in one portfolio (e.g. LTVs less than 50%) the excess can be applied to another portfolio where there is a deficiency (e.g. credit card exposures). </w:t>
      </w:r>
      <w:r w:rsidR="00985258">
        <w:rPr>
          <w:sz w:val="24"/>
          <w:szCs w:val="24"/>
        </w:rPr>
        <w:t>The PRA will take this into consideration in the SREP.</w:t>
      </w:r>
    </w:p>
    <w:p w:rsidR="00AE0FBC" w:rsidRDefault="00AE0FBC" w:rsidP="00A72AD6">
      <w:pPr>
        <w:spacing w:line="480" w:lineRule="auto"/>
        <w:jc w:val="both"/>
        <w:rPr>
          <w:sz w:val="24"/>
          <w:szCs w:val="24"/>
        </w:rPr>
      </w:pPr>
    </w:p>
    <w:p w:rsidR="00AE0FBC" w:rsidRDefault="00AE0FBC" w:rsidP="00A72AD6">
      <w:pPr>
        <w:spacing w:line="480" w:lineRule="auto"/>
        <w:jc w:val="both"/>
        <w:rPr>
          <w:i/>
          <w:sz w:val="24"/>
          <w:szCs w:val="24"/>
          <w:u w:val="single"/>
        </w:rPr>
      </w:pPr>
      <w:r w:rsidRPr="00AE0FBC">
        <w:rPr>
          <w:i/>
          <w:sz w:val="24"/>
          <w:szCs w:val="24"/>
          <w:u w:val="single"/>
        </w:rPr>
        <w:t>Counterparty Risk</w:t>
      </w:r>
    </w:p>
    <w:p w:rsidR="00A72986" w:rsidRDefault="00A72986" w:rsidP="00A72AD6">
      <w:pPr>
        <w:spacing w:line="480" w:lineRule="auto"/>
        <w:jc w:val="both"/>
        <w:rPr>
          <w:i/>
          <w:sz w:val="24"/>
          <w:szCs w:val="24"/>
          <w:u w:val="single"/>
        </w:rPr>
      </w:pPr>
    </w:p>
    <w:p w:rsidR="006C4DBD" w:rsidRPr="006C4DBD" w:rsidRDefault="006C4DBD" w:rsidP="00A72AD6">
      <w:pPr>
        <w:spacing w:line="480" w:lineRule="auto"/>
        <w:jc w:val="both"/>
        <w:rPr>
          <w:sz w:val="24"/>
          <w:szCs w:val="24"/>
        </w:rPr>
      </w:pPr>
      <w:r>
        <w:rPr>
          <w:sz w:val="24"/>
          <w:szCs w:val="24"/>
        </w:rPr>
        <w:t xml:space="preserve">Counterparty credit risk is defined as the risk of a financial loss arising from the failure of a counterparty to meet its obligations </w:t>
      </w:r>
      <w:r w:rsidR="004A6D24">
        <w:rPr>
          <w:sz w:val="24"/>
          <w:szCs w:val="24"/>
        </w:rPr>
        <w:t>under financial contracts</w:t>
      </w:r>
      <w:r w:rsidR="00985258">
        <w:rPr>
          <w:sz w:val="24"/>
          <w:szCs w:val="24"/>
        </w:rPr>
        <w:t>. It is particularly applicable to d</w:t>
      </w:r>
      <w:r w:rsidR="004A6D24">
        <w:rPr>
          <w:sz w:val="24"/>
          <w:szCs w:val="24"/>
        </w:rPr>
        <w:t>erivatives, bonds, and other debt instruments.</w:t>
      </w:r>
      <w:r w:rsidR="00985258">
        <w:rPr>
          <w:sz w:val="24"/>
          <w:szCs w:val="24"/>
        </w:rPr>
        <w:t xml:space="preserve"> Most derivatives are now settled through central clearing houses (where there is a requirement to post initial and variation margin as collateral) and as such they are risk weighted</w:t>
      </w:r>
      <w:r w:rsidR="00B167C6">
        <w:rPr>
          <w:sz w:val="24"/>
          <w:szCs w:val="24"/>
        </w:rPr>
        <w:t xml:space="preserve"> </w:t>
      </w:r>
      <w:r w:rsidR="00985258">
        <w:rPr>
          <w:sz w:val="24"/>
          <w:szCs w:val="24"/>
        </w:rPr>
        <w:t>at 2% in the formulaic Pillar 1 calculation</w:t>
      </w:r>
      <w:r w:rsidR="002625EC">
        <w:rPr>
          <w:sz w:val="24"/>
          <w:szCs w:val="24"/>
        </w:rPr>
        <w:t>, however, where the RFB has invested in bonds that are used for Repo (e.g. selling at a discount to the BoE for liquidity purposes and buying the bon</w:t>
      </w:r>
      <w:r w:rsidR="00A95E5B">
        <w:rPr>
          <w:sz w:val="24"/>
          <w:szCs w:val="24"/>
        </w:rPr>
        <w:t>d</w:t>
      </w:r>
      <w:r w:rsidR="002625EC">
        <w:rPr>
          <w:sz w:val="24"/>
          <w:szCs w:val="24"/>
        </w:rPr>
        <w:t xml:space="preserve"> back) purposes it should consider whether there is additional counterparty risk</w:t>
      </w:r>
      <w:r w:rsidR="00985258">
        <w:rPr>
          <w:sz w:val="24"/>
          <w:szCs w:val="24"/>
        </w:rPr>
        <w:t>. Again, the purpose of Pillar 2A is to allow the RFB to assess whether the formulaic Pillar 1 charge is a fair representation of the risk.</w:t>
      </w:r>
    </w:p>
    <w:p w:rsidR="00BC1309" w:rsidRDefault="00BC1309" w:rsidP="00A72AD6">
      <w:pPr>
        <w:spacing w:line="480" w:lineRule="auto"/>
        <w:jc w:val="both"/>
        <w:rPr>
          <w:sz w:val="24"/>
          <w:szCs w:val="24"/>
        </w:rPr>
      </w:pPr>
    </w:p>
    <w:p w:rsidR="00BC1309" w:rsidRDefault="00BC1309" w:rsidP="00A72AD6">
      <w:pPr>
        <w:spacing w:line="480" w:lineRule="auto"/>
        <w:jc w:val="both"/>
        <w:rPr>
          <w:i/>
          <w:sz w:val="24"/>
          <w:szCs w:val="24"/>
          <w:u w:val="single"/>
        </w:rPr>
      </w:pPr>
      <w:r w:rsidRPr="000664A1">
        <w:rPr>
          <w:i/>
          <w:sz w:val="24"/>
          <w:szCs w:val="24"/>
          <w:u w:val="single"/>
        </w:rPr>
        <w:t>Concentration Risk</w:t>
      </w:r>
    </w:p>
    <w:p w:rsidR="00BC1309" w:rsidRPr="000664A1" w:rsidRDefault="00BC1309" w:rsidP="00A72AD6">
      <w:pPr>
        <w:spacing w:line="480" w:lineRule="auto"/>
        <w:jc w:val="both"/>
        <w:rPr>
          <w:i/>
          <w:sz w:val="24"/>
          <w:szCs w:val="24"/>
          <w:u w:val="single"/>
        </w:rPr>
      </w:pPr>
    </w:p>
    <w:p w:rsidR="00BC1309" w:rsidRDefault="00BC1309" w:rsidP="00A72AD6">
      <w:pPr>
        <w:pStyle w:val="ListParagraph"/>
        <w:spacing w:line="480" w:lineRule="auto"/>
        <w:ind w:left="0"/>
        <w:jc w:val="both"/>
        <w:rPr>
          <w:sz w:val="24"/>
          <w:szCs w:val="24"/>
        </w:rPr>
      </w:pPr>
      <w:r>
        <w:rPr>
          <w:sz w:val="24"/>
          <w:szCs w:val="24"/>
        </w:rPr>
        <w:t>There are four key types of concentration risk that</w:t>
      </w:r>
      <w:r w:rsidR="00985258">
        <w:rPr>
          <w:sz w:val="24"/>
          <w:szCs w:val="24"/>
        </w:rPr>
        <w:t xml:space="preserve"> an RFB should consider holding</w:t>
      </w:r>
      <w:r>
        <w:rPr>
          <w:sz w:val="24"/>
          <w:szCs w:val="24"/>
        </w:rPr>
        <w:t xml:space="preserve"> additional capital against:</w:t>
      </w:r>
    </w:p>
    <w:p w:rsidR="00BC1309" w:rsidRDefault="00BC1309" w:rsidP="00A72AD6">
      <w:pPr>
        <w:pStyle w:val="ListParagraph"/>
        <w:spacing w:line="480" w:lineRule="auto"/>
        <w:ind w:left="0"/>
        <w:jc w:val="both"/>
        <w:rPr>
          <w:sz w:val="24"/>
          <w:szCs w:val="24"/>
        </w:rPr>
      </w:pPr>
    </w:p>
    <w:p w:rsidR="00BC1309" w:rsidRDefault="00BC1309" w:rsidP="00A72AD6">
      <w:pPr>
        <w:pStyle w:val="ListParagraph"/>
        <w:numPr>
          <w:ilvl w:val="0"/>
          <w:numId w:val="25"/>
        </w:numPr>
        <w:spacing w:line="480" w:lineRule="auto"/>
        <w:jc w:val="both"/>
        <w:rPr>
          <w:sz w:val="24"/>
          <w:szCs w:val="24"/>
        </w:rPr>
      </w:pPr>
      <w:r w:rsidRPr="00985258">
        <w:rPr>
          <w:i/>
          <w:sz w:val="24"/>
          <w:szCs w:val="24"/>
        </w:rPr>
        <w:t>Single Name Concentration</w:t>
      </w:r>
      <w:r>
        <w:rPr>
          <w:sz w:val="24"/>
          <w:szCs w:val="24"/>
        </w:rPr>
        <w:t xml:space="preserve"> – additional capital held to cover a large unexpected loss to a large single customer;</w:t>
      </w:r>
    </w:p>
    <w:p w:rsidR="00BC1309" w:rsidRDefault="00BC1309" w:rsidP="00A72AD6">
      <w:pPr>
        <w:pStyle w:val="ListParagraph"/>
        <w:numPr>
          <w:ilvl w:val="0"/>
          <w:numId w:val="25"/>
        </w:numPr>
        <w:spacing w:line="480" w:lineRule="auto"/>
        <w:jc w:val="both"/>
        <w:rPr>
          <w:sz w:val="24"/>
          <w:szCs w:val="24"/>
        </w:rPr>
      </w:pPr>
      <w:r w:rsidRPr="00985258">
        <w:rPr>
          <w:i/>
          <w:sz w:val="24"/>
          <w:szCs w:val="24"/>
        </w:rPr>
        <w:t>Sector Concentration</w:t>
      </w:r>
      <w:r>
        <w:rPr>
          <w:sz w:val="24"/>
          <w:szCs w:val="24"/>
        </w:rPr>
        <w:t xml:space="preserve"> – additional capital held to cover large unexpected losses in a single sector, e.g. a bank that might have a large number of commercial real estate loans;</w:t>
      </w:r>
    </w:p>
    <w:p w:rsidR="00BC1309" w:rsidRDefault="00BC1309" w:rsidP="00A72AD6">
      <w:pPr>
        <w:pStyle w:val="ListParagraph"/>
        <w:numPr>
          <w:ilvl w:val="0"/>
          <w:numId w:val="25"/>
        </w:numPr>
        <w:spacing w:line="480" w:lineRule="auto"/>
        <w:jc w:val="both"/>
        <w:rPr>
          <w:sz w:val="24"/>
          <w:szCs w:val="24"/>
        </w:rPr>
      </w:pPr>
      <w:r w:rsidRPr="00985258">
        <w:rPr>
          <w:i/>
          <w:sz w:val="24"/>
          <w:szCs w:val="24"/>
        </w:rPr>
        <w:t>Product Concentration</w:t>
      </w:r>
      <w:r>
        <w:rPr>
          <w:sz w:val="24"/>
          <w:szCs w:val="24"/>
        </w:rPr>
        <w:t xml:space="preserve"> – additional capital held to cover large unexpected losses that result from over-exposure to a particular product; and</w:t>
      </w:r>
    </w:p>
    <w:p w:rsidR="00BC1309" w:rsidRDefault="00BC1309" w:rsidP="00A72AD6">
      <w:pPr>
        <w:pStyle w:val="ListParagraph"/>
        <w:numPr>
          <w:ilvl w:val="0"/>
          <w:numId w:val="25"/>
        </w:numPr>
        <w:spacing w:line="480" w:lineRule="auto"/>
        <w:jc w:val="both"/>
        <w:rPr>
          <w:sz w:val="24"/>
          <w:szCs w:val="24"/>
        </w:rPr>
      </w:pPr>
      <w:r w:rsidRPr="00985258">
        <w:rPr>
          <w:i/>
          <w:sz w:val="24"/>
          <w:szCs w:val="24"/>
        </w:rPr>
        <w:t>Geographic Concentration</w:t>
      </w:r>
      <w:r>
        <w:rPr>
          <w:sz w:val="24"/>
          <w:szCs w:val="24"/>
        </w:rPr>
        <w:t xml:space="preserve"> – most RFBs will have their geographic concentration in the UK. However, a</w:t>
      </w:r>
      <w:r w:rsidRPr="006D433A">
        <w:rPr>
          <w:sz w:val="24"/>
          <w:szCs w:val="24"/>
        </w:rPr>
        <w:t xml:space="preserve">ll residential mortgage portfolios are excluded from geographic concentration risk assessment. </w:t>
      </w:r>
    </w:p>
    <w:p w:rsidR="00BC1309" w:rsidRDefault="00BC1309" w:rsidP="00A72AD6">
      <w:pPr>
        <w:pStyle w:val="ListParagraph"/>
        <w:spacing w:line="480" w:lineRule="auto"/>
        <w:ind w:left="0"/>
        <w:jc w:val="both"/>
        <w:rPr>
          <w:sz w:val="24"/>
          <w:szCs w:val="24"/>
        </w:rPr>
      </w:pPr>
    </w:p>
    <w:p w:rsidR="00BC1309" w:rsidRPr="006D433A" w:rsidRDefault="00BC1309" w:rsidP="00A72AD6">
      <w:pPr>
        <w:pStyle w:val="ListParagraph"/>
        <w:spacing w:line="480" w:lineRule="auto"/>
        <w:ind w:left="0"/>
        <w:jc w:val="both"/>
        <w:rPr>
          <w:sz w:val="24"/>
          <w:szCs w:val="24"/>
        </w:rPr>
      </w:pPr>
      <w:r>
        <w:rPr>
          <w:sz w:val="24"/>
          <w:szCs w:val="24"/>
        </w:rPr>
        <w:t xml:space="preserve">With the exception of Geographic Concentration, banks </w:t>
      </w:r>
      <w:r w:rsidRPr="006D433A">
        <w:rPr>
          <w:sz w:val="24"/>
          <w:szCs w:val="24"/>
        </w:rPr>
        <w:t xml:space="preserve">are required to calculate a </w:t>
      </w:r>
      <w:r>
        <w:rPr>
          <w:sz w:val="24"/>
          <w:szCs w:val="24"/>
        </w:rPr>
        <w:t>(</w:t>
      </w:r>
      <w:r w:rsidRPr="006D433A">
        <w:rPr>
          <w:sz w:val="24"/>
          <w:szCs w:val="24"/>
        </w:rPr>
        <w:t>HHI</w:t>
      </w:r>
      <w:r>
        <w:rPr>
          <w:sz w:val="24"/>
          <w:szCs w:val="24"/>
        </w:rPr>
        <w:t>)</w:t>
      </w:r>
      <w:r>
        <w:rPr>
          <w:rStyle w:val="FootnoteReference"/>
          <w:sz w:val="24"/>
          <w:szCs w:val="24"/>
        </w:rPr>
        <w:footnoteReference w:id="252"/>
      </w:r>
      <w:r w:rsidRPr="006D433A">
        <w:rPr>
          <w:sz w:val="24"/>
          <w:szCs w:val="24"/>
        </w:rPr>
        <w:t xml:space="preserve"> score </w:t>
      </w:r>
      <w:r w:rsidR="00985258">
        <w:rPr>
          <w:sz w:val="24"/>
          <w:szCs w:val="24"/>
        </w:rPr>
        <w:t xml:space="preserve">(a measure of concentration) </w:t>
      </w:r>
      <w:r w:rsidRPr="006D433A">
        <w:rPr>
          <w:sz w:val="24"/>
          <w:szCs w:val="24"/>
        </w:rPr>
        <w:t xml:space="preserve">for all other portfolios. The PRA have developed a multi-factor capital model using a methodology for </w:t>
      </w:r>
      <w:r>
        <w:rPr>
          <w:sz w:val="24"/>
          <w:szCs w:val="24"/>
        </w:rPr>
        <w:t>S</w:t>
      </w:r>
      <w:r w:rsidRPr="006D433A">
        <w:rPr>
          <w:sz w:val="24"/>
          <w:szCs w:val="24"/>
        </w:rPr>
        <w:t xml:space="preserve">ingle </w:t>
      </w:r>
      <w:r>
        <w:rPr>
          <w:sz w:val="24"/>
          <w:szCs w:val="24"/>
        </w:rPr>
        <w:t>N</w:t>
      </w:r>
      <w:r w:rsidRPr="006D433A">
        <w:rPr>
          <w:sz w:val="24"/>
          <w:szCs w:val="24"/>
        </w:rPr>
        <w:t xml:space="preserve">ame </w:t>
      </w:r>
      <w:r>
        <w:rPr>
          <w:sz w:val="24"/>
          <w:szCs w:val="24"/>
        </w:rPr>
        <w:t>C</w:t>
      </w:r>
      <w:r w:rsidRPr="006D433A">
        <w:rPr>
          <w:sz w:val="24"/>
          <w:szCs w:val="24"/>
        </w:rPr>
        <w:t>oncentration risk</w:t>
      </w:r>
      <w:r>
        <w:rPr>
          <w:rStyle w:val="FootnoteReference"/>
          <w:sz w:val="24"/>
          <w:szCs w:val="24"/>
        </w:rPr>
        <w:footnoteReference w:id="253"/>
      </w:r>
      <w:r w:rsidRPr="006D433A">
        <w:rPr>
          <w:sz w:val="24"/>
          <w:szCs w:val="24"/>
        </w:rPr>
        <w:t xml:space="preserve"> and a methodology for </w:t>
      </w:r>
      <w:r>
        <w:rPr>
          <w:sz w:val="24"/>
          <w:szCs w:val="24"/>
        </w:rPr>
        <w:t>S</w:t>
      </w:r>
      <w:r w:rsidRPr="006D433A">
        <w:rPr>
          <w:sz w:val="24"/>
          <w:szCs w:val="24"/>
        </w:rPr>
        <w:t xml:space="preserve">ector </w:t>
      </w:r>
      <w:r>
        <w:rPr>
          <w:sz w:val="24"/>
          <w:szCs w:val="24"/>
        </w:rPr>
        <w:t xml:space="preserve">Concentration </w:t>
      </w:r>
      <w:r w:rsidRPr="006D433A">
        <w:rPr>
          <w:sz w:val="24"/>
          <w:szCs w:val="24"/>
        </w:rPr>
        <w:t xml:space="preserve">and </w:t>
      </w:r>
      <w:r>
        <w:rPr>
          <w:sz w:val="24"/>
          <w:szCs w:val="24"/>
        </w:rPr>
        <w:t>G</w:t>
      </w:r>
      <w:r w:rsidRPr="006D433A">
        <w:rPr>
          <w:sz w:val="24"/>
          <w:szCs w:val="24"/>
        </w:rPr>
        <w:t xml:space="preserve">eographic </w:t>
      </w:r>
      <w:r>
        <w:rPr>
          <w:sz w:val="24"/>
          <w:szCs w:val="24"/>
        </w:rPr>
        <w:t>C</w:t>
      </w:r>
      <w:r w:rsidRPr="006D433A">
        <w:rPr>
          <w:sz w:val="24"/>
          <w:szCs w:val="24"/>
        </w:rPr>
        <w:t>oncentration</w:t>
      </w:r>
      <w:r>
        <w:rPr>
          <w:rStyle w:val="FootnoteReference"/>
          <w:sz w:val="24"/>
          <w:szCs w:val="24"/>
        </w:rPr>
        <w:footnoteReference w:id="254"/>
      </w:r>
      <w:r w:rsidRPr="006D433A">
        <w:rPr>
          <w:sz w:val="24"/>
          <w:szCs w:val="24"/>
        </w:rPr>
        <w:t xml:space="preserve">. They have used these methodologies </w:t>
      </w:r>
      <w:r w:rsidRPr="006D433A">
        <w:rPr>
          <w:sz w:val="24"/>
          <w:szCs w:val="24"/>
        </w:rPr>
        <w:lastRenderedPageBreak/>
        <w:t xml:space="preserve">to create a range of add-ons calibrated to the HHI score for each of (1) Single Name Concentration; (2) Sector concentration risk; and (3) Geographic (international) concentration risk. For geographic concentration the PRA considers the UK separately.  </w:t>
      </w:r>
    </w:p>
    <w:p w:rsidR="00BC1309" w:rsidRPr="006D433A" w:rsidRDefault="00BC1309" w:rsidP="00A72AD6">
      <w:pPr>
        <w:pStyle w:val="ListParagraph"/>
        <w:spacing w:line="480" w:lineRule="auto"/>
        <w:ind w:left="0"/>
        <w:jc w:val="both"/>
        <w:rPr>
          <w:sz w:val="24"/>
          <w:szCs w:val="24"/>
        </w:rPr>
      </w:pPr>
    </w:p>
    <w:p w:rsidR="00BC1309" w:rsidRDefault="00BC1309" w:rsidP="00A72AD6">
      <w:pPr>
        <w:pStyle w:val="ListParagraph"/>
        <w:spacing w:line="480" w:lineRule="auto"/>
        <w:ind w:left="0"/>
        <w:jc w:val="both"/>
        <w:rPr>
          <w:sz w:val="24"/>
          <w:szCs w:val="24"/>
        </w:rPr>
      </w:pPr>
      <w:r w:rsidRPr="006D433A">
        <w:rPr>
          <w:sz w:val="24"/>
          <w:szCs w:val="24"/>
        </w:rPr>
        <w:t xml:space="preserve">The PRA will exercise a judgement where within the range the add-on should fall – working on the presumption that, in the absence of compelling reasons, it will be the mid-point of </w:t>
      </w:r>
      <w:r w:rsidR="002625EC">
        <w:rPr>
          <w:sz w:val="24"/>
          <w:szCs w:val="24"/>
        </w:rPr>
        <w:t xml:space="preserve">the </w:t>
      </w:r>
      <w:r w:rsidRPr="006D433A">
        <w:rPr>
          <w:sz w:val="24"/>
          <w:szCs w:val="24"/>
        </w:rPr>
        <w:t>add-on range. The add-on will be the sum of add-ons for each credit concentration risk type. The PRA will adjust if they believe it does not reflect the underlying credit risk within a portfolio</w:t>
      </w:r>
      <w:r w:rsidR="00A95E5B">
        <w:rPr>
          <w:sz w:val="24"/>
          <w:szCs w:val="24"/>
        </w:rPr>
        <w:t>.</w:t>
      </w:r>
      <w:r w:rsidRPr="006D433A">
        <w:rPr>
          <w:sz w:val="24"/>
          <w:szCs w:val="24"/>
        </w:rPr>
        <w:t xml:space="preserve">  </w:t>
      </w:r>
    </w:p>
    <w:p w:rsidR="00BC1309" w:rsidRDefault="00BC1309" w:rsidP="00A72AD6">
      <w:pPr>
        <w:pStyle w:val="ListParagraph"/>
        <w:spacing w:line="480" w:lineRule="auto"/>
        <w:ind w:left="0"/>
        <w:jc w:val="both"/>
        <w:rPr>
          <w:sz w:val="24"/>
          <w:szCs w:val="24"/>
        </w:rPr>
      </w:pPr>
    </w:p>
    <w:p w:rsidR="00BC1309" w:rsidRPr="00E12CF3" w:rsidRDefault="00BC1309" w:rsidP="00A72AD6">
      <w:pPr>
        <w:spacing w:line="480" w:lineRule="auto"/>
        <w:jc w:val="both"/>
        <w:rPr>
          <w:i/>
          <w:sz w:val="24"/>
          <w:szCs w:val="24"/>
          <w:u w:val="single"/>
        </w:rPr>
      </w:pPr>
      <w:r w:rsidRPr="00E12CF3">
        <w:rPr>
          <w:i/>
          <w:sz w:val="24"/>
          <w:szCs w:val="24"/>
          <w:u w:val="single"/>
        </w:rPr>
        <w:t>Interest Rate Risk in the Banking Book</w:t>
      </w:r>
    </w:p>
    <w:p w:rsidR="00BC1309" w:rsidRDefault="00BC1309" w:rsidP="00A72AD6">
      <w:pPr>
        <w:pStyle w:val="ListParagraph"/>
        <w:spacing w:line="480" w:lineRule="auto"/>
        <w:ind w:left="0"/>
        <w:jc w:val="both"/>
        <w:rPr>
          <w:sz w:val="24"/>
          <w:szCs w:val="24"/>
        </w:rPr>
      </w:pPr>
    </w:p>
    <w:p w:rsidR="00BC1309" w:rsidRDefault="00BC1309" w:rsidP="00A72AD6">
      <w:pPr>
        <w:pStyle w:val="ListParagraph"/>
        <w:spacing w:line="480" w:lineRule="auto"/>
        <w:ind w:left="0"/>
        <w:jc w:val="both"/>
        <w:rPr>
          <w:sz w:val="24"/>
          <w:szCs w:val="24"/>
        </w:rPr>
      </w:pPr>
      <w:r>
        <w:rPr>
          <w:sz w:val="24"/>
          <w:szCs w:val="24"/>
        </w:rPr>
        <w:t>This is a form of market risk but is non-traded market risk and comes about because of the development of fixed rate products and the use of wholesale funding. There are predominantly three key risks:</w:t>
      </w:r>
    </w:p>
    <w:p w:rsidR="00B63EFB" w:rsidRDefault="00B63EFB" w:rsidP="00A72AD6">
      <w:pPr>
        <w:pStyle w:val="ListParagraph"/>
        <w:spacing w:line="480" w:lineRule="auto"/>
        <w:ind w:left="0"/>
        <w:jc w:val="both"/>
        <w:rPr>
          <w:sz w:val="24"/>
          <w:szCs w:val="24"/>
        </w:rPr>
      </w:pPr>
    </w:p>
    <w:p w:rsidR="00BC1309" w:rsidRDefault="00BC1309" w:rsidP="00A72AD6">
      <w:pPr>
        <w:pStyle w:val="ListParagraph"/>
        <w:numPr>
          <w:ilvl w:val="0"/>
          <w:numId w:val="26"/>
        </w:numPr>
        <w:spacing w:line="480" w:lineRule="auto"/>
        <w:jc w:val="both"/>
        <w:rPr>
          <w:sz w:val="24"/>
          <w:szCs w:val="24"/>
        </w:rPr>
      </w:pPr>
      <w:r>
        <w:rPr>
          <w:sz w:val="24"/>
          <w:szCs w:val="24"/>
        </w:rPr>
        <w:t xml:space="preserve">Re-pricing and yield curve risk </w:t>
      </w:r>
    </w:p>
    <w:p w:rsidR="00BC1309" w:rsidRDefault="00BC1309" w:rsidP="00A72AD6">
      <w:pPr>
        <w:pStyle w:val="ListParagraph"/>
        <w:numPr>
          <w:ilvl w:val="1"/>
          <w:numId w:val="26"/>
        </w:numPr>
        <w:spacing w:line="480" w:lineRule="auto"/>
        <w:jc w:val="both"/>
        <w:rPr>
          <w:sz w:val="24"/>
          <w:szCs w:val="24"/>
        </w:rPr>
      </w:pPr>
      <w:r>
        <w:rPr>
          <w:sz w:val="24"/>
          <w:szCs w:val="24"/>
        </w:rPr>
        <w:t>This risk arises from the timing difference between the maturity and mis-pricing of assets</w:t>
      </w:r>
      <w:r w:rsidR="00A95E5B">
        <w:rPr>
          <w:sz w:val="24"/>
          <w:szCs w:val="24"/>
        </w:rPr>
        <w:t>.</w:t>
      </w:r>
    </w:p>
    <w:p w:rsidR="00BC1309" w:rsidRDefault="00BC1309" w:rsidP="00A72AD6">
      <w:pPr>
        <w:pStyle w:val="ListParagraph"/>
        <w:numPr>
          <w:ilvl w:val="1"/>
          <w:numId w:val="26"/>
        </w:numPr>
        <w:spacing w:line="480" w:lineRule="auto"/>
        <w:jc w:val="both"/>
        <w:rPr>
          <w:sz w:val="24"/>
          <w:szCs w:val="24"/>
        </w:rPr>
      </w:pPr>
      <w:r>
        <w:rPr>
          <w:sz w:val="24"/>
          <w:szCs w:val="24"/>
        </w:rPr>
        <w:t>The main sources is term deposits and fixed rate mortgages, and the hedging strategies to manage the associated risk can give rises to mismatches in respect of re-pricing and maturity</w:t>
      </w:r>
      <w:r w:rsidR="00A95E5B">
        <w:rPr>
          <w:sz w:val="24"/>
          <w:szCs w:val="24"/>
        </w:rPr>
        <w:t>.</w:t>
      </w:r>
    </w:p>
    <w:p w:rsidR="00BC1309" w:rsidRDefault="00BC1309" w:rsidP="00A72AD6">
      <w:pPr>
        <w:pStyle w:val="ListParagraph"/>
        <w:numPr>
          <w:ilvl w:val="0"/>
          <w:numId w:val="26"/>
        </w:numPr>
        <w:spacing w:line="480" w:lineRule="auto"/>
        <w:jc w:val="both"/>
        <w:rPr>
          <w:sz w:val="24"/>
          <w:szCs w:val="24"/>
        </w:rPr>
      </w:pPr>
      <w:r>
        <w:rPr>
          <w:sz w:val="24"/>
          <w:szCs w:val="24"/>
        </w:rPr>
        <w:t>Basis Risk – there are two types of basis risk</w:t>
      </w:r>
    </w:p>
    <w:p w:rsidR="00BC1309" w:rsidRDefault="00BC1309" w:rsidP="00A72AD6">
      <w:pPr>
        <w:pStyle w:val="ListParagraph"/>
        <w:numPr>
          <w:ilvl w:val="1"/>
          <w:numId w:val="26"/>
        </w:numPr>
        <w:spacing w:line="480" w:lineRule="auto"/>
        <w:jc w:val="both"/>
        <w:rPr>
          <w:sz w:val="24"/>
          <w:szCs w:val="24"/>
        </w:rPr>
      </w:pPr>
      <w:r>
        <w:rPr>
          <w:sz w:val="24"/>
          <w:szCs w:val="24"/>
        </w:rPr>
        <w:t>Bank Rate vs LIBOR</w:t>
      </w:r>
    </w:p>
    <w:p w:rsidR="00BC1309" w:rsidRPr="00A95E5B" w:rsidRDefault="00BC1309" w:rsidP="00A72AD6">
      <w:pPr>
        <w:pStyle w:val="ListParagraph"/>
        <w:numPr>
          <w:ilvl w:val="2"/>
          <w:numId w:val="26"/>
        </w:numPr>
        <w:spacing w:line="480" w:lineRule="auto"/>
        <w:jc w:val="both"/>
        <w:rPr>
          <w:sz w:val="24"/>
          <w:szCs w:val="24"/>
        </w:rPr>
      </w:pPr>
      <w:r w:rsidRPr="00A95E5B">
        <w:rPr>
          <w:sz w:val="24"/>
          <w:szCs w:val="24"/>
        </w:rPr>
        <w:t xml:space="preserve">When the bank raises funds in the wholesale market the cost of funding will usually be priced off a LIBOR rate, whereas the pricing of customer products </w:t>
      </w:r>
      <w:r w:rsidRPr="00A95E5B">
        <w:rPr>
          <w:sz w:val="24"/>
          <w:szCs w:val="24"/>
        </w:rPr>
        <w:lastRenderedPageBreak/>
        <w:t>will usually be priced off the Bank of England’s base rate</w:t>
      </w:r>
      <w:r w:rsidR="00A95E5B" w:rsidRPr="00A95E5B">
        <w:rPr>
          <w:sz w:val="24"/>
          <w:szCs w:val="24"/>
        </w:rPr>
        <w:t xml:space="preserve">. </w:t>
      </w:r>
      <w:r w:rsidRPr="00A95E5B">
        <w:rPr>
          <w:sz w:val="24"/>
          <w:szCs w:val="24"/>
        </w:rPr>
        <w:t>As these rates are unlikely to move simultaneously there is a basis risk</w:t>
      </w:r>
      <w:r w:rsidR="00A95E5B">
        <w:rPr>
          <w:sz w:val="24"/>
          <w:szCs w:val="24"/>
        </w:rPr>
        <w:t>.</w:t>
      </w:r>
    </w:p>
    <w:p w:rsidR="00BC1309" w:rsidRDefault="00BC1309" w:rsidP="00A72AD6">
      <w:pPr>
        <w:pStyle w:val="ListParagraph"/>
        <w:numPr>
          <w:ilvl w:val="1"/>
          <w:numId w:val="26"/>
        </w:numPr>
        <w:spacing w:line="480" w:lineRule="auto"/>
        <w:jc w:val="both"/>
        <w:rPr>
          <w:sz w:val="24"/>
          <w:szCs w:val="24"/>
        </w:rPr>
      </w:pPr>
      <w:r>
        <w:rPr>
          <w:sz w:val="24"/>
          <w:szCs w:val="24"/>
        </w:rPr>
        <w:t>Bonds vs Swaps</w:t>
      </w:r>
    </w:p>
    <w:p w:rsidR="00BC1309" w:rsidRDefault="00BC1309" w:rsidP="00A72AD6">
      <w:pPr>
        <w:pStyle w:val="ListParagraph"/>
        <w:numPr>
          <w:ilvl w:val="2"/>
          <w:numId w:val="26"/>
        </w:numPr>
        <w:spacing w:line="480" w:lineRule="auto"/>
        <w:jc w:val="both"/>
        <w:rPr>
          <w:sz w:val="24"/>
          <w:szCs w:val="24"/>
        </w:rPr>
      </w:pPr>
      <w:r>
        <w:rPr>
          <w:sz w:val="24"/>
          <w:szCs w:val="24"/>
        </w:rPr>
        <w:t>Where the banks is holding fixed rate bonds (commercial or government) as part of its liquidity management (e.g. High Quality Liquid Asset buffer) and the interest rate risk exposure is hedged with Swaps, there is a basis risk, as like bank rate and LIBOR, bond rates and swaps do not normally move in tandem.</w:t>
      </w:r>
    </w:p>
    <w:p w:rsidR="00BC1309" w:rsidRDefault="00BC1309" w:rsidP="00A72AD6">
      <w:pPr>
        <w:pStyle w:val="ListParagraph"/>
        <w:numPr>
          <w:ilvl w:val="0"/>
          <w:numId w:val="26"/>
        </w:numPr>
        <w:spacing w:line="480" w:lineRule="auto"/>
        <w:jc w:val="both"/>
        <w:rPr>
          <w:sz w:val="24"/>
          <w:szCs w:val="24"/>
        </w:rPr>
      </w:pPr>
      <w:r>
        <w:rPr>
          <w:sz w:val="24"/>
          <w:szCs w:val="24"/>
        </w:rPr>
        <w:t>Optionality Risk – this arises when the customer has the ability to influence the timing and size of the bank’s cash-flows, the two major sources for an RFB will be:</w:t>
      </w:r>
    </w:p>
    <w:p w:rsidR="00BC1309" w:rsidRDefault="00BC1309" w:rsidP="00A72AD6">
      <w:pPr>
        <w:pStyle w:val="ListParagraph"/>
        <w:numPr>
          <w:ilvl w:val="1"/>
          <w:numId w:val="26"/>
        </w:numPr>
        <w:spacing w:line="480" w:lineRule="auto"/>
        <w:jc w:val="both"/>
        <w:rPr>
          <w:sz w:val="24"/>
          <w:szCs w:val="24"/>
        </w:rPr>
      </w:pPr>
      <w:r>
        <w:rPr>
          <w:sz w:val="24"/>
          <w:szCs w:val="24"/>
        </w:rPr>
        <w:t>Pipeline Risk</w:t>
      </w:r>
    </w:p>
    <w:p w:rsidR="00BC1309" w:rsidRDefault="00BC1309" w:rsidP="00A72AD6">
      <w:pPr>
        <w:pStyle w:val="ListParagraph"/>
        <w:numPr>
          <w:ilvl w:val="2"/>
          <w:numId w:val="26"/>
        </w:numPr>
        <w:spacing w:line="480" w:lineRule="auto"/>
        <w:jc w:val="both"/>
        <w:rPr>
          <w:sz w:val="24"/>
          <w:szCs w:val="24"/>
        </w:rPr>
      </w:pPr>
      <w:r>
        <w:rPr>
          <w:sz w:val="24"/>
          <w:szCs w:val="24"/>
        </w:rPr>
        <w:t>This can arise where fixed rate pricing (e.g. for mortgages) has been agreed and hedged in advance of the customer commitment to draw the mortgage funds, or a variety of misjudgement or customer action that leads to a position where the hedging is not accurate</w:t>
      </w:r>
      <w:r w:rsidR="00A95E5B">
        <w:rPr>
          <w:sz w:val="24"/>
          <w:szCs w:val="24"/>
        </w:rPr>
        <w:t>.</w:t>
      </w:r>
    </w:p>
    <w:p w:rsidR="00BC1309" w:rsidRDefault="00BC1309" w:rsidP="00A72AD6">
      <w:pPr>
        <w:pStyle w:val="ListParagraph"/>
        <w:numPr>
          <w:ilvl w:val="1"/>
          <w:numId w:val="26"/>
        </w:numPr>
        <w:spacing w:line="480" w:lineRule="auto"/>
        <w:jc w:val="both"/>
        <w:rPr>
          <w:sz w:val="24"/>
          <w:szCs w:val="24"/>
        </w:rPr>
      </w:pPr>
      <w:r>
        <w:rPr>
          <w:sz w:val="24"/>
          <w:szCs w:val="24"/>
        </w:rPr>
        <w:t>Pre-payment Risk</w:t>
      </w:r>
    </w:p>
    <w:p w:rsidR="00BC1309" w:rsidRDefault="00BC1309" w:rsidP="00A72AD6">
      <w:pPr>
        <w:pStyle w:val="ListParagraph"/>
        <w:numPr>
          <w:ilvl w:val="2"/>
          <w:numId w:val="26"/>
        </w:numPr>
        <w:spacing w:line="480" w:lineRule="auto"/>
        <w:jc w:val="both"/>
        <w:rPr>
          <w:sz w:val="24"/>
          <w:szCs w:val="24"/>
        </w:rPr>
      </w:pPr>
      <w:r>
        <w:rPr>
          <w:sz w:val="24"/>
          <w:szCs w:val="24"/>
        </w:rPr>
        <w:t xml:space="preserve">This arises where the bank has agreed and hedged a fixed rate mortgage but the customer has the ability to repay early without compensation to the bank. Early repayment without compensation may lead to a loss in respect of the hedging arrangement. This is often covered by an early repayment charge clause in fixed rate mortgage contracts.   </w:t>
      </w:r>
    </w:p>
    <w:p w:rsidR="00BC1309" w:rsidRDefault="00BC1309" w:rsidP="00A72AD6">
      <w:pPr>
        <w:pStyle w:val="ListParagraph"/>
        <w:spacing w:line="480" w:lineRule="auto"/>
        <w:ind w:left="2160"/>
        <w:jc w:val="both"/>
        <w:rPr>
          <w:sz w:val="24"/>
          <w:szCs w:val="24"/>
        </w:rPr>
      </w:pPr>
    </w:p>
    <w:p w:rsidR="00B63EFB" w:rsidRPr="00B63EFB" w:rsidRDefault="00B63EFB" w:rsidP="00A72AD6">
      <w:pPr>
        <w:pStyle w:val="ListParagraph"/>
        <w:spacing w:line="480" w:lineRule="auto"/>
        <w:ind w:left="0"/>
        <w:jc w:val="both"/>
        <w:rPr>
          <w:sz w:val="24"/>
          <w:szCs w:val="24"/>
          <w:u w:val="single"/>
        </w:rPr>
      </w:pPr>
      <w:r w:rsidRPr="00B63EFB">
        <w:rPr>
          <w:sz w:val="24"/>
          <w:szCs w:val="24"/>
          <w:u w:val="single"/>
        </w:rPr>
        <w:t>Operational Risk</w:t>
      </w:r>
    </w:p>
    <w:p w:rsidR="00A47183" w:rsidRDefault="00A47183" w:rsidP="00A72AD6">
      <w:pPr>
        <w:spacing w:line="480" w:lineRule="auto"/>
        <w:rPr>
          <w:sz w:val="24"/>
          <w:szCs w:val="24"/>
        </w:rPr>
      </w:pPr>
    </w:p>
    <w:p w:rsidR="00490572" w:rsidRDefault="00A47183" w:rsidP="00A72AD6">
      <w:pPr>
        <w:spacing w:line="480" w:lineRule="auto"/>
        <w:jc w:val="both"/>
        <w:rPr>
          <w:sz w:val="24"/>
          <w:szCs w:val="24"/>
        </w:rPr>
      </w:pPr>
      <w:r>
        <w:rPr>
          <w:sz w:val="24"/>
          <w:szCs w:val="24"/>
        </w:rPr>
        <w:lastRenderedPageBreak/>
        <w:t>The CRR does not require</w:t>
      </w:r>
      <w:r w:rsidR="00F15C02">
        <w:rPr>
          <w:sz w:val="24"/>
          <w:szCs w:val="24"/>
        </w:rPr>
        <w:t xml:space="preserve"> TSA firms to do scenario analysis (it is an AMA requirement</w:t>
      </w:r>
      <w:r w:rsidR="00F15C02">
        <w:rPr>
          <w:rStyle w:val="FootnoteReference"/>
          <w:sz w:val="24"/>
          <w:szCs w:val="24"/>
        </w:rPr>
        <w:footnoteReference w:id="255"/>
      </w:r>
      <w:r w:rsidR="00F15C02">
        <w:rPr>
          <w:sz w:val="24"/>
          <w:szCs w:val="24"/>
        </w:rPr>
        <w:t>), however, it has long been accepted as good practice by regulators and is expected of TSA firms as part of their Pillar 2A operational risk calculation. The PRA has recently been more open about its own Pillar 2A assessment methodologies</w:t>
      </w:r>
      <w:r w:rsidR="000146F1">
        <w:rPr>
          <w:sz w:val="24"/>
          <w:szCs w:val="24"/>
        </w:rPr>
        <w:t>, and expect firms to be able to provide information in a way that allows for this assessment</w:t>
      </w:r>
      <w:r w:rsidR="00F15C02">
        <w:rPr>
          <w:sz w:val="24"/>
          <w:szCs w:val="24"/>
        </w:rPr>
        <w:t>.</w:t>
      </w:r>
    </w:p>
    <w:p w:rsidR="000146F1" w:rsidRDefault="000146F1" w:rsidP="00A72AD6">
      <w:pPr>
        <w:spacing w:line="480" w:lineRule="auto"/>
        <w:jc w:val="both"/>
        <w:rPr>
          <w:sz w:val="24"/>
          <w:szCs w:val="24"/>
        </w:rPr>
      </w:pPr>
    </w:p>
    <w:p w:rsidR="000146F1" w:rsidRDefault="000146F1" w:rsidP="00A72AD6">
      <w:pPr>
        <w:spacing w:line="480" w:lineRule="auto"/>
        <w:jc w:val="both"/>
        <w:rPr>
          <w:sz w:val="24"/>
          <w:szCs w:val="24"/>
        </w:rPr>
      </w:pPr>
      <w:r>
        <w:rPr>
          <w:sz w:val="24"/>
          <w:szCs w:val="24"/>
        </w:rPr>
        <w:t>The following approach applies to Category 1 firms, and to Category</w:t>
      </w:r>
      <w:r w:rsidR="002625EC">
        <w:rPr>
          <w:sz w:val="24"/>
          <w:szCs w:val="24"/>
        </w:rPr>
        <w:t xml:space="preserve"> 2</w:t>
      </w:r>
      <w:r>
        <w:rPr>
          <w:sz w:val="24"/>
          <w:szCs w:val="24"/>
        </w:rPr>
        <w:t xml:space="preserve"> firms depending on the level of sophistication of the firm’s risk management. This will cover many RFBs.</w:t>
      </w:r>
    </w:p>
    <w:p w:rsidR="000146F1" w:rsidRDefault="000146F1" w:rsidP="00A72AD6">
      <w:pPr>
        <w:spacing w:line="480" w:lineRule="auto"/>
        <w:jc w:val="both"/>
        <w:rPr>
          <w:sz w:val="24"/>
          <w:szCs w:val="24"/>
        </w:rPr>
      </w:pPr>
    </w:p>
    <w:p w:rsidR="000146F1" w:rsidRDefault="000146F1" w:rsidP="00A72AD6">
      <w:pPr>
        <w:spacing w:line="480" w:lineRule="auto"/>
        <w:jc w:val="both"/>
        <w:rPr>
          <w:sz w:val="24"/>
          <w:szCs w:val="24"/>
        </w:rPr>
      </w:pPr>
      <w:r>
        <w:rPr>
          <w:sz w:val="24"/>
          <w:szCs w:val="24"/>
        </w:rPr>
        <w:t>Firms will be required to supply the following key pieces of information to the PRA to allow them to do their assessment:</w:t>
      </w:r>
    </w:p>
    <w:p w:rsidR="000146F1" w:rsidRDefault="000146F1" w:rsidP="00A72AD6">
      <w:pPr>
        <w:spacing w:line="480" w:lineRule="auto"/>
        <w:jc w:val="both"/>
        <w:rPr>
          <w:sz w:val="24"/>
          <w:szCs w:val="24"/>
        </w:rPr>
      </w:pPr>
    </w:p>
    <w:p w:rsidR="000146F1" w:rsidRDefault="000146F1" w:rsidP="00A72AD6">
      <w:pPr>
        <w:pStyle w:val="ListParagraph"/>
        <w:numPr>
          <w:ilvl w:val="0"/>
          <w:numId w:val="31"/>
        </w:numPr>
        <w:spacing w:line="480" w:lineRule="auto"/>
        <w:jc w:val="both"/>
        <w:rPr>
          <w:sz w:val="24"/>
          <w:szCs w:val="24"/>
        </w:rPr>
      </w:pPr>
      <w:r>
        <w:rPr>
          <w:sz w:val="24"/>
          <w:szCs w:val="24"/>
        </w:rPr>
        <w:t xml:space="preserve">Forecast operational risk losses, broken down between conduct and non-conduct losses and by future year; and </w:t>
      </w:r>
    </w:p>
    <w:p w:rsidR="000146F1" w:rsidRDefault="000146F1" w:rsidP="00A72AD6">
      <w:pPr>
        <w:pStyle w:val="ListParagraph"/>
        <w:numPr>
          <w:ilvl w:val="0"/>
          <w:numId w:val="31"/>
        </w:numPr>
        <w:spacing w:line="480" w:lineRule="auto"/>
        <w:jc w:val="both"/>
        <w:rPr>
          <w:sz w:val="24"/>
          <w:szCs w:val="24"/>
        </w:rPr>
      </w:pPr>
      <w:r>
        <w:rPr>
          <w:sz w:val="24"/>
          <w:szCs w:val="24"/>
        </w:rPr>
        <w:t>Information on the operational risk scenarios the RFB have considered in their ICAAP, covering a description of such scenarios and an assessment of the</w:t>
      </w:r>
      <w:r w:rsidR="00A73FBA">
        <w:rPr>
          <w:sz w:val="24"/>
          <w:szCs w:val="24"/>
        </w:rPr>
        <w:t>i</w:t>
      </w:r>
      <w:r>
        <w:rPr>
          <w:sz w:val="24"/>
          <w:szCs w:val="24"/>
        </w:rPr>
        <w:t>r impact and likelihood.</w:t>
      </w:r>
    </w:p>
    <w:p w:rsidR="000146F1" w:rsidRDefault="000146F1" w:rsidP="00A72AD6">
      <w:pPr>
        <w:pStyle w:val="ListParagraph"/>
        <w:spacing w:line="480" w:lineRule="auto"/>
        <w:ind w:left="840"/>
        <w:jc w:val="both"/>
        <w:rPr>
          <w:sz w:val="24"/>
          <w:szCs w:val="24"/>
        </w:rPr>
      </w:pPr>
    </w:p>
    <w:p w:rsidR="000146F1" w:rsidRDefault="000146F1" w:rsidP="00A72AD6">
      <w:pPr>
        <w:spacing w:line="480" w:lineRule="auto"/>
        <w:jc w:val="both"/>
        <w:rPr>
          <w:sz w:val="24"/>
          <w:szCs w:val="24"/>
        </w:rPr>
      </w:pPr>
      <w:r>
        <w:rPr>
          <w:sz w:val="24"/>
          <w:szCs w:val="24"/>
        </w:rPr>
        <w:t>For non-conduct risks the PRA will the conduct three estimates (based on a 1 in 1</w:t>
      </w:r>
      <w:r w:rsidR="005D5A23">
        <w:rPr>
          <w:sz w:val="24"/>
          <w:szCs w:val="24"/>
        </w:rPr>
        <w:t>,</w:t>
      </w:r>
      <w:r>
        <w:rPr>
          <w:sz w:val="24"/>
          <w:szCs w:val="24"/>
        </w:rPr>
        <w:t xml:space="preserve">000 </w:t>
      </w:r>
      <w:r w:rsidR="00A73FBA">
        <w:rPr>
          <w:sz w:val="24"/>
          <w:szCs w:val="24"/>
        </w:rPr>
        <w:t>(</w:t>
      </w:r>
      <w:r>
        <w:rPr>
          <w:sz w:val="24"/>
          <w:szCs w:val="24"/>
        </w:rPr>
        <w:t>99.9%</w:t>
      </w:r>
      <w:r w:rsidR="00A73FBA">
        <w:rPr>
          <w:sz w:val="24"/>
          <w:szCs w:val="24"/>
        </w:rPr>
        <w:t>)</w:t>
      </w:r>
      <w:r>
        <w:rPr>
          <w:sz w:val="24"/>
          <w:szCs w:val="24"/>
        </w:rPr>
        <w:t xml:space="preserve"> confidence level):</w:t>
      </w:r>
    </w:p>
    <w:p w:rsidR="000146F1" w:rsidRDefault="000146F1" w:rsidP="00A72AD6">
      <w:pPr>
        <w:spacing w:line="480" w:lineRule="auto"/>
        <w:jc w:val="both"/>
        <w:rPr>
          <w:sz w:val="24"/>
          <w:szCs w:val="24"/>
        </w:rPr>
      </w:pPr>
    </w:p>
    <w:p w:rsidR="000146F1" w:rsidRDefault="000146F1" w:rsidP="00A72AD6">
      <w:pPr>
        <w:pStyle w:val="ListParagraph"/>
        <w:numPr>
          <w:ilvl w:val="0"/>
          <w:numId w:val="32"/>
        </w:numPr>
        <w:spacing w:line="480" w:lineRule="auto"/>
        <w:jc w:val="both"/>
        <w:rPr>
          <w:sz w:val="24"/>
          <w:szCs w:val="24"/>
        </w:rPr>
      </w:pPr>
      <w:r>
        <w:rPr>
          <w:sz w:val="24"/>
          <w:szCs w:val="24"/>
        </w:rPr>
        <w:t>Estimate 1 – an estimate based on the RFB’s forecast of expected losses</w:t>
      </w:r>
      <w:r w:rsidR="005D5A23">
        <w:rPr>
          <w:sz w:val="24"/>
          <w:szCs w:val="24"/>
        </w:rPr>
        <w:t xml:space="preserve"> (excluding conduct and legal risk) in the next year extrapolated  to a 1 in 1,000 year confidence level;</w:t>
      </w:r>
    </w:p>
    <w:p w:rsidR="005D5A23" w:rsidRDefault="005D5A23" w:rsidP="00A72AD6">
      <w:pPr>
        <w:pStyle w:val="ListParagraph"/>
        <w:numPr>
          <w:ilvl w:val="0"/>
          <w:numId w:val="32"/>
        </w:numPr>
        <w:spacing w:line="480" w:lineRule="auto"/>
        <w:jc w:val="both"/>
        <w:rPr>
          <w:sz w:val="24"/>
          <w:szCs w:val="24"/>
        </w:rPr>
      </w:pPr>
      <w:r>
        <w:rPr>
          <w:sz w:val="24"/>
          <w:szCs w:val="24"/>
        </w:rPr>
        <w:lastRenderedPageBreak/>
        <w:t>Estimate 2 – an estimate based on the average of the RFB’s five largest losses (excluding conduct and legal risk) – repeated for the previous five years with the largest loss  (calibrated to 1 in a 1,000) being used; and</w:t>
      </w:r>
    </w:p>
    <w:p w:rsidR="005D5A23" w:rsidRDefault="005D5A23" w:rsidP="00A72AD6">
      <w:pPr>
        <w:pStyle w:val="ListParagraph"/>
        <w:numPr>
          <w:ilvl w:val="0"/>
          <w:numId w:val="32"/>
        </w:numPr>
        <w:spacing w:line="480" w:lineRule="auto"/>
        <w:jc w:val="both"/>
        <w:rPr>
          <w:sz w:val="24"/>
          <w:szCs w:val="24"/>
        </w:rPr>
      </w:pPr>
      <w:r>
        <w:rPr>
          <w:sz w:val="24"/>
          <w:szCs w:val="24"/>
        </w:rPr>
        <w:t>Estimate 3 – the RFB’s scenarios – modelled to a 1 in 1,000 confidence level – with the five largest impacts summed and a pre-defined diversification benefit (the same for all firms) will be applied.</w:t>
      </w:r>
    </w:p>
    <w:p w:rsidR="005D5A23" w:rsidRDefault="005D5A23" w:rsidP="00A72AD6">
      <w:pPr>
        <w:spacing w:line="480" w:lineRule="auto"/>
        <w:jc w:val="both"/>
        <w:rPr>
          <w:sz w:val="24"/>
          <w:szCs w:val="24"/>
        </w:rPr>
      </w:pPr>
    </w:p>
    <w:p w:rsidR="005D5A23" w:rsidRDefault="005D5A23" w:rsidP="00A72AD6">
      <w:pPr>
        <w:spacing w:line="480" w:lineRule="auto"/>
        <w:jc w:val="both"/>
        <w:rPr>
          <w:sz w:val="24"/>
          <w:szCs w:val="24"/>
        </w:rPr>
      </w:pPr>
      <w:r>
        <w:rPr>
          <w:sz w:val="24"/>
          <w:szCs w:val="24"/>
        </w:rPr>
        <w:t>For the Pillar 2A Non-conduct operational risk component, supervisory judgement will then be used to determine the add-on based on:</w:t>
      </w:r>
    </w:p>
    <w:p w:rsidR="006C4DBD" w:rsidRDefault="006C4DBD" w:rsidP="00A72AD6">
      <w:pPr>
        <w:spacing w:line="480" w:lineRule="auto"/>
        <w:jc w:val="both"/>
        <w:rPr>
          <w:sz w:val="24"/>
          <w:szCs w:val="24"/>
        </w:rPr>
      </w:pPr>
    </w:p>
    <w:p w:rsidR="005D5A23" w:rsidRDefault="005D5A23" w:rsidP="00A72AD6">
      <w:pPr>
        <w:pStyle w:val="ListParagraph"/>
        <w:numPr>
          <w:ilvl w:val="0"/>
          <w:numId w:val="33"/>
        </w:numPr>
        <w:spacing w:line="480" w:lineRule="auto"/>
        <w:jc w:val="both"/>
        <w:rPr>
          <w:sz w:val="24"/>
          <w:szCs w:val="24"/>
        </w:rPr>
      </w:pPr>
      <w:r>
        <w:rPr>
          <w:sz w:val="24"/>
          <w:szCs w:val="24"/>
        </w:rPr>
        <w:t>The quality of the RFBs Pillar 2A assessment;</w:t>
      </w:r>
    </w:p>
    <w:p w:rsidR="005D5A23" w:rsidRDefault="005D5A23" w:rsidP="00A72AD6">
      <w:pPr>
        <w:pStyle w:val="ListParagraph"/>
        <w:numPr>
          <w:ilvl w:val="0"/>
          <w:numId w:val="33"/>
        </w:numPr>
        <w:spacing w:line="480" w:lineRule="auto"/>
        <w:jc w:val="both"/>
        <w:rPr>
          <w:sz w:val="24"/>
          <w:szCs w:val="24"/>
        </w:rPr>
      </w:pPr>
      <w:r>
        <w:rPr>
          <w:sz w:val="24"/>
          <w:szCs w:val="24"/>
        </w:rPr>
        <w:t>The capital ranges generated by the estimates above for non-conduct risk;</w:t>
      </w:r>
    </w:p>
    <w:p w:rsidR="005D5A23" w:rsidRDefault="005D5A23" w:rsidP="00A72AD6">
      <w:pPr>
        <w:pStyle w:val="ListParagraph"/>
        <w:numPr>
          <w:ilvl w:val="0"/>
          <w:numId w:val="33"/>
        </w:numPr>
        <w:spacing w:line="480" w:lineRule="auto"/>
        <w:jc w:val="both"/>
        <w:rPr>
          <w:sz w:val="24"/>
          <w:szCs w:val="24"/>
        </w:rPr>
      </w:pPr>
      <w:r>
        <w:rPr>
          <w:sz w:val="24"/>
          <w:szCs w:val="24"/>
        </w:rPr>
        <w:t>Confidence in the RFBs scenario analysis and internal loss data;</w:t>
      </w:r>
    </w:p>
    <w:p w:rsidR="005D5A23" w:rsidRDefault="006C4DBD" w:rsidP="00A72AD6">
      <w:pPr>
        <w:pStyle w:val="ListParagraph"/>
        <w:numPr>
          <w:ilvl w:val="0"/>
          <w:numId w:val="33"/>
        </w:numPr>
        <w:spacing w:line="480" w:lineRule="auto"/>
        <w:jc w:val="both"/>
        <w:rPr>
          <w:sz w:val="24"/>
          <w:szCs w:val="24"/>
        </w:rPr>
      </w:pPr>
      <w:r>
        <w:rPr>
          <w:sz w:val="24"/>
          <w:szCs w:val="24"/>
        </w:rPr>
        <w:t xml:space="preserve">The quality of the firm’s operational risk management and measurement framework; and </w:t>
      </w:r>
    </w:p>
    <w:p w:rsidR="006C4DBD" w:rsidRDefault="006C4DBD" w:rsidP="00A72AD6">
      <w:pPr>
        <w:pStyle w:val="ListParagraph"/>
        <w:numPr>
          <w:ilvl w:val="0"/>
          <w:numId w:val="33"/>
        </w:numPr>
        <w:spacing w:line="480" w:lineRule="auto"/>
        <w:jc w:val="both"/>
        <w:rPr>
          <w:sz w:val="24"/>
          <w:szCs w:val="24"/>
        </w:rPr>
      </w:pPr>
      <w:r>
        <w:rPr>
          <w:sz w:val="24"/>
          <w:szCs w:val="24"/>
        </w:rPr>
        <w:t>Peer group comparison.</w:t>
      </w:r>
    </w:p>
    <w:p w:rsidR="006C4DBD" w:rsidRDefault="006C4DBD" w:rsidP="00A72AD6">
      <w:pPr>
        <w:spacing w:line="480" w:lineRule="auto"/>
        <w:jc w:val="both"/>
        <w:rPr>
          <w:sz w:val="24"/>
          <w:szCs w:val="24"/>
        </w:rPr>
      </w:pPr>
    </w:p>
    <w:p w:rsidR="006C4DBD" w:rsidRDefault="006C4DBD" w:rsidP="00A72AD6">
      <w:pPr>
        <w:spacing w:line="480" w:lineRule="auto"/>
        <w:jc w:val="both"/>
        <w:rPr>
          <w:sz w:val="24"/>
          <w:szCs w:val="24"/>
        </w:rPr>
      </w:pPr>
      <w:r>
        <w:rPr>
          <w:sz w:val="24"/>
          <w:szCs w:val="24"/>
        </w:rPr>
        <w:t>For Pillar 2A conduct risk supervisory judgement will be used to determine the add-on based on:</w:t>
      </w:r>
    </w:p>
    <w:p w:rsidR="006C4DBD" w:rsidRDefault="006C4DBD" w:rsidP="00A72AD6">
      <w:pPr>
        <w:spacing w:line="480" w:lineRule="auto"/>
        <w:jc w:val="both"/>
        <w:rPr>
          <w:sz w:val="24"/>
          <w:szCs w:val="24"/>
        </w:rPr>
      </w:pPr>
    </w:p>
    <w:p w:rsidR="006C4DBD" w:rsidRDefault="006C4DBD" w:rsidP="00A72AD6">
      <w:pPr>
        <w:pStyle w:val="ListParagraph"/>
        <w:numPr>
          <w:ilvl w:val="0"/>
          <w:numId w:val="34"/>
        </w:numPr>
        <w:spacing w:line="480" w:lineRule="auto"/>
        <w:jc w:val="both"/>
        <w:rPr>
          <w:sz w:val="24"/>
          <w:szCs w:val="24"/>
        </w:rPr>
      </w:pPr>
      <w:r>
        <w:rPr>
          <w:sz w:val="24"/>
          <w:szCs w:val="24"/>
        </w:rPr>
        <w:t>Supervisory judgement of the RFB’s exposure to conduct risk;</w:t>
      </w:r>
    </w:p>
    <w:p w:rsidR="006C4DBD" w:rsidRDefault="006C4DBD" w:rsidP="00A72AD6">
      <w:pPr>
        <w:pStyle w:val="ListParagraph"/>
        <w:numPr>
          <w:ilvl w:val="0"/>
          <w:numId w:val="34"/>
        </w:numPr>
        <w:spacing w:line="480" w:lineRule="auto"/>
        <w:jc w:val="both"/>
        <w:rPr>
          <w:sz w:val="24"/>
          <w:szCs w:val="24"/>
        </w:rPr>
      </w:pPr>
      <w:r>
        <w:rPr>
          <w:sz w:val="24"/>
          <w:szCs w:val="24"/>
        </w:rPr>
        <w:t>The RFB’s largest conduct losses over the past five years;</w:t>
      </w:r>
    </w:p>
    <w:p w:rsidR="006C4DBD" w:rsidRDefault="006C4DBD" w:rsidP="00A72AD6">
      <w:pPr>
        <w:pStyle w:val="ListParagraph"/>
        <w:numPr>
          <w:ilvl w:val="0"/>
          <w:numId w:val="34"/>
        </w:numPr>
        <w:spacing w:line="480" w:lineRule="auto"/>
        <w:jc w:val="both"/>
        <w:rPr>
          <w:sz w:val="24"/>
          <w:szCs w:val="24"/>
        </w:rPr>
      </w:pPr>
      <w:r>
        <w:rPr>
          <w:sz w:val="24"/>
          <w:szCs w:val="24"/>
        </w:rPr>
        <w:t>The level of expected annual loss for conduct risk; and</w:t>
      </w:r>
    </w:p>
    <w:p w:rsidR="006C4DBD" w:rsidRDefault="006C4DBD" w:rsidP="00A72AD6">
      <w:pPr>
        <w:pStyle w:val="ListParagraph"/>
        <w:numPr>
          <w:ilvl w:val="0"/>
          <w:numId w:val="34"/>
        </w:numPr>
        <w:spacing w:line="480" w:lineRule="auto"/>
        <w:jc w:val="both"/>
        <w:rPr>
          <w:sz w:val="24"/>
          <w:szCs w:val="24"/>
        </w:rPr>
      </w:pPr>
      <w:r>
        <w:rPr>
          <w:sz w:val="24"/>
          <w:szCs w:val="24"/>
        </w:rPr>
        <w:t>Conduct related scenarios where potential scenarios over a shorter time horizon (e.g. 5 years) are considered.</w:t>
      </w:r>
    </w:p>
    <w:p w:rsidR="006C4DBD" w:rsidRDefault="006C4DBD" w:rsidP="00A72AD6">
      <w:pPr>
        <w:spacing w:line="480" w:lineRule="auto"/>
        <w:jc w:val="both"/>
        <w:rPr>
          <w:sz w:val="24"/>
          <w:szCs w:val="24"/>
        </w:rPr>
      </w:pPr>
    </w:p>
    <w:p w:rsidR="006C4DBD" w:rsidRPr="006C4DBD" w:rsidRDefault="006C4DBD" w:rsidP="00A72AD6">
      <w:pPr>
        <w:spacing w:line="480" w:lineRule="auto"/>
        <w:jc w:val="both"/>
        <w:rPr>
          <w:sz w:val="24"/>
          <w:szCs w:val="24"/>
        </w:rPr>
      </w:pPr>
      <w:r>
        <w:rPr>
          <w:sz w:val="24"/>
          <w:szCs w:val="24"/>
        </w:rPr>
        <w:lastRenderedPageBreak/>
        <w:t>The RFB’s Pillar 2A charge will then be the sum of (1) the capital assessment for non-conduct risk; and (2) the capital adjustment for conduct risk.</w:t>
      </w:r>
    </w:p>
    <w:p w:rsidR="00A47183" w:rsidRDefault="00A47183" w:rsidP="00A72AD6">
      <w:pPr>
        <w:spacing w:line="480" w:lineRule="auto"/>
        <w:rPr>
          <w:b/>
          <w:i/>
          <w:sz w:val="24"/>
          <w:szCs w:val="24"/>
        </w:rPr>
      </w:pPr>
    </w:p>
    <w:p w:rsidR="00490572" w:rsidRDefault="00490572" w:rsidP="00A72AD6">
      <w:pPr>
        <w:spacing w:line="480" w:lineRule="auto"/>
        <w:rPr>
          <w:b/>
          <w:i/>
          <w:sz w:val="24"/>
          <w:szCs w:val="24"/>
        </w:rPr>
      </w:pPr>
      <w:r w:rsidRPr="00DA55A4">
        <w:rPr>
          <w:b/>
          <w:i/>
          <w:sz w:val="24"/>
          <w:szCs w:val="24"/>
        </w:rPr>
        <w:t>Calculating the Pillar 2</w:t>
      </w:r>
      <w:r>
        <w:rPr>
          <w:b/>
          <w:i/>
          <w:sz w:val="24"/>
          <w:szCs w:val="24"/>
        </w:rPr>
        <w:t>B</w:t>
      </w:r>
      <w:r w:rsidRPr="00DA55A4">
        <w:rPr>
          <w:b/>
          <w:i/>
          <w:sz w:val="24"/>
          <w:szCs w:val="24"/>
        </w:rPr>
        <w:t xml:space="preserve"> Capital Charge</w:t>
      </w:r>
    </w:p>
    <w:p w:rsidR="00A73FBA" w:rsidRPr="00DA55A4" w:rsidRDefault="00A73FBA" w:rsidP="00A72AD6">
      <w:pPr>
        <w:spacing w:line="480" w:lineRule="auto"/>
        <w:rPr>
          <w:b/>
          <w:i/>
          <w:sz w:val="24"/>
          <w:szCs w:val="24"/>
        </w:rPr>
      </w:pPr>
    </w:p>
    <w:p w:rsidR="00A73FBA" w:rsidRDefault="00A73FBA" w:rsidP="00A73FBA">
      <w:pPr>
        <w:overflowPunct/>
        <w:autoSpaceDE/>
        <w:autoSpaceDN/>
        <w:adjustRightInd/>
        <w:spacing w:line="480" w:lineRule="auto"/>
        <w:jc w:val="both"/>
        <w:textAlignment w:val="auto"/>
        <w:rPr>
          <w:sz w:val="24"/>
          <w:szCs w:val="24"/>
        </w:rPr>
      </w:pPr>
      <w:r w:rsidRPr="00A73FBA">
        <w:rPr>
          <w:sz w:val="24"/>
          <w:szCs w:val="24"/>
        </w:rPr>
        <w:t>In addition to its Pillar 1 capital charge for credit risk and operational risk and the RFBs Pillar 2A charge for credit risk, counterparty credit risk, concentration risk, interest rate risk in the banking book, and operational risk, the RFB will also be required to estimate a Pillar 2B charge.</w:t>
      </w:r>
    </w:p>
    <w:p w:rsidR="00A73FBA" w:rsidRDefault="00A73FBA" w:rsidP="00A73FBA">
      <w:pPr>
        <w:overflowPunct/>
        <w:autoSpaceDE/>
        <w:autoSpaceDN/>
        <w:adjustRightInd/>
        <w:spacing w:line="480" w:lineRule="auto"/>
        <w:jc w:val="both"/>
        <w:textAlignment w:val="auto"/>
        <w:rPr>
          <w:sz w:val="24"/>
          <w:szCs w:val="24"/>
        </w:rPr>
      </w:pPr>
    </w:p>
    <w:p w:rsidR="00A73FBA" w:rsidRDefault="00A73FBA" w:rsidP="00A73FBA">
      <w:pPr>
        <w:overflowPunct/>
        <w:autoSpaceDE/>
        <w:autoSpaceDN/>
        <w:adjustRightInd/>
        <w:spacing w:line="480" w:lineRule="auto"/>
        <w:jc w:val="both"/>
        <w:textAlignment w:val="auto"/>
        <w:rPr>
          <w:sz w:val="24"/>
          <w:szCs w:val="24"/>
        </w:rPr>
      </w:pPr>
      <w:r>
        <w:rPr>
          <w:sz w:val="24"/>
          <w:szCs w:val="24"/>
        </w:rPr>
        <w:t>The Pillar 2B charge is an assessment of macro-economic scenarios over the life of the business plan (the five years set out in the ICAAP). The R</w:t>
      </w:r>
      <w:r w:rsidR="00A95E5B">
        <w:rPr>
          <w:sz w:val="24"/>
          <w:szCs w:val="24"/>
        </w:rPr>
        <w:t>FB</w:t>
      </w:r>
      <w:r>
        <w:rPr>
          <w:sz w:val="24"/>
          <w:szCs w:val="24"/>
        </w:rPr>
        <w:t xml:space="preserve"> will run a PRA defined scenario</w:t>
      </w:r>
      <w:r>
        <w:rPr>
          <w:rStyle w:val="FootnoteReference"/>
          <w:sz w:val="24"/>
          <w:szCs w:val="24"/>
        </w:rPr>
        <w:footnoteReference w:id="256"/>
      </w:r>
      <w:r>
        <w:rPr>
          <w:sz w:val="24"/>
          <w:szCs w:val="24"/>
        </w:rPr>
        <w:t xml:space="preserve">, and usually a scenario of its own choosing.  Both scenarios will usually involve some form of recession, with a </w:t>
      </w:r>
      <w:r w:rsidR="00A95E5B">
        <w:rPr>
          <w:sz w:val="24"/>
          <w:szCs w:val="24"/>
        </w:rPr>
        <w:t xml:space="preserve">reduction in a </w:t>
      </w:r>
      <w:r>
        <w:rPr>
          <w:sz w:val="24"/>
          <w:szCs w:val="24"/>
        </w:rPr>
        <w:t>series of macro-economic variables such as GDP, unemployment, house price inflation etc. tested against the business plan.</w:t>
      </w:r>
    </w:p>
    <w:p w:rsidR="00A73FBA" w:rsidRDefault="00A73FBA" w:rsidP="00A73FBA">
      <w:pPr>
        <w:overflowPunct/>
        <w:autoSpaceDE/>
        <w:autoSpaceDN/>
        <w:adjustRightInd/>
        <w:spacing w:line="480" w:lineRule="auto"/>
        <w:jc w:val="both"/>
        <w:textAlignment w:val="auto"/>
        <w:rPr>
          <w:sz w:val="24"/>
          <w:szCs w:val="24"/>
        </w:rPr>
      </w:pPr>
    </w:p>
    <w:p w:rsidR="00A73FBA" w:rsidRDefault="00A73FBA" w:rsidP="00A73FBA">
      <w:pPr>
        <w:overflowPunct/>
        <w:autoSpaceDE/>
        <w:autoSpaceDN/>
        <w:adjustRightInd/>
        <w:spacing w:line="480" w:lineRule="auto"/>
        <w:jc w:val="both"/>
        <w:textAlignment w:val="auto"/>
        <w:rPr>
          <w:sz w:val="24"/>
          <w:szCs w:val="24"/>
        </w:rPr>
      </w:pPr>
      <w:r>
        <w:rPr>
          <w:sz w:val="24"/>
          <w:szCs w:val="24"/>
        </w:rPr>
        <w:t>The stress testing forces the RFB to think about the management actions that they would take to reduce the impact of the stress. The produc</w:t>
      </w:r>
      <w:r w:rsidR="00A95E5B">
        <w:rPr>
          <w:sz w:val="24"/>
          <w:szCs w:val="24"/>
        </w:rPr>
        <w:t>t</w:t>
      </w:r>
      <w:r>
        <w:rPr>
          <w:sz w:val="24"/>
          <w:szCs w:val="24"/>
        </w:rPr>
        <w:t xml:space="preserve"> of each scenario in the ICAAP takes the form of: (1) a gross stress; (2) application of management actions; and (3) a net stress position.</w:t>
      </w:r>
    </w:p>
    <w:p w:rsidR="00A73FBA" w:rsidRDefault="00A73FBA" w:rsidP="00A73FBA">
      <w:pPr>
        <w:overflowPunct/>
        <w:autoSpaceDE/>
        <w:autoSpaceDN/>
        <w:adjustRightInd/>
        <w:spacing w:line="480" w:lineRule="auto"/>
        <w:jc w:val="both"/>
        <w:textAlignment w:val="auto"/>
        <w:rPr>
          <w:sz w:val="24"/>
          <w:szCs w:val="24"/>
        </w:rPr>
      </w:pPr>
    </w:p>
    <w:p w:rsidR="00A94D02" w:rsidRDefault="00A73FBA" w:rsidP="00A73FBA">
      <w:pPr>
        <w:overflowPunct/>
        <w:autoSpaceDE/>
        <w:autoSpaceDN/>
        <w:adjustRightInd/>
        <w:spacing w:line="480" w:lineRule="auto"/>
        <w:jc w:val="both"/>
        <w:textAlignment w:val="auto"/>
        <w:rPr>
          <w:sz w:val="24"/>
          <w:szCs w:val="24"/>
        </w:rPr>
      </w:pPr>
      <w:r>
        <w:rPr>
          <w:sz w:val="24"/>
          <w:szCs w:val="24"/>
        </w:rPr>
        <w:t>The largest loss that needs to be absorbed in the five years of the net stress becomes the Pillar 2B charge – currently known as the Capital Planning Buffer (CPB)</w:t>
      </w:r>
      <w:r>
        <w:rPr>
          <w:rStyle w:val="FootnoteReference"/>
          <w:sz w:val="24"/>
          <w:szCs w:val="24"/>
        </w:rPr>
        <w:footnoteReference w:id="257"/>
      </w:r>
      <w:r>
        <w:rPr>
          <w:sz w:val="24"/>
          <w:szCs w:val="24"/>
        </w:rPr>
        <w:t xml:space="preserve">.  </w:t>
      </w:r>
    </w:p>
    <w:p w:rsidR="00A94D02" w:rsidRDefault="00A94D02" w:rsidP="00A73FBA">
      <w:pPr>
        <w:overflowPunct/>
        <w:autoSpaceDE/>
        <w:autoSpaceDN/>
        <w:adjustRightInd/>
        <w:spacing w:line="480" w:lineRule="auto"/>
        <w:jc w:val="both"/>
        <w:textAlignment w:val="auto"/>
        <w:rPr>
          <w:sz w:val="24"/>
          <w:szCs w:val="24"/>
        </w:rPr>
      </w:pPr>
    </w:p>
    <w:p w:rsidR="00F201ED" w:rsidRPr="00A73FBA" w:rsidRDefault="00A94D02" w:rsidP="00A73FBA">
      <w:pPr>
        <w:overflowPunct/>
        <w:autoSpaceDE/>
        <w:autoSpaceDN/>
        <w:adjustRightInd/>
        <w:spacing w:line="480" w:lineRule="auto"/>
        <w:jc w:val="both"/>
        <w:textAlignment w:val="auto"/>
        <w:rPr>
          <w:sz w:val="24"/>
          <w:szCs w:val="24"/>
        </w:rPr>
      </w:pPr>
      <w:r>
        <w:rPr>
          <w:sz w:val="24"/>
          <w:szCs w:val="24"/>
        </w:rPr>
        <w:lastRenderedPageBreak/>
        <w:t xml:space="preserve">The combination of the formulaic Pillar 1 capital charge, the self-assessed Pillar 2A and Pillar 2b charges constitutes the RFBs </w:t>
      </w:r>
      <w:r w:rsidRPr="00A94D02">
        <w:rPr>
          <w:sz w:val="24"/>
          <w:szCs w:val="24"/>
          <w:u w:val="single"/>
        </w:rPr>
        <w:t>Capital Demand</w:t>
      </w:r>
      <w:r>
        <w:rPr>
          <w:sz w:val="24"/>
          <w:szCs w:val="24"/>
        </w:rPr>
        <w:t xml:space="preserve"> relative to its risk profile. </w:t>
      </w:r>
      <w:r w:rsidR="00A95E5B">
        <w:rPr>
          <w:sz w:val="24"/>
          <w:szCs w:val="24"/>
        </w:rPr>
        <w:t>It is this that is presented to the Boa</w:t>
      </w:r>
      <w:r w:rsidR="0059552A">
        <w:rPr>
          <w:sz w:val="24"/>
          <w:szCs w:val="24"/>
        </w:rPr>
        <w:t>r</w:t>
      </w:r>
      <w:r w:rsidR="00A95E5B">
        <w:rPr>
          <w:sz w:val="24"/>
          <w:szCs w:val="24"/>
        </w:rPr>
        <w:t>d</w:t>
      </w:r>
      <w:r w:rsidR="0059552A">
        <w:rPr>
          <w:sz w:val="24"/>
          <w:szCs w:val="24"/>
        </w:rPr>
        <w:t xml:space="preserve"> in the ICAAP and submitted to the PRA.</w:t>
      </w:r>
      <w:r w:rsidR="00F201ED" w:rsidRPr="00A73FBA">
        <w:rPr>
          <w:sz w:val="24"/>
          <w:szCs w:val="24"/>
        </w:rPr>
        <w:br w:type="page"/>
      </w:r>
    </w:p>
    <w:p w:rsidR="00F201ED" w:rsidRDefault="00F201ED" w:rsidP="00F201ED">
      <w:pPr>
        <w:pStyle w:val="Heading1"/>
      </w:pPr>
      <w:bookmarkStart w:id="22" w:name="_Toc428779493"/>
      <w:r>
        <w:lastRenderedPageBreak/>
        <w:t>Appendix 2 – Capital</w:t>
      </w:r>
      <w:bookmarkEnd w:id="22"/>
    </w:p>
    <w:p w:rsidR="00A94D02" w:rsidRDefault="00A94D02" w:rsidP="00A72AD6">
      <w:pPr>
        <w:pStyle w:val="ListParagraph"/>
        <w:spacing w:line="480" w:lineRule="auto"/>
        <w:ind w:left="0"/>
        <w:jc w:val="both"/>
        <w:rPr>
          <w:sz w:val="24"/>
          <w:szCs w:val="24"/>
        </w:rPr>
      </w:pPr>
      <w:r>
        <w:rPr>
          <w:sz w:val="24"/>
          <w:szCs w:val="24"/>
        </w:rPr>
        <w:t xml:space="preserve">Having determined the </w:t>
      </w:r>
      <w:r w:rsidRPr="00A94D02">
        <w:rPr>
          <w:sz w:val="24"/>
          <w:szCs w:val="24"/>
          <w:u w:val="single"/>
        </w:rPr>
        <w:t>Capital Demand</w:t>
      </w:r>
      <w:r>
        <w:rPr>
          <w:sz w:val="24"/>
          <w:szCs w:val="24"/>
        </w:rPr>
        <w:t xml:space="preserve"> in the ICAAP risk assessment, it is then necessary to address the issue of </w:t>
      </w:r>
      <w:r w:rsidRPr="00A94D02">
        <w:rPr>
          <w:sz w:val="24"/>
          <w:szCs w:val="24"/>
          <w:u w:val="single"/>
        </w:rPr>
        <w:t>Capital Supply</w:t>
      </w:r>
      <w:r>
        <w:rPr>
          <w:sz w:val="24"/>
          <w:szCs w:val="24"/>
        </w:rPr>
        <w:t xml:space="preserve"> and the form it must take. There are three key types of capital, which, in order of importance are: (1) Common Equity Tier 1 (CET1) – share capital and reserves (retained profit); (2) Additional Tier 1 (AT1); and (3) Tier 2. </w:t>
      </w:r>
    </w:p>
    <w:p w:rsidR="00A94D02" w:rsidRDefault="00A94D02" w:rsidP="00A72AD6">
      <w:pPr>
        <w:pStyle w:val="ListParagraph"/>
        <w:spacing w:line="480" w:lineRule="auto"/>
        <w:ind w:left="0"/>
        <w:jc w:val="both"/>
        <w:rPr>
          <w:sz w:val="24"/>
          <w:szCs w:val="24"/>
        </w:rPr>
      </w:pPr>
    </w:p>
    <w:p w:rsidR="00A94D02" w:rsidRPr="00516123" w:rsidRDefault="00A94D02" w:rsidP="00A94D02">
      <w:pPr>
        <w:spacing w:line="480" w:lineRule="auto"/>
        <w:jc w:val="both"/>
        <w:rPr>
          <w:sz w:val="24"/>
          <w:szCs w:val="24"/>
        </w:rPr>
      </w:pPr>
      <w:r w:rsidRPr="00516123">
        <w:rPr>
          <w:sz w:val="24"/>
          <w:szCs w:val="24"/>
        </w:rPr>
        <w:t>Additional Tier 1 (AT1) instruments are debt issued by banks to build in additional resilience to the bank’s capital adequacy. They are intended to protect against the bank’s CET 1 falling below a certain level. AT1 converts from debt to equity if the CET1 ratio falls in times of stress. AT1 issuance is usually attractive to investors as it usually has a higher yield commensurate with the risk of conversion in times of stress for re-capitalisation.</w:t>
      </w:r>
      <w:r>
        <w:rPr>
          <w:sz w:val="24"/>
          <w:szCs w:val="24"/>
        </w:rPr>
        <w:t xml:space="preserve"> Tier 2 capital has a similar structure but is used after Tier 1. As part of recover</w:t>
      </w:r>
      <w:r w:rsidR="0059552A">
        <w:rPr>
          <w:sz w:val="24"/>
          <w:szCs w:val="24"/>
        </w:rPr>
        <w:t>y</w:t>
      </w:r>
      <w:r>
        <w:rPr>
          <w:sz w:val="24"/>
          <w:szCs w:val="24"/>
        </w:rPr>
        <w:t xml:space="preserve"> and resolution planning, there can also be bail-in debt – but this is not part of capital. </w:t>
      </w:r>
    </w:p>
    <w:p w:rsidR="00A94D02" w:rsidRDefault="00A94D02" w:rsidP="00A72AD6">
      <w:pPr>
        <w:pStyle w:val="ListParagraph"/>
        <w:spacing w:line="480" w:lineRule="auto"/>
        <w:ind w:left="0"/>
        <w:jc w:val="both"/>
        <w:rPr>
          <w:sz w:val="24"/>
          <w:szCs w:val="24"/>
        </w:rPr>
      </w:pPr>
    </w:p>
    <w:p w:rsidR="00F201ED" w:rsidRPr="005554FC" w:rsidRDefault="00A94D02" w:rsidP="00A72AD6">
      <w:pPr>
        <w:pStyle w:val="ListParagraph"/>
        <w:spacing w:line="480" w:lineRule="auto"/>
        <w:ind w:left="0"/>
        <w:jc w:val="both"/>
        <w:rPr>
          <w:sz w:val="24"/>
          <w:szCs w:val="24"/>
        </w:rPr>
      </w:pPr>
      <w:r>
        <w:rPr>
          <w:sz w:val="24"/>
          <w:szCs w:val="24"/>
        </w:rPr>
        <w:t>As mentioned in footnote 257, t</w:t>
      </w:r>
      <w:r w:rsidR="00F201ED" w:rsidRPr="005554FC">
        <w:rPr>
          <w:sz w:val="24"/>
          <w:szCs w:val="24"/>
        </w:rPr>
        <w:t xml:space="preserve">he PRA Buffer </w:t>
      </w:r>
      <w:r w:rsidR="00F201ED">
        <w:rPr>
          <w:sz w:val="24"/>
          <w:szCs w:val="24"/>
        </w:rPr>
        <w:t xml:space="preserve">will have </w:t>
      </w:r>
      <w:r w:rsidR="00F201ED" w:rsidRPr="005554FC">
        <w:rPr>
          <w:sz w:val="24"/>
          <w:szCs w:val="24"/>
        </w:rPr>
        <w:t>replace</w:t>
      </w:r>
      <w:r w:rsidR="00F201ED">
        <w:rPr>
          <w:sz w:val="24"/>
          <w:szCs w:val="24"/>
        </w:rPr>
        <w:t>d</w:t>
      </w:r>
      <w:r w:rsidR="00B41250">
        <w:rPr>
          <w:sz w:val="24"/>
          <w:szCs w:val="24"/>
        </w:rPr>
        <w:t xml:space="preserve"> </w:t>
      </w:r>
      <w:r>
        <w:rPr>
          <w:sz w:val="24"/>
          <w:szCs w:val="24"/>
        </w:rPr>
        <w:t xml:space="preserve">the </w:t>
      </w:r>
      <w:r w:rsidR="00F201ED" w:rsidRPr="005554FC">
        <w:rPr>
          <w:sz w:val="24"/>
          <w:szCs w:val="24"/>
        </w:rPr>
        <w:t xml:space="preserve">Pillar 2B </w:t>
      </w:r>
      <w:r>
        <w:rPr>
          <w:sz w:val="24"/>
          <w:szCs w:val="24"/>
        </w:rPr>
        <w:t xml:space="preserve">Capital Planning Buffer </w:t>
      </w:r>
      <w:r w:rsidR="00F201ED" w:rsidRPr="005554FC">
        <w:rPr>
          <w:sz w:val="24"/>
          <w:szCs w:val="24"/>
        </w:rPr>
        <w:t xml:space="preserve">and will only apply where it is in excess of the Capital Conservation Buffer (CCB) and Systemic Buffer (SB). The CCB will </w:t>
      </w:r>
      <w:r w:rsidR="00F201ED">
        <w:rPr>
          <w:sz w:val="24"/>
          <w:szCs w:val="24"/>
        </w:rPr>
        <w:t xml:space="preserve">apply at its full 2.5% for RFBs in 2019. At the time of writing the </w:t>
      </w:r>
      <w:r w:rsidR="00F201ED" w:rsidRPr="005554FC">
        <w:rPr>
          <w:sz w:val="24"/>
          <w:szCs w:val="24"/>
        </w:rPr>
        <w:t>SB has been set</w:t>
      </w:r>
      <w:r w:rsidR="00F201ED">
        <w:rPr>
          <w:sz w:val="24"/>
          <w:szCs w:val="24"/>
        </w:rPr>
        <w:t>, and in its true form (aimed at G-SIFIs) would not apply to RFBs, however, the PRA is introducing a specific systemic buffer for RFBs in the range 1 to 3%.The</w:t>
      </w:r>
      <w:r w:rsidR="00F201ED" w:rsidRPr="005554FC">
        <w:rPr>
          <w:sz w:val="24"/>
          <w:szCs w:val="24"/>
        </w:rPr>
        <w:t xml:space="preserve"> PRA Buffer will not have to be fully met until 2019. 25% will need to be met in 2016 and 50% in 2017</w:t>
      </w:r>
      <w:r w:rsidR="00F201ED">
        <w:rPr>
          <w:sz w:val="24"/>
          <w:szCs w:val="24"/>
        </w:rPr>
        <w:t>, however for RFBs in 2019 it must be met in full</w:t>
      </w:r>
      <w:r w:rsidR="00F201ED" w:rsidRPr="005554FC">
        <w:rPr>
          <w:sz w:val="24"/>
          <w:szCs w:val="24"/>
        </w:rPr>
        <w:t>. The PRA Buffer must be covered by CET1</w:t>
      </w:r>
      <w:r w:rsidR="00235B23">
        <w:rPr>
          <w:sz w:val="24"/>
          <w:szCs w:val="24"/>
        </w:rPr>
        <w:t xml:space="preserve"> (shares and retained profit)</w:t>
      </w:r>
      <w:r w:rsidR="00F201ED" w:rsidRPr="005554FC">
        <w:rPr>
          <w:sz w:val="24"/>
          <w:szCs w:val="24"/>
        </w:rPr>
        <w:t xml:space="preserve">. </w:t>
      </w:r>
    </w:p>
    <w:p w:rsidR="00F201ED" w:rsidRPr="005554FC" w:rsidRDefault="00F201ED" w:rsidP="00A72AD6">
      <w:pPr>
        <w:pStyle w:val="ListParagraph"/>
        <w:spacing w:line="480" w:lineRule="auto"/>
        <w:ind w:left="0"/>
        <w:jc w:val="both"/>
        <w:rPr>
          <w:sz w:val="24"/>
          <w:szCs w:val="24"/>
        </w:rPr>
      </w:pPr>
    </w:p>
    <w:p w:rsidR="00F201ED" w:rsidRDefault="00F201ED" w:rsidP="00A72AD6">
      <w:pPr>
        <w:pStyle w:val="ListParagraph"/>
        <w:spacing w:line="480" w:lineRule="auto"/>
        <w:ind w:left="0"/>
        <w:jc w:val="both"/>
        <w:rPr>
          <w:sz w:val="24"/>
          <w:szCs w:val="24"/>
        </w:rPr>
      </w:pPr>
      <w:r w:rsidRPr="005554FC">
        <w:rPr>
          <w:sz w:val="24"/>
          <w:szCs w:val="24"/>
        </w:rPr>
        <w:t xml:space="preserve">A Governance and Risk Management </w:t>
      </w:r>
      <w:r>
        <w:rPr>
          <w:sz w:val="24"/>
          <w:szCs w:val="24"/>
        </w:rPr>
        <w:t>(G&amp;RM)</w:t>
      </w:r>
      <w:r w:rsidR="0059552A">
        <w:rPr>
          <w:sz w:val="24"/>
          <w:szCs w:val="24"/>
        </w:rPr>
        <w:t xml:space="preserve"> </w:t>
      </w:r>
      <w:r w:rsidRPr="005554FC">
        <w:rPr>
          <w:sz w:val="24"/>
          <w:szCs w:val="24"/>
        </w:rPr>
        <w:t>Scalar</w:t>
      </w:r>
      <w:r w:rsidR="00235B23">
        <w:rPr>
          <w:sz w:val="24"/>
          <w:szCs w:val="24"/>
        </w:rPr>
        <w:t xml:space="preserve"> may be introduced where the PRA observe significant weakness in an RFBs governance and risk management. Where such a scalar is </w:t>
      </w:r>
      <w:r w:rsidR="00235B23">
        <w:rPr>
          <w:sz w:val="24"/>
          <w:szCs w:val="24"/>
        </w:rPr>
        <w:lastRenderedPageBreak/>
        <w:t xml:space="preserve">introduced, it </w:t>
      </w:r>
      <w:r w:rsidRPr="005554FC">
        <w:rPr>
          <w:sz w:val="24"/>
          <w:szCs w:val="24"/>
        </w:rPr>
        <w:t xml:space="preserve">will be covered by the PRA Buffer (and set as a scalar to the CET 1 required to cover both Pillar 1 </w:t>
      </w:r>
      <w:r w:rsidR="0059552A">
        <w:rPr>
          <w:sz w:val="24"/>
          <w:szCs w:val="24"/>
        </w:rPr>
        <w:t xml:space="preserve">CET 1 </w:t>
      </w:r>
      <w:r w:rsidRPr="005554FC">
        <w:rPr>
          <w:sz w:val="24"/>
          <w:szCs w:val="24"/>
        </w:rPr>
        <w:t>(4.5% of RWA) and Pillar 2A</w:t>
      </w:r>
      <w:r w:rsidR="0059552A">
        <w:rPr>
          <w:sz w:val="24"/>
          <w:szCs w:val="24"/>
        </w:rPr>
        <w:t xml:space="preserve"> CET 1</w:t>
      </w:r>
      <w:r w:rsidRPr="005554FC">
        <w:rPr>
          <w:sz w:val="24"/>
          <w:szCs w:val="24"/>
        </w:rPr>
        <w:t xml:space="preserve"> (56% of the Pillar 2A add-on). Where a G&amp;RM scalar is set</w:t>
      </w:r>
      <w:r w:rsidR="00235B23">
        <w:rPr>
          <w:sz w:val="24"/>
          <w:szCs w:val="24"/>
        </w:rPr>
        <w:t>,</w:t>
      </w:r>
      <w:r w:rsidRPr="005554FC">
        <w:rPr>
          <w:sz w:val="24"/>
          <w:szCs w:val="24"/>
        </w:rPr>
        <w:t xml:space="preserve"> it is a part of the PRA Buffer that does not benefit from an offset against the other buffers. </w:t>
      </w:r>
      <w:r w:rsidR="00235B23">
        <w:rPr>
          <w:sz w:val="24"/>
          <w:szCs w:val="24"/>
        </w:rPr>
        <w:t xml:space="preserve">It </w:t>
      </w:r>
      <w:r w:rsidRPr="005554FC">
        <w:rPr>
          <w:sz w:val="24"/>
          <w:szCs w:val="24"/>
        </w:rPr>
        <w:t xml:space="preserve">would </w:t>
      </w:r>
      <w:r w:rsidR="00235B23">
        <w:rPr>
          <w:sz w:val="24"/>
          <w:szCs w:val="24"/>
        </w:rPr>
        <w:t xml:space="preserve">also </w:t>
      </w:r>
      <w:r w:rsidRPr="005554FC">
        <w:rPr>
          <w:sz w:val="24"/>
          <w:szCs w:val="24"/>
        </w:rPr>
        <w:t>constitute</w:t>
      </w:r>
      <w:r w:rsidR="00B41250">
        <w:rPr>
          <w:sz w:val="24"/>
          <w:szCs w:val="24"/>
        </w:rPr>
        <w:t xml:space="preserve"> </w:t>
      </w:r>
      <w:r w:rsidRPr="005554FC">
        <w:rPr>
          <w:sz w:val="24"/>
          <w:szCs w:val="24"/>
        </w:rPr>
        <w:t>part of a Core Capital Planning Buffer and as such would not benefit fr</w:t>
      </w:r>
      <w:r w:rsidR="00235B23">
        <w:rPr>
          <w:sz w:val="24"/>
          <w:szCs w:val="24"/>
        </w:rPr>
        <w:t>o</w:t>
      </w:r>
      <w:r w:rsidRPr="005554FC">
        <w:rPr>
          <w:sz w:val="24"/>
          <w:szCs w:val="24"/>
        </w:rPr>
        <w:t xml:space="preserve">m the transitional arrangements, i.e. it would need to be covered by 100% CET1. </w:t>
      </w:r>
    </w:p>
    <w:p w:rsidR="00F201ED" w:rsidRDefault="00F201ED" w:rsidP="00A72AD6">
      <w:pPr>
        <w:pStyle w:val="ListParagraph"/>
        <w:spacing w:line="480" w:lineRule="auto"/>
        <w:ind w:left="0"/>
        <w:jc w:val="both"/>
        <w:rPr>
          <w:sz w:val="24"/>
          <w:szCs w:val="24"/>
        </w:rPr>
      </w:pPr>
    </w:p>
    <w:p w:rsidR="00F201ED" w:rsidRDefault="00F201ED" w:rsidP="00A72AD6">
      <w:pPr>
        <w:pStyle w:val="ListParagraph"/>
        <w:spacing w:line="480" w:lineRule="auto"/>
        <w:ind w:left="0"/>
        <w:jc w:val="both"/>
        <w:rPr>
          <w:sz w:val="24"/>
          <w:szCs w:val="24"/>
        </w:rPr>
      </w:pPr>
      <w:r w:rsidRPr="002D5B3F">
        <w:rPr>
          <w:sz w:val="24"/>
          <w:szCs w:val="24"/>
        </w:rPr>
        <w:t xml:space="preserve">Governance and risk management scalars have been around for a long time. It is possible that a new RFB will get a Governance and Risk scalar for at least the first year whilst the Board and EXCO establish themselves and are seen to work effectively in respect of their respective roles – (1) direction and oversight; and (2) management of the business respectively. In this respect RFBs can help themselves by setting out their governance effectively in the RFBs ICAAP. </w:t>
      </w:r>
    </w:p>
    <w:p w:rsidR="00235B23" w:rsidRDefault="00235B23" w:rsidP="00A72AD6">
      <w:pPr>
        <w:pStyle w:val="ListParagraph"/>
        <w:spacing w:line="480" w:lineRule="auto"/>
        <w:ind w:left="0"/>
        <w:jc w:val="both"/>
        <w:rPr>
          <w:sz w:val="24"/>
          <w:szCs w:val="24"/>
        </w:rPr>
      </w:pPr>
    </w:p>
    <w:p w:rsidR="00235B23" w:rsidRPr="002D5B3F" w:rsidRDefault="00235B23" w:rsidP="00A72AD6">
      <w:pPr>
        <w:pStyle w:val="ListParagraph"/>
        <w:spacing w:line="480" w:lineRule="auto"/>
        <w:ind w:left="0"/>
        <w:jc w:val="both"/>
        <w:rPr>
          <w:sz w:val="24"/>
          <w:szCs w:val="24"/>
        </w:rPr>
      </w:pPr>
      <w:r>
        <w:rPr>
          <w:sz w:val="24"/>
          <w:szCs w:val="24"/>
        </w:rPr>
        <w:t>The outcome of the submission of the ICAAP to the PRA, following their SREP, is the issue of Individual Capital Guidance (ICG). The IC</w:t>
      </w:r>
      <w:r w:rsidR="0059552A">
        <w:rPr>
          <w:sz w:val="24"/>
          <w:szCs w:val="24"/>
        </w:rPr>
        <w:t>G</w:t>
      </w:r>
      <w:r>
        <w:rPr>
          <w:sz w:val="24"/>
          <w:szCs w:val="24"/>
        </w:rPr>
        <w:t xml:space="preserve"> will inform the RFB of the amount of capital they must hold and also the quality of the capital (i.e. the mix of CET1, AT1 and T2).  </w:t>
      </w:r>
    </w:p>
    <w:p w:rsidR="00F201ED" w:rsidRDefault="00F201ED" w:rsidP="00A72AD6">
      <w:pPr>
        <w:spacing w:line="480" w:lineRule="auto"/>
      </w:pPr>
    </w:p>
    <w:p w:rsidR="00F201ED" w:rsidRPr="00516123" w:rsidRDefault="00235B23" w:rsidP="00235B23">
      <w:pPr>
        <w:pStyle w:val="ListParagraph"/>
        <w:spacing w:line="480" w:lineRule="auto"/>
        <w:ind w:left="0"/>
        <w:jc w:val="both"/>
        <w:rPr>
          <w:sz w:val="24"/>
          <w:szCs w:val="24"/>
        </w:rPr>
      </w:pPr>
      <w:r>
        <w:rPr>
          <w:sz w:val="24"/>
          <w:szCs w:val="24"/>
        </w:rPr>
        <w:t>As an additional safety net the PRA have a Leverage Ratio (LR)</w:t>
      </w:r>
      <w:r>
        <w:rPr>
          <w:rStyle w:val="FootnoteReference"/>
          <w:sz w:val="24"/>
          <w:szCs w:val="24"/>
        </w:rPr>
        <w:footnoteReference w:id="258"/>
      </w:r>
      <w:r>
        <w:rPr>
          <w:sz w:val="24"/>
          <w:szCs w:val="24"/>
        </w:rPr>
        <w:t>. Vickers wanted the LR set at 4% allowing banks to leverage their balance sheet to 25</w:t>
      </w:r>
      <w:r w:rsidR="0059552A">
        <w:rPr>
          <w:sz w:val="24"/>
          <w:szCs w:val="24"/>
        </w:rPr>
        <w:t xml:space="preserve"> times </w:t>
      </w:r>
      <w:r>
        <w:rPr>
          <w:sz w:val="24"/>
          <w:szCs w:val="24"/>
        </w:rPr>
        <w:t xml:space="preserve">capital. The LR has been set at 3% (33 times leverage) but with add-ons of 35% of the Countercyclical Capital Buffer (currently 0) and 35% of the Systemic Buffer (or RFB Buffer for RFBS) </w:t>
      </w:r>
      <w:r w:rsidR="0059552A">
        <w:rPr>
          <w:sz w:val="24"/>
          <w:szCs w:val="24"/>
        </w:rPr>
        <w:t xml:space="preserve">- </w:t>
      </w:r>
      <w:r>
        <w:rPr>
          <w:sz w:val="24"/>
          <w:szCs w:val="24"/>
        </w:rPr>
        <w:t>so for many banks it will in effect be close to 4</w:t>
      </w:r>
      <w:r w:rsidR="00D27542">
        <w:rPr>
          <w:sz w:val="24"/>
          <w:szCs w:val="24"/>
        </w:rPr>
        <w:t>%.</w:t>
      </w:r>
    </w:p>
    <w:p w:rsidR="00F201ED" w:rsidRDefault="00F201ED" w:rsidP="00235B23">
      <w:pPr>
        <w:pStyle w:val="ListParagraph"/>
        <w:spacing w:line="480" w:lineRule="auto"/>
        <w:ind w:left="0"/>
        <w:jc w:val="both"/>
        <w:rPr>
          <w:sz w:val="24"/>
          <w:szCs w:val="24"/>
        </w:rPr>
      </w:pPr>
    </w:p>
    <w:p w:rsidR="00F201ED" w:rsidRDefault="00F201ED" w:rsidP="00F201ED">
      <w:pPr>
        <w:pStyle w:val="ListParagraph"/>
        <w:ind w:left="0"/>
        <w:jc w:val="both"/>
        <w:rPr>
          <w:sz w:val="24"/>
          <w:szCs w:val="24"/>
        </w:rPr>
      </w:pPr>
    </w:p>
    <w:p w:rsidR="00F201ED" w:rsidRPr="000664A1" w:rsidRDefault="00F201ED" w:rsidP="00F20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2233"/>
      </w:tblGrid>
      <w:tr w:rsidR="00F201ED" w:rsidTr="0075392C">
        <w:tc>
          <w:tcPr>
            <w:tcW w:w="2943" w:type="dxa"/>
          </w:tcPr>
          <w:p w:rsidR="00F201ED" w:rsidRPr="00802D4F" w:rsidRDefault="00F201ED" w:rsidP="0075392C">
            <w:pPr>
              <w:tabs>
                <w:tab w:val="center" w:pos="4153"/>
                <w:tab w:val="right" w:pos="8306"/>
              </w:tabs>
              <w:spacing w:before="240"/>
            </w:pPr>
            <w:r w:rsidRPr="00802D4F">
              <w:lastRenderedPageBreak/>
              <w:t xml:space="preserve">A PRA Buffer assessment is applied only when the assessment exceeds the CCB and SB. However, any governance and risk scalar will be held in the PRA Buffer.   </w:t>
            </w:r>
          </w:p>
        </w:tc>
        <w:tc>
          <w:tcPr>
            <w:tcW w:w="3828" w:type="dxa"/>
          </w:tcPr>
          <w:p w:rsidR="00F201ED" w:rsidRPr="00802D4F" w:rsidRDefault="00F201ED" w:rsidP="0075392C">
            <w:pPr>
              <w:tabs>
                <w:tab w:val="center" w:pos="4153"/>
                <w:tab w:val="right" w:pos="8306"/>
              </w:tabs>
              <w:spacing w:before="240"/>
              <w:rPr>
                <w:b/>
              </w:rPr>
            </w:pPr>
            <w:r w:rsidRPr="00802D4F">
              <w:rPr>
                <w:b/>
              </w:rPr>
              <w:t>PRA Buffer</w:t>
            </w:r>
          </w:p>
          <w:p w:rsidR="00F201ED" w:rsidRPr="00802D4F" w:rsidRDefault="00F201ED" w:rsidP="0075392C">
            <w:pPr>
              <w:tabs>
                <w:tab w:val="center" w:pos="4153"/>
                <w:tab w:val="right" w:pos="8306"/>
              </w:tabs>
              <w:spacing w:before="240"/>
            </w:pPr>
            <w:r w:rsidRPr="00802D4F">
              <w:t xml:space="preserve">CET1 (if required) </w:t>
            </w:r>
          </w:p>
          <w:p w:rsidR="00F201ED" w:rsidRPr="006D433A" w:rsidRDefault="00F201ED" w:rsidP="0075392C">
            <w:pPr>
              <w:tabs>
                <w:tab w:val="center" w:pos="4153"/>
                <w:tab w:val="right" w:pos="8306"/>
              </w:tabs>
              <w:spacing w:before="240"/>
              <w:rPr>
                <w:b/>
                <w:sz w:val="24"/>
                <w:szCs w:val="24"/>
              </w:rPr>
            </w:pPr>
          </w:p>
        </w:tc>
        <w:tc>
          <w:tcPr>
            <w:tcW w:w="2233" w:type="dxa"/>
            <w:vMerge w:val="restart"/>
            <w:vAlign w:val="center"/>
          </w:tcPr>
          <w:p w:rsidR="00F201ED" w:rsidRPr="006D433A" w:rsidRDefault="005F4785" w:rsidP="0075392C">
            <w:pPr>
              <w:tabs>
                <w:tab w:val="center" w:pos="4153"/>
                <w:tab w:val="right" w:pos="8306"/>
              </w:tabs>
              <w:spacing w:before="240"/>
              <w:jc w:val="center"/>
              <w:rPr>
                <w:b/>
                <w:sz w:val="24"/>
                <w:szCs w:val="24"/>
              </w:rPr>
            </w:pPr>
            <w:r>
              <w:rPr>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-3810</wp:posOffset>
                      </wp:positionV>
                      <wp:extent cx="1120775" cy="360045"/>
                      <wp:effectExtent l="0" t="114935" r="21590" b="25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120775" cy="360045"/>
                              </a:xfrm>
                              <a:prstGeom prst="bentConnector3">
                                <a:avLst>
                                  <a:gd name="adj1" fmla="val 101755"/>
                                </a:avLst>
                              </a:prstGeom>
                              <a:noFill/>
                              <a:ln w="381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21DF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7.8pt;margin-top:-.3pt;width:88.25pt;height:28.3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" adj="21979" strokeweight="3pt">
                      <v:stroke endarrow="block"/>
                    </v:shape>
                  </w:pict>
                </mc:Fallback>
              </mc:AlternateContent>
            </w:r>
          </w:p>
          <w:p w:rsidR="00F201ED" w:rsidRDefault="00F201ED" w:rsidP="0075392C">
            <w:pPr>
              <w:tabs>
                <w:tab w:val="center" w:pos="4153"/>
                <w:tab w:val="right" w:pos="8306"/>
              </w:tabs>
              <w:spacing w:before="240"/>
              <w:jc w:val="center"/>
              <w:rPr>
                <w:b/>
                <w:sz w:val="24"/>
                <w:szCs w:val="24"/>
              </w:rPr>
            </w:pPr>
          </w:p>
          <w:p w:rsidR="00F201ED" w:rsidRDefault="00F201ED" w:rsidP="0075392C">
            <w:pPr>
              <w:tabs>
                <w:tab w:val="center" w:pos="4153"/>
                <w:tab w:val="right" w:pos="8306"/>
              </w:tabs>
              <w:spacing w:before="240"/>
              <w:jc w:val="center"/>
              <w:rPr>
                <w:b/>
                <w:sz w:val="24"/>
                <w:szCs w:val="24"/>
              </w:rPr>
            </w:pPr>
          </w:p>
          <w:p w:rsidR="00F201ED" w:rsidRPr="00802D4F" w:rsidRDefault="00F201ED" w:rsidP="0075392C">
            <w:pPr>
              <w:tabs>
                <w:tab w:val="center" w:pos="4153"/>
                <w:tab w:val="right" w:pos="8306"/>
              </w:tabs>
              <w:spacing w:before="240"/>
              <w:jc w:val="center"/>
              <w:rPr>
                <w:b/>
              </w:rPr>
            </w:pPr>
            <w:r w:rsidRPr="00802D4F">
              <w:rPr>
                <w:b/>
              </w:rPr>
              <w:t>PRA Buffer</w:t>
            </w:r>
          </w:p>
          <w:p w:rsidR="00F201ED" w:rsidRPr="006D433A" w:rsidRDefault="00F201ED" w:rsidP="0075392C">
            <w:pPr>
              <w:tabs>
                <w:tab w:val="center" w:pos="4153"/>
                <w:tab w:val="right" w:pos="8306"/>
              </w:tabs>
              <w:spacing w:before="240"/>
              <w:jc w:val="center"/>
              <w:rPr>
                <w:sz w:val="24"/>
                <w:szCs w:val="24"/>
              </w:rPr>
            </w:pPr>
            <w:r w:rsidRPr="00802D4F">
              <w:t>(includes Governance &amp; Risk scalar)</w:t>
            </w:r>
          </w:p>
        </w:tc>
      </w:tr>
      <w:tr w:rsidR="00F201ED" w:rsidTr="0075392C">
        <w:tc>
          <w:tcPr>
            <w:tcW w:w="2943" w:type="dxa"/>
          </w:tcPr>
          <w:p w:rsidR="00F201ED" w:rsidRPr="00802D4F" w:rsidRDefault="00F201ED" w:rsidP="0075392C">
            <w:pPr>
              <w:tabs>
                <w:tab w:val="center" w:pos="4153"/>
                <w:tab w:val="right" w:pos="8306"/>
              </w:tabs>
              <w:spacing w:before="240"/>
            </w:pPr>
            <w:r w:rsidRPr="00802D4F">
              <w:t>There is a transition period for this – 2016 (0.625%); 2017 (1.25%); 2018 (1.875%) and 2019 (2.5%). RFBs in 2019 will be required to hold the full 2.5% in CET1</w:t>
            </w:r>
          </w:p>
        </w:tc>
        <w:tc>
          <w:tcPr>
            <w:tcW w:w="3828" w:type="dxa"/>
          </w:tcPr>
          <w:p w:rsidR="00F201ED" w:rsidRPr="00802D4F" w:rsidRDefault="00F201ED" w:rsidP="0075392C">
            <w:pPr>
              <w:tabs>
                <w:tab w:val="center" w:pos="4153"/>
                <w:tab w:val="right" w:pos="8306"/>
              </w:tabs>
              <w:spacing w:before="240"/>
              <w:rPr>
                <w:b/>
              </w:rPr>
            </w:pPr>
            <w:r w:rsidRPr="00802D4F">
              <w:rPr>
                <w:b/>
              </w:rPr>
              <w:t>Capital Conservation Buffer (CCB)</w:t>
            </w:r>
          </w:p>
          <w:p w:rsidR="00F201ED" w:rsidRPr="00802D4F" w:rsidRDefault="00F201ED" w:rsidP="0075392C">
            <w:pPr>
              <w:tabs>
                <w:tab w:val="center" w:pos="4153"/>
                <w:tab w:val="right" w:pos="8306"/>
              </w:tabs>
              <w:spacing w:before="240"/>
            </w:pPr>
            <w:r w:rsidRPr="00802D4F">
              <w:t>CET1</w:t>
            </w:r>
          </w:p>
          <w:p w:rsidR="00F201ED" w:rsidRPr="006D433A" w:rsidRDefault="00F201ED" w:rsidP="0075392C">
            <w:pPr>
              <w:tabs>
                <w:tab w:val="center" w:pos="4153"/>
                <w:tab w:val="right" w:pos="8306"/>
              </w:tabs>
              <w:spacing w:before="240"/>
              <w:rPr>
                <w:sz w:val="24"/>
                <w:szCs w:val="24"/>
              </w:rPr>
            </w:pPr>
          </w:p>
        </w:tc>
        <w:tc>
          <w:tcPr>
            <w:tcW w:w="2233" w:type="dxa"/>
            <w:vMerge/>
          </w:tcPr>
          <w:p w:rsidR="00F201ED" w:rsidRPr="006D433A" w:rsidRDefault="00F201ED" w:rsidP="0075392C">
            <w:pPr>
              <w:tabs>
                <w:tab w:val="center" w:pos="4153"/>
                <w:tab w:val="right" w:pos="8306"/>
              </w:tabs>
              <w:spacing w:before="240"/>
              <w:rPr>
                <w:sz w:val="24"/>
                <w:szCs w:val="24"/>
              </w:rPr>
            </w:pPr>
          </w:p>
        </w:tc>
      </w:tr>
      <w:tr w:rsidR="00F201ED" w:rsidTr="0075392C">
        <w:tc>
          <w:tcPr>
            <w:tcW w:w="2943" w:type="dxa"/>
          </w:tcPr>
          <w:p w:rsidR="00F201ED" w:rsidRPr="00802D4F" w:rsidRDefault="00F201ED" w:rsidP="0075392C">
            <w:pPr>
              <w:tabs>
                <w:tab w:val="center" w:pos="4153"/>
                <w:tab w:val="right" w:pos="8306"/>
              </w:tabs>
              <w:spacing w:before="240"/>
            </w:pPr>
            <w:r w:rsidRPr="00802D4F">
              <w:t>This has been discussed between Carney and Osborne, but HMT has yet to designate (most likely the FPC). As RFBs will not be internationally systemic (G-SIFI) it should not apply. However, the PRA has proposed a Ring-fenced Bank buffer, which when implemented will range from 1 – 3%.</w:t>
            </w:r>
          </w:p>
        </w:tc>
        <w:tc>
          <w:tcPr>
            <w:tcW w:w="3828" w:type="dxa"/>
          </w:tcPr>
          <w:p w:rsidR="00F201ED" w:rsidRPr="00802D4F" w:rsidRDefault="00F201ED" w:rsidP="0075392C">
            <w:pPr>
              <w:tabs>
                <w:tab w:val="center" w:pos="4153"/>
                <w:tab w:val="right" w:pos="8306"/>
              </w:tabs>
              <w:spacing w:before="240"/>
              <w:rPr>
                <w:b/>
              </w:rPr>
            </w:pPr>
            <w:r w:rsidRPr="00802D4F">
              <w:rPr>
                <w:b/>
              </w:rPr>
              <w:t>Systemic Buffers (SB)</w:t>
            </w:r>
          </w:p>
          <w:p w:rsidR="00F201ED" w:rsidRPr="00802D4F" w:rsidRDefault="00F201ED" w:rsidP="0075392C">
            <w:pPr>
              <w:tabs>
                <w:tab w:val="center" w:pos="4153"/>
                <w:tab w:val="right" w:pos="8306"/>
              </w:tabs>
              <w:spacing w:before="240"/>
              <w:rPr>
                <w:b/>
              </w:rPr>
            </w:pPr>
            <w:r w:rsidRPr="00802D4F">
              <w:t>CET1 (if required)</w:t>
            </w:r>
          </w:p>
          <w:p w:rsidR="00F201ED" w:rsidRPr="006D433A" w:rsidRDefault="00F201ED" w:rsidP="0075392C">
            <w:pPr>
              <w:tabs>
                <w:tab w:val="center" w:pos="4153"/>
                <w:tab w:val="right" w:pos="8306"/>
              </w:tabs>
              <w:spacing w:before="240"/>
              <w:rPr>
                <w:b/>
                <w:sz w:val="24"/>
                <w:szCs w:val="24"/>
              </w:rPr>
            </w:pPr>
          </w:p>
        </w:tc>
        <w:tc>
          <w:tcPr>
            <w:tcW w:w="2233" w:type="dxa"/>
            <w:vMerge/>
          </w:tcPr>
          <w:p w:rsidR="00F201ED" w:rsidRPr="006D433A" w:rsidRDefault="00F201ED" w:rsidP="0075392C">
            <w:pPr>
              <w:tabs>
                <w:tab w:val="center" w:pos="4153"/>
                <w:tab w:val="right" w:pos="8306"/>
              </w:tabs>
              <w:spacing w:before="240"/>
              <w:rPr>
                <w:sz w:val="24"/>
                <w:szCs w:val="24"/>
              </w:rPr>
            </w:pPr>
          </w:p>
        </w:tc>
      </w:tr>
      <w:tr w:rsidR="00F201ED" w:rsidTr="0075392C">
        <w:tc>
          <w:tcPr>
            <w:tcW w:w="2943" w:type="dxa"/>
          </w:tcPr>
          <w:p w:rsidR="00F201ED" w:rsidRPr="00802D4F" w:rsidRDefault="00F201ED" w:rsidP="0075392C">
            <w:pPr>
              <w:tabs>
                <w:tab w:val="center" w:pos="4153"/>
                <w:tab w:val="right" w:pos="8306"/>
              </w:tabs>
              <w:spacing w:before="240"/>
            </w:pPr>
            <w:r w:rsidRPr="00802D4F">
              <w:t>If set this must be held as CET 1</w:t>
            </w:r>
          </w:p>
          <w:p w:rsidR="00F201ED" w:rsidRPr="006D433A" w:rsidRDefault="00F201ED" w:rsidP="0075392C">
            <w:pPr>
              <w:tabs>
                <w:tab w:val="center" w:pos="4153"/>
                <w:tab w:val="right" w:pos="8306"/>
              </w:tabs>
              <w:spacing w:before="240"/>
              <w:rPr>
                <w:sz w:val="24"/>
                <w:szCs w:val="24"/>
              </w:rPr>
            </w:pPr>
            <w:r w:rsidRPr="00802D4F">
              <w:t>Note</w:t>
            </w:r>
            <w:r>
              <w:t>:</w:t>
            </w:r>
            <w:r w:rsidRPr="00802D4F">
              <w:t xml:space="preserve"> that for exposures in other EEA states the CCB for the relevant State must be used.</w:t>
            </w:r>
          </w:p>
        </w:tc>
        <w:tc>
          <w:tcPr>
            <w:tcW w:w="6061" w:type="dxa"/>
            <w:gridSpan w:val="2"/>
          </w:tcPr>
          <w:p w:rsidR="00F201ED" w:rsidRPr="00802D4F" w:rsidRDefault="00F201ED" w:rsidP="0075392C">
            <w:pPr>
              <w:tabs>
                <w:tab w:val="center" w:pos="4153"/>
                <w:tab w:val="right" w:pos="8306"/>
              </w:tabs>
              <w:spacing w:before="240"/>
              <w:rPr>
                <w:b/>
              </w:rPr>
            </w:pPr>
            <w:r w:rsidRPr="00802D4F">
              <w:rPr>
                <w:b/>
              </w:rPr>
              <w:t>Countercyclical Capital Buffer</w:t>
            </w:r>
          </w:p>
          <w:p w:rsidR="00F201ED" w:rsidRPr="006D433A" w:rsidRDefault="00F201ED" w:rsidP="0075392C">
            <w:pPr>
              <w:tabs>
                <w:tab w:val="center" w:pos="4153"/>
                <w:tab w:val="right" w:pos="8306"/>
              </w:tabs>
              <w:spacing w:before="240"/>
              <w:rPr>
                <w:sz w:val="24"/>
                <w:szCs w:val="24"/>
              </w:rPr>
            </w:pPr>
            <w:r w:rsidRPr="00802D4F">
              <w:t>Set by the FPC – reviewed quarterly – currently set at 0%</w:t>
            </w:r>
          </w:p>
          <w:p w:rsidR="00F201ED" w:rsidRPr="006D433A" w:rsidRDefault="00F201ED" w:rsidP="0075392C">
            <w:pPr>
              <w:tabs>
                <w:tab w:val="center" w:pos="4153"/>
                <w:tab w:val="right" w:pos="8306"/>
              </w:tabs>
              <w:spacing w:before="240"/>
              <w:rPr>
                <w:sz w:val="24"/>
                <w:szCs w:val="24"/>
              </w:rPr>
            </w:pPr>
          </w:p>
        </w:tc>
      </w:tr>
      <w:tr w:rsidR="00F201ED" w:rsidTr="0075392C">
        <w:tc>
          <w:tcPr>
            <w:tcW w:w="2943" w:type="dxa"/>
          </w:tcPr>
          <w:p w:rsidR="00F201ED" w:rsidRPr="00802D4F" w:rsidRDefault="00F201ED" w:rsidP="0075392C">
            <w:pPr>
              <w:tabs>
                <w:tab w:val="center" w:pos="4153"/>
                <w:tab w:val="right" w:pos="8306"/>
              </w:tabs>
              <w:spacing w:before="240"/>
            </w:pPr>
            <w:r w:rsidRPr="00802D4F">
              <w:t xml:space="preserve">Aligned to Pillar 1 proportions (from Jan 2015) </w:t>
            </w:r>
          </w:p>
        </w:tc>
        <w:tc>
          <w:tcPr>
            <w:tcW w:w="6061" w:type="dxa"/>
            <w:gridSpan w:val="2"/>
          </w:tcPr>
          <w:p w:rsidR="00F201ED" w:rsidRPr="00802D4F" w:rsidRDefault="00F201ED" w:rsidP="0075392C">
            <w:pPr>
              <w:tabs>
                <w:tab w:val="center" w:pos="4153"/>
                <w:tab w:val="right" w:pos="8306"/>
              </w:tabs>
              <w:spacing w:before="240"/>
              <w:rPr>
                <w:b/>
              </w:rPr>
            </w:pPr>
            <w:r w:rsidRPr="00802D4F">
              <w:rPr>
                <w:b/>
              </w:rPr>
              <w:t>Pillar 2A (same proportions as Pillar 1)</w:t>
            </w:r>
          </w:p>
          <w:p w:rsidR="00F201ED" w:rsidRPr="00802D4F" w:rsidRDefault="00F201ED" w:rsidP="0075392C">
            <w:pPr>
              <w:tabs>
                <w:tab w:val="center" w:pos="4153"/>
                <w:tab w:val="right" w:pos="8306"/>
              </w:tabs>
              <w:spacing w:before="240"/>
            </w:pPr>
            <w:r w:rsidRPr="00802D4F">
              <w:t>25% of Pillar 2A charge - T2</w:t>
            </w:r>
          </w:p>
          <w:p w:rsidR="00F201ED" w:rsidRPr="00802D4F" w:rsidRDefault="00F201ED" w:rsidP="0075392C">
            <w:pPr>
              <w:tabs>
                <w:tab w:val="center" w:pos="4153"/>
                <w:tab w:val="right" w:pos="8306"/>
              </w:tabs>
              <w:spacing w:before="240"/>
            </w:pPr>
            <w:r w:rsidRPr="00802D4F">
              <w:t xml:space="preserve">19% of Pillar 2A charge - AT1 </w:t>
            </w:r>
          </w:p>
          <w:p w:rsidR="00F201ED" w:rsidRPr="00802D4F" w:rsidRDefault="00F201ED" w:rsidP="0075392C">
            <w:pPr>
              <w:tabs>
                <w:tab w:val="center" w:pos="4153"/>
                <w:tab w:val="right" w:pos="8306"/>
              </w:tabs>
              <w:spacing w:before="240"/>
            </w:pPr>
            <w:r w:rsidRPr="00802D4F">
              <w:t>56% of Pillar 2A charge - CET1</w:t>
            </w:r>
          </w:p>
          <w:p w:rsidR="00F201ED" w:rsidRPr="006D433A" w:rsidRDefault="00F201ED" w:rsidP="0075392C">
            <w:pPr>
              <w:tabs>
                <w:tab w:val="center" w:pos="4153"/>
                <w:tab w:val="right" w:pos="8306"/>
              </w:tabs>
              <w:spacing w:before="240"/>
              <w:rPr>
                <w:sz w:val="24"/>
                <w:szCs w:val="24"/>
              </w:rPr>
            </w:pPr>
          </w:p>
        </w:tc>
      </w:tr>
      <w:tr w:rsidR="00F201ED" w:rsidTr="0075392C">
        <w:tc>
          <w:tcPr>
            <w:tcW w:w="2943" w:type="dxa"/>
          </w:tcPr>
          <w:p w:rsidR="00F201ED" w:rsidRPr="000664A1" w:rsidRDefault="00F201ED" w:rsidP="0075392C">
            <w:pPr>
              <w:tabs>
                <w:tab w:val="center" w:pos="4153"/>
                <w:tab w:val="right" w:pos="8306"/>
              </w:tabs>
              <w:spacing w:before="240"/>
            </w:pPr>
            <w:r w:rsidRPr="000664A1">
              <w:t>Current Pillar 1 requirements</w:t>
            </w:r>
          </w:p>
        </w:tc>
        <w:tc>
          <w:tcPr>
            <w:tcW w:w="6061" w:type="dxa"/>
            <w:gridSpan w:val="2"/>
          </w:tcPr>
          <w:p w:rsidR="00F201ED" w:rsidRPr="000664A1" w:rsidRDefault="00F201ED" w:rsidP="0075392C">
            <w:pPr>
              <w:tabs>
                <w:tab w:val="center" w:pos="4153"/>
                <w:tab w:val="right" w:pos="8306"/>
              </w:tabs>
              <w:spacing w:before="240"/>
              <w:rPr>
                <w:b/>
              </w:rPr>
            </w:pPr>
            <w:r w:rsidRPr="000664A1">
              <w:rPr>
                <w:b/>
              </w:rPr>
              <w:t>Pillar 1</w:t>
            </w:r>
          </w:p>
          <w:p w:rsidR="00F201ED" w:rsidRPr="000664A1" w:rsidRDefault="00F201ED" w:rsidP="0075392C">
            <w:pPr>
              <w:tabs>
                <w:tab w:val="center" w:pos="4153"/>
                <w:tab w:val="right" w:pos="8306"/>
              </w:tabs>
              <w:spacing w:before="240"/>
            </w:pPr>
            <w:r w:rsidRPr="000664A1">
              <w:t>2% of RWAs - T2</w:t>
            </w:r>
          </w:p>
          <w:p w:rsidR="00F201ED" w:rsidRPr="000664A1" w:rsidRDefault="00F201ED" w:rsidP="0075392C">
            <w:pPr>
              <w:tabs>
                <w:tab w:val="center" w:pos="4153"/>
                <w:tab w:val="right" w:pos="8306"/>
              </w:tabs>
              <w:spacing w:before="240"/>
            </w:pPr>
            <w:r w:rsidRPr="000664A1">
              <w:t>1.5% of RWAs - AT1</w:t>
            </w:r>
          </w:p>
          <w:p w:rsidR="00F201ED" w:rsidRPr="000664A1" w:rsidRDefault="00F201ED" w:rsidP="0075392C">
            <w:pPr>
              <w:tabs>
                <w:tab w:val="center" w:pos="4153"/>
                <w:tab w:val="right" w:pos="8306"/>
              </w:tabs>
              <w:spacing w:before="240"/>
            </w:pPr>
            <w:r w:rsidRPr="000664A1">
              <w:t>4.5% of RWAs - CET 1</w:t>
            </w:r>
          </w:p>
          <w:p w:rsidR="00F201ED" w:rsidRPr="006D433A" w:rsidRDefault="00F201ED" w:rsidP="0075392C">
            <w:pPr>
              <w:tabs>
                <w:tab w:val="center" w:pos="4153"/>
                <w:tab w:val="right" w:pos="8306"/>
              </w:tabs>
              <w:spacing w:before="240"/>
              <w:rPr>
                <w:sz w:val="24"/>
                <w:szCs w:val="24"/>
              </w:rPr>
            </w:pPr>
          </w:p>
        </w:tc>
      </w:tr>
    </w:tbl>
    <w:p w:rsidR="00F201ED" w:rsidRDefault="00F201ED" w:rsidP="00DE7838">
      <w:pPr>
        <w:pStyle w:val="Heading1"/>
        <w:jc w:val="left"/>
      </w:pPr>
    </w:p>
    <w:p w:rsidR="00F201ED" w:rsidRDefault="00F201ED" w:rsidP="00F201ED">
      <w:pPr>
        <w:rPr>
          <w:sz w:val="28"/>
          <w:szCs w:val="28"/>
        </w:rPr>
      </w:pPr>
      <w:r>
        <w:br w:type="page"/>
      </w:r>
    </w:p>
    <w:p w:rsidR="00DE7838" w:rsidRDefault="00DE7838" w:rsidP="00DE7838">
      <w:pPr>
        <w:pStyle w:val="Heading1"/>
        <w:jc w:val="left"/>
      </w:pPr>
      <w:bookmarkStart w:id="23" w:name="_Toc428779494"/>
      <w:r>
        <w:lastRenderedPageBreak/>
        <w:t xml:space="preserve">Appendix </w:t>
      </w:r>
      <w:r w:rsidR="00BC1309">
        <w:t>3–</w:t>
      </w:r>
      <w:r>
        <w:t xml:space="preserve"> Liquidity</w:t>
      </w:r>
      <w:r w:rsidR="00BC1309">
        <w:t xml:space="preserve"> Adequacy</w:t>
      </w:r>
      <w:bookmarkEnd w:id="23"/>
    </w:p>
    <w:p w:rsidR="00D27542" w:rsidRDefault="00D27542" w:rsidP="00DE7838">
      <w:pPr>
        <w:jc w:val="both"/>
        <w:rPr>
          <w:sz w:val="24"/>
          <w:szCs w:val="24"/>
        </w:rPr>
      </w:pPr>
      <w:r w:rsidRPr="00D27542">
        <w:rPr>
          <w:b/>
          <w:sz w:val="24"/>
          <w:szCs w:val="24"/>
        </w:rPr>
        <w:t>Note:</w:t>
      </w:r>
      <w:r w:rsidRPr="00D27542">
        <w:rPr>
          <w:sz w:val="24"/>
          <w:szCs w:val="24"/>
        </w:rPr>
        <w:t xml:space="preserve"> Alth</w:t>
      </w:r>
      <w:r>
        <w:rPr>
          <w:sz w:val="24"/>
          <w:szCs w:val="24"/>
        </w:rPr>
        <w:t>ough references to BIPRU are correct at the time of writing, the PRA Liquidity Regime is being replaced on 1</w:t>
      </w:r>
      <w:r w:rsidRPr="00D27542">
        <w:rPr>
          <w:sz w:val="24"/>
          <w:szCs w:val="24"/>
          <w:vertAlign w:val="superscript"/>
        </w:rPr>
        <w:t>st</w:t>
      </w:r>
      <w:r>
        <w:rPr>
          <w:sz w:val="24"/>
          <w:szCs w:val="24"/>
        </w:rPr>
        <w:t xml:space="preserve"> October 2015 with the liquidity provisions from the CRR supported by EBA RTS. </w:t>
      </w:r>
      <w:r w:rsidR="0059552A">
        <w:rPr>
          <w:sz w:val="24"/>
          <w:szCs w:val="24"/>
        </w:rPr>
        <w:t>However, t</w:t>
      </w:r>
      <w:r>
        <w:rPr>
          <w:sz w:val="24"/>
          <w:szCs w:val="24"/>
        </w:rPr>
        <w:t>he principles remain the same.</w:t>
      </w:r>
    </w:p>
    <w:p w:rsidR="00DE7838" w:rsidRPr="00D27542" w:rsidRDefault="00DE7838" w:rsidP="00DE7838">
      <w:pPr>
        <w:jc w:val="both"/>
        <w:rPr>
          <w:sz w:val="24"/>
          <w:szCs w:val="24"/>
        </w:rPr>
      </w:pPr>
    </w:p>
    <w:p w:rsidR="00DE7838" w:rsidRDefault="00DE7838" w:rsidP="00A72AD6">
      <w:pPr>
        <w:spacing w:line="480" w:lineRule="auto"/>
        <w:jc w:val="both"/>
        <w:rPr>
          <w:sz w:val="24"/>
          <w:szCs w:val="24"/>
        </w:rPr>
      </w:pPr>
      <w:r>
        <w:rPr>
          <w:sz w:val="24"/>
          <w:szCs w:val="24"/>
        </w:rPr>
        <w:t>The RFB must comply with the Overall Liquidity Adequacy Rule (OLAR) which states that:</w:t>
      </w:r>
    </w:p>
    <w:p w:rsidR="00DE7838" w:rsidRDefault="00DE7838" w:rsidP="00A72AD6">
      <w:pPr>
        <w:spacing w:line="480" w:lineRule="auto"/>
        <w:jc w:val="both"/>
        <w:rPr>
          <w:sz w:val="24"/>
          <w:szCs w:val="24"/>
        </w:rPr>
      </w:pPr>
    </w:p>
    <w:p w:rsidR="00DE7838" w:rsidRPr="006C725C" w:rsidRDefault="00DE7838" w:rsidP="00A72AD6">
      <w:pPr>
        <w:spacing w:line="480" w:lineRule="auto"/>
        <w:ind w:left="720"/>
        <w:jc w:val="both"/>
        <w:rPr>
          <w:i/>
          <w:sz w:val="24"/>
          <w:szCs w:val="24"/>
        </w:rPr>
      </w:pPr>
      <w:r w:rsidRPr="006C725C">
        <w:rPr>
          <w:i/>
          <w:sz w:val="24"/>
          <w:szCs w:val="24"/>
        </w:rPr>
        <w:t>A firm must at all times maintain liquidity resources which are adequate, both as to amount and quality, to ensure that there is no significant risk that its liabilities cannot be met as the fall due.</w:t>
      </w:r>
      <w:r>
        <w:rPr>
          <w:rStyle w:val="FootnoteReference"/>
          <w:i/>
          <w:sz w:val="24"/>
          <w:szCs w:val="24"/>
        </w:rPr>
        <w:footnoteReference w:id="259"/>
      </w:r>
    </w:p>
    <w:p w:rsidR="00DE7838" w:rsidRDefault="00DE7838" w:rsidP="00A72AD6">
      <w:pPr>
        <w:spacing w:line="480" w:lineRule="auto"/>
        <w:ind w:left="720"/>
        <w:jc w:val="both"/>
        <w:rPr>
          <w:sz w:val="24"/>
          <w:szCs w:val="24"/>
        </w:rPr>
      </w:pPr>
    </w:p>
    <w:p w:rsidR="00DE7838" w:rsidRDefault="00DE7838" w:rsidP="00A72AD6">
      <w:pPr>
        <w:spacing w:line="480" w:lineRule="auto"/>
        <w:jc w:val="both"/>
        <w:rPr>
          <w:sz w:val="24"/>
          <w:szCs w:val="24"/>
        </w:rPr>
      </w:pPr>
      <w:r>
        <w:rPr>
          <w:sz w:val="24"/>
          <w:szCs w:val="24"/>
        </w:rPr>
        <w:t>For the purposes of OLAR the RFB must also ensure that its liquidity resources contain a buffer of high quality unencumbered resources and maintain a prudent funding profile</w:t>
      </w:r>
      <w:r>
        <w:rPr>
          <w:rStyle w:val="FootnoteReference"/>
          <w:sz w:val="24"/>
          <w:szCs w:val="24"/>
        </w:rPr>
        <w:footnoteReference w:id="260"/>
      </w:r>
      <w:r>
        <w:rPr>
          <w:sz w:val="24"/>
          <w:szCs w:val="24"/>
        </w:rPr>
        <w:t>. In addition the RFB cannot anticipate resources that might be made available fr</w:t>
      </w:r>
      <w:r w:rsidR="00BA61C2">
        <w:rPr>
          <w:sz w:val="24"/>
          <w:szCs w:val="24"/>
        </w:rPr>
        <w:t>o</w:t>
      </w:r>
      <w:r>
        <w:rPr>
          <w:sz w:val="24"/>
          <w:szCs w:val="24"/>
        </w:rPr>
        <w:t>m the BoE</w:t>
      </w:r>
      <w:r>
        <w:rPr>
          <w:rStyle w:val="FootnoteReference"/>
          <w:sz w:val="24"/>
          <w:szCs w:val="24"/>
        </w:rPr>
        <w:footnoteReference w:id="261"/>
      </w:r>
      <w:r>
        <w:rPr>
          <w:sz w:val="24"/>
          <w:szCs w:val="24"/>
        </w:rPr>
        <w:t>.</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Following the run on Northern Rock in 200</w:t>
      </w:r>
      <w:r w:rsidR="00D27542">
        <w:rPr>
          <w:sz w:val="24"/>
          <w:szCs w:val="24"/>
        </w:rPr>
        <w:t>7</w:t>
      </w:r>
      <w:r w:rsidR="00D27542">
        <w:rPr>
          <w:rStyle w:val="FootnoteReference"/>
          <w:sz w:val="24"/>
          <w:szCs w:val="24"/>
        </w:rPr>
        <w:footnoteReference w:id="262"/>
      </w:r>
      <w:r>
        <w:rPr>
          <w:sz w:val="24"/>
          <w:szCs w:val="24"/>
        </w:rPr>
        <w:t>the FSA implemented a major overhaul of the regulator’s approach to liquidity introducing the requirement for bank’s to produce an Individual Liquidity Adequacy Assessment</w:t>
      </w:r>
      <w:r w:rsidR="000959EE">
        <w:rPr>
          <w:rStyle w:val="FootnoteReference"/>
          <w:sz w:val="24"/>
          <w:szCs w:val="24"/>
        </w:rPr>
        <w:footnoteReference w:id="263"/>
      </w:r>
      <w:r>
        <w:rPr>
          <w:sz w:val="24"/>
          <w:szCs w:val="24"/>
        </w:rPr>
        <w:t>. The provisions were contained in the BIPRU section of the FSA Handbook. The FSA provisions address, in particular, liquidity adequacy</w:t>
      </w:r>
      <w:r>
        <w:rPr>
          <w:rStyle w:val="FootnoteReference"/>
          <w:sz w:val="24"/>
          <w:szCs w:val="24"/>
        </w:rPr>
        <w:footnoteReference w:id="264"/>
      </w:r>
      <w:r>
        <w:rPr>
          <w:sz w:val="24"/>
          <w:szCs w:val="24"/>
        </w:rPr>
        <w:t xml:space="preserve">, liquidity risk </w:t>
      </w:r>
      <w:r>
        <w:rPr>
          <w:sz w:val="24"/>
          <w:szCs w:val="24"/>
        </w:rPr>
        <w:lastRenderedPageBreak/>
        <w:t>management</w:t>
      </w:r>
      <w:r>
        <w:rPr>
          <w:rStyle w:val="FootnoteReference"/>
          <w:sz w:val="24"/>
          <w:szCs w:val="24"/>
        </w:rPr>
        <w:footnoteReference w:id="265"/>
      </w:r>
      <w:r>
        <w:rPr>
          <w:sz w:val="24"/>
          <w:szCs w:val="24"/>
        </w:rPr>
        <w:t xml:space="preserve">, </w:t>
      </w:r>
      <w:r w:rsidR="0059552A">
        <w:rPr>
          <w:sz w:val="24"/>
          <w:szCs w:val="24"/>
        </w:rPr>
        <w:t>s</w:t>
      </w:r>
      <w:r>
        <w:rPr>
          <w:sz w:val="24"/>
          <w:szCs w:val="24"/>
        </w:rPr>
        <w:t xml:space="preserve">tress testing and </w:t>
      </w:r>
      <w:r w:rsidR="0059552A">
        <w:rPr>
          <w:sz w:val="24"/>
          <w:szCs w:val="24"/>
        </w:rPr>
        <w:t>C</w:t>
      </w:r>
      <w:r>
        <w:rPr>
          <w:sz w:val="24"/>
          <w:szCs w:val="24"/>
        </w:rPr>
        <w:t xml:space="preserve">ontingency </w:t>
      </w:r>
      <w:r w:rsidR="0059552A">
        <w:rPr>
          <w:sz w:val="24"/>
          <w:szCs w:val="24"/>
        </w:rPr>
        <w:t>F</w:t>
      </w:r>
      <w:r>
        <w:rPr>
          <w:sz w:val="24"/>
          <w:szCs w:val="24"/>
        </w:rPr>
        <w:t xml:space="preserve">unding </w:t>
      </w:r>
      <w:r w:rsidR="0059552A">
        <w:rPr>
          <w:sz w:val="24"/>
          <w:szCs w:val="24"/>
        </w:rPr>
        <w:t>P</w:t>
      </w:r>
      <w:r>
        <w:rPr>
          <w:sz w:val="24"/>
          <w:szCs w:val="24"/>
        </w:rPr>
        <w:t>lan</w:t>
      </w:r>
      <w:r w:rsidR="0059552A">
        <w:rPr>
          <w:sz w:val="24"/>
          <w:szCs w:val="24"/>
        </w:rPr>
        <w:t xml:space="preserve"> (CFB)</w:t>
      </w:r>
      <w:r>
        <w:rPr>
          <w:rStyle w:val="FootnoteReference"/>
          <w:sz w:val="24"/>
          <w:szCs w:val="24"/>
        </w:rPr>
        <w:footnoteReference w:id="266"/>
      </w:r>
      <w:r>
        <w:rPr>
          <w:sz w:val="24"/>
          <w:szCs w:val="24"/>
        </w:rPr>
        <w:t xml:space="preserve">, and the </w:t>
      </w:r>
      <w:r w:rsidR="0059552A">
        <w:rPr>
          <w:sz w:val="24"/>
          <w:szCs w:val="24"/>
        </w:rPr>
        <w:t>L</w:t>
      </w:r>
      <w:r>
        <w:rPr>
          <w:sz w:val="24"/>
          <w:szCs w:val="24"/>
        </w:rPr>
        <w:t xml:space="preserve">iquid </w:t>
      </w:r>
      <w:r w:rsidR="0059552A">
        <w:rPr>
          <w:sz w:val="24"/>
          <w:szCs w:val="24"/>
        </w:rPr>
        <w:t>A</w:t>
      </w:r>
      <w:r>
        <w:rPr>
          <w:sz w:val="24"/>
          <w:szCs w:val="24"/>
        </w:rPr>
        <w:t xml:space="preserve">sset </w:t>
      </w:r>
      <w:r w:rsidR="0059552A">
        <w:rPr>
          <w:sz w:val="24"/>
          <w:szCs w:val="24"/>
        </w:rPr>
        <w:t>B</w:t>
      </w:r>
      <w:r>
        <w:rPr>
          <w:sz w:val="24"/>
          <w:szCs w:val="24"/>
        </w:rPr>
        <w:t>uffer</w:t>
      </w:r>
      <w:r w:rsidR="0059552A">
        <w:rPr>
          <w:sz w:val="24"/>
          <w:szCs w:val="24"/>
        </w:rPr>
        <w:t xml:space="preserve"> (LAB)</w:t>
      </w:r>
      <w:r>
        <w:rPr>
          <w:rStyle w:val="FootnoteReference"/>
          <w:sz w:val="24"/>
          <w:szCs w:val="24"/>
        </w:rPr>
        <w:footnoteReference w:id="267"/>
      </w:r>
      <w:r>
        <w:rPr>
          <w:sz w:val="24"/>
          <w:szCs w:val="24"/>
        </w:rPr>
        <w:t>. The PRA set out the major liquidity risk drivers (the EBA SREP guidelines and some additions) firms should assess and monitor</w:t>
      </w:r>
      <w:r>
        <w:rPr>
          <w:rStyle w:val="FootnoteReference"/>
          <w:sz w:val="24"/>
          <w:szCs w:val="24"/>
        </w:rPr>
        <w:footnoteReference w:id="268"/>
      </w:r>
      <w:r>
        <w:rPr>
          <w:sz w:val="24"/>
          <w:szCs w:val="24"/>
        </w:rPr>
        <w:t>:</w:t>
      </w:r>
    </w:p>
    <w:p w:rsidR="00DE7838" w:rsidRDefault="00DE7838" w:rsidP="00A72AD6">
      <w:pPr>
        <w:spacing w:line="480" w:lineRule="auto"/>
        <w:jc w:val="both"/>
        <w:rPr>
          <w:sz w:val="24"/>
          <w:szCs w:val="24"/>
        </w:rPr>
      </w:pPr>
    </w:p>
    <w:p w:rsidR="00DE7838" w:rsidRDefault="00DE7838" w:rsidP="00A72AD6">
      <w:pPr>
        <w:numPr>
          <w:ilvl w:val="0"/>
          <w:numId w:val="6"/>
        </w:numPr>
        <w:spacing w:line="480" w:lineRule="auto"/>
        <w:jc w:val="both"/>
        <w:rPr>
          <w:sz w:val="24"/>
          <w:szCs w:val="24"/>
        </w:rPr>
      </w:pPr>
      <w:r>
        <w:rPr>
          <w:sz w:val="24"/>
          <w:szCs w:val="24"/>
        </w:rPr>
        <w:t>Retail funding risk;</w:t>
      </w:r>
    </w:p>
    <w:p w:rsidR="00DE7838" w:rsidRDefault="00DE7838" w:rsidP="00A72AD6">
      <w:pPr>
        <w:numPr>
          <w:ilvl w:val="0"/>
          <w:numId w:val="6"/>
        </w:numPr>
        <w:spacing w:line="480" w:lineRule="auto"/>
        <w:jc w:val="both"/>
        <w:rPr>
          <w:sz w:val="24"/>
          <w:szCs w:val="24"/>
        </w:rPr>
      </w:pPr>
      <w:r>
        <w:rPr>
          <w:sz w:val="24"/>
          <w:szCs w:val="24"/>
        </w:rPr>
        <w:t>Wholesale secured and unsecured funding risk;</w:t>
      </w:r>
    </w:p>
    <w:p w:rsidR="00DE7838" w:rsidRDefault="00DE7838" w:rsidP="00A72AD6">
      <w:pPr>
        <w:numPr>
          <w:ilvl w:val="0"/>
          <w:numId w:val="6"/>
        </w:numPr>
        <w:spacing w:line="480" w:lineRule="auto"/>
        <w:jc w:val="both"/>
        <w:rPr>
          <w:sz w:val="24"/>
          <w:szCs w:val="24"/>
        </w:rPr>
      </w:pPr>
      <w:r>
        <w:rPr>
          <w:sz w:val="24"/>
          <w:szCs w:val="24"/>
        </w:rPr>
        <w:t>Risks from funding diversification;</w:t>
      </w:r>
    </w:p>
    <w:p w:rsidR="00DE7838" w:rsidRDefault="00DE7838" w:rsidP="00A72AD6">
      <w:pPr>
        <w:numPr>
          <w:ilvl w:val="0"/>
          <w:numId w:val="6"/>
        </w:numPr>
        <w:spacing w:line="480" w:lineRule="auto"/>
        <w:jc w:val="both"/>
        <w:rPr>
          <w:sz w:val="24"/>
          <w:szCs w:val="24"/>
        </w:rPr>
      </w:pPr>
      <w:r>
        <w:rPr>
          <w:sz w:val="24"/>
          <w:szCs w:val="24"/>
        </w:rPr>
        <w:t>Off balance sheet liquidity risk;</w:t>
      </w:r>
    </w:p>
    <w:p w:rsidR="00DE7838" w:rsidRDefault="00DE7838" w:rsidP="00A72AD6">
      <w:pPr>
        <w:numPr>
          <w:ilvl w:val="0"/>
          <w:numId w:val="6"/>
        </w:numPr>
        <w:spacing w:line="480" w:lineRule="auto"/>
        <w:jc w:val="both"/>
        <w:rPr>
          <w:sz w:val="24"/>
          <w:szCs w:val="24"/>
        </w:rPr>
      </w:pPr>
      <w:r>
        <w:rPr>
          <w:sz w:val="24"/>
          <w:szCs w:val="24"/>
        </w:rPr>
        <w:t>Risks arising from the firm’s funding tenors</w:t>
      </w:r>
    </w:p>
    <w:p w:rsidR="00DE7838" w:rsidRDefault="00DE7838" w:rsidP="00A72AD6">
      <w:pPr>
        <w:numPr>
          <w:ilvl w:val="0"/>
          <w:numId w:val="6"/>
        </w:numPr>
        <w:spacing w:line="480" w:lineRule="auto"/>
        <w:jc w:val="both"/>
        <w:rPr>
          <w:sz w:val="24"/>
          <w:szCs w:val="24"/>
        </w:rPr>
      </w:pPr>
      <w:r>
        <w:rPr>
          <w:sz w:val="24"/>
          <w:szCs w:val="24"/>
        </w:rPr>
        <w:t>Risks associated with the firm’s credit rating</w:t>
      </w:r>
    </w:p>
    <w:p w:rsidR="00DE7838" w:rsidRDefault="00DE7838" w:rsidP="00A72AD6">
      <w:pPr>
        <w:numPr>
          <w:ilvl w:val="0"/>
          <w:numId w:val="6"/>
        </w:numPr>
        <w:spacing w:line="480" w:lineRule="auto"/>
        <w:jc w:val="both"/>
        <w:rPr>
          <w:sz w:val="24"/>
          <w:szCs w:val="24"/>
        </w:rPr>
      </w:pPr>
      <w:r>
        <w:rPr>
          <w:sz w:val="24"/>
          <w:szCs w:val="24"/>
        </w:rPr>
        <w:t>Funding risks resulting from estimates of future balance sheet growth</w:t>
      </w:r>
    </w:p>
    <w:p w:rsidR="00DE7838" w:rsidRDefault="00DE7838" w:rsidP="00A72AD6">
      <w:pPr>
        <w:numPr>
          <w:ilvl w:val="0"/>
          <w:numId w:val="6"/>
        </w:numPr>
        <w:spacing w:line="480" w:lineRule="auto"/>
        <w:jc w:val="both"/>
        <w:rPr>
          <w:sz w:val="24"/>
          <w:szCs w:val="24"/>
        </w:rPr>
      </w:pPr>
      <w:r>
        <w:rPr>
          <w:sz w:val="24"/>
          <w:szCs w:val="24"/>
        </w:rPr>
        <w:t>Franchise-viability liquidity risk;</w:t>
      </w:r>
    </w:p>
    <w:p w:rsidR="00DE7838" w:rsidRDefault="00DE7838" w:rsidP="00A72AD6">
      <w:pPr>
        <w:numPr>
          <w:ilvl w:val="0"/>
          <w:numId w:val="6"/>
        </w:numPr>
        <w:spacing w:line="480" w:lineRule="auto"/>
        <w:jc w:val="both"/>
        <w:rPr>
          <w:sz w:val="24"/>
          <w:szCs w:val="24"/>
        </w:rPr>
      </w:pPr>
      <w:r>
        <w:rPr>
          <w:sz w:val="24"/>
          <w:szCs w:val="24"/>
        </w:rPr>
        <w:t>Intra-day liquidity risk;</w:t>
      </w:r>
    </w:p>
    <w:p w:rsidR="00DE7838" w:rsidRDefault="00DE7838" w:rsidP="00A72AD6">
      <w:pPr>
        <w:numPr>
          <w:ilvl w:val="0"/>
          <w:numId w:val="6"/>
        </w:numPr>
        <w:spacing w:line="480" w:lineRule="auto"/>
        <w:jc w:val="both"/>
        <w:rPr>
          <w:sz w:val="24"/>
          <w:szCs w:val="24"/>
        </w:rPr>
      </w:pPr>
      <w:r>
        <w:rPr>
          <w:sz w:val="24"/>
          <w:szCs w:val="24"/>
        </w:rPr>
        <w:t>Marketable assets risk;</w:t>
      </w:r>
    </w:p>
    <w:p w:rsidR="00DE7838" w:rsidRDefault="00DE7838" w:rsidP="00A72AD6">
      <w:pPr>
        <w:numPr>
          <w:ilvl w:val="0"/>
          <w:numId w:val="6"/>
        </w:numPr>
        <w:spacing w:line="480" w:lineRule="auto"/>
        <w:jc w:val="both"/>
        <w:rPr>
          <w:sz w:val="24"/>
          <w:szCs w:val="24"/>
        </w:rPr>
      </w:pPr>
      <w:r>
        <w:rPr>
          <w:sz w:val="24"/>
          <w:szCs w:val="24"/>
        </w:rPr>
        <w:t xml:space="preserve">Non-marketable asset risk; </w:t>
      </w:r>
    </w:p>
    <w:p w:rsidR="00DE7838" w:rsidRDefault="00DE7838" w:rsidP="00A72AD6">
      <w:pPr>
        <w:numPr>
          <w:ilvl w:val="0"/>
          <w:numId w:val="6"/>
        </w:numPr>
        <w:spacing w:line="480" w:lineRule="auto"/>
        <w:jc w:val="both"/>
        <w:rPr>
          <w:sz w:val="24"/>
          <w:szCs w:val="24"/>
        </w:rPr>
      </w:pPr>
      <w:r>
        <w:rPr>
          <w:sz w:val="24"/>
          <w:szCs w:val="24"/>
        </w:rPr>
        <w:t>Internalisation risk.</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 xml:space="preserve">Given the nature of RFB’s and their domestic focus the list excludes cross-currency risk and the risk associated with transferring liquidity resources across sectors, entities and countries, </w:t>
      </w:r>
      <w:r>
        <w:rPr>
          <w:sz w:val="24"/>
          <w:szCs w:val="24"/>
        </w:rPr>
        <w:lastRenderedPageBreak/>
        <w:t>nevertheless, the list is not exhaustive and each firm should prioritise a list of liquidity risk relative to their strategic focus and business model.</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Although, with all the regulatory change that is occurring, the liquidity regime is also changing</w:t>
      </w:r>
      <w:r w:rsidR="00A4427E">
        <w:rPr>
          <w:rStyle w:val="FootnoteReference"/>
          <w:sz w:val="24"/>
          <w:szCs w:val="24"/>
        </w:rPr>
        <w:footnoteReference w:id="269"/>
      </w:r>
      <w:r>
        <w:rPr>
          <w:sz w:val="24"/>
          <w:szCs w:val="24"/>
        </w:rPr>
        <w:t>, however, it is more a change of labels than substantive process, and reflects an international harmonisation of liquidity standards – Basel III</w:t>
      </w:r>
      <w:r w:rsidR="000959EE">
        <w:rPr>
          <w:rStyle w:val="FootnoteReference"/>
          <w:sz w:val="24"/>
          <w:szCs w:val="24"/>
        </w:rPr>
        <w:footnoteReference w:id="270"/>
      </w:r>
      <w:r w:rsidR="000959EE">
        <w:rPr>
          <w:sz w:val="24"/>
          <w:szCs w:val="24"/>
        </w:rPr>
        <w:t>,</w:t>
      </w:r>
      <w:r>
        <w:rPr>
          <w:sz w:val="24"/>
          <w:szCs w:val="24"/>
        </w:rPr>
        <w:t xml:space="preserve"> and EU harmonisation based on the provisions of CRD IV and the CRR.</w:t>
      </w:r>
    </w:p>
    <w:p w:rsidR="00DE7838" w:rsidRDefault="00DE7838" w:rsidP="00A72AD6">
      <w:pPr>
        <w:spacing w:line="480" w:lineRule="auto"/>
        <w:jc w:val="both"/>
        <w:rPr>
          <w:sz w:val="24"/>
          <w:szCs w:val="24"/>
        </w:rPr>
      </w:pPr>
    </w:p>
    <w:p w:rsidR="00DE7838" w:rsidRPr="004B115B" w:rsidRDefault="00DE7838" w:rsidP="00A72AD6">
      <w:pPr>
        <w:spacing w:line="480" w:lineRule="auto"/>
        <w:jc w:val="both"/>
        <w:rPr>
          <w:sz w:val="24"/>
          <w:szCs w:val="24"/>
        </w:rPr>
      </w:pPr>
      <w:r>
        <w:rPr>
          <w:sz w:val="24"/>
          <w:szCs w:val="24"/>
        </w:rPr>
        <w:t>A key factor in reducing the risk of a run on an RFB is the changes to the safety net for customers that is provided by the Financial Services Compensation Scheme (FSCS). At the time of the Northern Rock run, the scheme covered one hundred percent of the first £2,000, and ninety percent of the next £33,000. On the 1</w:t>
      </w:r>
      <w:r w:rsidRPr="009C4C1E">
        <w:rPr>
          <w:sz w:val="24"/>
          <w:szCs w:val="24"/>
          <w:vertAlign w:val="superscript"/>
        </w:rPr>
        <w:t>st</w:t>
      </w:r>
      <w:r>
        <w:rPr>
          <w:sz w:val="24"/>
          <w:szCs w:val="24"/>
        </w:rPr>
        <w:t xml:space="preserve"> of October 2007 this was increased to one hundred percent of the first £35,000, and on 7</w:t>
      </w:r>
      <w:r w:rsidRPr="009C4C1E">
        <w:rPr>
          <w:sz w:val="24"/>
          <w:szCs w:val="24"/>
          <w:vertAlign w:val="superscript"/>
        </w:rPr>
        <w:t>th</w:t>
      </w:r>
      <w:r>
        <w:rPr>
          <w:sz w:val="24"/>
          <w:szCs w:val="24"/>
        </w:rPr>
        <w:t xml:space="preserve"> October 2008 the sum covered was increased again to £50,000, and today it stands at £85,000</w:t>
      </w:r>
      <w:r w:rsidR="00D27542">
        <w:rPr>
          <w:rStyle w:val="FootnoteReference"/>
          <w:sz w:val="24"/>
          <w:szCs w:val="24"/>
        </w:rPr>
        <w:footnoteReference w:id="271"/>
      </w:r>
      <w:r>
        <w:rPr>
          <w:sz w:val="24"/>
          <w:szCs w:val="24"/>
        </w:rPr>
        <w:t>. In addition the FSCS has take</w:t>
      </w:r>
      <w:r w:rsidR="00D27542">
        <w:rPr>
          <w:sz w:val="24"/>
          <w:szCs w:val="24"/>
        </w:rPr>
        <w:t>n</w:t>
      </w:r>
      <w:r>
        <w:rPr>
          <w:sz w:val="24"/>
          <w:szCs w:val="24"/>
        </w:rPr>
        <w:t xml:space="preserve"> to advertising on both radio and television to ensure that the general public area aware that in the majority of cases their money is safe</w:t>
      </w:r>
      <w:r w:rsidR="00D27542">
        <w:rPr>
          <w:sz w:val="24"/>
          <w:szCs w:val="24"/>
        </w:rPr>
        <w:t>.</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Base1 III</w:t>
      </w:r>
      <w:r w:rsidR="00A4427E">
        <w:rPr>
          <w:rStyle w:val="FootnoteReference"/>
          <w:sz w:val="24"/>
          <w:szCs w:val="24"/>
        </w:rPr>
        <w:footnoteReference w:id="272"/>
      </w:r>
      <w:r>
        <w:rPr>
          <w:sz w:val="24"/>
          <w:szCs w:val="24"/>
        </w:rPr>
        <w:t xml:space="preserve"> introduced two new key liquidity ratios. </w:t>
      </w:r>
    </w:p>
    <w:p w:rsidR="00DE7838" w:rsidRDefault="00DE7838" w:rsidP="00A72AD6">
      <w:pPr>
        <w:spacing w:line="480" w:lineRule="auto"/>
        <w:jc w:val="both"/>
        <w:rPr>
          <w:sz w:val="24"/>
          <w:szCs w:val="24"/>
        </w:rPr>
      </w:pPr>
    </w:p>
    <w:p w:rsidR="00DE7838" w:rsidRDefault="00DE7838" w:rsidP="00A72AD6">
      <w:pPr>
        <w:numPr>
          <w:ilvl w:val="0"/>
          <w:numId w:val="3"/>
        </w:numPr>
        <w:spacing w:line="480" w:lineRule="auto"/>
        <w:jc w:val="both"/>
        <w:rPr>
          <w:sz w:val="24"/>
          <w:szCs w:val="24"/>
        </w:rPr>
      </w:pPr>
      <w:r>
        <w:rPr>
          <w:sz w:val="24"/>
          <w:szCs w:val="24"/>
        </w:rPr>
        <w:t>The Liquidity Coverage Ratio (LCR)</w:t>
      </w:r>
    </w:p>
    <w:p w:rsidR="00DE7838" w:rsidRDefault="00DE7838" w:rsidP="00A72AD6">
      <w:pPr>
        <w:spacing w:line="480" w:lineRule="auto"/>
        <w:ind w:left="900"/>
        <w:jc w:val="both"/>
        <w:rPr>
          <w:sz w:val="24"/>
          <w:szCs w:val="24"/>
        </w:rPr>
      </w:pPr>
    </w:p>
    <w:p w:rsidR="00DE7838" w:rsidRDefault="00DE7838" w:rsidP="00A72AD6">
      <w:pPr>
        <w:spacing w:line="480" w:lineRule="auto"/>
        <w:ind w:left="900"/>
        <w:jc w:val="both"/>
        <w:rPr>
          <w:sz w:val="24"/>
          <w:szCs w:val="24"/>
        </w:rPr>
      </w:pPr>
      <w:r>
        <w:rPr>
          <w:sz w:val="24"/>
          <w:szCs w:val="24"/>
        </w:rPr>
        <w:lastRenderedPageBreak/>
        <w:t>The LCR is intended to encourage firms to be able to deal with a 30 day liquidity crisis (based on a severe but plausible liquidity stress scenario) without having to resort to the use of central bank facilities. This, in essence, requires the RFB to have a liquid asset buffer of high quality unencumbered assets that can be very quickly converted into cash to meet liquidity needs for a 30 day time horizon. The formula</w:t>
      </w:r>
      <w:r>
        <w:rPr>
          <w:rStyle w:val="FootnoteReference"/>
          <w:sz w:val="24"/>
          <w:szCs w:val="24"/>
        </w:rPr>
        <w:footnoteReference w:id="273"/>
      </w:r>
      <w:r>
        <w:rPr>
          <w:sz w:val="24"/>
          <w:szCs w:val="24"/>
        </w:rPr>
        <w:t xml:space="preserve"> is:</w:t>
      </w:r>
    </w:p>
    <w:p w:rsidR="00DE7838" w:rsidRDefault="00DE7838" w:rsidP="00A72AD6">
      <w:pPr>
        <w:spacing w:line="480" w:lineRule="auto"/>
        <w:ind w:left="900"/>
        <w:jc w:val="both"/>
        <w:rPr>
          <w:sz w:val="24"/>
          <w:szCs w:val="24"/>
        </w:rPr>
      </w:pPr>
    </w:p>
    <w:p w:rsidR="00DE7838" w:rsidRDefault="00DE7838" w:rsidP="00A72AD6">
      <w:pPr>
        <w:spacing w:line="480" w:lineRule="auto"/>
        <w:ind w:left="900" w:firstLine="540"/>
        <w:jc w:val="both"/>
        <w:rPr>
          <w:sz w:val="24"/>
          <w:szCs w:val="24"/>
        </w:rPr>
      </w:pPr>
      <w:r w:rsidRPr="00945EB7">
        <w:rPr>
          <w:sz w:val="24"/>
          <w:szCs w:val="24"/>
        </w:rPr>
        <w:t xml:space="preserve">Stock of high-quality liquid assets  </w:t>
      </w:r>
    </w:p>
    <w:p w:rsidR="00DE7838" w:rsidRPr="003A6CA6" w:rsidRDefault="00DE7838" w:rsidP="00A72AD6">
      <w:pPr>
        <w:spacing w:line="480" w:lineRule="auto"/>
        <w:ind w:left="900" w:firstLine="540"/>
        <w:jc w:val="both"/>
        <w:rPr>
          <w:sz w:val="24"/>
          <w:szCs w:val="24"/>
        </w:rPr>
      </w:pPr>
      <w:r>
        <w:rPr>
          <w:sz w:val="24"/>
          <w:szCs w:val="24"/>
        </w:rPr>
        <w:t>----------------------------------------------------------------- &gt;/= 100%</w:t>
      </w:r>
    </w:p>
    <w:p w:rsidR="00DE7838" w:rsidRPr="00945EB7" w:rsidRDefault="00DE7838" w:rsidP="00A72AD6">
      <w:pPr>
        <w:spacing w:line="480" w:lineRule="auto"/>
        <w:ind w:left="900" w:firstLine="540"/>
        <w:jc w:val="both"/>
        <w:rPr>
          <w:sz w:val="24"/>
          <w:szCs w:val="24"/>
        </w:rPr>
      </w:pPr>
      <w:r w:rsidRPr="00945EB7">
        <w:rPr>
          <w:sz w:val="24"/>
          <w:szCs w:val="24"/>
        </w:rPr>
        <w:t>Total net cash outflows over the next 30 calendar days</w:t>
      </w:r>
    </w:p>
    <w:p w:rsidR="00DE7838" w:rsidRDefault="00DE7838" w:rsidP="00A72AD6">
      <w:pPr>
        <w:spacing w:line="480" w:lineRule="auto"/>
        <w:ind w:left="900"/>
        <w:jc w:val="both"/>
        <w:rPr>
          <w:sz w:val="24"/>
          <w:szCs w:val="24"/>
        </w:rPr>
      </w:pPr>
    </w:p>
    <w:p w:rsidR="00DE7838" w:rsidRDefault="00DE7838" w:rsidP="00A72AD6">
      <w:pPr>
        <w:spacing w:line="480" w:lineRule="auto"/>
        <w:ind w:left="900"/>
        <w:jc w:val="both"/>
        <w:rPr>
          <w:sz w:val="24"/>
          <w:szCs w:val="24"/>
        </w:rPr>
      </w:pPr>
      <w:r>
        <w:rPr>
          <w:sz w:val="24"/>
          <w:szCs w:val="24"/>
        </w:rPr>
        <w:t>The LCR is being phased in between 1</w:t>
      </w:r>
      <w:r w:rsidRPr="009D5F09">
        <w:rPr>
          <w:sz w:val="24"/>
          <w:szCs w:val="24"/>
          <w:vertAlign w:val="superscript"/>
        </w:rPr>
        <w:t>st</w:t>
      </w:r>
      <w:r>
        <w:rPr>
          <w:sz w:val="24"/>
          <w:szCs w:val="24"/>
        </w:rPr>
        <w:t xml:space="preserve"> October 2015 and 1</w:t>
      </w:r>
      <w:r w:rsidRPr="009D5F09">
        <w:rPr>
          <w:sz w:val="24"/>
          <w:szCs w:val="24"/>
          <w:vertAlign w:val="superscript"/>
        </w:rPr>
        <w:t>st</w:t>
      </w:r>
      <w:r>
        <w:rPr>
          <w:sz w:val="24"/>
          <w:szCs w:val="24"/>
        </w:rPr>
        <w:t xml:space="preserve"> January 2018</w:t>
      </w:r>
      <w:r>
        <w:rPr>
          <w:rStyle w:val="FootnoteReference"/>
          <w:sz w:val="24"/>
          <w:szCs w:val="24"/>
        </w:rPr>
        <w:footnoteReference w:id="274"/>
      </w:r>
      <w:r>
        <w:rPr>
          <w:sz w:val="24"/>
          <w:szCs w:val="24"/>
        </w:rPr>
        <w:t>, however, the UK, at the request of the Financial Policy Committee</w:t>
      </w:r>
      <w:r>
        <w:rPr>
          <w:rStyle w:val="FootnoteReference"/>
          <w:sz w:val="24"/>
          <w:szCs w:val="24"/>
        </w:rPr>
        <w:footnoteReference w:id="275"/>
      </w:r>
      <w:r>
        <w:rPr>
          <w:sz w:val="24"/>
          <w:szCs w:val="24"/>
        </w:rPr>
        <w:t>, has increased the phase percentages above those required by the CRR. This will only affect RFB’s that are authorised before the 1</w:t>
      </w:r>
      <w:r w:rsidRPr="009D5F09">
        <w:rPr>
          <w:sz w:val="24"/>
          <w:szCs w:val="24"/>
          <w:vertAlign w:val="superscript"/>
        </w:rPr>
        <w:t>st</w:t>
      </w:r>
      <w:r>
        <w:rPr>
          <w:sz w:val="24"/>
          <w:szCs w:val="24"/>
        </w:rPr>
        <w:t xml:space="preserve"> January 2018</w:t>
      </w:r>
      <w:r w:rsidR="0059552A">
        <w:rPr>
          <w:sz w:val="24"/>
          <w:szCs w:val="24"/>
        </w:rPr>
        <w:t xml:space="preserve"> (albeit that they will not be RFBs until 2019)</w:t>
      </w:r>
      <w:r>
        <w:rPr>
          <w:sz w:val="24"/>
          <w:szCs w:val="24"/>
        </w:rPr>
        <w:t xml:space="preserve">.   </w:t>
      </w:r>
    </w:p>
    <w:p w:rsidR="00DE7838" w:rsidRDefault="00DE7838" w:rsidP="00A72AD6">
      <w:pPr>
        <w:spacing w:line="480" w:lineRule="auto"/>
        <w:ind w:left="900"/>
        <w:jc w:val="both"/>
        <w:rPr>
          <w:sz w:val="24"/>
          <w:szCs w:val="24"/>
        </w:rPr>
      </w:pPr>
    </w:p>
    <w:p w:rsidR="00DE7838" w:rsidRDefault="00DE7838" w:rsidP="00A72AD6">
      <w:pPr>
        <w:spacing w:line="480" w:lineRule="auto"/>
        <w:ind w:left="900"/>
        <w:jc w:val="both"/>
        <w:rPr>
          <w:sz w:val="24"/>
          <w:szCs w:val="24"/>
        </w:rPr>
      </w:pPr>
    </w:p>
    <w:p w:rsidR="00DE7838" w:rsidRDefault="00DE7838" w:rsidP="00A72AD6">
      <w:pPr>
        <w:numPr>
          <w:ilvl w:val="0"/>
          <w:numId w:val="4"/>
        </w:numPr>
        <w:spacing w:line="480" w:lineRule="auto"/>
        <w:jc w:val="both"/>
        <w:rPr>
          <w:sz w:val="24"/>
          <w:szCs w:val="24"/>
        </w:rPr>
      </w:pPr>
      <w:r>
        <w:rPr>
          <w:sz w:val="24"/>
          <w:szCs w:val="24"/>
        </w:rPr>
        <w:t>The Net Stable Funding Ratio (NSFR)</w:t>
      </w:r>
    </w:p>
    <w:p w:rsidR="00DE7838" w:rsidRDefault="00DE7838" w:rsidP="00A72AD6">
      <w:pPr>
        <w:spacing w:line="480" w:lineRule="auto"/>
        <w:jc w:val="both"/>
        <w:rPr>
          <w:sz w:val="24"/>
          <w:szCs w:val="24"/>
        </w:rPr>
      </w:pPr>
    </w:p>
    <w:p w:rsidR="00DE7838" w:rsidRDefault="00DE7838" w:rsidP="00A72AD6">
      <w:pPr>
        <w:spacing w:line="480" w:lineRule="auto"/>
        <w:ind w:left="900"/>
        <w:jc w:val="both"/>
        <w:rPr>
          <w:sz w:val="24"/>
          <w:szCs w:val="24"/>
        </w:rPr>
      </w:pPr>
      <w:r>
        <w:rPr>
          <w:sz w:val="24"/>
          <w:szCs w:val="24"/>
        </w:rPr>
        <w:t>The NSFR is complementary to the int</w:t>
      </w:r>
      <w:r w:rsidR="0059552A">
        <w:rPr>
          <w:sz w:val="24"/>
          <w:szCs w:val="24"/>
        </w:rPr>
        <w:t>roduction</w:t>
      </w:r>
      <w:r>
        <w:rPr>
          <w:sz w:val="24"/>
          <w:szCs w:val="24"/>
        </w:rPr>
        <w:t xml:space="preserve"> of the LCR in that it is intended to encourage firms towards more stable long term funding of assets and business activities. </w:t>
      </w:r>
      <w:r>
        <w:rPr>
          <w:sz w:val="24"/>
          <w:szCs w:val="24"/>
        </w:rPr>
        <w:lastRenderedPageBreak/>
        <w:t>Stable funding is defined as funding expected to be stable over a one year time horizon under conditions of extended stress. The formula</w:t>
      </w:r>
      <w:r>
        <w:rPr>
          <w:rStyle w:val="FootnoteReference"/>
          <w:sz w:val="24"/>
          <w:szCs w:val="24"/>
        </w:rPr>
        <w:footnoteReference w:id="276"/>
      </w:r>
      <w:r>
        <w:rPr>
          <w:sz w:val="24"/>
          <w:szCs w:val="24"/>
        </w:rPr>
        <w:t xml:space="preserve"> is:</w:t>
      </w:r>
    </w:p>
    <w:p w:rsidR="00DE7838" w:rsidRDefault="00DE7838" w:rsidP="00A72AD6">
      <w:pPr>
        <w:spacing w:line="480" w:lineRule="auto"/>
        <w:ind w:left="900"/>
        <w:jc w:val="both"/>
        <w:rPr>
          <w:sz w:val="24"/>
          <w:szCs w:val="24"/>
        </w:rPr>
      </w:pPr>
    </w:p>
    <w:p w:rsidR="00DE7838" w:rsidRDefault="00DE7838" w:rsidP="00A72AD6">
      <w:pPr>
        <w:spacing w:line="480" w:lineRule="auto"/>
        <w:ind w:left="720" w:firstLine="720"/>
        <w:jc w:val="both"/>
        <w:rPr>
          <w:sz w:val="24"/>
          <w:szCs w:val="24"/>
        </w:rPr>
      </w:pPr>
      <w:r>
        <w:rPr>
          <w:sz w:val="24"/>
          <w:szCs w:val="24"/>
        </w:rPr>
        <w:t>Available amount of table funding</w:t>
      </w:r>
    </w:p>
    <w:p w:rsidR="00DE7838" w:rsidRDefault="00DE7838" w:rsidP="00A72AD6">
      <w:pPr>
        <w:spacing w:line="480" w:lineRule="auto"/>
        <w:ind w:left="1440"/>
        <w:jc w:val="both"/>
        <w:rPr>
          <w:sz w:val="24"/>
          <w:szCs w:val="24"/>
        </w:rPr>
      </w:pPr>
      <w:r>
        <w:rPr>
          <w:sz w:val="24"/>
          <w:szCs w:val="24"/>
        </w:rPr>
        <w:t>-------------------------------------------   &gt;100%</w:t>
      </w:r>
    </w:p>
    <w:p w:rsidR="00DE7838" w:rsidRDefault="00DE7838" w:rsidP="00A72AD6">
      <w:pPr>
        <w:spacing w:line="480" w:lineRule="auto"/>
        <w:ind w:left="1440"/>
        <w:jc w:val="both"/>
        <w:rPr>
          <w:sz w:val="24"/>
          <w:szCs w:val="24"/>
        </w:rPr>
      </w:pPr>
      <w:r>
        <w:rPr>
          <w:sz w:val="24"/>
          <w:szCs w:val="24"/>
        </w:rPr>
        <w:t>Required amount of stable funding</w:t>
      </w:r>
    </w:p>
    <w:p w:rsidR="00DE7838" w:rsidRDefault="00DE7838" w:rsidP="00A72AD6">
      <w:pPr>
        <w:spacing w:line="480" w:lineRule="auto"/>
        <w:ind w:left="1440"/>
        <w:jc w:val="both"/>
        <w:rPr>
          <w:sz w:val="24"/>
          <w:szCs w:val="24"/>
        </w:rPr>
      </w:pPr>
    </w:p>
    <w:p w:rsidR="00DE7838" w:rsidRDefault="00DE7838" w:rsidP="00A72AD6">
      <w:pPr>
        <w:spacing w:line="480" w:lineRule="auto"/>
        <w:ind w:left="1440"/>
        <w:jc w:val="both"/>
        <w:rPr>
          <w:sz w:val="24"/>
          <w:szCs w:val="24"/>
        </w:rPr>
      </w:pPr>
    </w:p>
    <w:p w:rsidR="00DE7838" w:rsidRDefault="00DE7838" w:rsidP="00A72AD6">
      <w:pPr>
        <w:spacing w:line="480" w:lineRule="auto"/>
        <w:jc w:val="both"/>
        <w:rPr>
          <w:sz w:val="24"/>
          <w:szCs w:val="24"/>
        </w:rPr>
      </w:pPr>
      <w:r>
        <w:rPr>
          <w:sz w:val="24"/>
          <w:szCs w:val="24"/>
        </w:rPr>
        <w:t>In the event that an RFB cannot meet its LCR, or does not expect to meet its LCR, in addition to providing a restoration plan, it must submit daily liquidity returns to the PRA</w:t>
      </w:r>
      <w:r>
        <w:rPr>
          <w:rStyle w:val="FootnoteReference"/>
          <w:sz w:val="24"/>
          <w:szCs w:val="24"/>
        </w:rPr>
        <w:footnoteReference w:id="277"/>
      </w:r>
      <w:r>
        <w:rPr>
          <w:sz w:val="24"/>
          <w:szCs w:val="24"/>
        </w:rPr>
        <w:t>.</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The FSA’s assessment methodology classified deposits into Type A deposits (less sticky</w:t>
      </w:r>
      <w:r w:rsidR="0059552A">
        <w:rPr>
          <w:sz w:val="24"/>
          <w:szCs w:val="24"/>
        </w:rPr>
        <w:t xml:space="preserve"> – more likely to withdraw</w:t>
      </w:r>
      <w:r>
        <w:rPr>
          <w:sz w:val="24"/>
          <w:szCs w:val="24"/>
        </w:rPr>
        <w:t>) and Type B deposits (sticky</w:t>
      </w:r>
      <w:r w:rsidR="0059552A">
        <w:rPr>
          <w:sz w:val="24"/>
          <w:szCs w:val="24"/>
        </w:rPr>
        <w:t xml:space="preserve"> – less likely to withdraw</w:t>
      </w:r>
      <w:r>
        <w:rPr>
          <w:sz w:val="24"/>
          <w:szCs w:val="24"/>
        </w:rPr>
        <w:t>)</w:t>
      </w:r>
      <w:r>
        <w:rPr>
          <w:rStyle w:val="FootnoteReference"/>
          <w:sz w:val="24"/>
          <w:szCs w:val="24"/>
        </w:rPr>
        <w:footnoteReference w:id="278"/>
      </w:r>
      <w:r>
        <w:rPr>
          <w:sz w:val="24"/>
          <w:szCs w:val="24"/>
        </w:rPr>
        <w:t>. Th</w:t>
      </w:r>
      <w:r w:rsidR="00A95EAA">
        <w:rPr>
          <w:sz w:val="24"/>
          <w:szCs w:val="24"/>
        </w:rPr>
        <w:t xml:space="preserve">is </w:t>
      </w:r>
      <w:r w:rsidR="002E0E43">
        <w:rPr>
          <w:sz w:val="24"/>
          <w:szCs w:val="24"/>
        </w:rPr>
        <w:t xml:space="preserve">will be reviewed and a possible </w:t>
      </w:r>
      <w:r>
        <w:rPr>
          <w:sz w:val="24"/>
          <w:szCs w:val="24"/>
        </w:rPr>
        <w:t xml:space="preserve">new categorisation </w:t>
      </w:r>
      <w:r w:rsidR="002E0E43">
        <w:rPr>
          <w:sz w:val="24"/>
          <w:szCs w:val="24"/>
        </w:rPr>
        <w:t>could be</w:t>
      </w:r>
      <w:r>
        <w:rPr>
          <w:sz w:val="24"/>
          <w:szCs w:val="24"/>
        </w:rPr>
        <w:t>:</w:t>
      </w:r>
    </w:p>
    <w:p w:rsidR="00DE7838" w:rsidRDefault="00DE7838" w:rsidP="00A72AD6">
      <w:pPr>
        <w:spacing w:line="480" w:lineRule="auto"/>
        <w:ind w:left="900"/>
        <w:jc w:val="both"/>
        <w:rPr>
          <w:sz w:val="24"/>
          <w:szCs w:val="24"/>
        </w:rPr>
      </w:pPr>
    </w:p>
    <w:p w:rsidR="00DE7838" w:rsidRPr="00D27542" w:rsidRDefault="00DE7838" w:rsidP="00D27542">
      <w:pPr>
        <w:pStyle w:val="ListParagraph"/>
        <w:numPr>
          <w:ilvl w:val="0"/>
          <w:numId w:val="4"/>
        </w:numPr>
        <w:spacing w:line="480" w:lineRule="auto"/>
        <w:jc w:val="both"/>
        <w:rPr>
          <w:sz w:val="24"/>
          <w:szCs w:val="24"/>
        </w:rPr>
      </w:pPr>
      <w:r w:rsidRPr="00D27542">
        <w:rPr>
          <w:sz w:val="24"/>
          <w:szCs w:val="24"/>
        </w:rPr>
        <w:t>Stable – below the FSCS limit;</w:t>
      </w:r>
    </w:p>
    <w:p w:rsidR="00DE7838" w:rsidRPr="00D27542" w:rsidRDefault="00DE7838" w:rsidP="00D27542">
      <w:pPr>
        <w:pStyle w:val="ListParagraph"/>
        <w:numPr>
          <w:ilvl w:val="0"/>
          <w:numId w:val="4"/>
        </w:numPr>
        <w:spacing w:line="480" w:lineRule="auto"/>
        <w:jc w:val="both"/>
        <w:rPr>
          <w:sz w:val="24"/>
          <w:szCs w:val="24"/>
        </w:rPr>
      </w:pPr>
      <w:r w:rsidRPr="00D27542">
        <w:rPr>
          <w:sz w:val="24"/>
          <w:szCs w:val="24"/>
        </w:rPr>
        <w:t>Less Stable – above the FSCS limit; and</w:t>
      </w:r>
    </w:p>
    <w:p w:rsidR="00DE7838" w:rsidRPr="00D27542" w:rsidRDefault="00DE7838" w:rsidP="00D27542">
      <w:pPr>
        <w:pStyle w:val="ListParagraph"/>
        <w:numPr>
          <w:ilvl w:val="0"/>
          <w:numId w:val="4"/>
        </w:numPr>
        <w:spacing w:line="480" w:lineRule="auto"/>
        <w:jc w:val="both"/>
        <w:rPr>
          <w:sz w:val="24"/>
          <w:szCs w:val="24"/>
        </w:rPr>
      </w:pPr>
      <w:r w:rsidRPr="00D27542">
        <w:rPr>
          <w:sz w:val="24"/>
          <w:szCs w:val="24"/>
        </w:rPr>
        <w:t>High Outflow – deposits in excess of</w:t>
      </w:r>
      <w:r w:rsidR="002E0E43">
        <w:rPr>
          <w:sz w:val="24"/>
          <w:szCs w:val="24"/>
        </w:rPr>
        <w:t xml:space="preserve"> a given sum (dependent upon the average firm balance, e.g. £2</w:t>
      </w:r>
      <w:r w:rsidRPr="00D27542">
        <w:rPr>
          <w:sz w:val="24"/>
          <w:szCs w:val="24"/>
        </w:rPr>
        <w:t>00,000</w:t>
      </w:r>
      <w:r w:rsidR="002E0E43">
        <w:rPr>
          <w:sz w:val="24"/>
          <w:szCs w:val="24"/>
        </w:rPr>
        <w:t>)</w:t>
      </w:r>
      <w:r w:rsidRPr="00D27542">
        <w:rPr>
          <w:sz w:val="24"/>
          <w:szCs w:val="24"/>
        </w:rPr>
        <w:t>.</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lastRenderedPageBreak/>
        <w:t>The FSA proposed three stress tests for liquidity</w:t>
      </w:r>
      <w:r w:rsidR="000959EE">
        <w:rPr>
          <w:rStyle w:val="FootnoteReference"/>
          <w:sz w:val="24"/>
          <w:szCs w:val="24"/>
        </w:rPr>
        <w:footnoteReference w:id="279"/>
      </w:r>
      <w:r>
        <w:rPr>
          <w:sz w:val="24"/>
          <w:szCs w:val="24"/>
        </w:rPr>
        <w:t>, all of which were confirmed in the subsequent policy statement</w:t>
      </w:r>
      <w:r w:rsidR="000959EE">
        <w:rPr>
          <w:rStyle w:val="FootnoteReference"/>
          <w:sz w:val="24"/>
          <w:szCs w:val="24"/>
        </w:rPr>
        <w:footnoteReference w:id="280"/>
      </w:r>
      <w:r>
        <w:rPr>
          <w:sz w:val="24"/>
          <w:szCs w:val="24"/>
        </w:rPr>
        <w:t xml:space="preserve"> and have now been part of liquidity risk management practice for a number of years – the stress tests are:</w:t>
      </w:r>
    </w:p>
    <w:p w:rsidR="00DE7838" w:rsidRDefault="00DE7838" w:rsidP="00A72AD6">
      <w:pPr>
        <w:spacing w:line="480" w:lineRule="auto"/>
        <w:jc w:val="both"/>
        <w:rPr>
          <w:sz w:val="24"/>
          <w:szCs w:val="24"/>
        </w:rPr>
      </w:pPr>
    </w:p>
    <w:p w:rsidR="00DE7838" w:rsidRDefault="00DE7838" w:rsidP="00A72AD6">
      <w:pPr>
        <w:numPr>
          <w:ilvl w:val="0"/>
          <w:numId w:val="2"/>
        </w:numPr>
        <w:spacing w:line="480" w:lineRule="auto"/>
        <w:jc w:val="both"/>
        <w:rPr>
          <w:sz w:val="24"/>
          <w:szCs w:val="24"/>
        </w:rPr>
      </w:pPr>
      <w:r>
        <w:rPr>
          <w:sz w:val="24"/>
          <w:szCs w:val="24"/>
        </w:rPr>
        <w:t>An Idiosyncratic stress (i.e. specific to the RFB)</w:t>
      </w:r>
      <w:r w:rsidR="00D27542">
        <w:rPr>
          <w:sz w:val="24"/>
          <w:szCs w:val="24"/>
        </w:rPr>
        <w:t>;</w:t>
      </w:r>
    </w:p>
    <w:p w:rsidR="00DE7838" w:rsidRDefault="00DE7838" w:rsidP="00A72AD6">
      <w:pPr>
        <w:numPr>
          <w:ilvl w:val="0"/>
          <w:numId w:val="2"/>
        </w:numPr>
        <w:spacing w:line="480" w:lineRule="auto"/>
        <w:jc w:val="both"/>
        <w:rPr>
          <w:sz w:val="24"/>
          <w:szCs w:val="24"/>
        </w:rPr>
      </w:pPr>
      <w:r>
        <w:rPr>
          <w:sz w:val="24"/>
          <w:szCs w:val="24"/>
        </w:rPr>
        <w:t xml:space="preserve">A Market-Wide stress (a systemic stress); and </w:t>
      </w:r>
    </w:p>
    <w:p w:rsidR="00DE7838" w:rsidRDefault="00DE7838" w:rsidP="00A72AD6">
      <w:pPr>
        <w:numPr>
          <w:ilvl w:val="0"/>
          <w:numId w:val="2"/>
        </w:numPr>
        <w:spacing w:line="480" w:lineRule="auto"/>
        <w:jc w:val="both"/>
        <w:rPr>
          <w:sz w:val="24"/>
          <w:szCs w:val="24"/>
        </w:rPr>
      </w:pPr>
      <w:r>
        <w:rPr>
          <w:sz w:val="24"/>
          <w:szCs w:val="24"/>
        </w:rPr>
        <w:t>A Combined stress (combining both of the above)</w:t>
      </w:r>
      <w:r w:rsidR="00D27542">
        <w:rPr>
          <w:sz w:val="24"/>
          <w:szCs w:val="24"/>
        </w:rPr>
        <w:t>.</w:t>
      </w:r>
    </w:p>
    <w:p w:rsidR="00DE7838" w:rsidRDefault="00DE7838" w:rsidP="00A72AD6">
      <w:pPr>
        <w:spacing w:line="480" w:lineRule="auto"/>
        <w:ind w:left="1440"/>
        <w:jc w:val="both"/>
        <w:rPr>
          <w:sz w:val="24"/>
          <w:szCs w:val="24"/>
        </w:rPr>
      </w:pPr>
    </w:p>
    <w:p w:rsidR="00DE7838" w:rsidRDefault="00DE7838" w:rsidP="00A72AD6">
      <w:pPr>
        <w:spacing w:line="480" w:lineRule="auto"/>
        <w:jc w:val="both"/>
        <w:rPr>
          <w:sz w:val="24"/>
          <w:szCs w:val="24"/>
        </w:rPr>
      </w:pPr>
      <w:r>
        <w:rPr>
          <w:sz w:val="24"/>
          <w:szCs w:val="24"/>
        </w:rPr>
        <w:t>This requirement to carry out these three stresses has been carried forward into the new PRA Rulebook</w:t>
      </w:r>
      <w:r>
        <w:rPr>
          <w:rStyle w:val="FootnoteReference"/>
          <w:sz w:val="24"/>
          <w:szCs w:val="24"/>
        </w:rPr>
        <w:footnoteReference w:id="281"/>
      </w:r>
      <w:r>
        <w:rPr>
          <w:sz w:val="24"/>
          <w:szCs w:val="24"/>
        </w:rPr>
        <w:t>. In developing the RFB’s Liquidity Contingency Plan (LCP)</w:t>
      </w:r>
      <w:r>
        <w:rPr>
          <w:rStyle w:val="FootnoteReference"/>
          <w:sz w:val="24"/>
          <w:szCs w:val="24"/>
        </w:rPr>
        <w:footnoteReference w:id="282"/>
      </w:r>
      <w:r>
        <w:rPr>
          <w:sz w:val="24"/>
          <w:szCs w:val="24"/>
        </w:rPr>
        <w:t xml:space="preserve"> the plan should clearly set out the RFB’</w:t>
      </w:r>
      <w:r w:rsidR="009E6EC3">
        <w:rPr>
          <w:sz w:val="24"/>
          <w:szCs w:val="24"/>
        </w:rPr>
        <w:t>s</w:t>
      </w:r>
      <w:r>
        <w:rPr>
          <w:sz w:val="24"/>
          <w:szCs w:val="24"/>
        </w:rPr>
        <w:t xml:space="preserve"> strategy for addressing liquidity shortfalls in stressed conditions</w:t>
      </w:r>
      <w:r w:rsidR="009E6EC3">
        <w:rPr>
          <w:sz w:val="24"/>
          <w:szCs w:val="24"/>
        </w:rPr>
        <w:t>.</w:t>
      </w:r>
    </w:p>
    <w:p w:rsidR="00DE7838" w:rsidRDefault="00DE7838" w:rsidP="00A72AD6">
      <w:pPr>
        <w:spacing w:line="480" w:lineRule="auto"/>
        <w:ind w:left="1440"/>
        <w:jc w:val="both"/>
        <w:rPr>
          <w:sz w:val="24"/>
          <w:szCs w:val="24"/>
        </w:rPr>
      </w:pPr>
      <w:r>
        <w:rPr>
          <w:sz w:val="24"/>
          <w:szCs w:val="24"/>
        </w:rPr>
        <w:t>.</w:t>
      </w:r>
    </w:p>
    <w:p w:rsidR="00DE7838" w:rsidRDefault="00DE7838" w:rsidP="00A72AD6">
      <w:pPr>
        <w:spacing w:line="480" w:lineRule="auto"/>
        <w:jc w:val="both"/>
        <w:rPr>
          <w:sz w:val="24"/>
          <w:szCs w:val="24"/>
        </w:rPr>
      </w:pPr>
      <w:r>
        <w:rPr>
          <w:sz w:val="24"/>
          <w:szCs w:val="24"/>
        </w:rPr>
        <w:t>In addition to the three tests above the firm is required to conduct a reverse stress test – a stress test to the point at which the bank would fail</w:t>
      </w:r>
      <w:r w:rsidR="009E6EC3">
        <w:rPr>
          <w:rStyle w:val="FootnoteReference"/>
          <w:sz w:val="24"/>
          <w:szCs w:val="24"/>
        </w:rPr>
        <w:footnoteReference w:id="283"/>
      </w:r>
      <w:r>
        <w:rPr>
          <w:sz w:val="24"/>
          <w:szCs w:val="24"/>
        </w:rPr>
        <w:t>.</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 xml:space="preserve">Under BIPRU the firms’ were required to hold a Liquidity Asset Buffer – in the new regulations this is known as holding High Quality Liquid Assets (HQLA) and is likely to become known as the HQLA buffer. As part of the firm’s Enterprise Wide Risk Management Framework, the firm must have a Liquidity Risk Appetite (and a Funding Risk Appetite) that has been agreed by the Board. The Liquidity Risk Appetite should be defined in terms of survival days – survival days </w:t>
      </w:r>
      <w:r>
        <w:rPr>
          <w:sz w:val="24"/>
          <w:szCs w:val="24"/>
        </w:rPr>
        <w:lastRenderedPageBreak/>
        <w:t xml:space="preserve">using the HQLA (30 Days), and survival days using the HQLA and </w:t>
      </w:r>
      <w:r w:rsidR="009E6EC3">
        <w:rPr>
          <w:sz w:val="24"/>
          <w:szCs w:val="24"/>
        </w:rPr>
        <w:t xml:space="preserve">the Bank of England </w:t>
      </w:r>
      <w:r>
        <w:rPr>
          <w:sz w:val="24"/>
          <w:szCs w:val="24"/>
        </w:rPr>
        <w:t>D</w:t>
      </w:r>
      <w:r w:rsidR="009E6EC3">
        <w:rPr>
          <w:sz w:val="24"/>
          <w:szCs w:val="24"/>
        </w:rPr>
        <w:t xml:space="preserve">iscount Window </w:t>
      </w:r>
      <w:r>
        <w:rPr>
          <w:sz w:val="24"/>
          <w:szCs w:val="24"/>
        </w:rPr>
        <w:t>F</w:t>
      </w:r>
      <w:r w:rsidR="009E6EC3">
        <w:rPr>
          <w:sz w:val="24"/>
          <w:szCs w:val="24"/>
        </w:rPr>
        <w:t>acility (DWF):</w:t>
      </w:r>
    </w:p>
    <w:p w:rsidR="00DE7838" w:rsidRDefault="00DE7838" w:rsidP="00A72AD6">
      <w:pPr>
        <w:spacing w:line="480" w:lineRule="auto"/>
        <w:jc w:val="both"/>
        <w:rPr>
          <w:sz w:val="24"/>
          <w:szCs w:val="24"/>
        </w:rPr>
      </w:pPr>
    </w:p>
    <w:p w:rsidR="00DE7838" w:rsidRPr="009E6EC3" w:rsidRDefault="00DE7838" w:rsidP="009E6EC3">
      <w:pPr>
        <w:pStyle w:val="ListParagraph"/>
        <w:numPr>
          <w:ilvl w:val="0"/>
          <w:numId w:val="35"/>
        </w:numPr>
        <w:spacing w:line="480" w:lineRule="auto"/>
        <w:jc w:val="both"/>
        <w:rPr>
          <w:sz w:val="24"/>
          <w:szCs w:val="24"/>
        </w:rPr>
      </w:pPr>
      <w:r w:rsidRPr="009E6EC3">
        <w:rPr>
          <w:sz w:val="24"/>
          <w:szCs w:val="24"/>
        </w:rPr>
        <w:t>Cash held in the firm’s BoE Reserve Account</w:t>
      </w:r>
      <w:r w:rsidR="009E6EC3">
        <w:rPr>
          <w:sz w:val="24"/>
          <w:szCs w:val="24"/>
        </w:rPr>
        <w:t>;</w:t>
      </w:r>
    </w:p>
    <w:p w:rsidR="00DE7838" w:rsidRPr="009E6EC3" w:rsidRDefault="00DE7838" w:rsidP="009E6EC3">
      <w:pPr>
        <w:pStyle w:val="ListParagraph"/>
        <w:numPr>
          <w:ilvl w:val="0"/>
          <w:numId w:val="35"/>
        </w:numPr>
        <w:spacing w:line="480" w:lineRule="auto"/>
        <w:jc w:val="both"/>
        <w:rPr>
          <w:sz w:val="24"/>
          <w:szCs w:val="24"/>
        </w:rPr>
      </w:pPr>
      <w:r w:rsidRPr="009E6EC3">
        <w:rPr>
          <w:sz w:val="24"/>
          <w:szCs w:val="24"/>
        </w:rPr>
        <w:t>Pre-positioned assets at the Bank’s DWF</w:t>
      </w:r>
      <w:r w:rsidR="009E6EC3">
        <w:rPr>
          <w:sz w:val="24"/>
          <w:szCs w:val="24"/>
        </w:rPr>
        <w:t>; and</w:t>
      </w:r>
    </w:p>
    <w:p w:rsidR="00DE7838" w:rsidRPr="009E6EC3" w:rsidRDefault="00DE7838" w:rsidP="009E6EC3">
      <w:pPr>
        <w:pStyle w:val="ListParagraph"/>
        <w:numPr>
          <w:ilvl w:val="0"/>
          <w:numId w:val="35"/>
        </w:numPr>
        <w:spacing w:line="480" w:lineRule="auto"/>
        <w:jc w:val="both"/>
        <w:rPr>
          <w:sz w:val="24"/>
          <w:szCs w:val="24"/>
        </w:rPr>
      </w:pPr>
      <w:r w:rsidRPr="009E6EC3">
        <w:rPr>
          <w:sz w:val="24"/>
          <w:szCs w:val="24"/>
        </w:rPr>
        <w:t xml:space="preserve">Repo facilities – </w:t>
      </w:r>
      <w:r w:rsidR="009E6EC3">
        <w:rPr>
          <w:sz w:val="24"/>
          <w:szCs w:val="24"/>
        </w:rPr>
        <w:t xml:space="preserve">and </w:t>
      </w:r>
      <w:r w:rsidRPr="009E6EC3">
        <w:rPr>
          <w:sz w:val="24"/>
          <w:szCs w:val="24"/>
        </w:rPr>
        <w:t xml:space="preserve">an understanding of the </w:t>
      </w:r>
      <w:r w:rsidR="009E6EC3">
        <w:rPr>
          <w:sz w:val="24"/>
          <w:szCs w:val="24"/>
        </w:rPr>
        <w:t>‘</w:t>
      </w:r>
      <w:r w:rsidRPr="009E6EC3">
        <w:rPr>
          <w:sz w:val="24"/>
          <w:szCs w:val="24"/>
        </w:rPr>
        <w:t>haircuts</w:t>
      </w:r>
      <w:r w:rsidR="009E6EC3">
        <w:rPr>
          <w:sz w:val="24"/>
          <w:szCs w:val="24"/>
        </w:rPr>
        <w:t>’ (reduction in value)</w:t>
      </w:r>
      <w:r w:rsidRPr="009E6EC3">
        <w:rPr>
          <w:sz w:val="24"/>
          <w:szCs w:val="24"/>
        </w:rPr>
        <w:t xml:space="preserve"> applied</w:t>
      </w:r>
      <w:r w:rsidR="009E6EC3">
        <w:rPr>
          <w:sz w:val="24"/>
          <w:szCs w:val="24"/>
        </w:rPr>
        <w:t>.</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 xml:space="preserve">Normally the CFO is responsible for liquidity management, although the work will usually be carried out by the bank’s treasury function. The Treasury functions in RFBs should be </w:t>
      </w:r>
      <w:r w:rsidR="009E6EC3">
        <w:rPr>
          <w:sz w:val="24"/>
          <w:szCs w:val="24"/>
        </w:rPr>
        <w:t>‘</w:t>
      </w:r>
      <w:r>
        <w:rPr>
          <w:sz w:val="24"/>
          <w:szCs w:val="24"/>
        </w:rPr>
        <w:t>not for profit</w:t>
      </w:r>
      <w:r w:rsidR="009E6EC3">
        <w:rPr>
          <w:sz w:val="24"/>
          <w:szCs w:val="24"/>
        </w:rPr>
        <w:t>’</w:t>
      </w:r>
      <w:r>
        <w:rPr>
          <w:sz w:val="24"/>
          <w:szCs w:val="24"/>
        </w:rPr>
        <w:t xml:space="preserve"> treasury functions and solely charged with managing the banks funding hedging and liquidity</w:t>
      </w:r>
      <w:r w:rsidR="0059552A">
        <w:rPr>
          <w:sz w:val="24"/>
          <w:szCs w:val="24"/>
        </w:rPr>
        <w:t xml:space="preserve">. </w:t>
      </w:r>
      <w:r>
        <w:rPr>
          <w:sz w:val="24"/>
          <w:szCs w:val="24"/>
        </w:rPr>
        <w:t>Two key things that the Treasury function need to do:</w:t>
      </w:r>
    </w:p>
    <w:p w:rsidR="00DE7838" w:rsidRDefault="00DE7838" w:rsidP="00A72AD6">
      <w:pPr>
        <w:spacing w:line="480" w:lineRule="auto"/>
        <w:jc w:val="both"/>
        <w:rPr>
          <w:sz w:val="24"/>
          <w:szCs w:val="24"/>
        </w:rPr>
      </w:pPr>
    </w:p>
    <w:p w:rsidR="00DE7838" w:rsidRDefault="00DE7838" w:rsidP="00A72AD6">
      <w:pPr>
        <w:numPr>
          <w:ilvl w:val="0"/>
          <w:numId w:val="5"/>
        </w:numPr>
        <w:spacing w:line="480" w:lineRule="auto"/>
        <w:ind w:left="709" w:hanging="229"/>
        <w:jc w:val="both"/>
        <w:rPr>
          <w:sz w:val="24"/>
          <w:szCs w:val="24"/>
        </w:rPr>
      </w:pPr>
      <w:r>
        <w:rPr>
          <w:sz w:val="24"/>
          <w:szCs w:val="24"/>
        </w:rPr>
        <w:t>Liquidity forecasting – the equivalent of cash forecasting in a normal corporate, i.e. understand the daily weekly, and monthly inflows and outflows of cash;</w:t>
      </w:r>
    </w:p>
    <w:p w:rsidR="00DE7838" w:rsidRDefault="00DE7838" w:rsidP="00A72AD6">
      <w:pPr>
        <w:spacing w:line="480" w:lineRule="auto"/>
        <w:ind w:left="709"/>
        <w:jc w:val="both"/>
        <w:rPr>
          <w:sz w:val="24"/>
          <w:szCs w:val="24"/>
        </w:rPr>
      </w:pPr>
    </w:p>
    <w:p w:rsidR="00DE7838" w:rsidRDefault="00DE7838" w:rsidP="00A72AD6">
      <w:pPr>
        <w:numPr>
          <w:ilvl w:val="0"/>
          <w:numId w:val="5"/>
        </w:numPr>
        <w:spacing w:line="480" w:lineRule="auto"/>
        <w:ind w:left="709" w:hanging="229"/>
        <w:jc w:val="both"/>
        <w:rPr>
          <w:sz w:val="24"/>
          <w:szCs w:val="24"/>
        </w:rPr>
      </w:pPr>
      <w:r>
        <w:rPr>
          <w:sz w:val="24"/>
          <w:szCs w:val="24"/>
        </w:rPr>
        <w:t>Transfer pricing</w:t>
      </w:r>
      <w:r>
        <w:rPr>
          <w:rStyle w:val="FootnoteReference"/>
          <w:sz w:val="24"/>
          <w:szCs w:val="24"/>
        </w:rPr>
        <w:footnoteReference w:id="284"/>
      </w:r>
      <w:r>
        <w:rPr>
          <w:sz w:val="24"/>
          <w:szCs w:val="24"/>
        </w:rPr>
        <w:t xml:space="preserve"> – this approach allows for the attribution of risk and associated costs of both funding and liquidity to business lines and their products. Lending has both a funding cost and liquidity cost, and correspondingly deposits have an internal funding reward.   </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 xml:space="preserve">The PRA is currently migrating to a standardised EU reporting system known as COREP which will include a full suite of liquidity returns (to replace the existing FSA legacy suite). This suite will include the additional liquidity monitoring metrics mandated by the EBA. The RFB </w:t>
      </w:r>
      <w:r>
        <w:rPr>
          <w:sz w:val="24"/>
          <w:szCs w:val="24"/>
        </w:rPr>
        <w:lastRenderedPageBreak/>
        <w:t>reporting systems must be capable of producing daily return on day one to ensure that in the event of not meeting LCR it can comply with its regulatory obligations</w:t>
      </w:r>
      <w:r>
        <w:rPr>
          <w:rStyle w:val="FootnoteReference"/>
          <w:sz w:val="24"/>
          <w:szCs w:val="24"/>
        </w:rPr>
        <w:footnoteReference w:id="285"/>
      </w:r>
      <w:r>
        <w:rPr>
          <w:sz w:val="24"/>
          <w:szCs w:val="24"/>
        </w:rPr>
        <w:t xml:space="preserve">.     </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Currently firms are allowed to apply for an intra-group liquidity modification. The CRR</w:t>
      </w:r>
      <w:r>
        <w:rPr>
          <w:rStyle w:val="FootnoteReference"/>
          <w:sz w:val="24"/>
          <w:szCs w:val="24"/>
        </w:rPr>
        <w:footnoteReference w:id="286"/>
      </w:r>
      <w:r>
        <w:rPr>
          <w:sz w:val="24"/>
          <w:szCs w:val="24"/>
        </w:rPr>
        <w:t xml:space="preserve"> allows for a permission that has an effect equivalent to an intra-group liquidity modification. Give</w:t>
      </w:r>
      <w:r w:rsidR="00AF72EF">
        <w:rPr>
          <w:sz w:val="24"/>
          <w:szCs w:val="24"/>
        </w:rPr>
        <w:t>n</w:t>
      </w:r>
      <w:r>
        <w:rPr>
          <w:sz w:val="24"/>
          <w:szCs w:val="24"/>
        </w:rPr>
        <w:t xml:space="preserve"> the expectation of an RFB to be ring-fenced it is reasonable to assume that this permission will not be available to RFBs. </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Once the RFP has submitted its ILAA</w:t>
      </w:r>
      <w:r w:rsidR="009E6EC3">
        <w:rPr>
          <w:sz w:val="24"/>
          <w:szCs w:val="24"/>
        </w:rPr>
        <w:t>P</w:t>
      </w:r>
      <w:r>
        <w:rPr>
          <w:sz w:val="24"/>
          <w:szCs w:val="24"/>
        </w:rPr>
        <w:t>, the PRA will apply the Liquidity Supervisory Review and Evaluation Process (L-SREP)</w:t>
      </w:r>
      <w:r>
        <w:rPr>
          <w:rStyle w:val="FootnoteReference"/>
          <w:sz w:val="24"/>
          <w:szCs w:val="24"/>
        </w:rPr>
        <w:footnoteReference w:id="287"/>
      </w:r>
      <w:r>
        <w:rPr>
          <w:sz w:val="24"/>
          <w:szCs w:val="24"/>
        </w:rPr>
        <w:t>. In addition to assessing the quantitative requirements the L-SREP will a look to establish that the firm has a Board approved liquidity risk appetite and funding risk appetite that are appropriate for the business and communicated to the relevant business lines</w:t>
      </w:r>
      <w:r>
        <w:rPr>
          <w:rStyle w:val="FootnoteReference"/>
          <w:sz w:val="24"/>
          <w:szCs w:val="24"/>
        </w:rPr>
        <w:footnoteReference w:id="288"/>
      </w:r>
      <w:r>
        <w:rPr>
          <w:sz w:val="24"/>
          <w:szCs w:val="24"/>
        </w:rPr>
        <w:t xml:space="preserve">, and examine that the firm has appropriate </w:t>
      </w:r>
    </w:p>
    <w:p w:rsidR="00DE7838" w:rsidRDefault="00DE7838" w:rsidP="00A72AD6">
      <w:pPr>
        <w:spacing w:line="480" w:lineRule="auto"/>
        <w:jc w:val="both"/>
        <w:rPr>
          <w:sz w:val="24"/>
          <w:szCs w:val="24"/>
        </w:rPr>
      </w:pPr>
    </w:p>
    <w:p w:rsidR="00DE7838" w:rsidRDefault="00DE7838" w:rsidP="00A72AD6">
      <w:pPr>
        <w:ind w:left="720"/>
        <w:jc w:val="both"/>
        <w:rPr>
          <w:sz w:val="24"/>
          <w:szCs w:val="24"/>
        </w:rPr>
      </w:pPr>
      <w:r>
        <w:rPr>
          <w:sz w:val="24"/>
          <w:szCs w:val="24"/>
        </w:rPr>
        <w:t>‘</w:t>
      </w:r>
      <w:r w:rsidRPr="00163B4C">
        <w:rPr>
          <w:i/>
          <w:sz w:val="24"/>
          <w:szCs w:val="24"/>
        </w:rPr>
        <w:t>governance, strategies, policies, systems and processes, transfer pricing, qualitative management, funding diversification, market access, and funding plans in order to identify, measure, manage and monitor liquidity risk over meaningful time horizons</w:t>
      </w:r>
      <w:r w:rsidRPr="00163B4C">
        <w:rPr>
          <w:sz w:val="24"/>
          <w:szCs w:val="24"/>
        </w:rPr>
        <w:t>’</w:t>
      </w:r>
      <w:r w:rsidR="000959EE">
        <w:rPr>
          <w:rStyle w:val="FootnoteReference"/>
          <w:sz w:val="24"/>
          <w:szCs w:val="24"/>
        </w:rPr>
        <w:footnoteReference w:id="289"/>
      </w:r>
      <w:r w:rsidR="000959EE">
        <w:rPr>
          <w:sz w:val="24"/>
          <w:szCs w:val="24"/>
        </w:rPr>
        <w:t>.</w:t>
      </w:r>
    </w:p>
    <w:p w:rsidR="00DE7838" w:rsidRDefault="00DE7838" w:rsidP="00A72AD6">
      <w:pPr>
        <w:spacing w:line="480" w:lineRule="auto"/>
        <w:ind w:left="720"/>
        <w:jc w:val="both"/>
        <w:rPr>
          <w:sz w:val="24"/>
          <w:szCs w:val="24"/>
        </w:rPr>
      </w:pPr>
    </w:p>
    <w:p w:rsidR="00DE7838" w:rsidRDefault="00DE7838" w:rsidP="00A72AD6">
      <w:pPr>
        <w:spacing w:line="480" w:lineRule="auto"/>
        <w:jc w:val="both"/>
        <w:rPr>
          <w:sz w:val="24"/>
          <w:szCs w:val="24"/>
        </w:rPr>
      </w:pPr>
      <w:r>
        <w:rPr>
          <w:sz w:val="24"/>
          <w:szCs w:val="24"/>
        </w:rPr>
        <w:t>The outcome of the L-SREP is that the PRA will issue liquidity guidance advising two things:</w:t>
      </w:r>
    </w:p>
    <w:p w:rsidR="00DE7838" w:rsidRDefault="00DE7838" w:rsidP="00A72AD6">
      <w:pPr>
        <w:spacing w:line="480" w:lineRule="auto"/>
        <w:jc w:val="both"/>
        <w:rPr>
          <w:sz w:val="24"/>
          <w:szCs w:val="24"/>
        </w:rPr>
      </w:pPr>
    </w:p>
    <w:p w:rsidR="00DE7838" w:rsidRDefault="00DE7838" w:rsidP="00A72AD6">
      <w:pPr>
        <w:numPr>
          <w:ilvl w:val="0"/>
          <w:numId w:val="7"/>
        </w:numPr>
        <w:spacing w:line="480" w:lineRule="auto"/>
        <w:jc w:val="both"/>
        <w:rPr>
          <w:sz w:val="24"/>
          <w:szCs w:val="24"/>
        </w:rPr>
      </w:pPr>
      <w:r>
        <w:rPr>
          <w:sz w:val="24"/>
          <w:szCs w:val="24"/>
        </w:rPr>
        <w:lastRenderedPageBreak/>
        <w:t>the amount and quality of liquid assets (the HQLA) that the firm is required to hold to support the firm’s liquidity risk management; and</w:t>
      </w:r>
    </w:p>
    <w:p w:rsidR="00DE7838" w:rsidRDefault="00DE7838" w:rsidP="00A72AD6">
      <w:pPr>
        <w:numPr>
          <w:ilvl w:val="0"/>
          <w:numId w:val="7"/>
        </w:numPr>
        <w:spacing w:line="480" w:lineRule="auto"/>
        <w:jc w:val="both"/>
        <w:rPr>
          <w:sz w:val="24"/>
          <w:szCs w:val="24"/>
        </w:rPr>
      </w:pPr>
      <w:r>
        <w:rPr>
          <w:sz w:val="24"/>
          <w:szCs w:val="24"/>
        </w:rPr>
        <w:t>a prudent funding profile for the firm.</w:t>
      </w:r>
    </w:p>
    <w:p w:rsidR="00DE7838" w:rsidRDefault="00DE7838" w:rsidP="00A72AD6">
      <w:pPr>
        <w:spacing w:line="480" w:lineRule="auto"/>
        <w:jc w:val="both"/>
        <w:rPr>
          <w:sz w:val="24"/>
          <w:szCs w:val="24"/>
        </w:rPr>
      </w:pPr>
    </w:p>
    <w:p w:rsidR="00DE7838" w:rsidRDefault="00DE7838" w:rsidP="00A72AD6">
      <w:pPr>
        <w:spacing w:line="480" w:lineRule="auto"/>
        <w:jc w:val="both"/>
        <w:rPr>
          <w:sz w:val="24"/>
          <w:szCs w:val="24"/>
        </w:rPr>
      </w:pPr>
      <w:r>
        <w:rPr>
          <w:sz w:val="24"/>
          <w:szCs w:val="24"/>
        </w:rPr>
        <w:t>Following the Basel three pillar approach, the ILAA</w:t>
      </w:r>
      <w:r w:rsidR="00AF72EF">
        <w:rPr>
          <w:sz w:val="24"/>
          <w:szCs w:val="24"/>
        </w:rPr>
        <w:t>P</w:t>
      </w:r>
      <w:r>
        <w:rPr>
          <w:sz w:val="24"/>
          <w:szCs w:val="24"/>
        </w:rPr>
        <w:t xml:space="preserve"> is a Pillar 1 assessment that the firm uses to establish its liquidity profile and appropriate HQLA, the L-SREP is the regulator’s Pillar 2 assessment leading in most cases to some add-ons for liquidity. This leaves Pillar 3 which focuses on disclosure. There is an increasing expectation that firm’s will disclose more about their risk management to allow market participants have a better understanding of the risk profile of firms</w:t>
      </w:r>
      <w:r w:rsidR="000959EE">
        <w:rPr>
          <w:rStyle w:val="FootnoteReference"/>
          <w:sz w:val="24"/>
          <w:szCs w:val="24"/>
        </w:rPr>
        <w:footnoteReference w:id="290"/>
      </w:r>
      <w:r>
        <w:rPr>
          <w:sz w:val="24"/>
          <w:szCs w:val="24"/>
        </w:rPr>
        <w:t>. An LCR disclosure template has already been designed</w:t>
      </w:r>
      <w:r w:rsidR="000959EE">
        <w:rPr>
          <w:rStyle w:val="FootnoteReference"/>
          <w:sz w:val="24"/>
          <w:szCs w:val="24"/>
        </w:rPr>
        <w:footnoteReference w:id="291"/>
      </w:r>
      <w:r>
        <w:rPr>
          <w:sz w:val="24"/>
          <w:szCs w:val="24"/>
        </w:rPr>
        <w:t xml:space="preserve"> and, from a market discipline perspective, we are likely to see further disclosure required.</w:t>
      </w:r>
    </w:p>
    <w:p w:rsidR="00F201ED" w:rsidRDefault="00F201ED" w:rsidP="00BC1309">
      <w:pPr>
        <w:pStyle w:val="Heading1"/>
        <w:jc w:val="left"/>
      </w:pPr>
    </w:p>
    <w:p w:rsidR="00F201ED" w:rsidRDefault="00F201ED" w:rsidP="00BC1309">
      <w:pPr>
        <w:pStyle w:val="Heading1"/>
        <w:jc w:val="left"/>
      </w:pPr>
    </w:p>
    <w:p w:rsidR="00F201ED" w:rsidRDefault="00F201ED">
      <w:pPr>
        <w:overflowPunct/>
        <w:autoSpaceDE/>
        <w:autoSpaceDN/>
        <w:adjustRightInd/>
        <w:textAlignment w:val="auto"/>
        <w:rPr>
          <w:b/>
          <w:bCs/>
          <w:smallCaps/>
          <w:sz w:val="28"/>
          <w:szCs w:val="28"/>
        </w:rPr>
      </w:pPr>
      <w:r>
        <w:br w:type="page"/>
      </w:r>
    </w:p>
    <w:p w:rsidR="00CB27A4" w:rsidRDefault="00DE7838" w:rsidP="00AB0475">
      <w:pPr>
        <w:pStyle w:val="Heading1"/>
      </w:pPr>
      <w:bookmarkStart w:id="24" w:name="_Toc428779495"/>
      <w:r>
        <w:lastRenderedPageBreak/>
        <w:t xml:space="preserve">Appendix </w:t>
      </w:r>
      <w:r w:rsidR="000664A1">
        <w:t>4</w:t>
      </w:r>
      <w:r>
        <w:t xml:space="preserve"> – Recovery </w:t>
      </w:r>
      <w:r w:rsidR="001C328B">
        <w:t>And Resolution</w:t>
      </w:r>
      <w:bookmarkEnd w:id="24"/>
    </w:p>
    <w:p w:rsidR="00837C98" w:rsidRDefault="00837C98" w:rsidP="00A72AD6">
      <w:pPr>
        <w:spacing w:line="480" w:lineRule="auto"/>
        <w:jc w:val="both"/>
        <w:rPr>
          <w:sz w:val="24"/>
          <w:szCs w:val="24"/>
        </w:rPr>
      </w:pPr>
      <w:r w:rsidRPr="00837C98">
        <w:rPr>
          <w:sz w:val="24"/>
          <w:szCs w:val="24"/>
        </w:rPr>
        <w:t>The FSB led the charge on Recovery and Resolution in the immediate aftermath of the financial crisis</w:t>
      </w:r>
      <w:r>
        <w:rPr>
          <w:sz w:val="24"/>
          <w:szCs w:val="24"/>
        </w:rPr>
        <w:t xml:space="preserve"> and published a number of papers on recovery</w:t>
      </w:r>
      <w:r w:rsidR="009E6EC3">
        <w:rPr>
          <w:rStyle w:val="FootnoteReference"/>
          <w:sz w:val="24"/>
          <w:szCs w:val="24"/>
        </w:rPr>
        <w:footnoteReference w:id="292"/>
      </w:r>
      <w:r>
        <w:rPr>
          <w:sz w:val="24"/>
          <w:szCs w:val="24"/>
        </w:rPr>
        <w:t>. The EU have implemented the Bank Recovery and Resolution Directive, which establishes the PRA as the ‘competent authority’ for Recovery and the Bank of England as the ‘resolution authority’ for resolving banks that are no longer recoverable</w:t>
      </w:r>
      <w:r w:rsidR="009E6EC3">
        <w:rPr>
          <w:rStyle w:val="FootnoteReference"/>
          <w:sz w:val="24"/>
          <w:szCs w:val="24"/>
        </w:rPr>
        <w:footnoteReference w:id="293"/>
      </w:r>
      <w:r>
        <w:rPr>
          <w:sz w:val="24"/>
          <w:szCs w:val="24"/>
        </w:rPr>
        <w:t>.</w:t>
      </w:r>
    </w:p>
    <w:p w:rsidR="00837C98" w:rsidRDefault="00837C98" w:rsidP="00A72AD6">
      <w:pPr>
        <w:spacing w:line="480" w:lineRule="auto"/>
        <w:jc w:val="both"/>
        <w:rPr>
          <w:sz w:val="24"/>
          <w:szCs w:val="24"/>
        </w:rPr>
      </w:pPr>
    </w:p>
    <w:p w:rsidR="00837C98" w:rsidRPr="00837C98" w:rsidRDefault="00837C98" w:rsidP="00A72AD6">
      <w:pPr>
        <w:spacing w:line="480" w:lineRule="auto"/>
        <w:jc w:val="both"/>
        <w:rPr>
          <w:sz w:val="24"/>
          <w:szCs w:val="24"/>
        </w:rPr>
      </w:pPr>
      <w:r>
        <w:rPr>
          <w:sz w:val="24"/>
          <w:szCs w:val="24"/>
        </w:rPr>
        <w:t>A key plank of both recovery and resolution is the ability to bail-in de</w:t>
      </w:r>
      <w:r w:rsidR="00AF72EF">
        <w:rPr>
          <w:sz w:val="24"/>
          <w:szCs w:val="24"/>
        </w:rPr>
        <w:t>bt</w:t>
      </w:r>
      <w:r>
        <w:rPr>
          <w:sz w:val="24"/>
          <w:szCs w:val="24"/>
        </w:rPr>
        <w:t>. One of the recommendations of the ICB was the introduction of Permanent Loss Absorbing Capacity (PLAC). This has now been super</w:t>
      </w:r>
      <w:r w:rsidR="00CD796A">
        <w:rPr>
          <w:sz w:val="24"/>
          <w:szCs w:val="24"/>
        </w:rPr>
        <w:t>-</w:t>
      </w:r>
      <w:r>
        <w:rPr>
          <w:sz w:val="24"/>
          <w:szCs w:val="24"/>
        </w:rPr>
        <w:t xml:space="preserve">ceded by the FSB’s Total Loss Absorbing Capacity (TLAC) </w:t>
      </w:r>
      <w:r w:rsidR="0043275A">
        <w:rPr>
          <w:sz w:val="24"/>
          <w:szCs w:val="24"/>
        </w:rPr>
        <w:t>and the EUs</w:t>
      </w:r>
      <w:r w:rsidR="00B41250">
        <w:rPr>
          <w:sz w:val="24"/>
          <w:szCs w:val="24"/>
        </w:rPr>
        <w:t xml:space="preserve"> </w:t>
      </w:r>
      <w:r w:rsidR="0043275A">
        <w:rPr>
          <w:sz w:val="24"/>
          <w:szCs w:val="24"/>
        </w:rPr>
        <w:t>Minimum Requirements for own funds and Eligible Liabilities (MREL)</w:t>
      </w:r>
      <w:r w:rsidR="009E6EC3">
        <w:rPr>
          <w:sz w:val="24"/>
          <w:szCs w:val="24"/>
        </w:rPr>
        <w:t>.</w:t>
      </w:r>
    </w:p>
    <w:p w:rsidR="00837C98" w:rsidRPr="00837C98" w:rsidRDefault="00837C98" w:rsidP="00A72AD6">
      <w:pPr>
        <w:spacing w:line="480" w:lineRule="auto"/>
      </w:pPr>
    </w:p>
    <w:p w:rsidR="001C328B" w:rsidRDefault="001C328B" w:rsidP="00A72AD6">
      <w:pPr>
        <w:pStyle w:val="ListParagraph"/>
        <w:spacing w:line="480" w:lineRule="auto"/>
        <w:ind w:left="0"/>
        <w:jc w:val="both"/>
        <w:rPr>
          <w:sz w:val="24"/>
          <w:szCs w:val="24"/>
        </w:rPr>
      </w:pPr>
      <w:r>
        <w:rPr>
          <w:sz w:val="24"/>
          <w:szCs w:val="24"/>
        </w:rPr>
        <w:t>TLAC is a Financial Stability Board expectation and aimed at Globally Significant Banks (G-SIBs). MREL is the equivalent EU requirement as set out in the Bank Recovery and Resolution Directive (BRRD). Both TLAC and MREL aim to achieve the same thing – ensure that shareholders and creditors bear losses in situations of resolution.</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spacing w:line="480" w:lineRule="auto"/>
        <w:ind w:left="0"/>
        <w:jc w:val="both"/>
        <w:rPr>
          <w:sz w:val="24"/>
          <w:szCs w:val="24"/>
        </w:rPr>
      </w:pPr>
      <w:r>
        <w:rPr>
          <w:sz w:val="24"/>
          <w:szCs w:val="24"/>
        </w:rPr>
        <w:t>TLAC expects a Pillar 1 of 16-20%</w:t>
      </w:r>
      <w:r w:rsidR="00CD796A">
        <w:rPr>
          <w:sz w:val="24"/>
          <w:szCs w:val="24"/>
        </w:rPr>
        <w:t>,</w:t>
      </w:r>
      <w:r>
        <w:rPr>
          <w:sz w:val="24"/>
          <w:szCs w:val="24"/>
        </w:rPr>
        <w:t xml:space="preserve"> with a discretionary additional Pillar 2 component and only applies to G-SIBs. MREL will apply to all banks</w:t>
      </w:r>
      <w:r w:rsidR="00CD796A">
        <w:rPr>
          <w:sz w:val="24"/>
          <w:szCs w:val="24"/>
        </w:rPr>
        <w:t xml:space="preserve"> in the EU</w:t>
      </w:r>
      <w:r>
        <w:rPr>
          <w:sz w:val="24"/>
          <w:szCs w:val="24"/>
        </w:rPr>
        <w:t xml:space="preserve">, with the BBRD starting point based on an estimated reference level </w:t>
      </w:r>
      <w:r w:rsidR="00CD796A">
        <w:rPr>
          <w:sz w:val="24"/>
          <w:szCs w:val="24"/>
        </w:rPr>
        <w:t xml:space="preserve">at </w:t>
      </w:r>
      <w:r>
        <w:rPr>
          <w:sz w:val="24"/>
          <w:szCs w:val="24"/>
        </w:rPr>
        <w:t>10% of total liabilities. MREL is scheduled to be implemented on 1</w:t>
      </w:r>
      <w:r w:rsidRPr="00FB53F3">
        <w:rPr>
          <w:sz w:val="24"/>
          <w:szCs w:val="24"/>
          <w:vertAlign w:val="superscript"/>
        </w:rPr>
        <w:t>st</w:t>
      </w:r>
      <w:r>
        <w:rPr>
          <w:sz w:val="24"/>
          <w:szCs w:val="24"/>
        </w:rPr>
        <w:t xml:space="preserve"> January 2016. TLAC is not intended to be implemented until 1</w:t>
      </w:r>
      <w:r w:rsidRPr="00FB53F3">
        <w:rPr>
          <w:sz w:val="24"/>
          <w:szCs w:val="24"/>
          <w:vertAlign w:val="superscript"/>
        </w:rPr>
        <w:t>st</w:t>
      </w:r>
      <w:r>
        <w:rPr>
          <w:sz w:val="24"/>
          <w:szCs w:val="24"/>
        </w:rPr>
        <w:t xml:space="preserve"> January 2019 and is unlikely to apply to RFBs, however MREL will apply to all RFBs</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spacing w:line="480" w:lineRule="auto"/>
        <w:ind w:left="0"/>
        <w:jc w:val="both"/>
        <w:rPr>
          <w:sz w:val="24"/>
          <w:szCs w:val="24"/>
        </w:rPr>
      </w:pPr>
      <w:r>
        <w:rPr>
          <w:sz w:val="24"/>
          <w:szCs w:val="24"/>
        </w:rPr>
        <w:lastRenderedPageBreak/>
        <w:t>The EBA have recently consulted</w:t>
      </w:r>
      <w:r w:rsidR="00CD796A">
        <w:rPr>
          <w:rStyle w:val="FootnoteReference"/>
          <w:sz w:val="24"/>
          <w:szCs w:val="24"/>
        </w:rPr>
        <w:footnoteReference w:id="294"/>
      </w:r>
      <w:r>
        <w:rPr>
          <w:sz w:val="24"/>
          <w:szCs w:val="24"/>
        </w:rPr>
        <w:t xml:space="preserve"> on how MREL should be adapted to reflect the resolvability, risk profile, systemic importance and other characteristics of each institution. Consultation closed on 27</w:t>
      </w:r>
      <w:r w:rsidRPr="00FB53F3">
        <w:rPr>
          <w:sz w:val="24"/>
          <w:szCs w:val="24"/>
          <w:vertAlign w:val="superscript"/>
        </w:rPr>
        <w:t>th</w:t>
      </w:r>
      <w:r>
        <w:rPr>
          <w:sz w:val="24"/>
          <w:szCs w:val="24"/>
        </w:rPr>
        <w:t xml:space="preserve"> February and </w:t>
      </w:r>
      <w:r w:rsidR="00AF72EF">
        <w:rPr>
          <w:sz w:val="24"/>
          <w:szCs w:val="24"/>
        </w:rPr>
        <w:t xml:space="preserve">went </w:t>
      </w:r>
      <w:r>
        <w:rPr>
          <w:sz w:val="24"/>
          <w:szCs w:val="24"/>
        </w:rPr>
        <w:t xml:space="preserve">to the European Commission as </w:t>
      </w:r>
      <w:r w:rsidR="00AF72EF">
        <w:rPr>
          <w:sz w:val="24"/>
          <w:szCs w:val="24"/>
        </w:rPr>
        <w:t xml:space="preserve">a </w:t>
      </w:r>
      <w:r>
        <w:rPr>
          <w:sz w:val="24"/>
          <w:szCs w:val="24"/>
        </w:rPr>
        <w:t>Regulatory Technical Standard (RTS) in July, after which it will become a Regulation and be legally binding in the UK. MREL will be set by the ‘Resolution Authority’, which in the UK is the BoE and not the PRA. The BoE have indicated that</w:t>
      </w:r>
      <w:r w:rsidR="00B41250">
        <w:rPr>
          <w:sz w:val="24"/>
          <w:szCs w:val="24"/>
        </w:rPr>
        <w:t xml:space="preserve"> </w:t>
      </w:r>
      <w:r>
        <w:rPr>
          <w:sz w:val="24"/>
          <w:szCs w:val="24"/>
        </w:rPr>
        <w:t>they will issue a separate Policy Statement on MREL later this year.</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spacing w:line="480" w:lineRule="auto"/>
        <w:ind w:left="0"/>
        <w:jc w:val="both"/>
        <w:rPr>
          <w:sz w:val="24"/>
          <w:szCs w:val="24"/>
        </w:rPr>
      </w:pPr>
      <w:r>
        <w:rPr>
          <w:sz w:val="24"/>
          <w:szCs w:val="24"/>
        </w:rPr>
        <w:t>The key objective of MREL is to ensure that there are enough own funds and eligible liabilities to absorb losses and contribute to re-capitalisation. The EBA have set out six criteria for the BoE to use in assessing the application of MREL:</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numPr>
          <w:ilvl w:val="0"/>
          <w:numId w:val="15"/>
        </w:numPr>
        <w:spacing w:line="480" w:lineRule="auto"/>
        <w:jc w:val="both"/>
        <w:rPr>
          <w:sz w:val="24"/>
          <w:szCs w:val="24"/>
        </w:rPr>
      </w:pPr>
      <w:r>
        <w:rPr>
          <w:sz w:val="24"/>
          <w:szCs w:val="24"/>
        </w:rPr>
        <w:t>The need to ensure that losses are absorbed – the BoE should ensure that losses equal to capital requirements (including buffers and leverage requirements) can be absorbed by the RFB;</w:t>
      </w:r>
    </w:p>
    <w:p w:rsidR="001C328B" w:rsidRDefault="001C328B" w:rsidP="00A72AD6">
      <w:pPr>
        <w:pStyle w:val="ListParagraph"/>
        <w:numPr>
          <w:ilvl w:val="0"/>
          <w:numId w:val="15"/>
        </w:numPr>
        <w:spacing w:line="480" w:lineRule="auto"/>
        <w:jc w:val="both"/>
        <w:rPr>
          <w:sz w:val="24"/>
          <w:szCs w:val="24"/>
        </w:rPr>
      </w:pPr>
      <w:r>
        <w:rPr>
          <w:sz w:val="24"/>
          <w:szCs w:val="24"/>
        </w:rPr>
        <w:t>The BoE should determine the amount of re-capital</w:t>
      </w:r>
      <w:r w:rsidR="00CD796A">
        <w:rPr>
          <w:sz w:val="24"/>
          <w:szCs w:val="24"/>
        </w:rPr>
        <w:t>isation</w:t>
      </w:r>
      <w:r>
        <w:rPr>
          <w:sz w:val="24"/>
          <w:szCs w:val="24"/>
        </w:rPr>
        <w:t xml:space="preserve"> which would be required to implement the preferred resolution strategy identified in the resolution planning process:</w:t>
      </w:r>
    </w:p>
    <w:p w:rsidR="001C328B" w:rsidRDefault="001C328B" w:rsidP="00A72AD6">
      <w:pPr>
        <w:pStyle w:val="ListParagraph"/>
        <w:numPr>
          <w:ilvl w:val="1"/>
          <w:numId w:val="15"/>
        </w:numPr>
        <w:spacing w:line="480" w:lineRule="auto"/>
        <w:jc w:val="both"/>
        <w:rPr>
          <w:sz w:val="24"/>
          <w:szCs w:val="24"/>
        </w:rPr>
      </w:pPr>
      <w:r>
        <w:rPr>
          <w:sz w:val="24"/>
          <w:szCs w:val="24"/>
        </w:rPr>
        <w:t>Creates a link between MREL and the capital ratio (including any leverage ratio requirement that has been applied) necessary to comply with the conditions for authorisation;</w:t>
      </w:r>
    </w:p>
    <w:p w:rsidR="001C328B" w:rsidRDefault="001C328B" w:rsidP="00A72AD6">
      <w:pPr>
        <w:pStyle w:val="ListParagraph"/>
        <w:numPr>
          <w:ilvl w:val="1"/>
          <w:numId w:val="15"/>
        </w:numPr>
        <w:spacing w:line="480" w:lineRule="auto"/>
        <w:jc w:val="both"/>
        <w:rPr>
          <w:sz w:val="24"/>
          <w:szCs w:val="24"/>
        </w:rPr>
      </w:pPr>
      <w:r>
        <w:rPr>
          <w:sz w:val="24"/>
          <w:szCs w:val="24"/>
        </w:rPr>
        <w:t>The need to ensure sufficient confidence in the RFB, i.e. how much is needed to restore the capital buffers.</w:t>
      </w:r>
    </w:p>
    <w:p w:rsidR="001C328B" w:rsidRDefault="001C328B" w:rsidP="00A72AD6">
      <w:pPr>
        <w:pStyle w:val="ListParagraph"/>
        <w:numPr>
          <w:ilvl w:val="0"/>
          <w:numId w:val="15"/>
        </w:numPr>
        <w:spacing w:line="480" w:lineRule="auto"/>
        <w:jc w:val="both"/>
        <w:rPr>
          <w:sz w:val="24"/>
          <w:szCs w:val="24"/>
        </w:rPr>
      </w:pPr>
      <w:r>
        <w:rPr>
          <w:sz w:val="24"/>
          <w:szCs w:val="24"/>
        </w:rPr>
        <w:lastRenderedPageBreak/>
        <w:t>Need to ensure that MREL is sufficient even if the resolution plan envisages that certain classes of liabilities are excluded from contributing to loss absorption or re-capitalisation by the BoE in order to ensure a successful resolution</w:t>
      </w:r>
      <w:r w:rsidR="00CD796A">
        <w:rPr>
          <w:sz w:val="24"/>
          <w:szCs w:val="24"/>
        </w:rPr>
        <w:t>;</w:t>
      </w:r>
    </w:p>
    <w:p w:rsidR="001C328B" w:rsidRDefault="001C328B" w:rsidP="00A72AD6">
      <w:pPr>
        <w:pStyle w:val="ListParagraph"/>
        <w:numPr>
          <w:ilvl w:val="0"/>
          <w:numId w:val="15"/>
        </w:numPr>
        <w:spacing w:line="480" w:lineRule="auto"/>
        <w:jc w:val="both"/>
        <w:rPr>
          <w:sz w:val="24"/>
          <w:szCs w:val="24"/>
        </w:rPr>
      </w:pPr>
      <w:r>
        <w:rPr>
          <w:sz w:val="24"/>
          <w:szCs w:val="24"/>
        </w:rPr>
        <w:t>The BoE must take account of the extent to which the Deposit Guarantee Scheme could contribute to the financing of the RFBs resolution</w:t>
      </w:r>
      <w:r w:rsidR="00CD796A">
        <w:rPr>
          <w:sz w:val="24"/>
          <w:szCs w:val="24"/>
        </w:rPr>
        <w:t>;</w:t>
      </w:r>
    </w:p>
    <w:p w:rsidR="001C328B" w:rsidRDefault="001C328B" w:rsidP="00A72AD6">
      <w:pPr>
        <w:pStyle w:val="ListParagraph"/>
        <w:numPr>
          <w:ilvl w:val="0"/>
          <w:numId w:val="15"/>
        </w:numPr>
        <w:spacing w:line="480" w:lineRule="auto"/>
        <w:jc w:val="both"/>
        <w:rPr>
          <w:sz w:val="24"/>
          <w:szCs w:val="24"/>
        </w:rPr>
      </w:pPr>
      <w:r>
        <w:rPr>
          <w:sz w:val="24"/>
          <w:szCs w:val="24"/>
        </w:rPr>
        <w:t>The BoE must take account of the size, business model, funding model, and risk profile of the RFB (most likely to be based on the SREP score of 1 – 4)</w:t>
      </w:r>
      <w:r w:rsidR="00CD796A">
        <w:rPr>
          <w:sz w:val="24"/>
          <w:szCs w:val="24"/>
        </w:rPr>
        <w:t>;</w:t>
      </w:r>
    </w:p>
    <w:p w:rsidR="001C328B" w:rsidRDefault="001C328B" w:rsidP="00A72AD6">
      <w:pPr>
        <w:pStyle w:val="ListParagraph"/>
        <w:numPr>
          <w:ilvl w:val="0"/>
          <w:numId w:val="15"/>
        </w:numPr>
        <w:spacing w:line="480" w:lineRule="auto"/>
        <w:jc w:val="both"/>
        <w:rPr>
          <w:sz w:val="24"/>
          <w:szCs w:val="24"/>
        </w:rPr>
      </w:pPr>
      <w:r>
        <w:rPr>
          <w:sz w:val="24"/>
          <w:szCs w:val="24"/>
        </w:rPr>
        <w:t>The BoE to take account of the potential adverse effects on financial stability of the failure of the RFB.</w:t>
      </w:r>
    </w:p>
    <w:p w:rsidR="001C328B" w:rsidRDefault="001C328B" w:rsidP="00A72AD6">
      <w:pPr>
        <w:pStyle w:val="ListParagraph"/>
        <w:spacing w:line="480" w:lineRule="auto"/>
        <w:jc w:val="both"/>
        <w:rPr>
          <w:sz w:val="24"/>
          <w:szCs w:val="24"/>
        </w:rPr>
      </w:pPr>
    </w:p>
    <w:p w:rsidR="001C328B" w:rsidRDefault="001C328B" w:rsidP="00A72AD6">
      <w:pPr>
        <w:pStyle w:val="ListParagraph"/>
        <w:spacing w:line="480" w:lineRule="auto"/>
        <w:ind w:left="0"/>
        <w:jc w:val="both"/>
        <w:rPr>
          <w:sz w:val="24"/>
          <w:szCs w:val="24"/>
        </w:rPr>
      </w:pPr>
      <w:r>
        <w:rPr>
          <w:sz w:val="24"/>
          <w:szCs w:val="24"/>
        </w:rPr>
        <w:t>The figure for 1 above is calculated by translating the RFBs overall requirement [£x] into the equivalent percentage of total liabilities and own funds [£x]. If the RFBs overall capital requirement (Pillar 1, Pillar 2, and buffers) was 10.5% and the RFBs total RWAs were equal to 35% of total and own funds, the RFBs MREL loss absorption component would be 3.675% of total liabilities and own funds:</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spacing w:line="480" w:lineRule="auto"/>
        <w:ind w:left="0"/>
        <w:jc w:val="both"/>
        <w:rPr>
          <w:sz w:val="24"/>
          <w:szCs w:val="24"/>
        </w:rPr>
      </w:pPr>
      <w:r>
        <w:rPr>
          <w:sz w:val="24"/>
          <w:szCs w:val="24"/>
        </w:rPr>
        <w:tab/>
        <w:t>Total liabilities and own funds = 1,000</w:t>
      </w:r>
    </w:p>
    <w:p w:rsidR="001C328B" w:rsidRDefault="001C328B" w:rsidP="00A72AD6">
      <w:pPr>
        <w:pStyle w:val="ListParagraph"/>
        <w:spacing w:line="480" w:lineRule="auto"/>
        <w:ind w:left="0"/>
        <w:jc w:val="both"/>
        <w:rPr>
          <w:sz w:val="24"/>
          <w:szCs w:val="24"/>
        </w:rPr>
      </w:pPr>
      <w:r>
        <w:rPr>
          <w:sz w:val="24"/>
          <w:szCs w:val="24"/>
        </w:rPr>
        <w:tab/>
        <w:t>RWAs (1,000 *35%) = 350</w:t>
      </w:r>
    </w:p>
    <w:p w:rsidR="001C328B" w:rsidRDefault="001C328B" w:rsidP="00A72AD6">
      <w:pPr>
        <w:pStyle w:val="ListParagraph"/>
        <w:spacing w:line="480" w:lineRule="auto"/>
        <w:ind w:left="0"/>
        <w:jc w:val="both"/>
        <w:rPr>
          <w:sz w:val="24"/>
          <w:szCs w:val="24"/>
        </w:rPr>
      </w:pPr>
      <w:r>
        <w:rPr>
          <w:sz w:val="24"/>
          <w:szCs w:val="24"/>
        </w:rPr>
        <w:tab/>
        <w:t>Capital would be RWAs *overall capital requirement (350*10.5%) = 36.75</w:t>
      </w:r>
    </w:p>
    <w:p w:rsidR="001C328B" w:rsidRDefault="001C328B" w:rsidP="00A72AD6">
      <w:pPr>
        <w:pStyle w:val="ListParagraph"/>
        <w:spacing w:line="480" w:lineRule="auto"/>
        <w:ind w:left="0"/>
        <w:jc w:val="both"/>
        <w:rPr>
          <w:sz w:val="24"/>
          <w:szCs w:val="24"/>
        </w:rPr>
      </w:pPr>
      <w:r>
        <w:rPr>
          <w:sz w:val="24"/>
          <w:szCs w:val="24"/>
        </w:rPr>
        <w:tab/>
        <w:t xml:space="preserve">MREL loss absorption – 36.75 *10% = 3.675%         </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spacing w:line="480" w:lineRule="auto"/>
        <w:ind w:left="0"/>
        <w:jc w:val="both"/>
        <w:rPr>
          <w:sz w:val="24"/>
          <w:szCs w:val="24"/>
        </w:rPr>
      </w:pPr>
      <w:r>
        <w:rPr>
          <w:sz w:val="24"/>
          <w:szCs w:val="24"/>
        </w:rPr>
        <w:t>Having established the MREL loss absorption amount, the BoE then have the flexibility to use the other five criteria to adjust this amount:</w:t>
      </w:r>
    </w:p>
    <w:p w:rsidR="001C328B" w:rsidRDefault="001C328B" w:rsidP="00A72AD6">
      <w:pPr>
        <w:pStyle w:val="ListParagraph"/>
        <w:spacing w:line="480" w:lineRule="auto"/>
        <w:ind w:left="0"/>
        <w:jc w:val="both"/>
        <w:rPr>
          <w:sz w:val="24"/>
          <w:szCs w:val="24"/>
        </w:rPr>
      </w:pPr>
    </w:p>
    <w:p w:rsidR="001C328B" w:rsidRDefault="001C328B" w:rsidP="00A72AD6">
      <w:pPr>
        <w:pStyle w:val="ListParagraph"/>
        <w:numPr>
          <w:ilvl w:val="0"/>
          <w:numId w:val="16"/>
        </w:numPr>
        <w:spacing w:line="480" w:lineRule="auto"/>
        <w:jc w:val="both"/>
        <w:rPr>
          <w:sz w:val="24"/>
          <w:szCs w:val="24"/>
        </w:rPr>
      </w:pPr>
      <w:r>
        <w:rPr>
          <w:sz w:val="24"/>
          <w:szCs w:val="24"/>
        </w:rPr>
        <w:lastRenderedPageBreak/>
        <w:t>For 2 the EBA consultation notes that where the resolvability assessment determines that it is feasible and credible to liquidate the bank the recapitalisation amount will be zero (a full bail-in approach based on the above would add another 3.7% of total liabilities and own funds);</w:t>
      </w:r>
    </w:p>
    <w:p w:rsidR="001C328B" w:rsidRDefault="001C328B" w:rsidP="00A72AD6">
      <w:pPr>
        <w:pStyle w:val="ListParagraph"/>
        <w:numPr>
          <w:ilvl w:val="0"/>
          <w:numId w:val="16"/>
        </w:numPr>
        <w:spacing w:line="480" w:lineRule="auto"/>
        <w:jc w:val="both"/>
        <w:rPr>
          <w:sz w:val="24"/>
          <w:szCs w:val="24"/>
        </w:rPr>
      </w:pPr>
      <w:r>
        <w:rPr>
          <w:sz w:val="24"/>
          <w:szCs w:val="24"/>
        </w:rPr>
        <w:t>For 3, some liabilities are not eligible for inclusion</w:t>
      </w:r>
      <w:r>
        <w:rPr>
          <w:rStyle w:val="FootnoteReference"/>
          <w:sz w:val="24"/>
          <w:szCs w:val="24"/>
        </w:rPr>
        <w:footnoteReference w:id="295"/>
      </w:r>
      <w:r>
        <w:rPr>
          <w:sz w:val="24"/>
          <w:szCs w:val="24"/>
        </w:rPr>
        <w:t>, and the BoE also has the power to exclude in some cases</w:t>
      </w:r>
      <w:r>
        <w:rPr>
          <w:rStyle w:val="FootnoteReference"/>
          <w:sz w:val="24"/>
          <w:szCs w:val="24"/>
        </w:rPr>
        <w:footnoteReference w:id="296"/>
      </w:r>
      <w:r>
        <w:rPr>
          <w:sz w:val="24"/>
          <w:szCs w:val="24"/>
        </w:rPr>
        <w:t>;</w:t>
      </w:r>
    </w:p>
    <w:p w:rsidR="001C328B" w:rsidRDefault="001C328B" w:rsidP="00A72AD6">
      <w:pPr>
        <w:pStyle w:val="ListParagraph"/>
        <w:numPr>
          <w:ilvl w:val="0"/>
          <w:numId w:val="16"/>
        </w:numPr>
        <w:spacing w:line="480" w:lineRule="auto"/>
        <w:jc w:val="both"/>
        <w:rPr>
          <w:sz w:val="24"/>
          <w:szCs w:val="24"/>
        </w:rPr>
      </w:pPr>
      <w:r>
        <w:rPr>
          <w:sz w:val="24"/>
          <w:szCs w:val="24"/>
        </w:rPr>
        <w:t>For 4, subject to limits, the Deposit Guarantee funds (FSCS) can be used in resolution</w:t>
      </w:r>
      <w:r w:rsidR="00493A99">
        <w:rPr>
          <w:rStyle w:val="FootnoteReference"/>
          <w:sz w:val="24"/>
          <w:szCs w:val="24"/>
        </w:rPr>
        <w:footnoteReference w:id="297"/>
      </w:r>
      <w:r>
        <w:rPr>
          <w:sz w:val="24"/>
          <w:szCs w:val="24"/>
        </w:rPr>
        <w:t xml:space="preserve"> and can lead to a reduction in MREL;</w:t>
      </w:r>
    </w:p>
    <w:p w:rsidR="001C328B" w:rsidRDefault="001C328B" w:rsidP="00A72AD6">
      <w:pPr>
        <w:pStyle w:val="ListParagraph"/>
        <w:numPr>
          <w:ilvl w:val="0"/>
          <w:numId w:val="16"/>
        </w:numPr>
        <w:spacing w:line="480" w:lineRule="auto"/>
        <w:jc w:val="both"/>
        <w:rPr>
          <w:sz w:val="24"/>
          <w:szCs w:val="24"/>
        </w:rPr>
      </w:pPr>
      <w:r>
        <w:rPr>
          <w:sz w:val="24"/>
          <w:szCs w:val="24"/>
        </w:rPr>
        <w:t>For 5, the BoE (the Resolution Authority) and the PRA (the Competent Authority) should be aligned;</w:t>
      </w:r>
    </w:p>
    <w:p w:rsidR="00CB27A4" w:rsidRDefault="001C328B" w:rsidP="00CD796A">
      <w:pPr>
        <w:pStyle w:val="ListParagraph"/>
        <w:numPr>
          <w:ilvl w:val="0"/>
          <w:numId w:val="16"/>
        </w:numPr>
        <w:spacing w:line="480" w:lineRule="auto"/>
        <w:jc w:val="both"/>
        <w:rPr>
          <w:sz w:val="24"/>
          <w:szCs w:val="24"/>
        </w:rPr>
      </w:pPr>
      <w:r>
        <w:rPr>
          <w:sz w:val="24"/>
          <w:szCs w:val="24"/>
        </w:rPr>
        <w:t>For 6, the nature of the RFB and its impact on the economy should be taken into account.</w:t>
      </w:r>
    </w:p>
    <w:p w:rsidR="00CD796A" w:rsidRDefault="00CD796A" w:rsidP="00CD796A">
      <w:pPr>
        <w:spacing w:line="480" w:lineRule="auto"/>
        <w:jc w:val="both"/>
        <w:rPr>
          <w:sz w:val="24"/>
          <w:szCs w:val="24"/>
        </w:rPr>
      </w:pPr>
    </w:p>
    <w:p w:rsidR="00CD796A" w:rsidRPr="00CD796A" w:rsidRDefault="00CD796A" w:rsidP="00CD796A">
      <w:pPr>
        <w:spacing w:line="480" w:lineRule="auto"/>
        <w:jc w:val="both"/>
        <w:rPr>
          <w:sz w:val="24"/>
          <w:szCs w:val="24"/>
        </w:rPr>
      </w:pPr>
      <w:r>
        <w:rPr>
          <w:sz w:val="24"/>
          <w:szCs w:val="24"/>
        </w:rPr>
        <w:t>A final consultation paper on MREL fr</w:t>
      </w:r>
      <w:r w:rsidR="00AF72EF">
        <w:rPr>
          <w:sz w:val="24"/>
          <w:szCs w:val="24"/>
        </w:rPr>
        <w:t>o</w:t>
      </w:r>
      <w:r>
        <w:rPr>
          <w:sz w:val="24"/>
          <w:szCs w:val="24"/>
        </w:rPr>
        <w:t>m the BoE is awaited at the time of writing.</w:t>
      </w:r>
    </w:p>
    <w:p w:rsidR="00CD796A" w:rsidRPr="00CD796A" w:rsidRDefault="00CD796A" w:rsidP="00CD796A"/>
    <w:p w:rsidR="00CD796A" w:rsidRPr="00CD796A" w:rsidRDefault="00CD796A" w:rsidP="00CD796A"/>
    <w:p w:rsidR="001C1C43" w:rsidRDefault="00CB27A4" w:rsidP="00B02220">
      <w:pPr>
        <w:pStyle w:val="Heading1"/>
        <w:jc w:val="left"/>
      </w:pPr>
      <w:r>
        <w:br w:type="page"/>
      </w:r>
      <w:bookmarkStart w:id="25" w:name="_Toc428779496"/>
      <w:r w:rsidR="001C1C43">
        <w:lastRenderedPageBreak/>
        <w:t>Bibliography</w:t>
      </w:r>
      <w:bookmarkEnd w:id="20"/>
      <w:bookmarkEnd w:id="25"/>
    </w:p>
    <w:p w:rsidR="00CF42AD" w:rsidRPr="00DB65AB" w:rsidRDefault="00CF42AD" w:rsidP="00CF42AD">
      <w:pPr>
        <w:jc w:val="both"/>
        <w:rPr>
          <w:sz w:val="24"/>
          <w:szCs w:val="24"/>
        </w:rPr>
      </w:pPr>
      <w:r w:rsidRPr="00DB65AB">
        <w:rPr>
          <w:b/>
          <w:sz w:val="24"/>
          <w:szCs w:val="24"/>
        </w:rPr>
        <w:t>Ashby, S., Palermo, T., and Power, M</w:t>
      </w:r>
      <w:r w:rsidRPr="00DB65AB">
        <w:rPr>
          <w:sz w:val="24"/>
          <w:szCs w:val="24"/>
        </w:rPr>
        <w:t xml:space="preserve">. (2012), Risk culture in financial organisations: An interim report, November 2012, available at </w:t>
      </w:r>
      <w:hyperlink r:id="rId8" w:history="1">
        <w:r w:rsidRPr="00DB65AB">
          <w:rPr>
            <w:rStyle w:val="Hyperlink"/>
            <w:sz w:val="24"/>
            <w:szCs w:val="24"/>
          </w:rPr>
          <w:t>http://www2.lse.ac.uk/researchAndExpertise/units/CARR/pdf/Risk-culture-interim-report.pdf</w:t>
        </w:r>
      </w:hyperlink>
      <w:r w:rsidRPr="00DB65AB">
        <w:rPr>
          <w:sz w:val="24"/>
          <w:szCs w:val="24"/>
        </w:rPr>
        <w:t xml:space="preserve">. (last accessed on </w:t>
      </w:r>
      <w:r w:rsidR="005F5C3D">
        <w:rPr>
          <w:sz w:val="24"/>
          <w:szCs w:val="24"/>
        </w:rPr>
        <w:t>2</w:t>
      </w:r>
      <w:r w:rsidRPr="00DB65AB">
        <w:rPr>
          <w:sz w:val="24"/>
          <w:szCs w:val="24"/>
        </w:rPr>
        <w:t>4</w:t>
      </w:r>
      <w:r w:rsidRPr="00DB65AB">
        <w:rPr>
          <w:sz w:val="24"/>
          <w:szCs w:val="24"/>
          <w:vertAlign w:val="superscript"/>
        </w:rPr>
        <w:t>th</w:t>
      </w:r>
      <w:r w:rsidR="005F5C3D">
        <w:rPr>
          <w:sz w:val="24"/>
          <w:szCs w:val="24"/>
        </w:rPr>
        <w:t>June</w:t>
      </w:r>
      <w:r w:rsidRPr="00DB65AB">
        <w:rPr>
          <w:sz w:val="24"/>
          <w:szCs w:val="24"/>
        </w:rPr>
        <w:t xml:space="preserve"> 201</w:t>
      </w:r>
      <w:r w:rsidR="005F5C3D">
        <w:rPr>
          <w:sz w:val="24"/>
          <w:szCs w:val="24"/>
        </w:rPr>
        <w:t>5</w:t>
      </w:r>
      <w:r w:rsidRPr="00DB65AB">
        <w:rPr>
          <w:sz w:val="24"/>
          <w:szCs w:val="24"/>
        </w:rPr>
        <w:t>).</w:t>
      </w:r>
    </w:p>
    <w:p w:rsidR="00CF42AD" w:rsidRPr="00DB65AB" w:rsidRDefault="00CF42AD" w:rsidP="00CF42AD">
      <w:pPr>
        <w:pStyle w:val="NormalWeb"/>
        <w:spacing w:before="240" w:after="0"/>
        <w:jc w:val="both"/>
        <w:rPr>
          <w:rFonts w:ascii="Times New Roman" w:cs="Times New Roman"/>
        </w:rPr>
      </w:pPr>
      <w:r w:rsidRPr="00DB65AB">
        <w:rPr>
          <w:rStyle w:val="Strong"/>
          <w:rFonts w:ascii="Times New Roman" w:cs="Times New Roman"/>
        </w:rPr>
        <w:t>Bailey, A., Breeden, S., and Stevens, G.</w:t>
      </w:r>
      <w:r w:rsidRPr="00DB65AB">
        <w:rPr>
          <w:rFonts w:ascii="Times New Roman" w:cs="Times New Roman"/>
        </w:rPr>
        <w:t xml:space="preserve"> (2012), The Prudential Regulation Authority, Bank of England Quarterly Bulletin, Q4, available at </w:t>
      </w:r>
      <w:hyperlink r:id="rId9" w:tgtFrame="_parent" w:history="1">
        <w:r w:rsidRPr="00DB65AB">
          <w:rPr>
            <w:rStyle w:val="Hyperlink"/>
            <w:rFonts w:ascii="Times New Roman" w:cs="Times New Roman"/>
          </w:rPr>
          <w:t>http://www.bankofengland.co.uk/publications/Documents/quarterlybulletin/qb120405.pdf</w:t>
        </w:r>
      </w:hyperlink>
      <w:r w:rsidRPr="00DB65AB">
        <w:rPr>
          <w:rFonts w:ascii="Times New Roman" w:cs="Times New Roman"/>
        </w:rPr>
        <w:t> (last accessed 18th March 2015).</w:t>
      </w:r>
    </w:p>
    <w:p w:rsidR="00CF42AD" w:rsidRDefault="00CF42AD" w:rsidP="00CF42AD">
      <w:pPr>
        <w:jc w:val="both"/>
        <w:rPr>
          <w:b/>
          <w:bCs/>
          <w:sz w:val="24"/>
          <w:szCs w:val="24"/>
        </w:rPr>
      </w:pPr>
    </w:p>
    <w:p w:rsidR="00797AB5" w:rsidRPr="00797AB5" w:rsidRDefault="00797AB5" w:rsidP="00CF42AD">
      <w:pPr>
        <w:jc w:val="both"/>
        <w:rPr>
          <w:bCs/>
          <w:sz w:val="24"/>
          <w:szCs w:val="24"/>
        </w:rPr>
      </w:pPr>
      <w:r>
        <w:rPr>
          <w:b/>
          <w:bCs/>
          <w:sz w:val="24"/>
          <w:szCs w:val="24"/>
        </w:rPr>
        <w:t xml:space="preserve">Bank of England </w:t>
      </w:r>
      <w:r>
        <w:rPr>
          <w:bCs/>
          <w:sz w:val="24"/>
          <w:szCs w:val="24"/>
        </w:rPr>
        <w:t xml:space="preserve">(2013), A framework for stress testing the UK banking system: A Discussion Paper, October 2013, available at </w:t>
      </w:r>
      <w:hyperlink r:id="rId10" w:history="1">
        <w:r w:rsidR="0051456D" w:rsidRPr="00913F37">
          <w:rPr>
            <w:rStyle w:val="Hyperlink"/>
            <w:bCs/>
            <w:sz w:val="24"/>
            <w:szCs w:val="24"/>
          </w:rPr>
          <w:t>http://www.bankofengland.co.uk/financialstability/fsc/Documents/discussionpaper1013.pdf</w:t>
        </w:r>
      </w:hyperlink>
      <w:r>
        <w:rPr>
          <w:bCs/>
          <w:sz w:val="24"/>
          <w:szCs w:val="24"/>
        </w:rPr>
        <w:t xml:space="preserve"> (last accessed on </w:t>
      </w:r>
      <w:r w:rsidR="0051456D">
        <w:rPr>
          <w:bCs/>
          <w:sz w:val="24"/>
          <w:szCs w:val="24"/>
        </w:rPr>
        <w:t>29th</w:t>
      </w:r>
      <w:r>
        <w:rPr>
          <w:bCs/>
          <w:sz w:val="24"/>
          <w:szCs w:val="24"/>
        </w:rPr>
        <w:t xml:space="preserve"> August 2015).</w:t>
      </w:r>
    </w:p>
    <w:p w:rsidR="00797AB5" w:rsidRDefault="00797AB5" w:rsidP="00CF42AD">
      <w:pPr>
        <w:jc w:val="both"/>
        <w:rPr>
          <w:b/>
          <w:bCs/>
          <w:sz w:val="24"/>
          <w:szCs w:val="24"/>
        </w:rPr>
      </w:pPr>
    </w:p>
    <w:p w:rsidR="00797AB5" w:rsidRPr="00797AB5" w:rsidRDefault="00797AB5" w:rsidP="00CF42AD">
      <w:pPr>
        <w:jc w:val="both"/>
        <w:rPr>
          <w:bCs/>
          <w:sz w:val="24"/>
          <w:szCs w:val="24"/>
        </w:rPr>
      </w:pPr>
      <w:r>
        <w:rPr>
          <w:b/>
          <w:bCs/>
          <w:sz w:val="24"/>
          <w:szCs w:val="24"/>
        </w:rPr>
        <w:t xml:space="preserve">Bank of England </w:t>
      </w:r>
      <w:r w:rsidRPr="00797AB5">
        <w:rPr>
          <w:bCs/>
          <w:sz w:val="24"/>
          <w:szCs w:val="24"/>
        </w:rPr>
        <w:t>(</w:t>
      </w:r>
      <w:r>
        <w:rPr>
          <w:bCs/>
          <w:sz w:val="24"/>
          <w:szCs w:val="24"/>
        </w:rPr>
        <w:t xml:space="preserve">2014), Stress testing the UK banking system: key elements of the 2014 stress test, available at </w:t>
      </w:r>
      <w:hyperlink r:id="rId11" w:history="1">
        <w:r w:rsidR="0051456D" w:rsidRPr="00913F37">
          <w:rPr>
            <w:rStyle w:val="Hyperlink"/>
            <w:bCs/>
            <w:sz w:val="24"/>
            <w:szCs w:val="24"/>
          </w:rPr>
          <w:t>http://www.bankofengland.co.uk/financialstability/Documents/fpc/keyelements.pdf</w:t>
        </w:r>
      </w:hyperlink>
      <w:r w:rsidR="0051456D">
        <w:rPr>
          <w:bCs/>
          <w:sz w:val="24"/>
          <w:szCs w:val="24"/>
        </w:rPr>
        <w:t xml:space="preserve"> (</w:t>
      </w:r>
      <w:r>
        <w:rPr>
          <w:bCs/>
          <w:sz w:val="24"/>
          <w:szCs w:val="24"/>
        </w:rPr>
        <w:t xml:space="preserve">last accessed on </w:t>
      </w:r>
      <w:r w:rsidR="0051456D">
        <w:rPr>
          <w:bCs/>
          <w:sz w:val="24"/>
          <w:szCs w:val="24"/>
        </w:rPr>
        <w:t>29th</w:t>
      </w:r>
      <w:r>
        <w:rPr>
          <w:bCs/>
          <w:sz w:val="24"/>
          <w:szCs w:val="24"/>
        </w:rPr>
        <w:t xml:space="preserve"> August 2015).</w:t>
      </w:r>
    </w:p>
    <w:p w:rsidR="00797AB5" w:rsidRDefault="00797AB5" w:rsidP="00CF42AD">
      <w:pPr>
        <w:jc w:val="both"/>
        <w:rPr>
          <w:b/>
          <w:bCs/>
          <w:sz w:val="24"/>
          <w:szCs w:val="24"/>
        </w:rPr>
      </w:pPr>
    </w:p>
    <w:p w:rsidR="009C2079" w:rsidRDefault="009C2079" w:rsidP="00CF42AD">
      <w:pPr>
        <w:jc w:val="both"/>
        <w:rPr>
          <w:b/>
          <w:bCs/>
          <w:sz w:val="24"/>
          <w:szCs w:val="24"/>
        </w:rPr>
      </w:pPr>
      <w:r>
        <w:rPr>
          <w:b/>
          <w:bCs/>
          <w:sz w:val="24"/>
          <w:szCs w:val="24"/>
        </w:rPr>
        <w:t xml:space="preserve">Bank of England </w:t>
      </w:r>
      <w:r w:rsidRPr="009C2079">
        <w:rPr>
          <w:bCs/>
          <w:sz w:val="24"/>
          <w:szCs w:val="24"/>
        </w:rPr>
        <w:t>(2014)</w:t>
      </w:r>
      <w:r>
        <w:rPr>
          <w:bCs/>
          <w:sz w:val="24"/>
          <w:szCs w:val="24"/>
        </w:rPr>
        <w:t xml:space="preserve">, Financial Stability Report, Issue No 35, June 2014, available at </w:t>
      </w:r>
      <w:hyperlink r:id="rId12" w:history="1">
        <w:r w:rsidR="0051456D" w:rsidRPr="00913F37">
          <w:rPr>
            <w:rStyle w:val="Hyperlink"/>
            <w:bCs/>
            <w:sz w:val="24"/>
            <w:szCs w:val="24"/>
          </w:rPr>
          <w:t>http://www.bankofengland.co.uk/publications/Documents/fsr/2014/fsrfull1406.pdf</w:t>
        </w:r>
      </w:hyperlink>
      <w:r>
        <w:rPr>
          <w:bCs/>
          <w:sz w:val="24"/>
          <w:szCs w:val="24"/>
        </w:rPr>
        <w:t>(last accessed on 2</w:t>
      </w:r>
      <w:r w:rsidR="0051456D">
        <w:rPr>
          <w:bCs/>
          <w:sz w:val="24"/>
          <w:szCs w:val="24"/>
        </w:rPr>
        <w:t>9</w:t>
      </w:r>
      <w:r>
        <w:rPr>
          <w:bCs/>
          <w:sz w:val="24"/>
          <w:szCs w:val="24"/>
        </w:rPr>
        <w:t>th August 2015).</w:t>
      </w:r>
    </w:p>
    <w:p w:rsidR="009C2079" w:rsidRDefault="009C2079" w:rsidP="00CF42AD">
      <w:pPr>
        <w:jc w:val="both"/>
        <w:rPr>
          <w:b/>
          <w:bCs/>
          <w:sz w:val="24"/>
          <w:szCs w:val="24"/>
        </w:rPr>
      </w:pPr>
    </w:p>
    <w:p w:rsidR="00CF42AD" w:rsidRDefault="00CF42AD" w:rsidP="00CF42AD">
      <w:pPr>
        <w:jc w:val="both"/>
        <w:rPr>
          <w:b/>
          <w:bCs/>
          <w:sz w:val="24"/>
          <w:szCs w:val="24"/>
        </w:rPr>
      </w:pPr>
      <w:r>
        <w:rPr>
          <w:b/>
          <w:bCs/>
          <w:sz w:val="24"/>
          <w:szCs w:val="24"/>
        </w:rPr>
        <w:t>Bankin</w:t>
      </w:r>
      <w:r w:rsidRPr="00DB65AB">
        <w:rPr>
          <w:b/>
          <w:bCs/>
          <w:sz w:val="24"/>
          <w:szCs w:val="24"/>
        </w:rPr>
        <w:t xml:space="preserve">g Standards Board </w:t>
      </w:r>
      <w:r w:rsidRPr="00DB65AB">
        <w:rPr>
          <w:bCs/>
          <w:sz w:val="24"/>
          <w:szCs w:val="24"/>
        </w:rPr>
        <w:t xml:space="preserve">(2014), Banking Standards Review, May 2014, available at </w:t>
      </w:r>
      <w:hyperlink r:id="rId13" w:history="1">
        <w:r w:rsidRPr="00DB65AB">
          <w:rPr>
            <w:rStyle w:val="Hyperlink"/>
            <w:bCs/>
            <w:sz w:val="24"/>
            <w:szCs w:val="24"/>
          </w:rPr>
          <w:t>http://www.bankingstandardsboard.org.uk/assets/docs/may2014report.pdf</w:t>
        </w:r>
      </w:hyperlink>
      <w:r w:rsidRPr="00DB65AB">
        <w:rPr>
          <w:bCs/>
          <w:sz w:val="24"/>
          <w:szCs w:val="24"/>
        </w:rPr>
        <w:t xml:space="preserve"> (last accessed 17th May 2015).</w:t>
      </w:r>
    </w:p>
    <w:p w:rsidR="00E56015" w:rsidRPr="00E56015" w:rsidRDefault="00E56015" w:rsidP="00602AA3">
      <w:pPr>
        <w:pStyle w:val="FootnoteText"/>
        <w:jc w:val="both"/>
        <w:rPr>
          <w:sz w:val="24"/>
          <w:szCs w:val="24"/>
        </w:rPr>
      </w:pPr>
      <w:r w:rsidRPr="00E56015">
        <w:rPr>
          <w:b/>
          <w:sz w:val="24"/>
          <w:szCs w:val="24"/>
        </w:rPr>
        <w:t>Basel Committee on Banking Supervision</w:t>
      </w:r>
      <w:r w:rsidRPr="00E56015">
        <w:rPr>
          <w:sz w:val="24"/>
          <w:szCs w:val="24"/>
        </w:rPr>
        <w:t xml:space="preserve"> (1996), Amendment to the Capital Accord to incorporate market risks, January 1996, available at </w:t>
      </w:r>
      <w:hyperlink r:id="rId14" w:history="1">
        <w:r w:rsidRPr="00E56015">
          <w:rPr>
            <w:rStyle w:val="Hyperlink"/>
            <w:sz w:val="24"/>
            <w:szCs w:val="24"/>
          </w:rPr>
          <w:t>http://www.bis.org/publ/bcbs24.pdf</w:t>
        </w:r>
      </w:hyperlink>
      <w:r w:rsidRPr="00E56015">
        <w:rPr>
          <w:sz w:val="24"/>
          <w:szCs w:val="24"/>
        </w:rPr>
        <w:t xml:space="preserve"> (last accessed 25th July 2015) – update in November 2005. </w:t>
      </w:r>
    </w:p>
    <w:p w:rsidR="00602AA3" w:rsidRPr="00602AA3" w:rsidRDefault="00602AA3" w:rsidP="00602AA3">
      <w:pPr>
        <w:pStyle w:val="FootnoteText"/>
        <w:jc w:val="both"/>
        <w:rPr>
          <w:sz w:val="24"/>
          <w:szCs w:val="24"/>
        </w:rPr>
      </w:pPr>
      <w:r w:rsidRPr="00602AA3">
        <w:rPr>
          <w:b/>
          <w:bCs/>
          <w:sz w:val="24"/>
          <w:szCs w:val="24"/>
        </w:rPr>
        <w:t>Basel Committee on Banking Supervision</w:t>
      </w:r>
      <w:r w:rsidRPr="00602AA3">
        <w:rPr>
          <w:sz w:val="24"/>
          <w:szCs w:val="24"/>
        </w:rPr>
        <w:t xml:space="preserve"> (1998)</w:t>
      </w:r>
      <w:r w:rsidR="00680F3B">
        <w:rPr>
          <w:sz w:val="24"/>
          <w:szCs w:val="24"/>
        </w:rPr>
        <w:t>,</w:t>
      </w:r>
      <w:r w:rsidRPr="00602AA3">
        <w:rPr>
          <w:sz w:val="24"/>
          <w:szCs w:val="24"/>
        </w:rPr>
        <w:t xml:space="preserve"> Framework for Internal Control Systems in Banking Organisations, September 1998, available at </w:t>
      </w:r>
      <w:hyperlink r:id="rId15" w:history="1">
        <w:r w:rsidRPr="00602AA3">
          <w:rPr>
            <w:rStyle w:val="Hyperlink"/>
            <w:sz w:val="24"/>
            <w:szCs w:val="24"/>
          </w:rPr>
          <w:t>http://www.bis.org/publ/bcbs40.pdf</w:t>
        </w:r>
      </w:hyperlink>
      <w:r w:rsidRPr="00602AA3">
        <w:rPr>
          <w:sz w:val="24"/>
          <w:szCs w:val="24"/>
        </w:rPr>
        <w:t xml:space="preserve">. (last accessed on </w:t>
      </w:r>
      <w:r>
        <w:rPr>
          <w:sz w:val="24"/>
          <w:szCs w:val="24"/>
        </w:rPr>
        <w:t>2</w:t>
      </w:r>
      <w:r w:rsidRPr="00602AA3">
        <w:rPr>
          <w:sz w:val="24"/>
          <w:szCs w:val="24"/>
        </w:rPr>
        <w:t>4</w:t>
      </w:r>
      <w:r w:rsidRPr="00602AA3">
        <w:rPr>
          <w:sz w:val="24"/>
          <w:szCs w:val="24"/>
          <w:vertAlign w:val="superscript"/>
        </w:rPr>
        <w:t>th</w:t>
      </w:r>
      <w:r>
        <w:rPr>
          <w:sz w:val="24"/>
          <w:szCs w:val="24"/>
        </w:rPr>
        <w:t>June</w:t>
      </w:r>
      <w:r w:rsidRPr="00602AA3">
        <w:rPr>
          <w:sz w:val="24"/>
          <w:szCs w:val="24"/>
        </w:rPr>
        <w:t xml:space="preserve"> 201</w:t>
      </w:r>
      <w:r>
        <w:rPr>
          <w:sz w:val="24"/>
          <w:szCs w:val="24"/>
        </w:rPr>
        <w:t>5</w:t>
      </w:r>
      <w:r w:rsidRPr="00602AA3">
        <w:rPr>
          <w:sz w:val="24"/>
          <w:szCs w:val="24"/>
        </w:rPr>
        <w:t>).</w:t>
      </w:r>
    </w:p>
    <w:p w:rsidR="00602AA3" w:rsidRPr="00602AA3" w:rsidRDefault="00602AA3" w:rsidP="00602AA3">
      <w:pPr>
        <w:jc w:val="both"/>
        <w:rPr>
          <w:sz w:val="24"/>
          <w:szCs w:val="24"/>
        </w:rPr>
      </w:pPr>
    </w:p>
    <w:p w:rsidR="00602AA3" w:rsidRPr="00602AA3" w:rsidRDefault="00602AA3" w:rsidP="00602AA3">
      <w:pPr>
        <w:jc w:val="both"/>
        <w:rPr>
          <w:sz w:val="24"/>
          <w:szCs w:val="24"/>
        </w:rPr>
      </w:pPr>
      <w:r w:rsidRPr="00602AA3">
        <w:rPr>
          <w:b/>
          <w:sz w:val="24"/>
          <w:szCs w:val="24"/>
        </w:rPr>
        <w:t>Basel Committee on Banking Supervision</w:t>
      </w:r>
      <w:r w:rsidRPr="00602AA3">
        <w:rPr>
          <w:sz w:val="24"/>
          <w:szCs w:val="24"/>
        </w:rPr>
        <w:t xml:space="preserve"> (1998), Operational Risk Management, September 1998, available at </w:t>
      </w:r>
      <w:hyperlink r:id="rId16" w:history="1">
        <w:r w:rsidRPr="00602AA3">
          <w:rPr>
            <w:rStyle w:val="Hyperlink"/>
            <w:sz w:val="24"/>
            <w:szCs w:val="24"/>
          </w:rPr>
          <w:t>http://www.bis.org/publ/bcbs42.pdf</w:t>
        </w:r>
      </w:hyperlink>
      <w:r w:rsidRPr="00602AA3">
        <w:rPr>
          <w:sz w:val="24"/>
          <w:szCs w:val="24"/>
        </w:rPr>
        <w:t xml:space="preserve">. (last accessed </w:t>
      </w:r>
      <w:r>
        <w:rPr>
          <w:sz w:val="24"/>
          <w:szCs w:val="24"/>
        </w:rPr>
        <w:t>2</w:t>
      </w:r>
      <w:r w:rsidRPr="00602AA3">
        <w:rPr>
          <w:sz w:val="24"/>
          <w:szCs w:val="24"/>
        </w:rPr>
        <w:t>4</w:t>
      </w:r>
      <w:r w:rsidRPr="00602AA3">
        <w:rPr>
          <w:sz w:val="24"/>
          <w:szCs w:val="24"/>
          <w:vertAlign w:val="superscript"/>
        </w:rPr>
        <w:t>th</w:t>
      </w:r>
      <w:r>
        <w:rPr>
          <w:sz w:val="24"/>
          <w:szCs w:val="24"/>
        </w:rPr>
        <w:t>June</w:t>
      </w:r>
      <w:r w:rsidRPr="00602AA3">
        <w:rPr>
          <w:sz w:val="24"/>
          <w:szCs w:val="24"/>
        </w:rPr>
        <w:t xml:space="preserve"> 201</w:t>
      </w:r>
      <w:r>
        <w:rPr>
          <w:sz w:val="24"/>
          <w:szCs w:val="24"/>
        </w:rPr>
        <w:t>5</w:t>
      </w:r>
      <w:r w:rsidRPr="00602AA3">
        <w:rPr>
          <w:sz w:val="24"/>
          <w:szCs w:val="24"/>
        </w:rPr>
        <w:t>).</w:t>
      </w:r>
    </w:p>
    <w:p w:rsidR="002B26E8" w:rsidRPr="002B26E8" w:rsidRDefault="002B26E8" w:rsidP="00680F3B">
      <w:pPr>
        <w:pStyle w:val="FootnoteText"/>
        <w:jc w:val="both"/>
        <w:rPr>
          <w:sz w:val="24"/>
          <w:szCs w:val="24"/>
        </w:rPr>
      </w:pPr>
      <w:r w:rsidRPr="002B26E8">
        <w:rPr>
          <w:b/>
          <w:sz w:val="24"/>
          <w:szCs w:val="24"/>
        </w:rPr>
        <w:t>Basel Committee on Banking Supervision</w:t>
      </w:r>
      <w:r w:rsidRPr="002B26E8">
        <w:rPr>
          <w:sz w:val="24"/>
          <w:szCs w:val="24"/>
        </w:rPr>
        <w:t xml:space="preserve"> (2002), Supervisory guidance in dealing with weak banks: Report of the task force on dealing with weak banks, March 2002, available at </w:t>
      </w:r>
      <w:hyperlink r:id="rId17" w:history="1">
        <w:r w:rsidRPr="00B17872">
          <w:rPr>
            <w:rStyle w:val="Hyperlink"/>
            <w:sz w:val="24"/>
            <w:szCs w:val="24"/>
          </w:rPr>
          <w:t>http://www.bis.org/publ/bcbs88.pdf</w:t>
        </w:r>
      </w:hyperlink>
      <w:r>
        <w:rPr>
          <w:sz w:val="24"/>
          <w:szCs w:val="24"/>
        </w:rPr>
        <w:t xml:space="preserve"> (last accessed on 25th July 2015).</w:t>
      </w:r>
    </w:p>
    <w:p w:rsidR="002B26E8" w:rsidRDefault="002B26E8" w:rsidP="00A96C64">
      <w:pPr>
        <w:jc w:val="both"/>
        <w:rPr>
          <w:b/>
          <w:bCs/>
          <w:sz w:val="24"/>
          <w:szCs w:val="24"/>
        </w:rPr>
      </w:pPr>
    </w:p>
    <w:p w:rsidR="00A96C64" w:rsidRPr="00602AA3" w:rsidRDefault="00A96C64" w:rsidP="00A96C64">
      <w:pPr>
        <w:jc w:val="both"/>
        <w:rPr>
          <w:sz w:val="24"/>
          <w:szCs w:val="24"/>
        </w:rPr>
      </w:pPr>
      <w:r w:rsidRPr="00602AA3">
        <w:rPr>
          <w:b/>
          <w:bCs/>
          <w:sz w:val="24"/>
          <w:szCs w:val="24"/>
        </w:rPr>
        <w:t xml:space="preserve">Basel Committee on Banking Supervision </w:t>
      </w:r>
      <w:r w:rsidRPr="00602AA3">
        <w:rPr>
          <w:sz w:val="24"/>
          <w:szCs w:val="24"/>
        </w:rPr>
        <w:t>(2003)</w:t>
      </w:r>
      <w:r w:rsidR="00680F3B">
        <w:rPr>
          <w:sz w:val="24"/>
          <w:szCs w:val="24"/>
        </w:rPr>
        <w:t>,</w:t>
      </w:r>
      <w:r w:rsidRPr="00602AA3">
        <w:rPr>
          <w:sz w:val="24"/>
          <w:szCs w:val="24"/>
        </w:rPr>
        <w:t xml:space="preserve"> Sound Practices for the Management and Supervision of Operational Risk, February 2003, available at </w:t>
      </w:r>
      <w:hyperlink r:id="rId18" w:history="1">
        <w:r w:rsidRPr="00602AA3">
          <w:rPr>
            <w:rStyle w:val="Hyperlink"/>
            <w:sz w:val="24"/>
            <w:szCs w:val="24"/>
          </w:rPr>
          <w:t>http://www.bis.org/publ/bcbs96.pdf</w:t>
        </w:r>
      </w:hyperlink>
      <w:r w:rsidRPr="00602AA3">
        <w:rPr>
          <w:sz w:val="24"/>
          <w:szCs w:val="24"/>
        </w:rPr>
        <w:t xml:space="preserve">. (last accessed on </w:t>
      </w:r>
      <w:r>
        <w:rPr>
          <w:sz w:val="24"/>
          <w:szCs w:val="24"/>
        </w:rPr>
        <w:t>2</w:t>
      </w:r>
      <w:r w:rsidRPr="00602AA3">
        <w:rPr>
          <w:sz w:val="24"/>
          <w:szCs w:val="24"/>
        </w:rPr>
        <w:t>4</w:t>
      </w:r>
      <w:r w:rsidRPr="00602AA3">
        <w:rPr>
          <w:sz w:val="24"/>
          <w:szCs w:val="24"/>
          <w:vertAlign w:val="superscript"/>
        </w:rPr>
        <w:t>th</w:t>
      </w:r>
      <w:r>
        <w:rPr>
          <w:sz w:val="24"/>
          <w:szCs w:val="24"/>
        </w:rPr>
        <w:t>June</w:t>
      </w:r>
      <w:r w:rsidRPr="00602AA3">
        <w:rPr>
          <w:sz w:val="24"/>
          <w:szCs w:val="24"/>
        </w:rPr>
        <w:t xml:space="preserve"> 201</w:t>
      </w:r>
      <w:r>
        <w:rPr>
          <w:sz w:val="24"/>
          <w:szCs w:val="24"/>
        </w:rPr>
        <w:t>5</w:t>
      </w:r>
      <w:r w:rsidRPr="00602AA3">
        <w:rPr>
          <w:sz w:val="24"/>
          <w:szCs w:val="24"/>
        </w:rPr>
        <w:t>).</w:t>
      </w:r>
    </w:p>
    <w:p w:rsidR="00A96C64" w:rsidRDefault="00A96C64" w:rsidP="00CF42AD">
      <w:pPr>
        <w:jc w:val="both"/>
        <w:rPr>
          <w:b/>
          <w:sz w:val="24"/>
          <w:szCs w:val="24"/>
        </w:rPr>
      </w:pPr>
    </w:p>
    <w:p w:rsidR="000C09B2" w:rsidRPr="000C09B2" w:rsidRDefault="000C09B2" w:rsidP="000C09B2">
      <w:pPr>
        <w:jc w:val="both"/>
        <w:rPr>
          <w:b/>
          <w:sz w:val="24"/>
          <w:szCs w:val="24"/>
        </w:rPr>
      </w:pPr>
      <w:r w:rsidRPr="000C09B2">
        <w:rPr>
          <w:b/>
          <w:bCs/>
          <w:sz w:val="24"/>
          <w:szCs w:val="24"/>
        </w:rPr>
        <w:lastRenderedPageBreak/>
        <w:t xml:space="preserve">Basel Committee on Banking Supervision </w:t>
      </w:r>
      <w:r w:rsidRPr="000C09B2">
        <w:rPr>
          <w:bCs/>
          <w:sz w:val="24"/>
          <w:szCs w:val="24"/>
        </w:rPr>
        <w:t xml:space="preserve">(2004), International Convergence of Capital Measurement and Capital Standards: A Revised Framework, June 2004, available at </w:t>
      </w:r>
      <w:hyperlink r:id="rId19" w:history="1">
        <w:r w:rsidRPr="000C09B2">
          <w:rPr>
            <w:rStyle w:val="Hyperlink"/>
            <w:bCs/>
            <w:sz w:val="24"/>
            <w:szCs w:val="24"/>
          </w:rPr>
          <w:t>http://www.bis.org/publ/bcbs107.pdf</w:t>
        </w:r>
      </w:hyperlink>
      <w:r w:rsidRPr="000C09B2">
        <w:rPr>
          <w:bCs/>
          <w:sz w:val="24"/>
          <w:szCs w:val="24"/>
        </w:rPr>
        <w:t>. (last accessed on 24</w:t>
      </w:r>
      <w:r w:rsidRPr="000C09B2">
        <w:rPr>
          <w:bCs/>
          <w:sz w:val="24"/>
          <w:szCs w:val="24"/>
          <w:vertAlign w:val="superscript"/>
        </w:rPr>
        <w:t>th</w:t>
      </w:r>
      <w:r w:rsidRPr="000C09B2">
        <w:rPr>
          <w:bCs/>
          <w:sz w:val="24"/>
          <w:szCs w:val="24"/>
        </w:rPr>
        <w:t xml:space="preserve"> June 2015).</w:t>
      </w:r>
    </w:p>
    <w:p w:rsidR="000C09B2" w:rsidRDefault="000C09B2" w:rsidP="00A96C64">
      <w:pPr>
        <w:jc w:val="both"/>
        <w:rPr>
          <w:b/>
          <w:bCs/>
          <w:sz w:val="24"/>
          <w:szCs w:val="24"/>
        </w:rPr>
      </w:pPr>
    </w:p>
    <w:p w:rsidR="00E56015" w:rsidRDefault="00E56015" w:rsidP="00A96C64">
      <w:pPr>
        <w:jc w:val="both"/>
        <w:rPr>
          <w:sz w:val="24"/>
          <w:szCs w:val="24"/>
        </w:rPr>
      </w:pPr>
      <w:r w:rsidRPr="00E56015">
        <w:rPr>
          <w:b/>
          <w:sz w:val="24"/>
          <w:szCs w:val="24"/>
        </w:rPr>
        <w:t>Basel Committee on Banking Supervision</w:t>
      </w:r>
      <w:r w:rsidRPr="00E56015">
        <w:rPr>
          <w:sz w:val="24"/>
          <w:szCs w:val="24"/>
        </w:rPr>
        <w:t xml:space="preserve"> (</w:t>
      </w:r>
      <w:r>
        <w:rPr>
          <w:sz w:val="24"/>
          <w:szCs w:val="24"/>
        </w:rPr>
        <w:t>2005</w:t>
      </w:r>
      <w:r w:rsidRPr="00E56015">
        <w:rPr>
          <w:sz w:val="24"/>
          <w:szCs w:val="24"/>
        </w:rPr>
        <w:t xml:space="preserve">), Amendment to the Capital Accord to incorporate market risks, </w:t>
      </w:r>
      <w:r>
        <w:rPr>
          <w:sz w:val="24"/>
          <w:szCs w:val="24"/>
        </w:rPr>
        <w:t>updated of 1996 Amendment, November 2005</w:t>
      </w:r>
      <w:r w:rsidRPr="00E56015">
        <w:rPr>
          <w:sz w:val="24"/>
          <w:szCs w:val="24"/>
        </w:rPr>
        <w:t>, available at</w:t>
      </w:r>
      <w:hyperlink r:id="rId20" w:history="1">
        <w:r w:rsidRPr="00B17872">
          <w:rPr>
            <w:rStyle w:val="Hyperlink"/>
            <w:sz w:val="24"/>
            <w:szCs w:val="24"/>
          </w:rPr>
          <w:t>http://www.bis.org/publ/bcbs119.pdf</w:t>
        </w:r>
      </w:hyperlink>
      <w:r>
        <w:rPr>
          <w:sz w:val="24"/>
          <w:szCs w:val="24"/>
        </w:rPr>
        <w:t xml:space="preserve"> (last accessed on 25th July 2015).</w:t>
      </w:r>
    </w:p>
    <w:p w:rsidR="00E56015" w:rsidRDefault="00E56015" w:rsidP="00A96C64">
      <w:pPr>
        <w:jc w:val="both"/>
        <w:rPr>
          <w:sz w:val="24"/>
          <w:szCs w:val="24"/>
        </w:rPr>
      </w:pPr>
    </w:p>
    <w:p w:rsidR="000C09B2" w:rsidRPr="000C09B2" w:rsidRDefault="000C09B2" w:rsidP="00A96C64">
      <w:pPr>
        <w:jc w:val="both"/>
        <w:rPr>
          <w:bCs/>
          <w:sz w:val="24"/>
          <w:szCs w:val="24"/>
        </w:rPr>
      </w:pPr>
      <w:r w:rsidRPr="000C09B2">
        <w:rPr>
          <w:b/>
          <w:bCs/>
          <w:sz w:val="24"/>
          <w:szCs w:val="24"/>
        </w:rPr>
        <w:t xml:space="preserve">Basel Committee on Banking Supervision </w:t>
      </w:r>
      <w:r w:rsidRPr="000C09B2">
        <w:rPr>
          <w:bCs/>
          <w:sz w:val="24"/>
          <w:szCs w:val="24"/>
        </w:rPr>
        <w:t xml:space="preserve">(2006), Basel II: International Convergence of Capital Measurement and Capital Standards: A Revised Framework - Comprehensive Version, Annex 9, June 2006, available at </w:t>
      </w:r>
      <w:hyperlink r:id="rId21" w:history="1">
        <w:r w:rsidRPr="000C09B2">
          <w:rPr>
            <w:rStyle w:val="Hyperlink"/>
            <w:bCs/>
            <w:sz w:val="24"/>
            <w:szCs w:val="24"/>
          </w:rPr>
          <w:t>http://www.bis.org/publ/bcbs128.pdf</w:t>
        </w:r>
      </w:hyperlink>
      <w:r w:rsidRPr="000C09B2">
        <w:rPr>
          <w:bCs/>
          <w:sz w:val="24"/>
          <w:szCs w:val="24"/>
        </w:rPr>
        <w:t xml:space="preserve"> (last accessed on 2</w:t>
      </w:r>
      <w:r>
        <w:rPr>
          <w:bCs/>
          <w:sz w:val="24"/>
          <w:szCs w:val="24"/>
        </w:rPr>
        <w:t xml:space="preserve">4th </w:t>
      </w:r>
      <w:r w:rsidRPr="000C09B2">
        <w:rPr>
          <w:bCs/>
          <w:sz w:val="24"/>
          <w:szCs w:val="24"/>
        </w:rPr>
        <w:t>Ju</w:t>
      </w:r>
      <w:r>
        <w:rPr>
          <w:bCs/>
          <w:sz w:val="24"/>
          <w:szCs w:val="24"/>
        </w:rPr>
        <w:t>ne</w:t>
      </w:r>
      <w:r w:rsidRPr="000C09B2">
        <w:rPr>
          <w:bCs/>
          <w:sz w:val="24"/>
          <w:szCs w:val="24"/>
        </w:rPr>
        <w:t xml:space="preserve"> 2013).</w:t>
      </w:r>
    </w:p>
    <w:p w:rsidR="000C09B2" w:rsidRDefault="000C09B2" w:rsidP="00A96C64">
      <w:pPr>
        <w:jc w:val="both"/>
        <w:rPr>
          <w:bCs/>
        </w:rPr>
      </w:pPr>
    </w:p>
    <w:p w:rsidR="00A96C64" w:rsidRDefault="00A96C64" w:rsidP="00A96C64">
      <w:pPr>
        <w:jc w:val="both"/>
        <w:rPr>
          <w:sz w:val="24"/>
          <w:szCs w:val="24"/>
        </w:rPr>
      </w:pPr>
      <w:r w:rsidRPr="00530EDF">
        <w:rPr>
          <w:b/>
          <w:sz w:val="24"/>
          <w:szCs w:val="24"/>
        </w:rPr>
        <w:t>Basel Committee on Banking Supervision</w:t>
      </w:r>
      <w:r w:rsidRPr="00530EDF">
        <w:rPr>
          <w:sz w:val="24"/>
          <w:szCs w:val="24"/>
        </w:rPr>
        <w:t xml:space="preserve"> (20</w:t>
      </w:r>
      <w:r>
        <w:rPr>
          <w:sz w:val="24"/>
          <w:szCs w:val="24"/>
        </w:rPr>
        <w:t>08</w:t>
      </w:r>
      <w:r w:rsidRPr="00530EDF">
        <w:rPr>
          <w:sz w:val="24"/>
          <w:szCs w:val="24"/>
        </w:rPr>
        <w:t>)</w:t>
      </w:r>
      <w:r>
        <w:rPr>
          <w:sz w:val="24"/>
          <w:szCs w:val="24"/>
        </w:rPr>
        <w:t xml:space="preserve">, Liquidity Risk: Management and Supervisory Challenges, February 2008, available at </w:t>
      </w:r>
      <w:hyperlink r:id="rId22" w:history="1">
        <w:r w:rsidRPr="00E9349C">
          <w:rPr>
            <w:rStyle w:val="Hyperlink"/>
            <w:sz w:val="24"/>
            <w:szCs w:val="24"/>
          </w:rPr>
          <w:t>http://www.bis.org/publ/bcbs136.pdf</w:t>
        </w:r>
      </w:hyperlink>
      <w:r>
        <w:rPr>
          <w:sz w:val="24"/>
          <w:szCs w:val="24"/>
        </w:rPr>
        <w:t xml:space="preserve">  (last accessed on 9</w:t>
      </w:r>
      <w:r w:rsidRPr="00B92A36">
        <w:rPr>
          <w:sz w:val="24"/>
          <w:szCs w:val="24"/>
          <w:vertAlign w:val="superscript"/>
        </w:rPr>
        <w:t>th</w:t>
      </w:r>
      <w:r>
        <w:rPr>
          <w:sz w:val="24"/>
          <w:szCs w:val="24"/>
        </w:rPr>
        <w:t xml:space="preserve"> July 2015).</w:t>
      </w:r>
    </w:p>
    <w:p w:rsidR="00A96C64" w:rsidRDefault="00A96C64" w:rsidP="00A96C64">
      <w:pPr>
        <w:jc w:val="both"/>
        <w:rPr>
          <w:sz w:val="24"/>
          <w:szCs w:val="24"/>
        </w:rPr>
      </w:pPr>
    </w:p>
    <w:p w:rsidR="00A96C64" w:rsidRDefault="00A96C64" w:rsidP="00A96C64">
      <w:pPr>
        <w:jc w:val="both"/>
        <w:rPr>
          <w:sz w:val="24"/>
          <w:szCs w:val="24"/>
        </w:rPr>
      </w:pPr>
      <w:r w:rsidRPr="00530EDF">
        <w:rPr>
          <w:b/>
          <w:sz w:val="24"/>
          <w:szCs w:val="24"/>
        </w:rPr>
        <w:t>Basel Committee on Banking Supervision</w:t>
      </w:r>
      <w:r w:rsidRPr="00530EDF">
        <w:rPr>
          <w:sz w:val="24"/>
          <w:szCs w:val="24"/>
        </w:rPr>
        <w:t xml:space="preserve"> (20</w:t>
      </w:r>
      <w:r>
        <w:rPr>
          <w:sz w:val="24"/>
          <w:szCs w:val="24"/>
        </w:rPr>
        <w:t>08</w:t>
      </w:r>
      <w:r w:rsidRPr="00530EDF">
        <w:rPr>
          <w:sz w:val="24"/>
          <w:szCs w:val="24"/>
        </w:rPr>
        <w:t>)</w:t>
      </w:r>
      <w:r>
        <w:rPr>
          <w:sz w:val="24"/>
          <w:szCs w:val="24"/>
        </w:rPr>
        <w:t xml:space="preserve">, Principles for Sound Liquidity Risk Management and Supervision, available at </w:t>
      </w:r>
      <w:hyperlink r:id="rId23" w:history="1">
        <w:r w:rsidRPr="00E9349C">
          <w:rPr>
            <w:rStyle w:val="Hyperlink"/>
            <w:sz w:val="24"/>
            <w:szCs w:val="24"/>
          </w:rPr>
          <w:t>http://www.bis.org/publ/bcbs144.pdf</w:t>
        </w:r>
      </w:hyperlink>
      <w:r>
        <w:rPr>
          <w:sz w:val="24"/>
          <w:szCs w:val="24"/>
        </w:rPr>
        <w:t xml:space="preserve"> (last accessed 9th July 2015). </w:t>
      </w:r>
    </w:p>
    <w:p w:rsidR="00A96C64" w:rsidRPr="00DD3327" w:rsidRDefault="00A96C64" w:rsidP="00A96C64">
      <w:pPr>
        <w:pStyle w:val="FootnoteText"/>
        <w:jc w:val="both"/>
        <w:rPr>
          <w:sz w:val="24"/>
          <w:szCs w:val="24"/>
        </w:rPr>
      </w:pPr>
      <w:r w:rsidRPr="00DD3327">
        <w:rPr>
          <w:b/>
          <w:sz w:val="24"/>
          <w:szCs w:val="24"/>
        </w:rPr>
        <w:t>Basel Committee on Banking Supervision</w:t>
      </w:r>
      <w:r w:rsidRPr="00602AA3">
        <w:rPr>
          <w:sz w:val="24"/>
          <w:szCs w:val="24"/>
        </w:rPr>
        <w:t>(2010)</w:t>
      </w:r>
      <w:r>
        <w:rPr>
          <w:sz w:val="24"/>
          <w:szCs w:val="24"/>
        </w:rPr>
        <w:t>,</w:t>
      </w:r>
      <w:r w:rsidRPr="00DD3327">
        <w:rPr>
          <w:sz w:val="24"/>
          <w:szCs w:val="24"/>
        </w:rPr>
        <w:t xml:space="preserve"> Basel III: A global framework for more resilient banks and banking systems, December 2010 (revised June 2011)</w:t>
      </w:r>
      <w:r>
        <w:rPr>
          <w:sz w:val="24"/>
          <w:szCs w:val="24"/>
        </w:rPr>
        <w:t xml:space="preserve">, available at </w:t>
      </w:r>
      <w:hyperlink r:id="rId24" w:history="1">
        <w:r w:rsidRPr="007A34ED">
          <w:rPr>
            <w:rStyle w:val="Hyperlink"/>
            <w:sz w:val="24"/>
            <w:szCs w:val="24"/>
          </w:rPr>
          <w:t>http://www.bis.org/publ/bcbs189.pdf</w:t>
        </w:r>
      </w:hyperlink>
      <w:r>
        <w:rPr>
          <w:sz w:val="24"/>
          <w:szCs w:val="24"/>
        </w:rPr>
        <w:t xml:space="preserve"> (last accessed 11th July 2015)</w:t>
      </w:r>
    </w:p>
    <w:p w:rsidR="00A96C64" w:rsidRDefault="00A96C64" w:rsidP="00CF42AD">
      <w:pPr>
        <w:jc w:val="both"/>
        <w:rPr>
          <w:b/>
          <w:sz w:val="24"/>
          <w:szCs w:val="24"/>
        </w:rPr>
      </w:pPr>
    </w:p>
    <w:p w:rsidR="00CF42AD" w:rsidRDefault="00CF42AD" w:rsidP="00CF42AD">
      <w:pPr>
        <w:jc w:val="both"/>
        <w:rPr>
          <w:b/>
          <w:sz w:val="24"/>
          <w:szCs w:val="24"/>
        </w:rPr>
      </w:pPr>
      <w:r w:rsidRPr="00530EDF">
        <w:rPr>
          <w:b/>
          <w:sz w:val="24"/>
          <w:szCs w:val="24"/>
        </w:rPr>
        <w:t>Basel Committee on Banking Supervision</w:t>
      </w:r>
      <w:r w:rsidRPr="00530EDF">
        <w:rPr>
          <w:sz w:val="24"/>
          <w:szCs w:val="24"/>
        </w:rPr>
        <w:t xml:space="preserve"> (201</w:t>
      </w:r>
      <w:r>
        <w:rPr>
          <w:sz w:val="24"/>
          <w:szCs w:val="24"/>
        </w:rPr>
        <w:t>0</w:t>
      </w:r>
      <w:r w:rsidRPr="00530EDF">
        <w:rPr>
          <w:sz w:val="24"/>
          <w:szCs w:val="24"/>
        </w:rPr>
        <w:t>)</w:t>
      </w:r>
      <w:r>
        <w:rPr>
          <w:sz w:val="24"/>
          <w:szCs w:val="24"/>
        </w:rPr>
        <w:t xml:space="preserve">, Basel III: International framework for liquidity risk measurement standards and monitoring, December 2010, available at </w:t>
      </w:r>
      <w:hyperlink r:id="rId25" w:history="1">
        <w:r w:rsidR="00742A18" w:rsidRPr="00E9349C">
          <w:rPr>
            <w:rStyle w:val="Hyperlink"/>
            <w:sz w:val="24"/>
            <w:szCs w:val="24"/>
          </w:rPr>
          <w:t>http://www.bis.org/publ/bcbs188.pdf</w:t>
        </w:r>
      </w:hyperlink>
      <w:r w:rsidR="00B41250">
        <w:t xml:space="preserve"> </w:t>
      </w:r>
      <w:r>
        <w:rPr>
          <w:sz w:val="24"/>
          <w:szCs w:val="24"/>
        </w:rPr>
        <w:t>(last accessed on</w:t>
      </w:r>
      <w:r w:rsidR="00742A18">
        <w:rPr>
          <w:sz w:val="24"/>
          <w:szCs w:val="24"/>
        </w:rPr>
        <w:t xml:space="preserve"> 9th July 2015)</w:t>
      </w:r>
      <w:r w:rsidR="00B92A36">
        <w:rPr>
          <w:sz w:val="24"/>
          <w:szCs w:val="24"/>
        </w:rPr>
        <w:t>.</w:t>
      </w:r>
    </w:p>
    <w:p w:rsidR="00CF42AD" w:rsidRDefault="00CF42AD" w:rsidP="00CF42AD">
      <w:pPr>
        <w:jc w:val="both"/>
        <w:rPr>
          <w:b/>
          <w:sz w:val="24"/>
          <w:szCs w:val="24"/>
        </w:rPr>
      </w:pPr>
    </w:p>
    <w:p w:rsidR="00A96C64" w:rsidRPr="00602AA3" w:rsidRDefault="00A96C64" w:rsidP="00A96C64">
      <w:pPr>
        <w:jc w:val="both"/>
        <w:rPr>
          <w:sz w:val="24"/>
          <w:szCs w:val="24"/>
        </w:rPr>
      </w:pPr>
      <w:r w:rsidRPr="00602AA3">
        <w:rPr>
          <w:b/>
          <w:bCs/>
          <w:sz w:val="24"/>
          <w:szCs w:val="24"/>
        </w:rPr>
        <w:t xml:space="preserve">Basel Committee on Banking Supervision </w:t>
      </w:r>
      <w:r w:rsidRPr="00602AA3">
        <w:rPr>
          <w:sz w:val="24"/>
          <w:szCs w:val="24"/>
        </w:rPr>
        <w:t>(2011)</w:t>
      </w:r>
      <w:r w:rsidR="00680F3B">
        <w:rPr>
          <w:sz w:val="24"/>
          <w:szCs w:val="24"/>
        </w:rPr>
        <w:t>,</w:t>
      </w:r>
      <w:r w:rsidRPr="00602AA3">
        <w:rPr>
          <w:sz w:val="24"/>
          <w:szCs w:val="24"/>
        </w:rPr>
        <w:t xml:space="preserve"> Principles for the Sound Management of Operational Risk, June 2011, available at </w:t>
      </w:r>
      <w:hyperlink r:id="rId26" w:history="1">
        <w:r w:rsidRPr="00602AA3">
          <w:rPr>
            <w:rStyle w:val="Hyperlink"/>
            <w:sz w:val="24"/>
            <w:szCs w:val="24"/>
          </w:rPr>
          <w:t>http://www.bis.org/publ/bcbs195.pdf</w:t>
        </w:r>
      </w:hyperlink>
      <w:r w:rsidRPr="00602AA3">
        <w:rPr>
          <w:sz w:val="24"/>
          <w:szCs w:val="24"/>
        </w:rPr>
        <w:t xml:space="preserve">. (last accessed </w:t>
      </w:r>
      <w:r>
        <w:rPr>
          <w:sz w:val="24"/>
          <w:szCs w:val="24"/>
        </w:rPr>
        <w:t>2</w:t>
      </w:r>
      <w:r w:rsidRPr="00602AA3">
        <w:rPr>
          <w:sz w:val="24"/>
          <w:szCs w:val="24"/>
        </w:rPr>
        <w:t>4</w:t>
      </w:r>
      <w:r w:rsidRPr="00602AA3">
        <w:rPr>
          <w:sz w:val="24"/>
          <w:szCs w:val="24"/>
          <w:vertAlign w:val="superscript"/>
        </w:rPr>
        <w:t>th</w:t>
      </w:r>
      <w:r>
        <w:rPr>
          <w:sz w:val="24"/>
          <w:szCs w:val="24"/>
        </w:rPr>
        <w:t>June</w:t>
      </w:r>
      <w:r w:rsidRPr="00602AA3">
        <w:rPr>
          <w:sz w:val="24"/>
          <w:szCs w:val="24"/>
        </w:rPr>
        <w:t xml:space="preserve"> 201</w:t>
      </w:r>
      <w:r>
        <w:rPr>
          <w:sz w:val="24"/>
          <w:szCs w:val="24"/>
        </w:rPr>
        <w:t>5</w:t>
      </w:r>
      <w:r w:rsidRPr="00602AA3">
        <w:rPr>
          <w:sz w:val="24"/>
          <w:szCs w:val="24"/>
        </w:rPr>
        <w:t>).</w:t>
      </w:r>
    </w:p>
    <w:p w:rsidR="00A96C64" w:rsidRDefault="00A96C64" w:rsidP="00CF42AD">
      <w:pPr>
        <w:jc w:val="both"/>
        <w:rPr>
          <w:b/>
          <w:sz w:val="24"/>
          <w:szCs w:val="24"/>
        </w:rPr>
      </w:pPr>
    </w:p>
    <w:p w:rsidR="00CF42AD" w:rsidRDefault="00CF42AD" w:rsidP="00CF42AD">
      <w:pPr>
        <w:jc w:val="both"/>
        <w:rPr>
          <w:sz w:val="24"/>
          <w:szCs w:val="24"/>
        </w:rPr>
      </w:pPr>
      <w:r w:rsidRPr="00530EDF">
        <w:rPr>
          <w:b/>
          <w:sz w:val="24"/>
          <w:szCs w:val="24"/>
        </w:rPr>
        <w:t>Basel Committee on Banking Supervision</w:t>
      </w:r>
      <w:r w:rsidRPr="00530EDF">
        <w:rPr>
          <w:sz w:val="24"/>
          <w:szCs w:val="24"/>
        </w:rPr>
        <w:t xml:space="preserve"> (2013), Basel III: The Liquidity Coverage Requirement and liquidity risk monitoring tools, January 2013, available at </w:t>
      </w:r>
      <w:hyperlink r:id="rId27" w:history="1">
        <w:r w:rsidR="00B92A36" w:rsidRPr="00E9349C">
          <w:rPr>
            <w:rStyle w:val="Hyperlink"/>
            <w:sz w:val="24"/>
            <w:szCs w:val="24"/>
          </w:rPr>
          <w:t>http://www.bis.org/publ/bcbs238.htm</w:t>
        </w:r>
      </w:hyperlink>
      <w:r w:rsidR="00B41250">
        <w:t xml:space="preserve"> </w:t>
      </w:r>
      <w:r w:rsidRPr="00530EDF">
        <w:rPr>
          <w:sz w:val="24"/>
          <w:szCs w:val="24"/>
        </w:rPr>
        <w:t xml:space="preserve">(last accessed on </w:t>
      </w:r>
      <w:r w:rsidR="00B92A36">
        <w:rPr>
          <w:sz w:val="24"/>
          <w:szCs w:val="24"/>
        </w:rPr>
        <w:t>9th July 2015</w:t>
      </w:r>
      <w:r w:rsidRPr="00530EDF">
        <w:rPr>
          <w:sz w:val="24"/>
          <w:szCs w:val="24"/>
        </w:rPr>
        <w:t>)</w:t>
      </w:r>
      <w:r w:rsidR="00B92A36">
        <w:rPr>
          <w:sz w:val="24"/>
          <w:szCs w:val="24"/>
        </w:rPr>
        <w:t>.</w:t>
      </w:r>
    </w:p>
    <w:p w:rsidR="00CF42AD" w:rsidRDefault="00CF42AD" w:rsidP="00CF42AD">
      <w:pPr>
        <w:jc w:val="both"/>
        <w:rPr>
          <w:sz w:val="24"/>
          <w:szCs w:val="24"/>
        </w:rPr>
      </w:pPr>
    </w:p>
    <w:p w:rsidR="00CF42AD" w:rsidRDefault="00CF42AD" w:rsidP="00CF42AD">
      <w:pPr>
        <w:jc w:val="both"/>
        <w:rPr>
          <w:sz w:val="24"/>
          <w:szCs w:val="24"/>
        </w:rPr>
      </w:pPr>
      <w:r w:rsidRPr="00530EDF">
        <w:rPr>
          <w:b/>
          <w:sz w:val="24"/>
          <w:szCs w:val="24"/>
        </w:rPr>
        <w:t>Basel Committee on Banking Supervision</w:t>
      </w:r>
      <w:r w:rsidRPr="00BC21C9">
        <w:rPr>
          <w:sz w:val="24"/>
          <w:szCs w:val="24"/>
        </w:rPr>
        <w:t>(2014)</w:t>
      </w:r>
      <w:r>
        <w:rPr>
          <w:sz w:val="24"/>
          <w:szCs w:val="24"/>
        </w:rPr>
        <w:t xml:space="preserve">, Liquidity Coverage Ratio disclosure standards, January 2014, available at </w:t>
      </w:r>
      <w:hyperlink r:id="rId28" w:history="1">
        <w:r w:rsidR="00B92A36" w:rsidRPr="00E9349C">
          <w:rPr>
            <w:rStyle w:val="Hyperlink"/>
            <w:sz w:val="24"/>
            <w:szCs w:val="24"/>
          </w:rPr>
          <w:t>http://www.bis.org/publ/bcbs272.pdf</w:t>
        </w:r>
      </w:hyperlink>
      <w:r w:rsidR="00B41250">
        <w:t xml:space="preserve"> </w:t>
      </w:r>
      <w:r>
        <w:rPr>
          <w:sz w:val="24"/>
          <w:szCs w:val="24"/>
        </w:rPr>
        <w:t xml:space="preserve">(last accessed </w:t>
      </w:r>
      <w:r w:rsidR="00B92A36">
        <w:rPr>
          <w:sz w:val="24"/>
          <w:szCs w:val="24"/>
        </w:rPr>
        <w:t>on 9th July 2015</w:t>
      </w:r>
      <w:r>
        <w:rPr>
          <w:sz w:val="24"/>
          <w:szCs w:val="24"/>
        </w:rPr>
        <w:t xml:space="preserve">). </w:t>
      </w:r>
    </w:p>
    <w:p w:rsidR="002E4960" w:rsidRDefault="002E4960" w:rsidP="00CF42AD">
      <w:pPr>
        <w:jc w:val="both"/>
        <w:rPr>
          <w:sz w:val="24"/>
          <w:szCs w:val="24"/>
        </w:rPr>
      </w:pPr>
    </w:p>
    <w:p w:rsidR="00742A18" w:rsidRPr="00742A18" w:rsidRDefault="00742A18" w:rsidP="00742A18">
      <w:pPr>
        <w:jc w:val="both"/>
        <w:rPr>
          <w:sz w:val="24"/>
          <w:szCs w:val="24"/>
        </w:rPr>
      </w:pPr>
      <w:r w:rsidRPr="00742A18">
        <w:rPr>
          <w:b/>
          <w:sz w:val="24"/>
          <w:szCs w:val="24"/>
        </w:rPr>
        <w:t>Basel Committee on Banking Supervision</w:t>
      </w:r>
      <w:r w:rsidRPr="00742A18">
        <w:rPr>
          <w:sz w:val="24"/>
          <w:szCs w:val="24"/>
        </w:rPr>
        <w:t xml:space="preserve"> (2014), Consultative Document: Revisions to the Standardised Approach for Credit Risk, December 2014, available at </w:t>
      </w:r>
      <w:hyperlink r:id="rId29" w:history="1">
        <w:r w:rsidRPr="00742A18">
          <w:rPr>
            <w:rStyle w:val="Hyperlink"/>
            <w:sz w:val="24"/>
            <w:szCs w:val="24"/>
          </w:rPr>
          <w:t>http://www.bis.org/bcbs/publ/d307.pdf</w:t>
        </w:r>
      </w:hyperlink>
      <w:r w:rsidRPr="00742A18">
        <w:rPr>
          <w:sz w:val="24"/>
          <w:szCs w:val="24"/>
        </w:rPr>
        <w:t xml:space="preserve"> (last accessed on 9th July 2015).</w:t>
      </w:r>
    </w:p>
    <w:p w:rsidR="00742A18" w:rsidRDefault="00742A18" w:rsidP="002E4960"/>
    <w:p w:rsidR="00742A18" w:rsidRDefault="00742A18" w:rsidP="00742A18">
      <w:pPr>
        <w:jc w:val="both"/>
        <w:rPr>
          <w:sz w:val="24"/>
          <w:szCs w:val="24"/>
        </w:rPr>
      </w:pPr>
      <w:r w:rsidRPr="00742A18">
        <w:rPr>
          <w:b/>
          <w:sz w:val="24"/>
          <w:szCs w:val="24"/>
        </w:rPr>
        <w:t>Basel Committee on Banking Supervision</w:t>
      </w:r>
      <w:r w:rsidRPr="00742A18">
        <w:rPr>
          <w:sz w:val="24"/>
          <w:szCs w:val="24"/>
        </w:rPr>
        <w:t xml:space="preserve"> (2014), Consultative Document: Operational Risk – Revisions to the simpler approaches, October 2014, available at </w:t>
      </w:r>
      <w:hyperlink r:id="rId30" w:history="1">
        <w:r w:rsidRPr="00742A18">
          <w:rPr>
            <w:rStyle w:val="Hyperlink"/>
            <w:sz w:val="24"/>
            <w:szCs w:val="24"/>
          </w:rPr>
          <w:t>http://www.bis.org/publ/bcbs291.htm</w:t>
        </w:r>
      </w:hyperlink>
      <w:r w:rsidRPr="00742A18">
        <w:rPr>
          <w:sz w:val="24"/>
          <w:szCs w:val="24"/>
        </w:rPr>
        <w:t xml:space="preserve"> (last accessed 9th July 2015).</w:t>
      </w:r>
    </w:p>
    <w:p w:rsidR="007F4BA6" w:rsidRDefault="007F4BA6" w:rsidP="00742A18">
      <w:pPr>
        <w:jc w:val="both"/>
        <w:rPr>
          <w:sz w:val="24"/>
          <w:szCs w:val="24"/>
        </w:rPr>
      </w:pPr>
    </w:p>
    <w:p w:rsidR="007F4BA6" w:rsidRPr="007F4BA6" w:rsidRDefault="007F4BA6" w:rsidP="00742A18">
      <w:pPr>
        <w:jc w:val="both"/>
        <w:rPr>
          <w:sz w:val="24"/>
          <w:szCs w:val="24"/>
        </w:rPr>
      </w:pPr>
      <w:r w:rsidRPr="007F4BA6">
        <w:rPr>
          <w:b/>
          <w:sz w:val="24"/>
          <w:szCs w:val="24"/>
        </w:rPr>
        <w:lastRenderedPageBreak/>
        <w:t>Basel Committee on Banking Supervision</w:t>
      </w:r>
      <w:r w:rsidRPr="007F4BA6">
        <w:rPr>
          <w:sz w:val="24"/>
          <w:szCs w:val="24"/>
        </w:rPr>
        <w:t xml:space="preserve"> (2014), Review of the Principles for the Sound Management of Operational Risk, October 2014</w:t>
      </w:r>
      <w:r>
        <w:rPr>
          <w:sz w:val="24"/>
          <w:szCs w:val="24"/>
        </w:rPr>
        <w:t xml:space="preserve">, available at </w:t>
      </w:r>
      <w:hyperlink r:id="rId31" w:history="1">
        <w:r w:rsidRPr="00B17872">
          <w:rPr>
            <w:rStyle w:val="Hyperlink"/>
            <w:sz w:val="24"/>
            <w:szCs w:val="24"/>
          </w:rPr>
          <w:t>http://www.bis.org/publ/bcbs292.pdf</w:t>
        </w:r>
      </w:hyperlink>
      <w:r>
        <w:rPr>
          <w:sz w:val="24"/>
          <w:szCs w:val="24"/>
        </w:rPr>
        <w:t xml:space="preserve"> (last accessed 25th July 2015).</w:t>
      </w:r>
    </w:p>
    <w:p w:rsidR="00742A18" w:rsidRDefault="00742A18" w:rsidP="00742A18">
      <w:pPr>
        <w:jc w:val="both"/>
        <w:rPr>
          <w:sz w:val="24"/>
          <w:szCs w:val="24"/>
        </w:rPr>
      </w:pPr>
    </w:p>
    <w:p w:rsidR="00742A18" w:rsidRDefault="00742A18" w:rsidP="00742A18">
      <w:pPr>
        <w:jc w:val="both"/>
        <w:rPr>
          <w:sz w:val="24"/>
          <w:szCs w:val="24"/>
        </w:rPr>
      </w:pPr>
      <w:r w:rsidRPr="00742A18">
        <w:rPr>
          <w:b/>
          <w:sz w:val="24"/>
          <w:szCs w:val="24"/>
        </w:rPr>
        <w:t>Basel Committee on Banking Supervision</w:t>
      </w:r>
      <w:r w:rsidRPr="00742A18">
        <w:rPr>
          <w:sz w:val="24"/>
          <w:szCs w:val="24"/>
        </w:rPr>
        <w:t xml:space="preserve"> (2015), Consultative Document: interest rate risk in the banking book</w:t>
      </w:r>
      <w:r>
        <w:rPr>
          <w:sz w:val="24"/>
          <w:szCs w:val="24"/>
        </w:rPr>
        <w:t>,</w:t>
      </w:r>
      <w:r w:rsidRPr="00742A18">
        <w:rPr>
          <w:sz w:val="24"/>
          <w:szCs w:val="24"/>
        </w:rPr>
        <w:t xml:space="preserve"> June 2015, available at </w:t>
      </w:r>
      <w:hyperlink r:id="rId32" w:history="1">
        <w:r w:rsidRPr="00742A18">
          <w:rPr>
            <w:rStyle w:val="Hyperlink"/>
            <w:sz w:val="24"/>
            <w:szCs w:val="24"/>
          </w:rPr>
          <w:t>http://www.bis.org/bcbs/publ/d319.htm</w:t>
        </w:r>
      </w:hyperlink>
      <w:r w:rsidRPr="00742A18">
        <w:rPr>
          <w:sz w:val="24"/>
          <w:szCs w:val="24"/>
        </w:rPr>
        <w:t xml:space="preserve"> (last accessed on 9th July 2015).</w:t>
      </w:r>
    </w:p>
    <w:p w:rsidR="002B26E8" w:rsidRDefault="002B26E8" w:rsidP="00742A18">
      <w:pPr>
        <w:jc w:val="both"/>
        <w:rPr>
          <w:sz w:val="24"/>
          <w:szCs w:val="24"/>
        </w:rPr>
      </w:pPr>
    </w:p>
    <w:p w:rsidR="002B26E8" w:rsidRPr="00CA6DC4" w:rsidRDefault="002B26E8" w:rsidP="00742A18">
      <w:pPr>
        <w:jc w:val="both"/>
        <w:rPr>
          <w:sz w:val="24"/>
          <w:szCs w:val="24"/>
        </w:rPr>
      </w:pPr>
      <w:r w:rsidRPr="00CA6DC4">
        <w:rPr>
          <w:b/>
          <w:sz w:val="24"/>
          <w:szCs w:val="24"/>
        </w:rPr>
        <w:t>Basel Committee on Banking Supervision</w:t>
      </w:r>
      <w:r w:rsidR="00CA6DC4">
        <w:rPr>
          <w:sz w:val="24"/>
          <w:szCs w:val="24"/>
        </w:rPr>
        <w:t xml:space="preserve">(2015), </w:t>
      </w:r>
      <w:r w:rsidRPr="00CA6DC4">
        <w:rPr>
          <w:sz w:val="24"/>
          <w:szCs w:val="24"/>
        </w:rPr>
        <w:t>Guidelines for identifying and dealing with weak banks, July 2015</w:t>
      </w:r>
      <w:r w:rsidR="00CA6DC4">
        <w:rPr>
          <w:sz w:val="24"/>
          <w:szCs w:val="24"/>
        </w:rPr>
        <w:t xml:space="preserve">, available at </w:t>
      </w:r>
      <w:hyperlink r:id="rId33" w:history="1">
        <w:r w:rsidR="00CA6DC4" w:rsidRPr="00B17872">
          <w:rPr>
            <w:rStyle w:val="Hyperlink"/>
            <w:sz w:val="24"/>
            <w:szCs w:val="24"/>
          </w:rPr>
          <w:t>https://www.bis.org/bcbs/publ/d330.pdf</w:t>
        </w:r>
      </w:hyperlink>
      <w:r w:rsidR="00CA6DC4">
        <w:rPr>
          <w:sz w:val="24"/>
          <w:szCs w:val="24"/>
        </w:rPr>
        <w:t xml:space="preserve"> (last accessed 25th July 2015).</w:t>
      </w:r>
    </w:p>
    <w:p w:rsidR="00AB0E8C" w:rsidRDefault="00AB0E8C" w:rsidP="00742A18">
      <w:pPr>
        <w:jc w:val="both"/>
        <w:rPr>
          <w:sz w:val="24"/>
          <w:szCs w:val="24"/>
        </w:rPr>
      </w:pPr>
    </w:p>
    <w:p w:rsidR="00AB0E8C" w:rsidRPr="00AB0E8C" w:rsidRDefault="00AB0E8C" w:rsidP="00742A18">
      <w:pPr>
        <w:jc w:val="both"/>
        <w:rPr>
          <w:sz w:val="24"/>
          <w:szCs w:val="24"/>
        </w:rPr>
      </w:pPr>
      <w:r w:rsidRPr="00AB0E8C">
        <w:rPr>
          <w:b/>
          <w:sz w:val="24"/>
          <w:szCs w:val="24"/>
        </w:rPr>
        <w:t>Basle Committee on Banking Supervision</w:t>
      </w:r>
      <w:r w:rsidRPr="00AB0E8C">
        <w:rPr>
          <w:sz w:val="24"/>
          <w:szCs w:val="24"/>
        </w:rPr>
        <w:t xml:space="preserve"> (1988)</w:t>
      </w:r>
      <w:r w:rsidR="00680F3B">
        <w:rPr>
          <w:sz w:val="24"/>
          <w:szCs w:val="24"/>
        </w:rPr>
        <w:t>,</w:t>
      </w:r>
      <w:r w:rsidRPr="00AB0E8C">
        <w:rPr>
          <w:sz w:val="24"/>
          <w:szCs w:val="24"/>
        </w:rPr>
        <w:t xml:space="preserve"> International Convergence of Capital Measurement and Capital Standards’ July 1988, available at </w:t>
      </w:r>
      <w:hyperlink r:id="rId34" w:history="1">
        <w:r w:rsidRPr="00AB0E8C">
          <w:rPr>
            <w:rStyle w:val="Hyperlink"/>
            <w:sz w:val="24"/>
            <w:szCs w:val="24"/>
          </w:rPr>
          <w:t>http://www.bis.org/publ/bcbs04a.pdf</w:t>
        </w:r>
      </w:hyperlink>
      <w:r w:rsidRPr="00AB0E8C">
        <w:rPr>
          <w:sz w:val="24"/>
          <w:szCs w:val="24"/>
        </w:rPr>
        <w:t xml:space="preserve"> (last accessed 25th July 2015)</w:t>
      </w:r>
      <w:r>
        <w:rPr>
          <w:sz w:val="24"/>
          <w:szCs w:val="24"/>
        </w:rPr>
        <w:t>.</w:t>
      </w:r>
    </w:p>
    <w:p w:rsidR="00AB0E8C" w:rsidRDefault="00AB0E8C" w:rsidP="00742A18">
      <w:pPr>
        <w:jc w:val="both"/>
      </w:pPr>
    </w:p>
    <w:p w:rsidR="00AB0E8C" w:rsidRPr="00742A18" w:rsidRDefault="00AB0E8C" w:rsidP="00742A18">
      <w:pPr>
        <w:jc w:val="both"/>
        <w:rPr>
          <w:sz w:val="24"/>
          <w:szCs w:val="24"/>
        </w:rPr>
      </w:pPr>
      <w:r w:rsidRPr="00AB0E8C">
        <w:rPr>
          <w:b/>
          <w:sz w:val="24"/>
          <w:szCs w:val="24"/>
        </w:rPr>
        <w:t>Basle Committee on Banking Supervision</w:t>
      </w:r>
      <w:r>
        <w:rPr>
          <w:sz w:val="24"/>
          <w:szCs w:val="24"/>
        </w:rPr>
        <w:t xml:space="preserve"> (2001), History of the Basle Committee and its Membership, available at </w:t>
      </w:r>
      <w:hyperlink r:id="rId35" w:history="1">
        <w:r w:rsidRPr="00B17872">
          <w:rPr>
            <w:rStyle w:val="Hyperlink"/>
            <w:sz w:val="24"/>
            <w:szCs w:val="24"/>
          </w:rPr>
          <w:t>https://www.bis.org/publ/bcbsc101.pdf</w:t>
        </w:r>
      </w:hyperlink>
      <w:r>
        <w:rPr>
          <w:sz w:val="24"/>
          <w:szCs w:val="24"/>
        </w:rPr>
        <w:t xml:space="preserve"> (last accessed 25th July 2015) </w:t>
      </w:r>
    </w:p>
    <w:p w:rsidR="00742A18" w:rsidRDefault="00742A18" w:rsidP="002E4960"/>
    <w:p w:rsidR="00E56015" w:rsidRPr="00E56015" w:rsidRDefault="00E56015" w:rsidP="00E56015">
      <w:pPr>
        <w:jc w:val="both"/>
        <w:rPr>
          <w:sz w:val="24"/>
          <w:szCs w:val="24"/>
        </w:rPr>
      </w:pPr>
      <w:r w:rsidRPr="00E56015">
        <w:rPr>
          <w:b/>
          <w:sz w:val="24"/>
          <w:szCs w:val="24"/>
        </w:rPr>
        <w:t>Basle Committee on Banking Supervision</w:t>
      </w:r>
      <w:r w:rsidRPr="00E56015">
        <w:rPr>
          <w:sz w:val="24"/>
          <w:szCs w:val="24"/>
        </w:rPr>
        <w:t xml:space="preserve"> (1992)</w:t>
      </w:r>
      <w:r w:rsidR="00680F3B">
        <w:rPr>
          <w:sz w:val="24"/>
          <w:szCs w:val="24"/>
        </w:rPr>
        <w:t>,</w:t>
      </w:r>
      <w:r w:rsidRPr="00E56015">
        <w:rPr>
          <w:sz w:val="24"/>
          <w:szCs w:val="24"/>
        </w:rPr>
        <w:t xml:space="preserve"> Asset Transfers and Securitisation, September 1992, available at </w:t>
      </w:r>
      <w:hyperlink r:id="rId36" w:history="1">
        <w:r w:rsidRPr="00E56015">
          <w:rPr>
            <w:rStyle w:val="Hyperlink"/>
            <w:sz w:val="24"/>
            <w:szCs w:val="24"/>
          </w:rPr>
          <w:t>http://www.bis.org/publ/bcbs10a.pdf</w:t>
        </w:r>
      </w:hyperlink>
      <w:r w:rsidRPr="00E56015">
        <w:rPr>
          <w:sz w:val="24"/>
          <w:szCs w:val="24"/>
        </w:rPr>
        <w:t xml:space="preserve"> (last accessed 25th July 2015).</w:t>
      </w:r>
    </w:p>
    <w:p w:rsidR="00E56015" w:rsidRDefault="00E56015" w:rsidP="002E4960"/>
    <w:p w:rsidR="002E4960" w:rsidRPr="002E4960" w:rsidRDefault="002E4960" w:rsidP="0051456D">
      <w:pPr>
        <w:jc w:val="both"/>
        <w:rPr>
          <w:bCs/>
          <w:sz w:val="24"/>
          <w:szCs w:val="24"/>
        </w:rPr>
      </w:pPr>
      <w:r w:rsidRPr="002E4960">
        <w:rPr>
          <w:b/>
          <w:bCs/>
          <w:sz w:val="24"/>
          <w:szCs w:val="24"/>
        </w:rPr>
        <w:t xml:space="preserve">Baxter, T.C. Jr </w:t>
      </w:r>
      <w:r w:rsidRPr="002E4960">
        <w:rPr>
          <w:bCs/>
          <w:sz w:val="24"/>
          <w:szCs w:val="24"/>
        </w:rPr>
        <w:t>(1997), Breaking the billion dollar barrier – learning the lessons of BNL, Daiwa,Barings, and BCCI, Journal of Money Laundering Control, Vol. 1 No. 1, pp15 - 25.</w:t>
      </w:r>
    </w:p>
    <w:p w:rsidR="00F7366D" w:rsidRPr="00F7366D" w:rsidRDefault="00F7366D" w:rsidP="0051456D">
      <w:pPr>
        <w:pStyle w:val="FootnoteText"/>
        <w:jc w:val="both"/>
        <w:rPr>
          <w:sz w:val="24"/>
          <w:szCs w:val="24"/>
        </w:rPr>
      </w:pPr>
      <w:r w:rsidRPr="00F7366D">
        <w:rPr>
          <w:b/>
          <w:sz w:val="24"/>
          <w:szCs w:val="24"/>
        </w:rPr>
        <w:t>Bentson, G.</w:t>
      </w:r>
      <w:r w:rsidRPr="00F7366D">
        <w:rPr>
          <w:sz w:val="24"/>
          <w:szCs w:val="24"/>
        </w:rPr>
        <w:t xml:space="preserve"> (1990), The Separation of Commercial and Investment Banking (1990) Oxford University Press: Oxford, UK.</w:t>
      </w:r>
    </w:p>
    <w:p w:rsidR="00F7366D" w:rsidRDefault="00F7366D" w:rsidP="00A2791B">
      <w:pPr>
        <w:jc w:val="both"/>
        <w:rPr>
          <w:b/>
          <w:bCs/>
          <w:sz w:val="24"/>
          <w:szCs w:val="24"/>
        </w:rPr>
      </w:pPr>
    </w:p>
    <w:p w:rsidR="0046001C" w:rsidRPr="0046001C" w:rsidRDefault="0046001C" w:rsidP="00A2791B">
      <w:pPr>
        <w:jc w:val="both"/>
        <w:rPr>
          <w:sz w:val="24"/>
          <w:szCs w:val="24"/>
        </w:rPr>
      </w:pPr>
      <w:r w:rsidRPr="0046001C">
        <w:rPr>
          <w:b/>
          <w:sz w:val="24"/>
          <w:szCs w:val="24"/>
        </w:rPr>
        <w:t>Bingham, Lord Justice</w:t>
      </w:r>
      <w:r w:rsidRPr="0046001C">
        <w:rPr>
          <w:sz w:val="24"/>
          <w:szCs w:val="24"/>
        </w:rPr>
        <w:t xml:space="preserve"> (1992), Inquiry into the supervision of the Bank of Credit Commerce and International, October 1992</w:t>
      </w:r>
      <w:r>
        <w:rPr>
          <w:sz w:val="24"/>
          <w:szCs w:val="24"/>
        </w:rPr>
        <w:t xml:space="preserve">, available at </w:t>
      </w:r>
      <w:hyperlink r:id="rId37" w:history="1">
        <w:r w:rsidRPr="00B17872">
          <w:rPr>
            <w:rStyle w:val="Hyperlink"/>
            <w:sz w:val="24"/>
            <w:szCs w:val="24"/>
          </w:rPr>
          <w:t>https://www.gov.uk/government/uploads/system/uploads/attachment_data/file/235718/0198.pdf</w:t>
        </w:r>
      </w:hyperlink>
      <w:r>
        <w:rPr>
          <w:sz w:val="24"/>
          <w:szCs w:val="24"/>
        </w:rPr>
        <w:t xml:space="preserve"> (last accessed 25th July 2015).</w:t>
      </w:r>
    </w:p>
    <w:p w:rsidR="0046001C" w:rsidRDefault="0046001C" w:rsidP="00A2791B">
      <w:pPr>
        <w:jc w:val="both"/>
      </w:pPr>
    </w:p>
    <w:p w:rsidR="00A2791B" w:rsidRPr="00507BB8" w:rsidRDefault="00A2791B" w:rsidP="00A2791B">
      <w:pPr>
        <w:jc w:val="both"/>
        <w:rPr>
          <w:bCs/>
          <w:sz w:val="24"/>
          <w:szCs w:val="24"/>
        </w:rPr>
      </w:pPr>
      <w:r w:rsidRPr="00507BB8">
        <w:rPr>
          <w:b/>
          <w:bCs/>
          <w:sz w:val="24"/>
          <w:szCs w:val="24"/>
        </w:rPr>
        <w:t xml:space="preserve">Black, J., Hopper, M., and Band, C. </w:t>
      </w:r>
      <w:r w:rsidRPr="00507BB8">
        <w:rPr>
          <w:bCs/>
          <w:sz w:val="24"/>
          <w:szCs w:val="24"/>
        </w:rPr>
        <w:t>(2007),</w:t>
      </w:r>
      <w:r w:rsidR="00B41250">
        <w:rPr>
          <w:bCs/>
          <w:sz w:val="24"/>
          <w:szCs w:val="24"/>
        </w:rPr>
        <w:t xml:space="preserve"> </w:t>
      </w:r>
      <w:r w:rsidRPr="00507BB8">
        <w:rPr>
          <w:bCs/>
          <w:sz w:val="24"/>
          <w:szCs w:val="24"/>
        </w:rPr>
        <w:t xml:space="preserve">Making a success of Principles-based regulation, </w:t>
      </w:r>
      <w:r w:rsidRPr="0051456D">
        <w:rPr>
          <w:bCs/>
          <w:sz w:val="24"/>
          <w:szCs w:val="24"/>
        </w:rPr>
        <w:t>Law and Financial Markets Review,</w:t>
      </w:r>
      <w:r w:rsidRPr="00507BB8">
        <w:rPr>
          <w:bCs/>
          <w:sz w:val="24"/>
          <w:szCs w:val="24"/>
        </w:rPr>
        <w:t xml:space="preserve"> 1(3), pp 191- 204.</w:t>
      </w:r>
    </w:p>
    <w:p w:rsidR="00A2791B" w:rsidRPr="00507BB8" w:rsidRDefault="00A2791B" w:rsidP="00A2791B">
      <w:pPr>
        <w:jc w:val="both"/>
        <w:rPr>
          <w:b/>
          <w:bCs/>
          <w:sz w:val="24"/>
          <w:szCs w:val="24"/>
        </w:rPr>
      </w:pPr>
    </w:p>
    <w:p w:rsidR="00A2791B" w:rsidRDefault="00A2791B" w:rsidP="00A2791B">
      <w:pPr>
        <w:jc w:val="both"/>
        <w:rPr>
          <w:bCs/>
          <w:sz w:val="24"/>
          <w:szCs w:val="24"/>
        </w:rPr>
      </w:pPr>
      <w:r>
        <w:rPr>
          <w:b/>
          <w:bCs/>
          <w:sz w:val="24"/>
          <w:szCs w:val="24"/>
        </w:rPr>
        <w:t xml:space="preserve">Black, J. </w:t>
      </w:r>
      <w:r w:rsidRPr="007769CA">
        <w:rPr>
          <w:bCs/>
          <w:sz w:val="24"/>
          <w:szCs w:val="24"/>
        </w:rPr>
        <w:t>(2008),</w:t>
      </w:r>
      <w:r>
        <w:rPr>
          <w:bCs/>
          <w:sz w:val="24"/>
          <w:szCs w:val="24"/>
        </w:rPr>
        <w:t xml:space="preserve"> Forms and paradoxes of principles based regulation, </w:t>
      </w:r>
      <w:r w:rsidRPr="0051456D">
        <w:rPr>
          <w:bCs/>
          <w:sz w:val="24"/>
          <w:szCs w:val="24"/>
        </w:rPr>
        <w:t>Capital Markets Law Journal</w:t>
      </w:r>
      <w:r>
        <w:rPr>
          <w:bCs/>
          <w:sz w:val="24"/>
          <w:szCs w:val="24"/>
        </w:rPr>
        <w:t>, 3, 4 pp 425 - 457.</w:t>
      </w:r>
    </w:p>
    <w:p w:rsidR="00A2791B" w:rsidRDefault="00A2791B" w:rsidP="00A2791B">
      <w:pPr>
        <w:jc w:val="both"/>
        <w:rPr>
          <w:b/>
          <w:bCs/>
          <w:sz w:val="24"/>
          <w:szCs w:val="24"/>
        </w:rPr>
      </w:pPr>
    </w:p>
    <w:p w:rsidR="00A2791B" w:rsidRPr="00507BB8" w:rsidRDefault="00A2791B" w:rsidP="00A2791B">
      <w:pPr>
        <w:jc w:val="both"/>
        <w:rPr>
          <w:bCs/>
          <w:sz w:val="24"/>
          <w:szCs w:val="24"/>
        </w:rPr>
      </w:pPr>
      <w:r w:rsidRPr="00507BB8">
        <w:rPr>
          <w:b/>
          <w:bCs/>
          <w:sz w:val="24"/>
          <w:szCs w:val="24"/>
        </w:rPr>
        <w:t>Black, J.</w:t>
      </w:r>
      <w:r w:rsidRPr="00507BB8">
        <w:rPr>
          <w:bCs/>
          <w:sz w:val="24"/>
          <w:szCs w:val="24"/>
        </w:rPr>
        <w:t xml:space="preserve"> (2010), The Rise, Fall, and Fate of Principles-Based Regulation, LSE Law, Society and Economy Working Papers 17/2010, available at </w:t>
      </w:r>
      <w:hyperlink r:id="rId38" w:history="1">
        <w:r w:rsidRPr="00507BB8">
          <w:rPr>
            <w:rStyle w:val="Hyperlink"/>
            <w:bCs/>
            <w:sz w:val="24"/>
            <w:szCs w:val="24"/>
          </w:rPr>
          <w:t>http://www.lse.ac.uk/collections/law/wps/WPS2010-17_Black.pdf</w:t>
        </w:r>
      </w:hyperlink>
      <w:r w:rsidRPr="00507BB8">
        <w:rPr>
          <w:bCs/>
          <w:sz w:val="24"/>
          <w:szCs w:val="24"/>
        </w:rPr>
        <w:t xml:space="preserve"> (last accessed </w:t>
      </w:r>
      <w:r>
        <w:rPr>
          <w:bCs/>
          <w:sz w:val="24"/>
          <w:szCs w:val="24"/>
        </w:rPr>
        <w:t>15</w:t>
      </w:r>
      <w:r w:rsidRPr="00507BB8">
        <w:rPr>
          <w:bCs/>
          <w:sz w:val="24"/>
          <w:szCs w:val="24"/>
        </w:rPr>
        <w:t xml:space="preserve">th </w:t>
      </w:r>
      <w:r>
        <w:rPr>
          <w:bCs/>
          <w:sz w:val="24"/>
          <w:szCs w:val="24"/>
        </w:rPr>
        <w:t>May</w:t>
      </w:r>
      <w:r w:rsidRPr="00507BB8">
        <w:rPr>
          <w:bCs/>
          <w:sz w:val="24"/>
          <w:szCs w:val="24"/>
        </w:rPr>
        <w:t xml:space="preserve"> 2015).</w:t>
      </w:r>
    </w:p>
    <w:p w:rsidR="00A2791B" w:rsidRDefault="00A2791B" w:rsidP="005F6735">
      <w:pPr>
        <w:jc w:val="both"/>
        <w:rPr>
          <w:b/>
          <w:bCs/>
          <w:sz w:val="24"/>
          <w:szCs w:val="24"/>
        </w:rPr>
      </w:pPr>
    </w:p>
    <w:p w:rsidR="00D809C1" w:rsidRDefault="00D809C1" w:rsidP="00D809C1">
      <w:pPr>
        <w:jc w:val="both"/>
        <w:rPr>
          <w:bCs/>
          <w:sz w:val="24"/>
          <w:szCs w:val="24"/>
        </w:rPr>
      </w:pPr>
      <w:r w:rsidRPr="004544CA">
        <w:rPr>
          <w:b/>
          <w:sz w:val="24"/>
          <w:szCs w:val="24"/>
        </w:rPr>
        <w:t>Blair, M, QC., Minghella, L., Taylor, M., Threipland, M.</w:t>
      </w:r>
      <w:r>
        <w:rPr>
          <w:b/>
          <w:sz w:val="24"/>
          <w:szCs w:val="24"/>
        </w:rPr>
        <w:t>, and Walker, G.</w:t>
      </w:r>
      <w:r w:rsidRPr="004544CA">
        <w:rPr>
          <w:bCs/>
          <w:sz w:val="24"/>
          <w:szCs w:val="24"/>
        </w:rPr>
        <w:t>(2001)</w:t>
      </w:r>
      <w:r w:rsidR="00680F3B">
        <w:rPr>
          <w:bCs/>
          <w:sz w:val="24"/>
          <w:szCs w:val="24"/>
        </w:rPr>
        <w:t>,</w:t>
      </w:r>
      <w:r>
        <w:rPr>
          <w:bCs/>
          <w:sz w:val="24"/>
          <w:szCs w:val="24"/>
        </w:rPr>
        <w:t xml:space="preserve"> Blackstones guide to the Financial Services and Markets Act 2000. Blackstone Press Limited: London.</w:t>
      </w:r>
    </w:p>
    <w:p w:rsidR="009C1755" w:rsidRDefault="009C1755" w:rsidP="00D809C1">
      <w:pPr>
        <w:jc w:val="both"/>
        <w:rPr>
          <w:bCs/>
          <w:sz w:val="24"/>
          <w:szCs w:val="24"/>
        </w:rPr>
      </w:pPr>
    </w:p>
    <w:p w:rsidR="009C1755" w:rsidRPr="009C1755" w:rsidRDefault="009C1755" w:rsidP="00D809C1">
      <w:pPr>
        <w:jc w:val="both"/>
        <w:rPr>
          <w:sz w:val="24"/>
          <w:szCs w:val="24"/>
        </w:rPr>
      </w:pPr>
      <w:r w:rsidRPr="009C1755">
        <w:rPr>
          <w:b/>
          <w:sz w:val="24"/>
          <w:szCs w:val="24"/>
        </w:rPr>
        <w:lastRenderedPageBreak/>
        <w:t>Board of Banking Supervision</w:t>
      </w:r>
      <w:r w:rsidRPr="009C1755">
        <w:rPr>
          <w:sz w:val="24"/>
          <w:szCs w:val="24"/>
        </w:rPr>
        <w:t xml:space="preserve"> (1995)</w:t>
      </w:r>
      <w:r w:rsidR="00680F3B">
        <w:rPr>
          <w:sz w:val="24"/>
          <w:szCs w:val="24"/>
        </w:rPr>
        <w:t>,</w:t>
      </w:r>
      <w:r w:rsidRPr="009C1755">
        <w:rPr>
          <w:sz w:val="24"/>
          <w:szCs w:val="24"/>
        </w:rPr>
        <w:t xml:space="preserve"> Report of the Board of Banking Supervision inquiry into the circumstances of the collapse of Barings, July 1995</w:t>
      </w:r>
      <w:r>
        <w:rPr>
          <w:sz w:val="24"/>
          <w:szCs w:val="24"/>
        </w:rPr>
        <w:t xml:space="preserve">, available at </w:t>
      </w:r>
      <w:hyperlink r:id="rId39" w:history="1">
        <w:r w:rsidRPr="00B17872">
          <w:rPr>
            <w:rStyle w:val="Hyperlink"/>
            <w:sz w:val="24"/>
            <w:szCs w:val="24"/>
          </w:rPr>
          <w:t>https://www.gov.uk/government/uploads/system/uploads/attachment_data/file/235622/0673.pdf</w:t>
        </w:r>
      </w:hyperlink>
      <w:r>
        <w:rPr>
          <w:sz w:val="24"/>
          <w:szCs w:val="24"/>
        </w:rPr>
        <w:t xml:space="preserve"> (last accessed 25th July 2015).</w:t>
      </w:r>
    </w:p>
    <w:p w:rsidR="009C1755" w:rsidRPr="004544CA" w:rsidRDefault="009C1755" w:rsidP="00D809C1">
      <w:pPr>
        <w:jc w:val="both"/>
        <w:rPr>
          <w:bCs/>
          <w:sz w:val="24"/>
          <w:szCs w:val="24"/>
        </w:rPr>
      </w:pPr>
    </w:p>
    <w:p w:rsidR="005F6735" w:rsidRDefault="005F6735" w:rsidP="005F6735">
      <w:pPr>
        <w:jc w:val="both"/>
        <w:rPr>
          <w:sz w:val="24"/>
          <w:szCs w:val="24"/>
        </w:rPr>
      </w:pPr>
      <w:r w:rsidRPr="0095485C">
        <w:rPr>
          <w:b/>
          <w:bCs/>
          <w:sz w:val="24"/>
          <w:szCs w:val="24"/>
        </w:rPr>
        <w:t>Briault, C</w:t>
      </w:r>
      <w:r>
        <w:rPr>
          <w:b/>
          <w:bCs/>
          <w:sz w:val="24"/>
          <w:szCs w:val="24"/>
        </w:rPr>
        <w:t>.</w:t>
      </w:r>
      <w:r>
        <w:rPr>
          <w:sz w:val="24"/>
          <w:szCs w:val="24"/>
        </w:rPr>
        <w:t xml:space="preserve"> (1999), The rationale for a single financial services regulator, FSA Occasional Paper 2, May 1999</w:t>
      </w:r>
      <w:r w:rsidR="008C2C51">
        <w:rPr>
          <w:sz w:val="24"/>
          <w:szCs w:val="24"/>
        </w:rPr>
        <w:t xml:space="preserve">, available at </w:t>
      </w:r>
      <w:r w:rsidR="008C2C51" w:rsidRPr="008C2C51">
        <w:rPr>
          <w:color w:val="003366"/>
          <w:sz w:val="24"/>
          <w:szCs w:val="24"/>
        </w:rPr>
        <w:t xml:space="preserve">SSRN: </w:t>
      </w:r>
      <w:hyperlink r:id="rId40" w:tgtFrame="_blank" w:history="1">
        <w:r w:rsidR="008C2C51" w:rsidRPr="008C2C51">
          <w:rPr>
            <w:rStyle w:val="Hyperlink"/>
            <w:sz w:val="24"/>
            <w:szCs w:val="24"/>
          </w:rPr>
          <w:t>http://ssrn.com/abstract=428086</w:t>
        </w:r>
      </w:hyperlink>
      <w:r w:rsidR="00B92A36">
        <w:rPr>
          <w:sz w:val="24"/>
          <w:szCs w:val="24"/>
        </w:rPr>
        <w:t xml:space="preserve">, </w:t>
      </w:r>
      <w:r w:rsidR="008C2C51">
        <w:rPr>
          <w:sz w:val="24"/>
          <w:szCs w:val="24"/>
        </w:rPr>
        <w:t>(last accessed 25</w:t>
      </w:r>
      <w:r w:rsidR="008C2C51" w:rsidRPr="008C2C51">
        <w:rPr>
          <w:sz w:val="24"/>
          <w:szCs w:val="24"/>
          <w:vertAlign w:val="superscript"/>
        </w:rPr>
        <w:t>th</w:t>
      </w:r>
      <w:r w:rsidR="008C2C51">
        <w:rPr>
          <w:sz w:val="24"/>
          <w:szCs w:val="24"/>
        </w:rPr>
        <w:t xml:space="preserve"> July 2015).</w:t>
      </w:r>
    </w:p>
    <w:p w:rsidR="005F6735" w:rsidRDefault="005F6735" w:rsidP="005F6735">
      <w:pPr>
        <w:jc w:val="both"/>
        <w:rPr>
          <w:sz w:val="24"/>
          <w:szCs w:val="24"/>
        </w:rPr>
      </w:pPr>
    </w:p>
    <w:p w:rsidR="005F6735" w:rsidRDefault="005F6735" w:rsidP="005F6735">
      <w:pPr>
        <w:jc w:val="both"/>
        <w:rPr>
          <w:sz w:val="24"/>
          <w:szCs w:val="24"/>
        </w:rPr>
      </w:pPr>
      <w:r w:rsidRPr="0095485C">
        <w:rPr>
          <w:b/>
          <w:bCs/>
          <w:sz w:val="24"/>
          <w:szCs w:val="24"/>
        </w:rPr>
        <w:t>Briault, C</w:t>
      </w:r>
      <w:r>
        <w:rPr>
          <w:b/>
          <w:bCs/>
          <w:sz w:val="24"/>
          <w:szCs w:val="24"/>
        </w:rPr>
        <w:t>.</w:t>
      </w:r>
      <w:r>
        <w:rPr>
          <w:sz w:val="24"/>
          <w:szCs w:val="24"/>
        </w:rPr>
        <w:t xml:space="preserve"> (2002), Revisiting the rationale for a single financial services regulator, FSA Occasional Paper 16, February 2002</w:t>
      </w:r>
      <w:r w:rsidR="008C2C51">
        <w:rPr>
          <w:sz w:val="24"/>
          <w:szCs w:val="24"/>
        </w:rPr>
        <w:t xml:space="preserve">, available at </w:t>
      </w:r>
      <w:hyperlink r:id="rId41" w:history="1">
        <w:r w:rsidR="008C2C51" w:rsidRPr="00B17872">
          <w:rPr>
            <w:rStyle w:val="Hyperlink"/>
            <w:sz w:val="24"/>
            <w:szCs w:val="24"/>
          </w:rPr>
          <w:t>http://www.fsa.gov.uk/pubs/occpapers/op16.pdf</w:t>
        </w:r>
      </w:hyperlink>
      <w:r w:rsidR="008C2C51">
        <w:rPr>
          <w:sz w:val="24"/>
          <w:szCs w:val="24"/>
        </w:rPr>
        <w:t xml:space="preserve"> (last accessed 25th July 2015)</w:t>
      </w:r>
      <w:r>
        <w:rPr>
          <w:sz w:val="24"/>
          <w:szCs w:val="24"/>
        </w:rPr>
        <w:t xml:space="preserve">. </w:t>
      </w:r>
    </w:p>
    <w:p w:rsidR="005F6735" w:rsidRDefault="005F6735" w:rsidP="00352DFC">
      <w:pPr>
        <w:jc w:val="both"/>
        <w:rPr>
          <w:b/>
          <w:bCs/>
          <w:sz w:val="24"/>
          <w:szCs w:val="24"/>
        </w:rPr>
      </w:pPr>
    </w:p>
    <w:p w:rsidR="00352DFC" w:rsidRDefault="00352DFC" w:rsidP="00352DFC">
      <w:pPr>
        <w:jc w:val="both"/>
        <w:rPr>
          <w:sz w:val="24"/>
          <w:szCs w:val="24"/>
        </w:rPr>
      </w:pPr>
      <w:r w:rsidRPr="002F2F3D">
        <w:rPr>
          <w:b/>
          <w:bCs/>
          <w:sz w:val="24"/>
          <w:szCs w:val="24"/>
        </w:rPr>
        <w:t>Brown, A</w:t>
      </w:r>
      <w:r>
        <w:rPr>
          <w:b/>
          <w:bCs/>
          <w:sz w:val="24"/>
          <w:szCs w:val="24"/>
        </w:rPr>
        <w:t>.</w:t>
      </w:r>
      <w:r w:rsidRPr="002F2F3D">
        <w:rPr>
          <w:b/>
          <w:bCs/>
          <w:sz w:val="24"/>
          <w:szCs w:val="24"/>
        </w:rPr>
        <w:t>D.</w:t>
      </w:r>
      <w:r w:rsidRPr="002F2F3D">
        <w:rPr>
          <w:sz w:val="24"/>
          <w:szCs w:val="24"/>
        </w:rPr>
        <w:t xml:space="preserve"> (2005), Making sense of the collapse of Barings </w:t>
      </w:r>
      <w:r>
        <w:rPr>
          <w:sz w:val="24"/>
          <w:szCs w:val="24"/>
        </w:rPr>
        <w:t>b</w:t>
      </w:r>
      <w:r w:rsidRPr="002F2F3D">
        <w:rPr>
          <w:sz w:val="24"/>
          <w:szCs w:val="24"/>
        </w:rPr>
        <w:t xml:space="preserve">ank, </w:t>
      </w:r>
      <w:r w:rsidRPr="007541EA">
        <w:rPr>
          <w:i/>
          <w:sz w:val="24"/>
          <w:szCs w:val="24"/>
        </w:rPr>
        <w:t>Human Relations</w:t>
      </w:r>
      <w:r w:rsidRPr="002F2F3D">
        <w:rPr>
          <w:sz w:val="24"/>
          <w:szCs w:val="24"/>
        </w:rPr>
        <w:t>, 58, 12, pp1579-1604.</w:t>
      </w:r>
    </w:p>
    <w:p w:rsidR="00033978" w:rsidRPr="00C200D5" w:rsidRDefault="00033978" w:rsidP="00033978">
      <w:pPr>
        <w:pStyle w:val="FootnoteText"/>
        <w:rPr>
          <w:sz w:val="24"/>
          <w:szCs w:val="24"/>
        </w:rPr>
      </w:pPr>
      <w:r w:rsidRPr="00C200D5">
        <w:rPr>
          <w:b/>
          <w:sz w:val="24"/>
          <w:szCs w:val="24"/>
        </w:rPr>
        <w:t>Bryan, L.</w:t>
      </w:r>
      <w:r w:rsidRPr="00C200D5">
        <w:rPr>
          <w:sz w:val="24"/>
          <w:szCs w:val="24"/>
        </w:rPr>
        <w:t xml:space="preserve"> (1991), Core Banking, McKinsey Quarterly.</w:t>
      </w:r>
    </w:p>
    <w:p w:rsidR="0074539B" w:rsidRDefault="0074539B" w:rsidP="00A96C64">
      <w:pPr>
        <w:jc w:val="both"/>
        <w:rPr>
          <w:b/>
          <w:sz w:val="24"/>
          <w:szCs w:val="24"/>
        </w:rPr>
      </w:pPr>
    </w:p>
    <w:p w:rsidR="00A26849" w:rsidRDefault="00A26849" w:rsidP="00A96C64">
      <w:pPr>
        <w:jc w:val="both"/>
        <w:rPr>
          <w:sz w:val="24"/>
          <w:szCs w:val="24"/>
        </w:rPr>
      </w:pPr>
      <w:r w:rsidRPr="00A26849">
        <w:rPr>
          <w:b/>
          <w:sz w:val="24"/>
          <w:szCs w:val="24"/>
        </w:rPr>
        <w:t>Chow, J.T.S., and Surti, J.</w:t>
      </w:r>
      <w:r w:rsidRPr="00A26849">
        <w:rPr>
          <w:sz w:val="24"/>
          <w:szCs w:val="24"/>
        </w:rPr>
        <w:t xml:space="preserve"> (2011), Making banks safer: can Volcker and Vickers do it, IMF Working Paper</w:t>
      </w:r>
      <w:r w:rsidR="00680F3B">
        <w:rPr>
          <w:sz w:val="24"/>
          <w:szCs w:val="24"/>
        </w:rPr>
        <w:t xml:space="preserve">, available at </w:t>
      </w:r>
      <w:hyperlink r:id="rId42" w:history="1">
        <w:r w:rsidR="0051456D" w:rsidRPr="00913F37">
          <w:rPr>
            <w:rStyle w:val="Hyperlink"/>
            <w:sz w:val="24"/>
            <w:szCs w:val="24"/>
          </w:rPr>
          <w:t>https://www.imf.org/external/pubs/ft/wp/2011/wp11236.pdf</w:t>
        </w:r>
      </w:hyperlink>
      <w:r w:rsidR="00B41250">
        <w:t xml:space="preserve"> </w:t>
      </w:r>
      <w:r w:rsidR="00680F3B">
        <w:rPr>
          <w:sz w:val="24"/>
          <w:szCs w:val="24"/>
        </w:rPr>
        <w:t xml:space="preserve">(last accessed on </w:t>
      </w:r>
      <w:r w:rsidR="0051456D">
        <w:rPr>
          <w:sz w:val="24"/>
          <w:szCs w:val="24"/>
        </w:rPr>
        <w:t>29th August 2015</w:t>
      </w:r>
      <w:r w:rsidR="00680F3B">
        <w:rPr>
          <w:sz w:val="24"/>
          <w:szCs w:val="24"/>
        </w:rPr>
        <w:t>)</w:t>
      </w:r>
      <w:r w:rsidR="00434B1A">
        <w:rPr>
          <w:sz w:val="24"/>
          <w:szCs w:val="24"/>
        </w:rPr>
        <w:t>.</w:t>
      </w:r>
    </w:p>
    <w:p w:rsidR="00602AA3" w:rsidRPr="00A96C64" w:rsidRDefault="00602AA3" w:rsidP="00A96C64">
      <w:pPr>
        <w:jc w:val="both"/>
        <w:rPr>
          <w:sz w:val="24"/>
          <w:szCs w:val="24"/>
        </w:rPr>
      </w:pPr>
    </w:p>
    <w:p w:rsidR="00DE2CAD" w:rsidRDefault="00DE2CAD" w:rsidP="00A96C64">
      <w:pPr>
        <w:jc w:val="both"/>
        <w:rPr>
          <w:b/>
          <w:sz w:val="24"/>
          <w:szCs w:val="24"/>
        </w:rPr>
      </w:pPr>
      <w:r>
        <w:rPr>
          <w:b/>
          <w:sz w:val="24"/>
          <w:szCs w:val="24"/>
        </w:rPr>
        <w:t xml:space="preserve">Committee of European Banking Supervisors </w:t>
      </w:r>
      <w:r w:rsidRPr="00DE2CAD">
        <w:rPr>
          <w:sz w:val="24"/>
          <w:szCs w:val="24"/>
        </w:rPr>
        <w:t>(2010)</w:t>
      </w:r>
      <w:r>
        <w:rPr>
          <w:sz w:val="24"/>
          <w:szCs w:val="24"/>
        </w:rPr>
        <w:t xml:space="preserve">, Guidelines on Stress Testing, available at </w:t>
      </w:r>
      <w:hyperlink r:id="rId43" w:history="1">
        <w:r w:rsidRPr="006E1381">
          <w:rPr>
            <w:rStyle w:val="Hyperlink"/>
            <w:sz w:val="24"/>
            <w:szCs w:val="24"/>
          </w:rPr>
          <w:t>http://www.eba.europa.eu/documents/10180/16094/ST_Guidelines.pdf</w:t>
        </w:r>
      </w:hyperlink>
      <w:r>
        <w:rPr>
          <w:sz w:val="24"/>
          <w:szCs w:val="24"/>
        </w:rPr>
        <w:t xml:space="preserve"> (last accessed on 29th August 2015).</w:t>
      </w:r>
    </w:p>
    <w:p w:rsidR="00DE2CAD" w:rsidRDefault="00DE2CAD" w:rsidP="00A96C64">
      <w:pPr>
        <w:jc w:val="both"/>
        <w:rPr>
          <w:b/>
          <w:sz w:val="24"/>
          <w:szCs w:val="24"/>
        </w:rPr>
      </w:pPr>
    </w:p>
    <w:p w:rsidR="0068213E" w:rsidRDefault="0068213E" w:rsidP="00A96C64">
      <w:pPr>
        <w:jc w:val="both"/>
      </w:pPr>
      <w:r w:rsidRPr="00A96C64">
        <w:rPr>
          <w:b/>
          <w:sz w:val="24"/>
          <w:szCs w:val="24"/>
        </w:rPr>
        <w:t xml:space="preserve">Committee </w:t>
      </w:r>
      <w:r w:rsidRPr="0068213E">
        <w:rPr>
          <w:b/>
          <w:sz w:val="24"/>
          <w:szCs w:val="24"/>
        </w:rPr>
        <w:t>of the Sponsoring Organisations of the Treadway Commission</w:t>
      </w:r>
      <w:r w:rsidRPr="0068213E">
        <w:rPr>
          <w:sz w:val="24"/>
          <w:szCs w:val="24"/>
        </w:rPr>
        <w:t xml:space="preserve"> (1992), Internal Control - Integrated Framework, </w:t>
      </w:r>
      <w:hyperlink r:id="rId44" w:history="1">
        <w:r w:rsidRPr="0068213E">
          <w:rPr>
            <w:rStyle w:val="Hyperlink"/>
            <w:sz w:val="24"/>
            <w:szCs w:val="24"/>
          </w:rPr>
          <w:t>www.coso.org</w:t>
        </w:r>
      </w:hyperlink>
      <w:r w:rsidR="00A029B5">
        <w:t>.</w:t>
      </w:r>
    </w:p>
    <w:p w:rsidR="00A96C64" w:rsidRPr="0068213E" w:rsidRDefault="00A96C64" w:rsidP="00A96C64">
      <w:pPr>
        <w:jc w:val="both"/>
        <w:rPr>
          <w:sz w:val="24"/>
          <w:szCs w:val="24"/>
        </w:rPr>
      </w:pPr>
    </w:p>
    <w:p w:rsidR="0068213E" w:rsidRDefault="0068213E" w:rsidP="00A029B5">
      <w:pPr>
        <w:pStyle w:val="EndnoteText"/>
        <w:spacing w:after="0" w:line="240" w:lineRule="auto"/>
        <w:jc w:val="both"/>
      </w:pPr>
      <w:r w:rsidRPr="0068213E">
        <w:rPr>
          <w:b/>
          <w:sz w:val="24"/>
          <w:szCs w:val="24"/>
        </w:rPr>
        <w:t>Committee of the Sponsoring Organisations of the Treadway Commission</w:t>
      </w:r>
      <w:r w:rsidRPr="0068213E">
        <w:rPr>
          <w:sz w:val="24"/>
          <w:szCs w:val="24"/>
        </w:rPr>
        <w:t xml:space="preserve"> (2004), Enterprise Risk Management - Integrated Framework, </w:t>
      </w:r>
      <w:hyperlink r:id="rId45" w:history="1">
        <w:r w:rsidRPr="0068213E">
          <w:rPr>
            <w:rStyle w:val="Hyperlink"/>
            <w:sz w:val="24"/>
            <w:szCs w:val="24"/>
          </w:rPr>
          <w:t>www.coso.org</w:t>
        </w:r>
      </w:hyperlink>
      <w:r w:rsidR="00A029B5">
        <w:t>.</w:t>
      </w:r>
    </w:p>
    <w:p w:rsidR="00A96C64" w:rsidRPr="0068213E" w:rsidRDefault="00A96C64" w:rsidP="00A96C64">
      <w:pPr>
        <w:pStyle w:val="EndnoteText"/>
        <w:spacing w:after="0" w:line="240" w:lineRule="auto"/>
        <w:rPr>
          <w:sz w:val="24"/>
          <w:szCs w:val="24"/>
        </w:rPr>
      </w:pPr>
    </w:p>
    <w:p w:rsidR="000C2DA4" w:rsidRPr="000C2DA4" w:rsidRDefault="000C2DA4" w:rsidP="00CF42AD">
      <w:pPr>
        <w:jc w:val="both"/>
        <w:rPr>
          <w:sz w:val="24"/>
          <w:szCs w:val="24"/>
        </w:rPr>
      </w:pPr>
      <w:r w:rsidRPr="000C2DA4">
        <w:rPr>
          <w:b/>
          <w:sz w:val="24"/>
          <w:szCs w:val="24"/>
        </w:rPr>
        <w:t>Crotty, J.</w:t>
      </w:r>
      <w:r w:rsidRPr="000C2DA4">
        <w:rPr>
          <w:sz w:val="24"/>
          <w:szCs w:val="24"/>
        </w:rPr>
        <w:t xml:space="preserve"> (2009), Structural causes of the global financial crisis: a critical assessment of the ‘new financial architecture’ Cambridge Journal of Economics, 33, pp 563-580.</w:t>
      </w:r>
    </w:p>
    <w:p w:rsidR="000C2DA4" w:rsidRDefault="000C2DA4" w:rsidP="00CF42AD">
      <w:pPr>
        <w:jc w:val="both"/>
      </w:pPr>
    </w:p>
    <w:p w:rsidR="00516123" w:rsidRDefault="00516123" w:rsidP="00CF42AD">
      <w:pPr>
        <w:jc w:val="both"/>
        <w:rPr>
          <w:b/>
          <w:sz w:val="24"/>
          <w:szCs w:val="24"/>
        </w:rPr>
      </w:pPr>
      <w:r>
        <w:rPr>
          <w:b/>
          <w:sz w:val="24"/>
          <w:szCs w:val="24"/>
        </w:rPr>
        <w:t xml:space="preserve">Cunliffe, Sir Jon </w:t>
      </w:r>
      <w:r w:rsidRPr="00516123">
        <w:rPr>
          <w:sz w:val="24"/>
          <w:szCs w:val="24"/>
        </w:rPr>
        <w:t>(2015)</w:t>
      </w:r>
      <w:r>
        <w:rPr>
          <w:sz w:val="24"/>
          <w:szCs w:val="24"/>
        </w:rPr>
        <w:t>, Macro-prudential policy: from Tiberius to Crockett and beyond, available at</w:t>
      </w:r>
      <w:r w:rsidR="00B41250">
        <w:rPr>
          <w:sz w:val="24"/>
          <w:szCs w:val="24"/>
        </w:rPr>
        <w:t xml:space="preserve"> </w:t>
      </w:r>
      <w:hyperlink r:id="rId46" w:history="1">
        <w:r w:rsidR="0051456D" w:rsidRPr="00913F37">
          <w:rPr>
            <w:rStyle w:val="Hyperlink"/>
            <w:sz w:val="24"/>
            <w:szCs w:val="24"/>
          </w:rPr>
          <w:t>http://www.bankofengland.co.uk/publications/Documents/speeches/2015/speech836.pdf</w:t>
        </w:r>
      </w:hyperlink>
      <w:r w:rsidR="00B41250">
        <w:t xml:space="preserve"> </w:t>
      </w:r>
      <w:r>
        <w:rPr>
          <w:sz w:val="24"/>
          <w:szCs w:val="24"/>
        </w:rPr>
        <w:t xml:space="preserve">(last accessed on </w:t>
      </w:r>
      <w:r w:rsidR="0051456D">
        <w:rPr>
          <w:sz w:val="24"/>
          <w:szCs w:val="24"/>
        </w:rPr>
        <w:t>29th August 2015</w:t>
      </w:r>
      <w:r>
        <w:rPr>
          <w:sz w:val="24"/>
          <w:szCs w:val="24"/>
        </w:rPr>
        <w:t>)</w:t>
      </w:r>
      <w:r w:rsidR="0051456D">
        <w:rPr>
          <w:sz w:val="24"/>
          <w:szCs w:val="24"/>
        </w:rPr>
        <w:t>.</w:t>
      </w:r>
    </w:p>
    <w:p w:rsidR="00516123" w:rsidRDefault="00516123" w:rsidP="00CF42AD">
      <w:pPr>
        <w:jc w:val="both"/>
        <w:rPr>
          <w:b/>
          <w:sz w:val="24"/>
          <w:szCs w:val="24"/>
        </w:rPr>
      </w:pPr>
    </w:p>
    <w:p w:rsidR="00CF42AD" w:rsidRDefault="00CF42AD" w:rsidP="00CF42AD">
      <w:pPr>
        <w:jc w:val="both"/>
        <w:rPr>
          <w:sz w:val="24"/>
          <w:szCs w:val="24"/>
        </w:rPr>
      </w:pPr>
      <w:r w:rsidRPr="00534803">
        <w:rPr>
          <w:b/>
          <w:sz w:val="24"/>
          <w:szCs w:val="24"/>
        </w:rPr>
        <w:t>Davies, H.</w:t>
      </w:r>
      <w:r>
        <w:rPr>
          <w:sz w:val="24"/>
          <w:szCs w:val="24"/>
        </w:rPr>
        <w:t xml:space="preserve"> (2010), </w:t>
      </w:r>
      <w:r w:rsidRPr="00534803">
        <w:rPr>
          <w:sz w:val="24"/>
          <w:szCs w:val="24"/>
        </w:rPr>
        <w:t>The Financial Crisis: Who is to blame?</w:t>
      </w:r>
      <w:r>
        <w:rPr>
          <w:sz w:val="24"/>
          <w:szCs w:val="24"/>
        </w:rPr>
        <w:t xml:space="preserve">, </w:t>
      </w:r>
      <w:r w:rsidRPr="00534803">
        <w:rPr>
          <w:sz w:val="24"/>
          <w:szCs w:val="24"/>
        </w:rPr>
        <w:t>Polity Press: Cambridge</w:t>
      </w:r>
      <w:r>
        <w:rPr>
          <w:sz w:val="24"/>
          <w:szCs w:val="24"/>
        </w:rPr>
        <w:t>.</w:t>
      </w:r>
    </w:p>
    <w:p w:rsidR="00CF42AD" w:rsidRDefault="00CF42AD" w:rsidP="00CF42AD">
      <w:pPr>
        <w:jc w:val="both"/>
        <w:rPr>
          <w:sz w:val="24"/>
          <w:szCs w:val="24"/>
        </w:rPr>
      </w:pPr>
    </w:p>
    <w:p w:rsidR="00626E81" w:rsidRDefault="00626E81" w:rsidP="00A96C64">
      <w:pPr>
        <w:pStyle w:val="EndnoteText"/>
        <w:spacing w:after="0" w:line="240" w:lineRule="auto"/>
        <w:jc w:val="both"/>
        <w:rPr>
          <w:sz w:val="24"/>
          <w:szCs w:val="24"/>
        </w:rPr>
      </w:pPr>
      <w:r>
        <w:rPr>
          <w:b/>
          <w:sz w:val="24"/>
          <w:szCs w:val="24"/>
        </w:rPr>
        <w:t xml:space="preserve">de Larosière, J. </w:t>
      </w:r>
      <w:r w:rsidRPr="009A4A3B">
        <w:rPr>
          <w:sz w:val="24"/>
          <w:szCs w:val="24"/>
        </w:rPr>
        <w:t>(2009)</w:t>
      </w:r>
      <w:r>
        <w:rPr>
          <w:sz w:val="24"/>
          <w:szCs w:val="24"/>
        </w:rPr>
        <w:t xml:space="preserve">, The High-Level Group on Financial Supervision in the EU, available at </w:t>
      </w:r>
      <w:hyperlink r:id="rId47" w:history="1">
        <w:r w:rsidRPr="00241555">
          <w:rPr>
            <w:rStyle w:val="Hyperlink"/>
            <w:sz w:val="24"/>
            <w:szCs w:val="24"/>
          </w:rPr>
          <w:t>http://ec.europa.eu/finance/general-policy/docs/de_larosiere_report_en.pdf</w:t>
        </w:r>
      </w:hyperlink>
      <w:r>
        <w:rPr>
          <w:sz w:val="24"/>
          <w:szCs w:val="24"/>
        </w:rPr>
        <w:t xml:space="preserve"> (last accessed 1st May 2015).</w:t>
      </w:r>
    </w:p>
    <w:p w:rsidR="00A96C64" w:rsidRPr="009A4A3B" w:rsidRDefault="00A96C64" w:rsidP="00A96C64">
      <w:pPr>
        <w:pStyle w:val="EndnoteText"/>
        <w:spacing w:after="0" w:line="240" w:lineRule="auto"/>
        <w:jc w:val="both"/>
        <w:rPr>
          <w:sz w:val="24"/>
          <w:szCs w:val="24"/>
        </w:rPr>
      </w:pPr>
    </w:p>
    <w:p w:rsidR="00BF6ADB" w:rsidRPr="00BF6ADB" w:rsidRDefault="00BF6ADB" w:rsidP="00BF6ADB">
      <w:pPr>
        <w:jc w:val="both"/>
        <w:rPr>
          <w:sz w:val="24"/>
          <w:szCs w:val="24"/>
        </w:rPr>
      </w:pPr>
      <w:r w:rsidRPr="00BF6ADB">
        <w:rPr>
          <w:b/>
          <w:sz w:val="24"/>
          <w:szCs w:val="24"/>
        </w:rPr>
        <w:t>Deloitte</w:t>
      </w:r>
      <w:r w:rsidRPr="00BF6ADB">
        <w:rPr>
          <w:sz w:val="24"/>
          <w:szCs w:val="24"/>
        </w:rPr>
        <w:t xml:space="preserve"> (2013), Risk Appetite Frameworks: How to Spot the Genuine Article, July 2013, available at </w:t>
      </w:r>
      <w:hyperlink r:id="rId48" w:history="1">
        <w:r w:rsidRPr="00BF6ADB">
          <w:rPr>
            <w:rStyle w:val="Hyperlink"/>
            <w:sz w:val="24"/>
            <w:szCs w:val="24"/>
          </w:rPr>
          <w:t>http://www.deloitte.com/view/en_GB/uk/industries/financial-services/centre-regulatory-strategy/b414bf0026a7f310VgnVCM3000003456f70aRCRD.htm</w:t>
        </w:r>
      </w:hyperlink>
      <w:r w:rsidRPr="00BF6ADB">
        <w:rPr>
          <w:sz w:val="24"/>
          <w:szCs w:val="24"/>
        </w:rPr>
        <w:t xml:space="preserve"> (last accessed 18</w:t>
      </w:r>
      <w:r w:rsidRPr="00BF6ADB">
        <w:rPr>
          <w:sz w:val="24"/>
          <w:szCs w:val="24"/>
          <w:vertAlign w:val="superscript"/>
        </w:rPr>
        <w:t>th</w:t>
      </w:r>
      <w:r w:rsidRPr="00BF6ADB">
        <w:rPr>
          <w:sz w:val="24"/>
          <w:szCs w:val="24"/>
        </w:rPr>
        <w:t xml:space="preserve"> June 2015).</w:t>
      </w:r>
    </w:p>
    <w:p w:rsidR="00BF6ADB" w:rsidRDefault="00BF6ADB" w:rsidP="00CF42AD">
      <w:pPr>
        <w:jc w:val="both"/>
        <w:rPr>
          <w:b/>
          <w:sz w:val="24"/>
          <w:szCs w:val="24"/>
        </w:rPr>
      </w:pPr>
    </w:p>
    <w:p w:rsidR="002625EC" w:rsidRPr="0051456D" w:rsidRDefault="002625EC" w:rsidP="0051456D">
      <w:pPr>
        <w:overflowPunct/>
        <w:textAlignment w:val="auto"/>
        <w:rPr>
          <w:sz w:val="24"/>
          <w:szCs w:val="24"/>
        </w:rPr>
      </w:pPr>
      <w:r w:rsidRPr="0051456D">
        <w:rPr>
          <w:b/>
          <w:sz w:val="24"/>
          <w:szCs w:val="24"/>
        </w:rPr>
        <w:lastRenderedPageBreak/>
        <w:t xml:space="preserve">Düllmann, </w:t>
      </w:r>
      <w:r w:rsidR="0051456D" w:rsidRPr="0051456D">
        <w:rPr>
          <w:b/>
          <w:sz w:val="24"/>
          <w:szCs w:val="24"/>
        </w:rPr>
        <w:t xml:space="preserve">K., </w:t>
      </w:r>
      <w:r w:rsidRPr="0051456D">
        <w:rPr>
          <w:b/>
          <w:sz w:val="24"/>
          <w:szCs w:val="24"/>
        </w:rPr>
        <w:t>and Masschelein</w:t>
      </w:r>
      <w:r w:rsidR="0051456D" w:rsidRPr="0051456D">
        <w:rPr>
          <w:b/>
          <w:sz w:val="24"/>
          <w:szCs w:val="24"/>
        </w:rPr>
        <w:t>, N</w:t>
      </w:r>
      <w:r w:rsidR="0051456D">
        <w:rPr>
          <w:sz w:val="24"/>
          <w:szCs w:val="24"/>
        </w:rPr>
        <w:t xml:space="preserve">. (2007), </w:t>
      </w:r>
      <w:r w:rsidRPr="0051456D">
        <w:rPr>
          <w:sz w:val="24"/>
          <w:szCs w:val="24"/>
        </w:rPr>
        <w:t>A tractable model to measure sector concentration risk in credit portfolios</w:t>
      </w:r>
      <w:r w:rsidR="0051456D">
        <w:rPr>
          <w:sz w:val="24"/>
          <w:szCs w:val="24"/>
        </w:rPr>
        <w:t xml:space="preserve">, </w:t>
      </w:r>
      <w:r w:rsidRPr="0051456D">
        <w:rPr>
          <w:sz w:val="24"/>
          <w:szCs w:val="24"/>
        </w:rPr>
        <w:t>Journal of Financial Services Research, 32,</w:t>
      </w:r>
      <w:r w:rsidR="0051456D">
        <w:rPr>
          <w:sz w:val="24"/>
          <w:szCs w:val="24"/>
        </w:rPr>
        <w:t xml:space="preserve"> pp </w:t>
      </w:r>
      <w:r w:rsidRPr="0051456D">
        <w:rPr>
          <w:sz w:val="24"/>
          <w:szCs w:val="24"/>
        </w:rPr>
        <w:t>55–79.</w:t>
      </w:r>
    </w:p>
    <w:p w:rsidR="002625EC" w:rsidRDefault="002625EC" w:rsidP="00CF42AD">
      <w:pPr>
        <w:jc w:val="both"/>
        <w:rPr>
          <w:b/>
          <w:sz w:val="24"/>
          <w:szCs w:val="24"/>
        </w:rPr>
      </w:pPr>
    </w:p>
    <w:p w:rsidR="00357559" w:rsidRPr="00357559" w:rsidRDefault="00357559" w:rsidP="00CF42AD">
      <w:pPr>
        <w:jc w:val="both"/>
        <w:rPr>
          <w:sz w:val="24"/>
          <w:szCs w:val="24"/>
        </w:rPr>
      </w:pPr>
      <w:r w:rsidRPr="00357559">
        <w:rPr>
          <w:b/>
          <w:sz w:val="24"/>
          <w:szCs w:val="24"/>
        </w:rPr>
        <w:t>Duffie, D.</w:t>
      </w:r>
      <w:r w:rsidRPr="00357559">
        <w:rPr>
          <w:sz w:val="24"/>
          <w:szCs w:val="24"/>
        </w:rPr>
        <w:t xml:space="preserve"> (2012), Drawing boundaries around and through the banking system, in World Economic Forum (ed), The Financial Development Report pp 39-46.</w:t>
      </w:r>
    </w:p>
    <w:p w:rsidR="00357559" w:rsidRPr="00A96C64" w:rsidRDefault="00357559" w:rsidP="00CF42AD">
      <w:pPr>
        <w:jc w:val="both"/>
        <w:rPr>
          <w:sz w:val="24"/>
          <w:szCs w:val="24"/>
        </w:rPr>
      </w:pPr>
    </w:p>
    <w:p w:rsidR="000C2DA4" w:rsidRDefault="000C2DA4" w:rsidP="00CF42AD">
      <w:pPr>
        <w:jc w:val="both"/>
        <w:rPr>
          <w:sz w:val="24"/>
          <w:szCs w:val="24"/>
        </w:rPr>
      </w:pPr>
      <w:r w:rsidRPr="00D95892">
        <w:rPr>
          <w:b/>
          <w:sz w:val="24"/>
          <w:szCs w:val="24"/>
        </w:rPr>
        <w:t>Ellinger, E.P.</w:t>
      </w:r>
      <w:r w:rsidRPr="00D95892">
        <w:rPr>
          <w:sz w:val="24"/>
          <w:szCs w:val="24"/>
        </w:rPr>
        <w:t xml:space="preserve"> (1994) The bank as a fiduciary and as a constructive trustee</w:t>
      </w:r>
      <w:r>
        <w:rPr>
          <w:sz w:val="24"/>
          <w:szCs w:val="24"/>
        </w:rPr>
        <w:t>,</w:t>
      </w:r>
      <w:r w:rsidR="00B41250">
        <w:rPr>
          <w:sz w:val="24"/>
          <w:szCs w:val="24"/>
        </w:rPr>
        <w:t xml:space="preserve"> </w:t>
      </w:r>
      <w:r w:rsidRPr="0051456D">
        <w:rPr>
          <w:sz w:val="24"/>
          <w:szCs w:val="24"/>
        </w:rPr>
        <w:t>Banking and Finance Law Review</w:t>
      </w:r>
      <w:r w:rsidRPr="00D95892">
        <w:rPr>
          <w:sz w:val="24"/>
          <w:szCs w:val="24"/>
        </w:rPr>
        <w:t>, 9, pp 111-172.</w:t>
      </w:r>
    </w:p>
    <w:p w:rsidR="000C2DA4" w:rsidRDefault="000C2DA4" w:rsidP="00CF42AD">
      <w:pPr>
        <w:jc w:val="both"/>
        <w:rPr>
          <w:sz w:val="24"/>
          <w:szCs w:val="24"/>
        </w:rPr>
      </w:pPr>
    </w:p>
    <w:p w:rsidR="00CF42AD" w:rsidRDefault="00CF42AD" w:rsidP="00CF42AD">
      <w:pPr>
        <w:jc w:val="both"/>
        <w:rPr>
          <w:sz w:val="24"/>
          <w:szCs w:val="24"/>
        </w:rPr>
      </w:pPr>
      <w:r w:rsidRPr="00BC21C9">
        <w:rPr>
          <w:b/>
          <w:sz w:val="24"/>
          <w:szCs w:val="24"/>
        </w:rPr>
        <w:t>Enhanced Disclosure Task Force</w:t>
      </w:r>
      <w:r>
        <w:rPr>
          <w:sz w:val="24"/>
          <w:szCs w:val="24"/>
        </w:rPr>
        <w:t xml:space="preserve"> (2012), Enhancing the Risk Disclosure of Banks, 29</w:t>
      </w:r>
      <w:r w:rsidRPr="00BC21C9">
        <w:rPr>
          <w:sz w:val="24"/>
          <w:szCs w:val="24"/>
          <w:vertAlign w:val="superscript"/>
        </w:rPr>
        <w:t>th</w:t>
      </w:r>
      <w:r>
        <w:rPr>
          <w:sz w:val="24"/>
          <w:szCs w:val="24"/>
        </w:rPr>
        <w:t xml:space="preserve"> October 2012, available at </w:t>
      </w:r>
      <w:hyperlink r:id="rId49" w:history="1">
        <w:r w:rsidR="0051456D" w:rsidRPr="00913F37">
          <w:rPr>
            <w:rStyle w:val="Hyperlink"/>
            <w:sz w:val="24"/>
            <w:szCs w:val="24"/>
          </w:rPr>
          <w:t>http://www.financialstabilityboard.org/wp-content/uploads/r_121029.pdf?page_moved=1</w:t>
        </w:r>
      </w:hyperlink>
      <w:r w:rsidR="00B41250">
        <w:t xml:space="preserve"> </w:t>
      </w:r>
      <w:r>
        <w:rPr>
          <w:sz w:val="24"/>
          <w:szCs w:val="24"/>
        </w:rPr>
        <w:t xml:space="preserve">(last accessed </w:t>
      </w:r>
      <w:r w:rsidR="0051456D">
        <w:rPr>
          <w:sz w:val="24"/>
          <w:szCs w:val="24"/>
        </w:rPr>
        <w:t>29</w:t>
      </w:r>
      <w:r w:rsidR="0051456D" w:rsidRPr="0051456D">
        <w:rPr>
          <w:sz w:val="24"/>
          <w:szCs w:val="24"/>
          <w:vertAlign w:val="superscript"/>
        </w:rPr>
        <w:t>th</w:t>
      </w:r>
      <w:r w:rsidR="0051456D">
        <w:rPr>
          <w:sz w:val="24"/>
          <w:szCs w:val="24"/>
        </w:rPr>
        <w:t xml:space="preserve"> August 2015).</w:t>
      </w:r>
    </w:p>
    <w:p w:rsidR="00673BD8" w:rsidRDefault="00673BD8" w:rsidP="002832BC">
      <w:pPr>
        <w:pStyle w:val="FootnoteText"/>
        <w:jc w:val="both"/>
        <w:rPr>
          <w:sz w:val="24"/>
          <w:szCs w:val="24"/>
        </w:rPr>
      </w:pPr>
      <w:r>
        <w:rPr>
          <w:b/>
          <w:sz w:val="24"/>
          <w:szCs w:val="24"/>
        </w:rPr>
        <w:t xml:space="preserve">European Banking Authority </w:t>
      </w:r>
      <w:r w:rsidRPr="00673BD8">
        <w:rPr>
          <w:sz w:val="24"/>
          <w:szCs w:val="24"/>
        </w:rPr>
        <w:t>(2014)</w:t>
      </w:r>
      <w:r>
        <w:rPr>
          <w:sz w:val="24"/>
          <w:szCs w:val="24"/>
        </w:rPr>
        <w:t>, Guidelines on procedures and methodologies for the supervisory review and evaluation process (SREP), December 2014, available at</w:t>
      </w:r>
      <w:r w:rsidR="00B41250">
        <w:rPr>
          <w:sz w:val="24"/>
          <w:szCs w:val="24"/>
        </w:rPr>
        <w:t xml:space="preserve"> </w:t>
      </w:r>
      <w:hyperlink r:id="rId50" w:history="1">
        <w:r w:rsidR="002832BC" w:rsidRPr="00913F37">
          <w:rPr>
            <w:rStyle w:val="Hyperlink"/>
            <w:sz w:val="24"/>
            <w:szCs w:val="24"/>
          </w:rPr>
          <w:t>http://www.eba.europa.eu/documents/10180/935249/EBA-GL-2014-13+%28Guidelines+on+SREP+methodologies+and+processes%29.pdf/4b842c7e-3294-4947-94cd-ad7f94405d66</w:t>
        </w:r>
      </w:hyperlink>
      <w:r w:rsidR="00B41250">
        <w:t xml:space="preserve"> </w:t>
      </w:r>
      <w:r>
        <w:rPr>
          <w:sz w:val="24"/>
          <w:szCs w:val="24"/>
        </w:rPr>
        <w:t>(last accessed on</w:t>
      </w:r>
      <w:r w:rsidR="002832BC">
        <w:rPr>
          <w:sz w:val="24"/>
          <w:szCs w:val="24"/>
        </w:rPr>
        <w:t xml:space="preserve"> 29th August 2015</w:t>
      </w:r>
      <w:r>
        <w:rPr>
          <w:sz w:val="24"/>
          <w:szCs w:val="24"/>
        </w:rPr>
        <w:t>)</w:t>
      </w:r>
      <w:r w:rsidR="00A029B5">
        <w:rPr>
          <w:sz w:val="24"/>
          <w:szCs w:val="24"/>
        </w:rPr>
        <w:t>.</w:t>
      </w:r>
    </w:p>
    <w:p w:rsidR="008C1271" w:rsidRDefault="008C1271" w:rsidP="008C1271">
      <w:pPr>
        <w:pStyle w:val="FootnoteText"/>
        <w:jc w:val="both"/>
        <w:rPr>
          <w:sz w:val="24"/>
          <w:szCs w:val="24"/>
        </w:rPr>
      </w:pPr>
      <w:r w:rsidRPr="008C1271">
        <w:rPr>
          <w:b/>
          <w:sz w:val="24"/>
          <w:szCs w:val="24"/>
        </w:rPr>
        <w:t>European Banking Authority</w:t>
      </w:r>
      <w:r>
        <w:rPr>
          <w:sz w:val="24"/>
          <w:szCs w:val="24"/>
        </w:rPr>
        <w:t xml:space="preserve"> (2015), Discussion Paper: future of the IRB Approach, March 2015, available at </w:t>
      </w:r>
      <w:hyperlink r:id="rId51" w:history="1">
        <w:r w:rsidRPr="00913F37">
          <w:rPr>
            <w:rStyle w:val="Hyperlink"/>
            <w:sz w:val="24"/>
            <w:szCs w:val="24"/>
          </w:rPr>
          <w:t>http://www.bankofengland.co.uk/pra/Pages/authorisations/waivers/default.aspx</w:t>
        </w:r>
      </w:hyperlink>
      <w:r>
        <w:rPr>
          <w:sz w:val="24"/>
          <w:szCs w:val="24"/>
        </w:rPr>
        <w:t xml:space="preserve"> (last accessed 29th August 2015). </w:t>
      </w:r>
    </w:p>
    <w:p w:rsidR="00325EC8" w:rsidRDefault="00325EC8" w:rsidP="008C1271">
      <w:pPr>
        <w:pStyle w:val="FootnoteText"/>
        <w:jc w:val="both"/>
        <w:rPr>
          <w:sz w:val="24"/>
          <w:szCs w:val="24"/>
        </w:rPr>
      </w:pPr>
      <w:r w:rsidRPr="00325EC8">
        <w:rPr>
          <w:b/>
          <w:sz w:val="24"/>
          <w:szCs w:val="24"/>
        </w:rPr>
        <w:t>European Banking Authority, European Securities and Markets Authority, and European Insurance and Occupational Pensions Authority</w:t>
      </w:r>
      <w:r>
        <w:rPr>
          <w:sz w:val="24"/>
          <w:szCs w:val="24"/>
        </w:rPr>
        <w:t xml:space="preserve"> (</w:t>
      </w:r>
      <w:r w:rsidRPr="00325EC8">
        <w:rPr>
          <w:sz w:val="24"/>
          <w:szCs w:val="24"/>
        </w:rPr>
        <w:t>2015), Joint Consultation Paper ‘Draft Implementing Technical Standards on the allocation of credit assessments of ECAIs to an objective scale of credit quality steps under Article 109(a) of Directive 2009/138/EC, March 2015</w:t>
      </w:r>
      <w:r>
        <w:rPr>
          <w:sz w:val="24"/>
          <w:szCs w:val="24"/>
        </w:rPr>
        <w:t xml:space="preserve">, available at </w:t>
      </w:r>
      <w:hyperlink r:id="rId52" w:history="1">
        <w:r w:rsidRPr="00913F37">
          <w:rPr>
            <w:rStyle w:val="Hyperlink"/>
            <w:sz w:val="24"/>
            <w:szCs w:val="24"/>
          </w:rPr>
          <w:t>http://www.eba.europa.eu/documents/10180/1006707/JC+CP+2015+001+%28Joint+CP+on+draft+ITS+on+mapping+of+ECAIs+under+SII%29.pdf</w:t>
        </w:r>
      </w:hyperlink>
      <w:r>
        <w:rPr>
          <w:sz w:val="24"/>
          <w:szCs w:val="24"/>
        </w:rPr>
        <w:t xml:space="preserve"> (last accessed on 29</w:t>
      </w:r>
      <w:r w:rsidRPr="00325EC8">
        <w:rPr>
          <w:sz w:val="24"/>
          <w:szCs w:val="24"/>
          <w:vertAlign w:val="superscript"/>
        </w:rPr>
        <w:t>th</w:t>
      </w:r>
      <w:r>
        <w:rPr>
          <w:sz w:val="24"/>
          <w:szCs w:val="24"/>
        </w:rPr>
        <w:t xml:space="preserve"> August 2015).</w:t>
      </w:r>
    </w:p>
    <w:p w:rsidR="005D5293" w:rsidRPr="005D5293" w:rsidRDefault="005D5293" w:rsidP="005D5293">
      <w:pPr>
        <w:pStyle w:val="FootnoteText"/>
        <w:jc w:val="both"/>
        <w:rPr>
          <w:sz w:val="24"/>
          <w:szCs w:val="24"/>
        </w:rPr>
      </w:pPr>
      <w:r w:rsidRPr="005D5293">
        <w:rPr>
          <w:b/>
          <w:sz w:val="24"/>
          <w:szCs w:val="24"/>
        </w:rPr>
        <w:t>European Banking Authority</w:t>
      </w:r>
      <w:r>
        <w:rPr>
          <w:sz w:val="24"/>
          <w:szCs w:val="24"/>
        </w:rPr>
        <w:t xml:space="preserve"> (2015), </w:t>
      </w:r>
      <w:r w:rsidRPr="005D5293">
        <w:rPr>
          <w:sz w:val="24"/>
          <w:szCs w:val="24"/>
        </w:rPr>
        <w:t>Final Report: Final Draft Regulatory Technical Standards on the specification of the assessment methodology under which competent authorities permit institutions to use Advanced Measurement Approaches (AMA) for operational risk in accordance with Article 312 of Regulation (EU) 575/2013, June 2015</w:t>
      </w:r>
      <w:r>
        <w:rPr>
          <w:sz w:val="24"/>
          <w:szCs w:val="24"/>
        </w:rPr>
        <w:t xml:space="preserve">, available at </w:t>
      </w:r>
      <w:hyperlink r:id="rId53" w:history="1">
        <w:r w:rsidRPr="00913F37">
          <w:rPr>
            <w:rStyle w:val="Hyperlink"/>
            <w:sz w:val="24"/>
            <w:szCs w:val="24"/>
          </w:rPr>
          <w:t>http://www.eba.europa.eu/documents/10180/1100516/EBA-RTS-2015-02+RTS+on+AMA+assesment.pdf/dfb43549-0bb2-4974-8c3b-a99da7cf983c</w:t>
        </w:r>
      </w:hyperlink>
      <w:r>
        <w:rPr>
          <w:sz w:val="24"/>
          <w:szCs w:val="24"/>
        </w:rPr>
        <w:t xml:space="preserve"> (last accessed on 29th August 2015).</w:t>
      </w:r>
    </w:p>
    <w:p w:rsidR="00493A99" w:rsidRDefault="00493A99" w:rsidP="00493A99">
      <w:pPr>
        <w:pStyle w:val="FootnoteText"/>
        <w:jc w:val="both"/>
        <w:rPr>
          <w:b/>
          <w:sz w:val="24"/>
          <w:szCs w:val="24"/>
        </w:rPr>
      </w:pPr>
      <w:r>
        <w:rPr>
          <w:b/>
          <w:sz w:val="24"/>
          <w:szCs w:val="24"/>
        </w:rPr>
        <w:t xml:space="preserve">European Banking Authority </w:t>
      </w:r>
      <w:r w:rsidRPr="00493A99">
        <w:rPr>
          <w:sz w:val="24"/>
          <w:szCs w:val="24"/>
        </w:rPr>
        <w:t>(2015)</w:t>
      </w:r>
      <w:r>
        <w:rPr>
          <w:sz w:val="24"/>
          <w:szCs w:val="24"/>
        </w:rPr>
        <w:t xml:space="preserve">, </w:t>
      </w:r>
      <w:r w:rsidRPr="00493A99">
        <w:rPr>
          <w:sz w:val="24"/>
          <w:szCs w:val="24"/>
        </w:rPr>
        <w:t>Final Draft Regulatory technical standards on criteria for determining the minimum requirement for own funds and eligible liabilities under Directive 2015/59/EU</w:t>
      </w:r>
      <w:r>
        <w:rPr>
          <w:sz w:val="24"/>
          <w:szCs w:val="24"/>
        </w:rPr>
        <w:t xml:space="preserve">, July 2015, available at </w:t>
      </w:r>
      <w:hyperlink r:id="rId54" w:history="1">
        <w:r w:rsidRPr="00913F37">
          <w:rPr>
            <w:rStyle w:val="Hyperlink"/>
            <w:sz w:val="24"/>
            <w:szCs w:val="24"/>
          </w:rPr>
          <w:t>http://www.eba.europa.eu/documents/10180/1132900/EBA-RTS-2015-05+RTS+on+MREL+Criteria.pdf</w:t>
        </w:r>
      </w:hyperlink>
      <w:r>
        <w:rPr>
          <w:sz w:val="24"/>
          <w:szCs w:val="24"/>
        </w:rPr>
        <w:t xml:space="preserve"> (last accessed on 29</w:t>
      </w:r>
      <w:r w:rsidRPr="00493A99">
        <w:rPr>
          <w:sz w:val="24"/>
          <w:szCs w:val="24"/>
          <w:vertAlign w:val="superscript"/>
        </w:rPr>
        <w:t>th</w:t>
      </w:r>
      <w:r>
        <w:rPr>
          <w:sz w:val="24"/>
          <w:szCs w:val="24"/>
        </w:rPr>
        <w:t xml:space="preserve"> August 2015). </w:t>
      </w:r>
    </w:p>
    <w:p w:rsidR="00FC4B23" w:rsidRPr="00FC4B23" w:rsidRDefault="00FC4B23" w:rsidP="00FC4B23">
      <w:pPr>
        <w:pStyle w:val="FootnoteText"/>
        <w:rPr>
          <w:sz w:val="24"/>
          <w:szCs w:val="24"/>
        </w:rPr>
      </w:pPr>
      <w:r w:rsidRPr="00FC4B23">
        <w:rPr>
          <w:b/>
          <w:sz w:val="24"/>
          <w:szCs w:val="24"/>
        </w:rPr>
        <w:t>European Commission</w:t>
      </w:r>
      <w:r w:rsidRPr="00FC4B23">
        <w:rPr>
          <w:sz w:val="24"/>
          <w:szCs w:val="24"/>
        </w:rPr>
        <w:t xml:space="preserve"> (1997), Commission</w:t>
      </w:r>
      <w:r w:rsidRPr="00FC4B23">
        <w:rPr>
          <w:sz w:val="24"/>
          <w:szCs w:val="24"/>
          <w:lang w:eastAsia="en-GB"/>
        </w:rPr>
        <w:t xml:space="preserve"> interpretative Communication — Freedom to provide services and the interest of the general good in the Second Banking Directive</w:t>
      </w:r>
      <w:r w:rsidRPr="00FC4B23">
        <w:rPr>
          <w:sz w:val="24"/>
          <w:szCs w:val="24"/>
        </w:rPr>
        <w:t xml:space="preserve"> 97C</w:t>
      </w:r>
      <w:r w:rsidRPr="00FC4B23">
        <w:rPr>
          <w:sz w:val="24"/>
          <w:szCs w:val="24"/>
          <w:lang w:eastAsia="en-GB"/>
        </w:rPr>
        <w:t xml:space="preserve"> 97/C 209/04, OJ C209 p6</w:t>
      </w:r>
      <w:r w:rsidR="00A029B5">
        <w:rPr>
          <w:sz w:val="24"/>
          <w:szCs w:val="24"/>
          <w:lang w:eastAsia="en-GB"/>
        </w:rPr>
        <w:t>.</w:t>
      </w:r>
    </w:p>
    <w:p w:rsidR="00FC4B23" w:rsidRDefault="00FC4B23" w:rsidP="004E6A58">
      <w:pPr>
        <w:jc w:val="both"/>
        <w:rPr>
          <w:b/>
          <w:sz w:val="24"/>
          <w:szCs w:val="24"/>
        </w:rPr>
      </w:pPr>
    </w:p>
    <w:p w:rsidR="004E6A58" w:rsidRDefault="004E6A58" w:rsidP="004E6A58">
      <w:pPr>
        <w:jc w:val="both"/>
        <w:rPr>
          <w:b/>
          <w:sz w:val="24"/>
          <w:szCs w:val="24"/>
        </w:rPr>
      </w:pPr>
      <w:r>
        <w:rPr>
          <w:b/>
          <w:sz w:val="24"/>
          <w:szCs w:val="24"/>
        </w:rPr>
        <w:lastRenderedPageBreak/>
        <w:t xml:space="preserve">European Commission </w:t>
      </w:r>
      <w:r w:rsidRPr="000D2D24">
        <w:rPr>
          <w:sz w:val="24"/>
          <w:szCs w:val="24"/>
        </w:rPr>
        <w:t>(2007)</w:t>
      </w:r>
      <w:r>
        <w:rPr>
          <w:sz w:val="24"/>
          <w:szCs w:val="24"/>
        </w:rPr>
        <w:t xml:space="preserve">, Review of the Lamfalussy Process – Strengthening Supervisory Convergence, COM (2007), available at </w:t>
      </w:r>
      <w:hyperlink r:id="rId55" w:history="1">
        <w:r w:rsidRPr="00241555">
          <w:rPr>
            <w:rStyle w:val="Hyperlink"/>
            <w:sz w:val="24"/>
            <w:szCs w:val="24"/>
          </w:rPr>
          <w:t>http://ec.europa.eu/internal_market/finances/docs/committees/071120_final_report_en.pdf</w:t>
        </w:r>
      </w:hyperlink>
      <w:r>
        <w:rPr>
          <w:sz w:val="24"/>
          <w:szCs w:val="24"/>
        </w:rPr>
        <w:t xml:space="preserve"> (last accessed 1st May 2015).</w:t>
      </w:r>
    </w:p>
    <w:p w:rsidR="004E6A58" w:rsidRDefault="004E6A58" w:rsidP="00A2791B">
      <w:pPr>
        <w:pStyle w:val="Default"/>
        <w:jc w:val="both"/>
        <w:rPr>
          <w:rStyle w:val="Strong"/>
        </w:rPr>
      </w:pPr>
    </w:p>
    <w:p w:rsidR="00F26A91" w:rsidRDefault="00F26A91" w:rsidP="00A2791B">
      <w:pPr>
        <w:pStyle w:val="Default"/>
        <w:jc w:val="both"/>
        <w:rPr>
          <w:rStyle w:val="Strong"/>
          <w:b w:val="0"/>
        </w:rPr>
      </w:pPr>
      <w:r>
        <w:rPr>
          <w:rStyle w:val="Strong"/>
        </w:rPr>
        <w:t xml:space="preserve">European Union </w:t>
      </w:r>
      <w:r w:rsidRPr="00F26A91">
        <w:rPr>
          <w:rStyle w:val="Strong"/>
          <w:b w:val="0"/>
        </w:rPr>
        <w:t>(2010)</w:t>
      </w:r>
      <w:r>
        <w:rPr>
          <w:rStyle w:val="Strong"/>
          <w:b w:val="0"/>
        </w:rPr>
        <w:t>, Regulation (EU) No 1093/2010 of the European Parliament and of the Council of 24 November 2010 establishing a European Supervisory Authority (European Banking Authority), amending Decision No 716/2009/EC and repealing Commission Decision 2009/78/EC</w:t>
      </w:r>
      <w:r w:rsidR="004F77BF">
        <w:rPr>
          <w:rStyle w:val="Strong"/>
          <w:b w:val="0"/>
        </w:rPr>
        <w:t>, OJ L331 p12, 15</w:t>
      </w:r>
      <w:r w:rsidR="004F77BF" w:rsidRPr="004F77BF">
        <w:rPr>
          <w:rStyle w:val="Strong"/>
          <w:b w:val="0"/>
          <w:vertAlign w:val="superscript"/>
        </w:rPr>
        <w:t>th</w:t>
      </w:r>
      <w:r w:rsidR="004F77BF">
        <w:rPr>
          <w:rStyle w:val="Strong"/>
          <w:b w:val="0"/>
        </w:rPr>
        <w:t xml:space="preserve"> December 2010</w:t>
      </w:r>
      <w:r w:rsidR="002832BC">
        <w:rPr>
          <w:rStyle w:val="Strong"/>
          <w:b w:val="0"/>
        </w:rPr>
        <w:t xml:space="preserve">, available at </w:t>
      </w:r>
      <w:hyperlink r:id="rId56" w:history="1">
        <w:r w:rsidR="002832BC" w:rsidRPr="00913F37">
          <w:rPr>
            <w:rStyle w:val="Hyperlink"/>
          </w:rPr>
          <w:t>http://eur-lex.europa.eu/legal-content/EN/TXT/PDF/?uri=CELEX:32010R1093&amp;from=EN</w:t>
        </w:r>
      </w:hyperlink>
      <w:r w:rsidR="002832BC">
        <w:rPr>
          <w:rStyle w:val="Strong"/>
          <w:b w:val="0"/>
        </w:rPr>
        <w:t xml:space="preserve"> (last accessed on 29</w:t>
      </w:r>
      <w:r w:rsidR="002832BC" w:rsidRPr="002832BC">
        <w:rPr>
          <w:rStyle w:val="Strong"/>
          <w:b w:val="0"/>
          <w:vertAlign w:val="superscript"/>
        </w:rPr>
        <w:t>th</w:t>
      </w:r>
      <w:r w:rsidR="002832BC">
        <w:rPr>
          <w:rStyle w:val="Strong"/>
          <w:b w:val="0"/>
        </w:rPr>
        <w:t xml:space="preserve"> August 2015)</w:t>
      </w:r>
      <w:r w:rsidR="004F77BF">
        <w:rPr>
          <w:rStyle w:val="Strong"/>
          <w:b w:val="0"/>
        </w:rPr>
        <w:t>.</w:t>
      </w:r>
    </w:p>
    <w:p w:rsidR="00F26A91" w:rsidRDefault="00F26A91" w:rsidP="00A2791B">
      <w:pPr>
        <w:pStyle w:val="Default"/>
        <w:jc w:val="both"/>
        <w:rPr>
          <w:rStyle w:val="Strong"/>
        </w:rPr>
      </w:pPr>
    </w:p>
    <w:p w:rsidR="00A2791B" w:rsidRPr="006F7F5D" w:rsidRDefault="00A2791B" w:rsidP="00A2791B">
      <w:pPr>
        <w:pStyle w:val="Default"/>
        <w:jc w:val="both"/>
        <w:rPr>
          <w:rFonts w:eastAsia="Arial Unicode MS"/>
          <w:bCs/>
        </w:rPr>
      </w:pPr>
      <w:r>
        <w:rPr>
          <w:rStyle w:val="Strong"/>
        </w:rPr>
        <w:t xml:space="preserve">European Union </w:t>
      </w:r>
      <w:r w:rsidRPr="003718B1">
        <w:rPr>
          <w:rStyle w:val="Strong"/>
          <w:b w:val="0"/>
        </w:rPr>
        <w:t xml:space="preserve">(2013), </w:t>
      </w:r>
      <w:r w:rsidRPr="006F7F5D">
        <w:rPr>
          <w:rFonts w:eastAsia="Arial Unicode MS"/>
          <w:color w:val="auto"/>
          <w:lang w:eastAsia="en-US"/>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L176, p338</w:t>
      </w:r>
      <w:r w:rsidR="007F4BA6">
        <w:rPr>
          <w:rFonts w:eastAsia="Arial Unicode MS"/>
          <w:color w:val="auto"/>
          <w:lang w:eastAsia="en-US"/>
        </w:rPr>
        <w:t xml:space="preserve">, available at </w:t>
      </w:r>
      <w:hyperlink r:id="rId57" w:history="1">
        <w:r w:rsidR="007F4BA6" w:rsidRPr="00B17872">
          <w:rPr>
            <w:rStyle w:val="Hyperlink"/>
            <w:rFonts w:eastAsia="Arial Unicode MS"/>
            <w:lang w:eastAsia="en-US"/>
          </w:rPr>
          <w:t>http://eur-lex.europa.eu/LexUriServ/LexUriServ.do?uri=OJ:L:2013:176:0338:0436:En:PDF</w:t>
        </w:r>
      </w:hyperlink>
      <w:r w:rsidR="007F4BA6">
        <w:rPr>
          <w:rFonts w:eastAsia="Arial Unicode MS"/>
          <w:color w:val="auto"/>
          <w:lang w:eastAsia="en-US"/>
        </w:rPr>
        <w:t xml:space="preserve"> (last accessed on 25</w:t>
      </w:r>
      <w:r w:rsidR="007F4BA6" w:rsidRPr="007F4BA6">
        <w:rPr>
          <w:rFonts w:eastAsia="Arial Unicode MS"/>
          <w:color w:val="auto"/>
          <w:vertAlign w:val="superscript"/>
          <w:lang w:eastAsia="en-US"/>
        </w:rPr>
        <w:t>th</w:t>
      </w:r>
      <w:r w:rsidR="007F4BA6">
        <w:rPr>
          <w:rFonts w:eastAsia="Arial Unicode MS"/>
          <w:color w:val="auto"/>
          <w:lang w:eastAsia="en-US"/>
        </w:rPr>
        <w:t xml:space="preserve"> July 2015)</w:t>
      </w:r>
      <w:r w:rsidRPr="006F7F5D">
        <w:rPr>
          <w:rFonts w:eastAsia="Arial Unicode MS"/>
          <w:color w:val="auto"/>
          <w:lang w:eastAsia="en-US"/>
        </w:rPr>
        <w:t>.</w:t>
      </w:r>
    </w:p>
    <w:p w:rsidR="00A2791B" w:rsidRDefault="00A2791B" w:rsidP="00A2791B">
      <w:pPr>
        <w:pStyle w:val="NormalWeb"/>
        <w:spacing w:after="0"/>
        <w:jc w:val="both"/>
        <w:rPr>
          <w:rStyle w:val="Strong"/>
          <w:rFonts w:ascii="Times New Roman" w:cs="Times New Roman"/>
        </w:rPr>
      </w:pPr>
    </w:p>
    <w:p w:rsidR="00A2791B" w:rsidRDefault="00A2791B" w:rsidP="00A2791B">
      <w:pPr>
        <w:pStyle w:val="Default"/>
        <w:jc w:val="both"/>
        <w:rPr>
          <w:rFonts w:eastAsia="Arial Unicode MS"/>
          <w:color w:val="auto"/>
          <w:lang w:eastAsia="en-US"/>
        </w:rPr>
      </w:pPr>
      <w:r>
        <w:rPr>
          <w:rStyle w:val="Strong"/>
        </w:rPr>
        <w:t>European Union</w:t>
      </w:r>
      <w:r w:rsidRPr="003718B1">
        <w:rPr>
          <w:rStyle w:val="Strong"/>
          <w:b w:val="0"/>
        </w:rPr>
        <w:t xml:space="preserve"> (2013), </w:t>
      </w:r>
      <w:r w:rsidRPr="006F7F5D">
        <w:rPr>
          <w:rFonts w:eastAsia="Arial Unicode MS"/>
          <w:color w:val="auto"/>
          <w:lang w:eastAsia="en-US"/>
        </w:rPr>
        <w:t>Regulation (EU) No 575/2013 of the European Parliament and of the Council of 26 June 2013 on prudential requirements for credit institutions and investment firms and amending Regulation (EU) No 648/2012</w:t>
      </w:r>
      <w:r>
        <w:rPr>
          <w:rFonts w:ascii="EUAlbertina" w:eastAsia="Times New Roman" w:hAnsi="EUAlbertina" w:cs="EUAlbertina"/>
          <w:b/>
          <w:bCs/>
          <w:sz w:val="19"/>
          <w:szCs w:val="19"/>
          <w:lang w:eastAsia="en-GB"/>
        </w:rPr>
        <w:t xml:space="preserve">, </w:t>
      </w:r>
      <w:r w:rsidRPr="006F7F5D">
        <w:rPr>
          <w:rFonts w:eastAsia="Arial Unicode MS"/>
          <w:color w:val="auto"/>
          <w:lang w:eastAsia="en-US"/>
        </w:rPr>
        <w:t>OJ L176, p1</w:t>
      </w:r>
      <w:r w:rsidR="007F4BA6">
        <w:rPr>
          <w:rFonts w:eastAsia="Arial Unicode MS"/>
          <w:color w:val="auto"/>
          <w:lang w:eastAsia="en-US"/>
        </w:rPr>
        <w:t xml:space="preserve">, available at </w:t>
      </w:r>
      <w:hyperlink r:id="rId58" w:history="1">
        <w:r w:rsidR="007F4BA6" w:rsidRPr="00B17872">
          <w:rPr>
            <w:rStyle w:val="Hyperlink"/>
            <w:rFonts w:eastAsia="Arial Unicode MS"/>
            <w:lang w:eastAsia="en-US"/>
          </w:rPr>
          <w:t>http://eur-lex.europa.eu/legal-content/EN/TXT/PDF/?uri=CELEX:32013R0575&amp;from=EN</w:t>
        </w:r>
      </w:hyperlink>
      <w:r w:rsidR="007F4BA6">
        <w:rPr>
          <w:rFonts w:eastAsia="Arial Unicode MS"/>
          <w:color w:val="auto"/>
          <w:lang w:eastAsia="en-US"/>
        </w:rPr>
        <w:t xml:space="preserve"> (last accessed 25</w:t>
      </w:r>
      <w:r w:rsidR="007F4BA6" w:rsidRPr="007F4BA6">
        <w:rPr>
          <w:rFonts w:eastAsia="Arial Unicode MS"/>
          <w:color w:val="auto"/>
          <w:vertAlign w:val="superscript"/>
          <w:lang w:eastAsia="en-US"/>
        </w:rPr>
        <w:t>th</w:t>
      </w:r>
      <w:r w:rsidR="007F4BA6">
        <w:rPr>
          <w:rFonts w:eastAsia="Arial Unicode MS"/>
          <w:color w:val="auto"/>
          <w:lang w:eastAsia="en-US"/>
        </w:rPr>
        <w:t xml:space="preserve"> July 2015). </w:t>
      </w:r>
    </w:p>
    <w:p w:rsidR="00A2791B" w:rsidRDefault="00A2791B" w:rsidP="00A2791B">
      <w:pPr>
        <w:pStyle w:val="Default"/>
        <w:jc w:val="both"/>
        <w:rPr>
          <w:rStyle w:val="Strong"/>
        </w:rPr>
      </w:pPr>
    </w:p>
    <w:p w:rsidR="00504447" w:rsidRPr="00504447" w:rsidRDefault="00504447" w:rsidP="00504447">
      <w:pPr>
        <w:pStyle w:val="Default"/>
        <w:rPr>
          <w:rStyle w:val="Strong"/>
        </w:rPr>
      </w:pPr>
      <w:r w:rsidRPr="00504447">
        <w:rPr>
          <w:rStyle w:val="Strong"/>
        </w:rPr>
        <w:t xml:space="preserve">European Union </w:t>
      </w:r>
      <w:r w:rsidRPr="00504447">
        <w:rPr>
          <w:rStyle w:val="Strong"/>
          <w:b w:val="0"/>
        </w:rPr>
        <w:t>(2014),</w:t>
      </w:r>
      <w:r w:rsidRPr="00504447">
        <w:rPr>
          <w:rFonts w:eastAsia="Times New Roman"/>
          <w:bCs/>
          <w:lang w:eastAsia="en-GB"/>
        </w:rPr>
        <w:t>Commission Delegated Regulation (EU) No 604/2014 of 4 March 2014 supplementing Directive 2013/36/EU of the European Parliament and of the Council with regard to regulatory technical standards with respect to qualitative and appropriate quantitative criteria to identify categories of staff whose professional activities have a material impact on an institution's risk profile</w:t>
      </w:r>
      <w:r w:rsidR="007F4BA6">
        <w:rPr>
          <w:rFonts w:eastAsia="Times New Roman"/>
          <w:bCs/>
          <w:lang w:eastAsia="en-GB"/>
        </w:rPr>
        <w:t xml:space="preserve">, available at </w:t>
      </w:r>
      <w:hyperlink r:id="rId59" w:history="1">
        <w:r w:rsidR="007F4BA6" w:rsidRPr="00B17872">
          <w:rPr>
            <w:rStyle w:val="Hyperlink"/>
            <w:rFonts w:eastAsia="Times New Roman"/>
            <w:bCs/>
            <w:lang w:eastAsia="en-GB"/>
          </w:rPr>
          <w:t>http://eur-lex.europa.eu/legal-content/EN/TXT/PDF/?uri=CELEX:32014R0604&amp;from=EN</w:t>
        </w:r>
      </w:hyperlink>
      <w:r w:rsidR="007F4BA6">
        <w:rPr>
          <w:rFonts w:eastAsia="Times New Roman"/>
          <w:bCs/>
          <w:lang w:eastAsia="en-GB"/>
        </w:rPr>
        <w:t xml:space="preserve"> (last accessed 25</w:t>
      </w:r>
      <w:r w:rsidR="007F4BA6" w:rsidRPr="007F4BA6">
        <w:rPr>
          <w:rFonts w:eastAsia="Times New Roman"/>
          <w:bCs/>
          <w:vertAlign w:val="superscript"/>
          <w:lang w:eastAsia="en-GB"/>
        </w:rPr>
        <w:t>th</w:t>
      </w:r>
      <w:r w:rsidR="007F4BA6">
        <w:rPr>
          <w:rFonts w:eastAsia="Times New Roman"/>
          <w:bCs/>
          <w:lang w:eastAsia="en-GB"/>
        </w:rPr>
        <w:t xml:space="preserve"> July 2015).</w:t>
      </w:r>
    </w:p>
    <w:p w:rsidR="00CA6DC4" w:rsidRDefault="00CA6DC4" w:rsidP="00CF42AD">
      <w:pPr>
        <w:pStyle w:val="NormalWeb"/>
        <w:jc w:val="both"/>
        <w:rPr>
          <w:rStyle w:val="Strong"/>
          <w:rFonts w:ascii="Times New Roman" w:cs="Times New Roman"/>
        </w:rPr>
      </w:pPr>
    </w:p>
    <w:p w:rsidR="00E41F47" w:rsidRDefault="00E41F47" w:rsidP="00CF42AD">
      <w:pPr>
        <w:pStyle w:val="NormalWeb"/>
        <w:jc w:val="both"/>
        <w:rPr>
          <w:rStyle w:val="Strong"/>
          <w:rFonts w:ascii="Times New Roman" w:cs="Times New Roman"/>
          <w:b w:val="0"/>
        </w:rPr>
      </w:pPr>
      <w:r>
        <w:rPr>
          <w:rStyle w:val="Strong"/>
          <w:rFonts w:ascii="Times New Roman" w:cs="Times New Roman"/>
        </w:rPr>
        <w:t xml:space="preserve">European Union </w:t>
      </w:r>
      <w:r w:rsidRPr="00E41F47">
        <w:rPr>
          <w:rStyle w:val="Strong"/>
          <w:rFonts w:ascii="Times New Roman" w:cs="Times New Roman"/>
          <w:b w:val="0"/>
        </w:rPr>
        <w:t>(2014)</w:t>
      </w:r>
      <w:r>
        <w:rPr>
          <w:rStyle w:val="Strong"/>
          <w:rFonts w:ascii="Times New Roman" w:cs="Times New Roman"/>
          <w:b w:val="0"/>
        </w:rPr>
        <w:t>, Directive 2014/49/EU of the European Parliament and of the Council of 16 April 2014 on deposit guarantee schemes (recast), available at</w:t>
      </w:r>
      <w:hyperlink r:id="rId60" w:history="1">
        <w:r w:rsidR="002832BC" w:rsidRPr="00913F37">
          <w:rPr>
            <w:rStyle w:val="Hyperlink"/>
            <w:rFonts w:ascii="Times New Roman" w:cs="Times New Roman"/>
          </w:rPr>
          <w:t>http://eur-lex.europa.eu/legal-content/EN/TXT/PDF/?uri=CELEX:32014L0049&amp;from=UK</w:t>
        </w:r>
      </w:hyperlink>
      <w:r w:rsidR="00B41250">
        <w:t xml:space="preserve"> </w:t>
      </w:r>
      <w:r>
        <w:rPr>
          <w:rStyle w:val="Strong"/>
          <w:rFonts w:ascii="Times New Roman" w:cs="Times New Roman"/>
          <w:b w:val="0"/>
        </w:rPr>
        <w:t>(last accessed on 27th August 2015).</w:t>
      </w:r>
    </w:p>
    <w:p w:rsidR="00E41F47" w:rsidRDefault="00E41F47" w:rsidP="00CF42AD">
      <w:pPr>
        <w:pStyle w:val="NormalWeb"/>
        <w:jc w:val="both"/>
        <w:rPr>
          <w:rStyle w:val="Strong"/>
          <w:rFonts w:ascii="Times New Roman" w:cs="Times New Roman"/>
        </w:rPr>
      </w:pPr>
    </w:p>
    <w:p w:rsidR="00CA6DC4" w:rsidRDefault="00CA6DC4" w:rsidP="00CF42AD">
      <w:pPr>
        <w:pStyle w:val="NormalWeb"/>
        <w:jc w:val="both"/>
        <w:rPr>
          <w:rFonts w:ascii="Times New Roman" w:eastAsia="Times New Roman" w:cs="Times New Roman"/>
          <w:bCs/>
          <w:color w:val="000000"/>
          <w:lang w:eastAsia="en-GB"/>
        </w:rPr>
      </w:pPr>
      <w:r>
        <w:rPr>
          <w:rStyle w:val="Strong"/>
          <w:rFonts w:ascii="Times New Roman" w:cs="Times New Roman"/>
        </w:rPr>
        <w:t xml:space="preserve">European Union </w:t>
      </w:r>
      <w:r w:rsidRPr="00CA6DC4">
        <w:rPr>
          <w:rStyle w:val="Strong"/>
          <w:rFonts w:ascii="Times New Roman" w:cs="Times New Roman"/>
          <w:b w:val="0"/>
        </w:rPr>
        <w:t>(2014),</w:t>
      </w:r>
      <w:r w:rsidRPr="00CA6DC4">
        <w:rPr>
          <w:rFonts w:ascii="Times New Roman" w:eastAsia="Times New Roman" w:cs="Times New Roman"/>
          <w:bCs/>
          <w:color w:val="000000"/>
          <w:lang w:eastAsia="en-GB"/>
        </w:rPr>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r>
        <w:rPr>
          <w:rFonts w:ascii="Times New Roman" w:eastAsia="Times New Roman" w:cs="Times New Roman"/>
          <w:bCs/>
          <w:color w:val="000000"/>
          <w:lang w:eastAsia="en-GB"/>
        </w:rPr>
        <w:t xml:space="preserve">, available at </w:t>
      </w:r>
      <w:hyperlink r:id="rId61" w:history="1">
        <w:r w:rsidRPr="00B17872">
          <w:rPr>
            <w:rStyle w:val="Hyperlink"/>
            <w:rFonts w:ascii="Times New Roman" w:eastAsia="Times New Roman" w:cs="Times New Roman"/>
            <w:bCs/>
            <w:lang w:eastAsia="en-GB"/>
          </w:rPr>
          <w:t>http://eur-lex.europa.eu/legal-content/EN/TXT/PDF/?uri=CELEX:32014L0059&amp;from=EN</w:t>
        </w:r>
      </w:hyperlink>
      <w:r>
        <w:rPr>
          <w:rFonts w:ascii="Times New Roman" w:eastAsia="Times New Roman" w:cs="Times New Roman"/>
          <w:bCs/>
          <w:color w:val="000000"/>
          <w:lang w:eastAsia="en-GB"/>
        </w:rPr>
        <w:t xml:space="preserve"> (last accessed 25</w:t>
      </w:r>
      <w:r w:rsidRPr="00CA6DC4">
        <w:rPr>
          <w:rFonts w:ascii="Times New Roman" w:eastAsia="Times New Roman" w:cs="Times New Roman"/>
          <w:bCs/>
          <w:color w:val="000000"/>
          <w:vertAlign w:val="superscript"/>
          <w:lang w:eastAsia="en-GB"/>
        </w:rPr>
        <w:t>th</w:t>
      </w:r>
      <w:r>
        <w:rPr>
          <w:rFonts w:ascii="Times New Roman" w:eastAsia="Times New Roman" w:cs="Times New Roman"/>
          <w:bCs/>
          <w:color w:val="000000"/>
          <w:lang w:eastAsia="en-GB"/>
        </w:rPr>
        <w:t xml:space="preserve"> July 2015).</w:t>
      </w:r>
    </w:p>
    <w:p w:rsidR="00CA6DC4" w:rsidRDefault="00CA6DC4" w:rsidP="00CF42AD">
      <w:pPr>
        <w:pStyle w:val="NormalWeb"/>
        <w:jc w:val="both"/>
        <w:rPr>
          <w:rStyle w:val="Strong"/>
          <w:rFonts w:ascii="Times New Roman" w:cs="Times New Roman"/>
        </w:rPr>
      </w:pPr>
    </w:p>
    <w:p w:rsidR="001520C4" w:rsidRDefault="001520C4" w:rsidP="00CF42AD">
      <w:pPr>
        <w:pStyle w:val="NormalWeb"/>
        <w:jc w:val="both"/>
        <w:rPr>
          <w:rStyle w:val="Strong"/>
          <w:rFonts w:ascii="Times New Roman" w:cs="Times New Roman"/>
        </w:rPr>
      </w:pPr>
      <w:r>
        <w:rPr>
          <w:rStyle w:val="Strong"/>
          <w:rFonts w:ascii="Times New Roman" w:cs="Times New Roman"/>
        </w:rPr>
        <w:t xml:space="preserve">European Union </w:t>
      </w:r>
      <w:r w:rsidRPr="001520C4">
        <w:rPr>
          <w:rStyle w:val="Strong"/>
          <w:rFonts w:ascii="Times New Roman" w:cs="Times New Roman"/>
          <w:b w:val="0"/>
        </w:rPr>
        <w:t>(2015),</w:t>
      </w:r>
      <w:r w:rsidRPr="001520C4">
        <w:rPr>
          <w:rFonts w:ascii="Times New Roman" w:cs="Times New Roman"/>
        </w:rPr>
        <w:t>Proposal for a Regulation of the European Parliament and of the Council on Structural measures improving the resilience of EU credit institutions, 12 June 2015</w:t>
      </w:r>
      <w:r>
        <w:rPr>
          <w:rFonts w:ascii="Times New Roman" w:cs="Times New Roman"/>
        </w:rPr>
        <w:t xml:space="preserve">, </w:t>
      </w:r>
      <w:r>
        <w:rPr>
          <w:rFonts w:ascii="Times New Roman" w:cs="Times New Roman"/>
        </w:rPr>
        <w:lastRenderedPageBreak/>
        <w:t xml:space="preserve">available at </w:t>
      </w:r>
      <w:hyperlink r:id="rId62" w:history="1">
        <w:r w:rsidRPr="00B17872">
          <w:rPr>
            <w:rStyle w:val="Hyperlink"/>
            <w:rFonts w:ascii="Times New Roman" w:cs="Times New Roman"/>
          </w:rPr>
          <w:t>http://eur-lex.europa.eu/legal-content/EN/TXT/PDF/?uri=CELEX:52014PC0043&amp;from=EN</w:t>
        </w:r>
      </w:hyperlink>
      <w:r>
        <w:rPr>
          <w:rFonts w:ascii="Times New Roman" w:cs="Times New Roman"/>
        </w:rPr>
        <w:t xml:space="preserve"> (last accessed 25</w:t>
      </w:r>
      <w:r w:rsidRPr="001520C4">
        <w:rPr>
          <w:rFonts w:ascii="Times New Roman" w:cs="Times New Roman"/>
          <w:vertAlign w:val="superscript"/>
        </w:rPr>
        <w:t>th</w:t>
      </w:r>
      <w:r>
        <w:rPr>
          <w:rFonts w:ascii="Times New Roman" w:cs="Times New Roman"/>
        </w:rPr>
        <w:t xml:space="preserve"> July 2015).</w:t>
      </w:r>
    </w:p>
    <w:p w:rsidR="001520C4" w:rsidRDefault="001520C4" w:rsidP="00CF42AD">
      <w:pPr>
        <w:pStyle w:val="NormalWeb"/>
        <w:jc w:val="both"/>
        <w:rPr>
          <w:rStyle w:val="Strong"/>
          <w:rFonts w:ascii="Times New Roman" w:cs="Times New Roman"/>
        </w:rPr>
      </w:pPr>
    </w:p>
    <w:p w:rsidR="00CF42AD" w:rsidRDefault="00CF42AD" w:rsidP="00CF42AD">
      <w:pPr>
        <w:pStyle w:val="NormalWeb"/>
        <w:jc w:val="both"/>
        <w:rPr>
          <w:rFonts w:ascii="Times New Roman" w:cs="Times New Roman"/>
        </w:rPr>
      </w:pPr>
      <w:r w:rsidRPr="00DB65AB">
        <w:rPr>
          <w:rStyle w:val="Strong"/>
          <w:rFonts w:ascii="Times New Roman" w:cs="Times New Roman"/>
        </w:rPr>
        <w:t>Fair and Efficient Markets Review</w:t>
      </w:r>
      <w:r w:rsidRPr="00DB65AB">
        <w:rPr>
          <w:rFonts w:ascii="Times New Roman" w:cs="Times New Roman"/>
        </w:rPr>
        <w:t xml:space="preserve"> (2014), How fair and efficient are the fixed income, foreign exchange and commodities markets?, Consultation Document, October 2014, available at </w:t>
      </w:r>
      <w:hyperlink r:id="rId63" w:tgtFrame="_parent" w:history="1">
        <w:r w:rsidRPr="00DB65AB">
          <w:rPr>
            <w:rStyle w:val="Hyperlink"/>
            <w:rFonts w:ascii="Times New Roman" w:cs="Times New Roman"/>
          </w:rPr>
          <w:t>http://www.bankofengland.co.uk/markets/Documents/femr/consultation271014.pdf</w:t>
        </w:r>
      </w:hyperlink>
      <w:r w:rsidRPr="00DB65AB">
        <w:rPr>
          <w:rFonts w:ascii="Times New Roman" w:cs="Times New Roman"/>
        </w:rPr>
        <w:t> (last accessed 18th March 2015).</w:t>
      </w:r>
    </w:p>
    <w:p w:rsidR="009C1755" w:rsidRDefault="009C1755" w:rsidP="00CF42AD">
      <w:pPr>
        <w:pStyle w:val="NormalWeb"/>
        <w:jc w:val="both"/>
        <w:rPr>
          <w:rFonts w:ascii="Times New Roman" w:cs="Times New Roman"/>
        </w:rPr>
      </w:pPr>
    </w:p>
    <w:p w:rsidR="00CF42AD" w:rsidRDefault="009C1755" w:rsidP="00CF42AD">
      <w:pPr>
        <w:jc w:val="both"/>
        <w:rPr>
          <w:b/>
          <w:sz w:val="24"/>
          <w:szCs w:val="24"/>
        </w:rPr>
      </w:pPr>
      <w:r>
        <w:rPr>
          <w:b/>
          <w:sz w:val="24"/>
          <w:szCs w:val="24"/>
        </w:rPr>
        <w:t xml:space="preserve">Fair and Efficient Markets Review </w:t>
      </w:r>
      <w:r w:rsidRPr="009C1755">
        <w:rPr>
          <w:sz w:val="24"/>
          <w:szCs w:val="24"/>
        </w:rPr>
        <w:t>(2015), Final Report</w:t>
      </w:r>
      <w:r>
        <w:rPr>
          <w:sz w:val="24"/>
          <w:szCs w:val="24"/>
        </w:rPr>
        <w:t xml:space="preserve">, June 2015, available at </w:t>
      </w:r>
      <w:hyperlink r:id="rId64" w:history="1">
        <w:r w:rsidRPr="00B17872">
          <w:rPr>
            <w:rStyle w:val="Hyperlink"/>
            <w:sz w:val="24"/>
            <w:szCs w:val="24"/>
          </w:rPr>
          <w:t>http://www.bankofengland.co.uk/markets/Documents/femrjun15.pdf</w:t>
        </w:r>
      </w:hyperlink>
      <w:r>
        <w:rPr>
          <w:sz w:val="24"/>
          <w:szCs w:val="24"/>
        </w:rPr>
        <w:t xml:space="preserve"> (last accessed 25th July 2015).</w:t>
      </w:r>
    </w:p>
    <w:p w:rsidR="009C1755" w:rsidRDefault="009C1755" w:rsidP="00CF42AD">
      <w:pPr>
        <w:jc w:val="both"/>
        <w:rPr>
          <w:b/>
          <w:sz w:val="24"/>
          <w:szCs w:val="24"/>
        </w:rPr>
      </w:pPr>
    </w:p>
    <w:p w:rsidR="001A2DF9" w:rsidRPr="001A2DF9" w:rsidRDefault="001A2DF9" w:rsidP="00CF42AD">
      <w:pPr>
        <w:jc w:val="both"/>
        <w:rPr>
          <w:sz w:val="24"/>
          <w:szCs w:val="24"/>
        </w:rPr>
      </w:pPr>
      <w:r w:rsidRPr="001A2DF9">
        <w:rPr>
          <w:b/>
          <w:sz w:val="24"/>
          <w:szCs w:val="24"/>
        </w:rPr>
        <w:t>Ferran, E.</w:t>
      </w:r>
      <w:r w:rsidRPr="001A2DF9">
        <w:rPr>
          <w:sz w:val="24"/>
          <w:szCs w:val="24"/>
        </w:rPr>
        <w:t xml:space="preserve"> (2011) The break-up of the Financial Services Authority, Oxford Journal of Legal Studies, 31, 3, pp 455-480.</w:t>
      </w:r>
    </w:p>
    <w:p w:rsidR="0074539B" w:rsidRDefault="0074539B" w:rsidP="00CF42AD">
      <w:pPr>
        <w:jc w:val="both"/>
        <w:rPr>
          <w:b/>
          <w:sz w:val="24"/>
          <w:szCs w:val="24"/>
        </w:rPr>
      </w:pPr>
    </w:p>
    <w:p w:rsidR="00AB7A2A" w:rsidRDefault="00AB7A2A" w:rsidP="00AB7A2A">
      <w:pPr>
        <w:pStyle w:val="EndnoteText"/>
        <w:spacing w:line="240" w:lineRule="auto"/>
        <w:jc w:val="both"/>
        <w:rPr>
          <w:sz w:val="24"/>
          <w:szCs w:val="24"/>
        </w:rPr>
      </w:pPr>
      <w:r>
        <w:rPr>
          <w:b/>
          <w:sz w:val="24"/>
          <w:szCs w:val="24"/>
        </w:rPr>
        <w:t xml:space="preserve">Financial Policy Committee </w:t>
      </w:r>
      <w:r w:rsidRPr="00867AD6">
        <w:rPr>
          <w:sz w:val="24"/>
          <w:szCs w:val="24"/>
        </w:rPr>
        <w:t>(201</w:t>
      </w:r>
      <w:r>
        <w:rPr>
          <w:sz w:val="24"/>
          <w:szCs w:val="24"/>
        </w:rPr>
        <w:t>4</w:t>
      </w:r>
      <w:r w:rsidRPr="00867AD6">
        <w:rPr>
          <w:sz w:val="24"/>
          <w:szCs w:val="24"/>
        </w:rPr>
        <w:t>)</w:t>
      </w:r>
      <w:r>
        <w:rPr>
          <w:sz w:val="24"/>
          <w:szCs w:val="24"/>
        </w:rPr>
        <w:t xml:space="preserve">, The Financial Policy Committees review of the leverage ratio, available at </w:t>
      </w:r>
      <w:hyperlink r:id="rId65" w:history="1">
        <w:r w:rsidRPr="001C5877">
          <w:rPr>
            <w:rStyle w:val="Hyperlink"/>
            <w:sz w:val="24"/>
            <w:szCs w:val="24"/>
          </w:rPr>
          <w:t>http://www.bankofengland.co.uk/financialstability/Documents/fpc/fs_lrr.pdf</w:t>
        </w:r>
      </w:hyperlink>
      <w:r>
        <w:rPr>
          <w:sz w:val="24"/>
          <w:szCs w:val="24"/>
        </w:rPr>
        <w:t xml:space="preserve"> (last accessed on 21</w:t>
      </w:r>
      <w:r w:rsidRPr="007877FB">
        <w:rPr>
          <w:sz w:val="24"/>
          <w:szCs w:val="24"/>
          <w:vertAlign w:val="superscript"/>
        </w:rPr>
        <w:t>st</w:t>
      </w:r>
      <w:r>
        <w:rPr>
          <w:sz w:val="24"/>
          <w:szCs w:val="24"/>
        </w:rPr>
        <w:t xml:space="preserve"> May 2015).  </w:t>
      </w:r>
    </w:p>
    <w:p w:rsidR="001A61D0" w:rsidRPr="00DB65AB" w:rsidRDefault="001A61D0" w:rsidP="00CF42AD">
      <w:pPr>
        <w:jc w:val="both"/>
        <w:rPr>
          <w:sz w:val="24"/>
          <w:szCs w:val="24"/>
        </w:rPr>
      </w:pPr>
      <w:r w:rsidRPr="009423CC">
        <w:rPr>
          <w:b/>
          <w:sz w:val="24"/>
          <w:szCs w:val="24"/>
        </w:rPr>
        <w:t>Financial Reporting Council</w:t>
      </w:r>
      <w:r>
        <w:rPr>
          <w:sz w:val="24"/>
          <w:szCs w:val="24"/>
        </w:rPr>
        <w:t xml:space="preserve"> (2014), UK Corporate Governance Code, available at</w:t>
      </w:r>
      <w:hyperlink r:id="rId66" w:history="1">
        <w:r w:rsidR="009423CC" w:rsidRPr="00B17872">
          <w:rPr>
            <w:rStyle w:val="Hyperlink"/>
            <w:sz w:val="24"/>
            <w:szCs w:val="24"/>
          </w:rPr>
          <w:t>https://www.frc.org.uk/Our-Work/Publications/Corporate-Governance/UK-Corporate-Governance-Code-2014.pdf</w:t>
        </w:r>
      </w:hyperlink>
      <w:r w:rsidR="009423CC">
        <w:rPr>
          <w:sz w:val="24"/>
          <w:szCs w:val="24"/>
        </w:rPr>
        <w:t xml:space="preserve"> (last accessed 25th July 2015).</w:t>
      </w:r>
    </w:p>
    <w:p w:rsidR="00CF42AD" w:rsidRDefault="00CF42AD" w:rsidP="00DE7163">
      <w:pPr>
        <w:jc w:val="both"/>
        <w:rPr>
          <w:b/>
          <w:sz w:val="24"/>
          <w:szCs w:val="24"/>
        </w:rPr>
      </w:pPr>
    </w:p>
    <w:p w:rsidR="00352DFC" w:rsidRDefault="00352DFC" w:rsidP="00DE7163">
      <w:pPr>
        <w:jc w:val="both"/>
        <w:rPr>
          <w:sz w:val="24"/>
          <w:szCs w:val="24"/>
        </w:rPr>
      </w:pPr>
      <w:r w:rsidRPr="00352DFC">
        <w:rPr>
          <w:b/>
          <w:bCs/>
          <w:sz w:val="24"/>
          <w:szCs w:val="24"/>
        </w:rPr>
        <w:t>Financial Services Authority</w:t>
      </w:r>
      <w:r w:rsidRPr="00352DFC">
        <w:rPr>
          <w:sz w:val="24"/>
          <w:szCs w:val="24"/>
        </w:rPr>
        <w:t xml:space="preserve"> (2001), Treating Customers Fairly After the Point of Sale – June 2001, Financial Services Authority: London.</w:t>
      </w:r>
    </w:p>
    <w:p w:rsidR="00352DFC" w:rsidRDefault="00352DFC" w:rsidP="00DE7163">
      <w:pPr>
        <w:jc w:val="both"/>
        <w:rPr>
          <w:sz w:val="24"/>
          <w:szCs w:val="24"/>
        </w:rPr>
      </w:pPr>
    </w:p>
    <w:p w:rsidR="00EC27DA" w:rsidRDefault="00EC27DA" w:rsidP="00EC27DA">
      <w:pPr>
        <w:jc w:val="both"/>
        <w:rPr>
          <w:sz w:val="24"/>
          <w:szCs w:val="24"/>
        </w:rPr>
      </w:pPr>
      <w:r w:rsidRPr="00F43C3D">
        <w:rPr>
          <w:b/>
          <w:bCs/>
          <w:sz w:val="24"/>
          <w:szCs w:val="24"/>
        </w:rPr>
        <w:t>Financial Services Authority</w:t>
      </w:r>
      <w:r w:rsidRPr="00F43C3D">
        <w:rPr>
          <w:sz w:val="24"/>
          <w:szCs w:val="24"/>
        </w:rPr>
        <w:t xml:space="preserve"> (2002), An ethical framework for financial services, Discussion Paper 18, Financial Services Authority: London</w:t>
      </w:r>
      <w:r>
        <w:rPr>
          <w:sz w:val="24"/>
          <w:szCs w:val="24"/>
        </w:rPr>
        <w:t xml:space="preserve">, available at </w:t>
      </w:r>
      <w:hyperlink r:id="rId67" w:history="1">
        <w:r w:rsidRPr="00241555">
          <w:rPr>
            <w:rStyle w:val="Hyperlink"/>
            <w:sz w:val="24"/>
            <w:szCs w:val="24"/>
          </w:rPr>
          <w:t>http://www.fsa.gov.uk/pubs/discussion/dp18.pdf</w:t>
        </w:r>
      </w:hyperlink>
      <w:r>
        <w:rPr>
          <w:sz w:val="24"/>
          <w:szCs w:val="24"/>
        </w:rPr>
        <w:t xml:space="preserve"> (last accessed 11th May 2015)</w:t>
      </w:r>
      <w:r w:rsidRPr="00F43C3D">
        <w:rPr>
          <w:sz w:val="24"/>
          <w:szCs w:val="24"/>
        </w:rPr>
        <w:t>.</w:t>
      </w:r>
    </w:p>
    <w:p w:rsidR="00A96C64" w:rsidRPr="00F43C3D" w:rsidRDefault="00A96C64" w:rsidP="00EC27DA">
      <w:pPr>
        <w:jc w:val="both"/>
        <w:rPr>
          <w:sz w:val="24"/>
          <w:szCs w:val="24"/>
        </w:rPr>
      </w:pPr>
    </w:p>
    <w:p w:rsidR="00EC27DA" w:rsidRPr="00F43C3D" w:rsidRDefault="00EC27DA" w:rsidP="00EC27DA">
      <w:pPr>
        <w:jc w:val="both"/>
        <w:rPr>
          <w:sz w:val="24"/>
          <w:szCs w:val="24"/>
        </w:rPr>
      </w:pPr>
      <w:r w:rsidRPr="00F43C3D">
        <w:rPr>
          <w:b/>
          <w:bCs/>
          <w:sz w:val="24"/>
          <w:szCs w:val="24"/>
        </w:rPr>
        <w:t>Financial Services Authority</w:t>
      </w:r>
      <w:r w:rsidRPr="00F43C3D">
        <w:rPr>
          <w:sz w:val="24"/>
          <w:szCs w:val="24"/>
        </w:rPr>
        <w:t xml:space="preserve"> (2002), Treating Customers Fairly: Progress Report, Financial Services Authority: London</w:t>
      </w:r>
      <w:r>
        <w:rPr>
          <w:sz w:val="24"/>
          <w:szCs w:val="24"/>
        </w:rPr>
        <w:t xml:space="preserve">, available at </w:t>
      </w:r>
      <w:hyperlink r:id="rId68" w:history="1">
        <w:r w:rsidRPr="00241555">
          <w:rPr>
            <w:rStyle w:val="Hyperlink"/>
            <w:sz w:val="24"/>
            <w:szCs w:val="24"/>
          </w:rPr>
          <w:t>http://www.fsa.gov.uk/pubs/discussion/dp7_progress-report.pdf</w:t>
        </w:r>
      </w:hyperlink>
      <w:r>
        <w:rPr>
          <w:sz w:val="24"/>
          <w:szCs w:val="24"/>
        </w:rPr>
        <w:t xml:space="preserve"> (last accessed 11th May 2015)</w:t>
      </w:r>
      <w:r w:rsidRPr="00F43C3D">
        <w:rPr>
          <w:sz w:val="24"/>
          <w:szCs w:val="24"/>
        </w:rPr>
        <w:t>.</w:t>
      </w:r>
    </w:p>
    <w:p w:rsidR="00EC27DA" w:rsidRPr="00F43C3D" w:rsidRDefault="00EC27DA" w:rsidP="00EC27DA">
      <w:pPr>
        <w:jc w:val="both"/>
        <w:rPr>
          <w:b/>
          <w:bCs/>
          <w:sz w:val="24"/>
          <w:szCs w:val="24"/>
        </w:rPr>
      </w:pPr>
    </w:p>
    <w:p w:rsidR="00EC27DA" w:rsidRPr="00F43C3D" w:rsidRDefault="00EC27DA" w:rsidP="00EC27DA">
      <w:pPr>
        <w:jc w:val="both"/>
        <w:rPr>
          <w:sz w:val="24"/>
          <w:szCs w:val="24"/>
        </w:rPr>
      </w:pPr>
      <w:r w:rsidRPr="00F43C3D">
        <w:rPr>
          <w:b/>
          <w:bCs/>
          <w:sz w:val="24"/>
          <w:szCs w:val="24"/>
        </w:rPr>
        <w:t>Financial Services Authority</w:t>
      </w:r>
      <w:r w:rsidRPr="00F43C3D">
        <w:rPr>
          <w:sz w:val="24"/>
          <w:szCs w:val="24"/>
        </w:rPr>
        <w:t xml:space="preserve"> (2004), Treating Customers Fairly – progress and next steps, Financial Services Authority: London</w:t>
      </w:r>
      <w:r>
        <w:rPr>
          <w:sz w:val="24"/>
          <w:szCs w:val="24"/>
        </w:rPr>
        <w:t xml:space="preserve">, available at </w:t>
      </w:r>
      <w:hyperlink r:id="rId69" w:history="1">
        <w:r w:rsidRPr="00241555">
          <w:rPr>
            <w:rStyle w:val="Hyperlink"/>
            <w:sz w:val="24"/>
            <w:szCs w:val="24"/>
          </w:rPr>
          <w:t>http://www.fsac.org.uk/pubs/other/tcf_27072004.pdf</w:t>
        </w:r>
      </w:hyperlink>
      <w:r>
        <w:rPr>
          <w:sz w:val="24"/>
          <w:szCs w:val="24"/>
        </w:rPr>
        <w:t xml:space="preserve"> (last accessed 11th May)</w:t>
      </w:r>
      <w:r w:rsidRPr="00F43C3D">
        <w:rPr>
          <w:sz w:val="24"/>
          <w:szCs w:val="24"/>
        </w:rPr>
        <w:t>.</w:t>
      </w:r>
    </w:p>
    <w:p w:rsidR="00EC27DA" w:rsidRPr="00F43C3D" w:rsidRDefault="00EC27DA" w:rsidP="00EC27DA">
      <w:pPr>
        <w:jc w:val="both"/>
        <w:rPr>
          <w:sz w:val="24"/>
          <w:szCs w:val="24"/>
        </w:rPr>
      </w:pPr>
    </w:p>
    <w:p w:rsidR="00EC27DA" w:rsidRPr="00F43C3D" w:rsidRDefault="00EC27DA" w:rsidP="00EC27DA">
      <w:pPr>
        <w:jc w:val="both"/>
        <w:rPr>
          <w:sz w:val="24"/>
          <w:szCs w:val="24"/>
        </w:rPr>
      </w:pPr>
      <w:r w:rsidRPr="00F43C3D">
        <w:rPr>
          <w:b/>
          <w:bCs/>
          <w:sz w:val="24"/>
          <w:szCs w:val="24"/>
        </w:rPr>
        <w:t>Financial Services Authority</w:t>
      </w:r>
      <w:r w:rsidRPr="00F43C3D">
        <w:rPr>
          <w:sz w:val="24"/>
          <w:szCs w:val="24"/>
        </w:rPr>
        <w:t xml:space="preserve"> (2005), Treating customers fairly – Building on Progress, Financial Services Authority: London</w:t>
      </w:r>
      <w:r>
        <w:rPr>
          <w:sz w:val="24"/>
          <w:szCs w:val="24"/>
        </w:rPr>
        <w:t xml:space="preserve">, available at </w:t>
      </w:r>
      <w:hyperlink r:id="rId70" w:history="1">
        <w:r w:rsidRPr="00241555">
          <w:rPr>
            <w:rStyle w:val="Hyperlink"/>
            <w:sz w:val="24"/>
            <w:szCs w:val="24"/>
          </w:rPr>
          <w:t>http://www.fsa.gov.uk/pubs/other/tcf_06072005.pdf</w:t>
        </w:r>
      </w:hyperlink>
      <w:r>
        <w:rPr>
          <w:sz w:val="24"/>
          <w:szCs w:val="24"/>
        </w:rPr>
        <w:t xml:space="preserve"> (last accessed 11th May 2005).</w:t>
      </w:r>
    </w:p>
    <w:p w:rsidR="00EC27DA" w:rsidRPr="00F43C3D" w:rsidRDefault="00EC27DA" w:rsidP="00EC27DA">
      <w:pPr>
        <w:jc w:val="both"/>
        <w:rPr>
          <w:sz w:val="24"/>
          <w:szCs w:val="24"/>
        </w:rPr>
      </w:pPr>
    </w:p>
    <w:p w:rsidR="00EC27DA" w:rsidRPr="00F43C3D" w:rsidRDefault="00EC27DA" w:rsidP="00EC27DA">
      <w:pPr>
        <w:jc w:val="both"/>
        <w:rPr>
          <w:sz w:val="24"/>
          <w:szCs w:val="24"/>
        </w:rPr>
      </w:pPr>
      <w:r w:rsidRPr="00F43C3D">
        <w:rPr>
          <w:b/>
          <w:bCs/>
          <w:sz w:val="24"/>
          <w:szCs w:val="24"/>
        </w:rPr>
        <w:t>Financial Services Authority</w:t>
      </w:r>
      <w:r w:rsidRPr="00F43C3D">
        <w:rPr>
          <w:sz w:val="24"/>
          <w:szCs w:val="24"/>
        </w:rPr>
        <w:t xml:space="preserve"> (2006), Treating customers fairly – Towards fair outcomes for consumers, Financial Services Authority: London</w:t>
      </w:r>
      <w:r>
        <w:rPr>
          <w:sz w:val="24"/>
          <w:szCs w:val="24"/>
        </w:rPr>
        <w:t xml:space="preserve">, available at </w:t>
      </w:r>
      <w:hyperlink r:id="rId71" w:history="1">
        <w:r w:rsidRPr="00241555">
          <w:rPr>
            <w:rStyle w:val="Hyperlink"/>
            <w:sz w:val="24"/>
            <w:szCs w:val="24"/>
          </w:rPr>
          <w:t>http://www.fca.org.uk/static/fca/documents/fsa-tcf-towards.pdf</w:t>
        </w:r>
      </w:hyperlink>
      <w:r>
        <w:rPr>
          <w:sz w:val="24"/>
          <w:szCs w:val="24"/>
        </w:rPr>
        <w:t xml:space="preserve"> (last accessed 15th May 2015).</w:t>
      </w:r>
    </w:p>
    <w:p w:rsidR="00EC27DA" w:rsidRPr="00F43C3D" w:rsidRDefault="00EC27DA" w:rsidP="00EC27DA">
      <w:pPr>
        <w:jc w:val="both"/>
        <w:rPr>
          <w:b/>
          <w:bCs/>
          <w:sz w:val="24"/>
          <w:szCs w:val="24"/>
        </w:rPr>
      </w:pPr>
    </w:p>
    <w:p w:rsidR="00EC27DA" w:rsidRPr="00F43C3D" w:rsidRDefault="00EC27DA" w:rsidP="00EC27DA">
      <w:pPr>
        <w:jc w:val="both"/>
        <w:rPr>
          <w:sz w:val="24"/>
          <w:szCs w:val="24"/>
        </w:rPr>
      </w:pPr>
      <w:r w:rsidRPr="00F43C3D">
        <w:rPr>
          <w:b/>
          <w:bCs/>
          <w:sz w:val="24"/>
          <w:szCs w:val="24"/>
        </w:rPr>
        <w:lastRenderedPageBreak/>
        <w:t>Financial Services Authority</w:t>
      </w:r>
      <w:r w:rsidRPr="00F43C3D">
        <w:rPr>
          <w:sz w:val="24"/>
          <w:szCs w:val="24"/>
        </w:rPr>
        <w:t xml:space="preserve"> (2007), Treating customers fairly initiative: progress report, May 2007, Financial Services Authority: London</w:t>
      </w:r>
      <w:r>
        <w:rPr>
          <w:sz w:val="24"/>
          <w:szCs w:val="24"/>
        </w:rPr>
        <w:t xml:space="preserve">, available at </w:t>
      </w:r>
      <w:hyperlink r:id="rId72" w:history="1">
        <w:r w:rsidRPr="00241555">
          <w:rPr>
            <w:rStyle w:val="Hyperlink"/>
            <w:sz w:val="24"/>
            <w:szCs w:val="24"/>
          </w:rPr>
          <w:t>http://www.fsa.gov.uk/pubs/other/tcf_implementation.pdf</w:t>
        </w:r>
      </w:hyperlink>
      <w:r>
        <w:rPr>
          <w:sz w:val="24"/>
          <w:szCs w:val="24"/>
        </w:rPr>
        <w:t xml:space="preserve"> (last accessed 11th May 2015).</w:t>
      </w:r>
    </w:p>
    <w:p w:rsidR="00EC27DA" w:rsidRDefault="00EC27DA" w:rsidP="00DE7163">
      <w:pPr>
        <w:jc w:val="both"/>
        <w:rPr>
          <w:sz w:val="24"/>
          <w:szCs w:val="24"/>
        </w:rPr>
      </w:pPr>
    </w:p>
    <w:p w:rsidR="00EC27DA" w:rsidRPr="00F43C3D" w:rsidRDefault="00EC27DA" w:rsidP="00EC27DA">
      <w:pPr>
        <w:jc w:val="both"/>
        <w:rPr>
          <w:sz w:val="24"/>
          <w:szCs w:val="24"/>
        </w:rPr>
      </w:pPr>
      <w:r w:rsidRPr="00F43C3D">
        <w:rPr>
          <w:b/>
          <w:bCs/>
          <w:sz w:val="24"/>
          <w:szCs w:val="24"/>
        </w:rPr>
        <w:t>Financial Services Authority</w:t>
      </w:r>
      <w:r w:rsidRPr="00F43C3D">
        <w:rPr>
          <w:sz w:val="24"/>
          <w:szCs w:val="24"/>
        </w:rPr>
        <w:t xml:space="preserve"> (2007), Principles-based regulation: focussing on the outcomes that matter, April 2007. Financial Services Authority: London</w:t>
      </w:r>
      <w:r>
        <w:rPr>
          <w:sz w:val="24"/>
          <w:szCs w:val="24"/>
        </w:rPr>
        <w:t xml:space="preserve">, available at </w:t>
      </w:r>
      <w:hyperlink r:id="rId73" w:history="1">
        <w:r w:rsidRPr="00241555">
          <w:rPr>
            <w:rStyle w:val="Hyperlink"/>
            <w:sz w:val="24"/>
            <w:szCs w:val="24"/>
          </w:rPr>
          <w:t>http://www.fsa.gov.uk/pubs/other/principles.pdf</w:t>
        </w:r>
      </w:hyperlink>
      <w:r>
        <w:rPr>
          <w:sz w:val="24"/>
          <w:szCs w:val="24"/>
        </w:rPr>
        <w:t xml:space="preserve"> (last accessed 11th may 2015).</w:t>
      </w:r>
    </w:p>
    <w:p w:rsidR="00352DFC" w:rsidRDefault="00352DFC" w:rsidP="00DE7163">
      <w:pPr>
        <w:jc w:val="both"/>
      </w:pPr>
    </w:p>
    <w:p w:rsidR="00E41F47" w:rsidRPr="00E41F47" w:rsidRDefault="00E41F47" w:rsidP="00DE7163">
      <w:pPr>
        <w:jc w:val="both"/>
        <w:rPr>
          <w:sz w:val="24"/>
          <w:szCs w:val="24"/>
        </w:rPr>
      </w:pPr>
      <w:r>
        <w:rPr>
          <w:b/>
          <w:sz w:val="24"/>
          <w:szCs w:val="24"/>
        </w:rPr>
        <w:t xml:space="preserve">Financial Services Authority </w:t>
      </w:r>
      <w:r w:rsidRPr="00E41F47">
        <w:rPr>
          <w:sz w:val="24"/>
          <w:szCs w:val="24"/>
        </w:rPr>
        <w:t>(2008),The Supervision of Northern Rock: a lessons learned review</w:t>
      </w:r>
      <w:r>
        <w:rPr>
          <w:sz w:val="24"/>
          <w:szCs w:val="24"/>
        </w:rPr>
        <w:t>, Internal Audit report, March 2008, available at</w:t>
      </w:r>
      <w:hyperlink r:id="rId74" w:history="1">
        <w:r w:rsidR="002832BC" w:rsidRPr="00913F37">
          <w:rPr>
            <w:rStyle w:val="Hyperlink"/>
            <w:sz w:val="24"/>
            <w:szCs w:val="24"/>
          </w:rPr>
          <w:t>http://www.fsa.gov.uk/pubs/other/nr_report.pdf</w:t>
        </w:r>
      </w:hyperlink>
      <w:r w:rsidR="00B41250">
        <w:t xml:space="preserve"> </w:t>
      </w:r>
      <w:r>
        <w:rPr>
          <w:sz w:val="24"/>
          <w:szCs w:val="24"/>
        </w:rPr>
        <w:t>(last accessed on 27</w:t>
      </w:r>
      <w:r w:rsidRPr="00E41F47">
        <w:rPr>
          <w:sz w:val="24"/>
          <w:szCs w:val="24"/>
          <w:vertAlign w:val="superscript"/>
        </w:rPr>
        <w:t>th</w:t>
      </w:r>
      <w:r>
        <w:rPr>
          <w:sz w:val="24"/>
          <w:szCs w:val="24"/>
        </w:rPr>
        <w:t xml:space="preserve"> August 2015).</w:t>
      </w:r>
    </w:p>
    <w:p w:rsidR="00E41F47" w:rsidRDefault="00E41F47" w:rsidP="00DE7163">
      <w:pPr>
        <w:jc w:val="both"/>
        <w:rPr>
          <w:b/>
          <w:sz w:val="24"/>
          <w:szCs w:val="24"/>
        </w:rPr>
      </w:pPr>
    </w:p>
    <w:p w:rsidR="002D296C" w:rsidRDefault="002D296C" w:rsidP="00DE7163">
      <w:pPr>
        <w:jc w:val="both"/>
        <w:rPr>
          <w:sz w:val="24"/>
          <w:szCs w:val="24"/>
        </w:rPr>
      </w:pPr>
      <w:r w:rsidRPr="00EB3D13">
        <w:rPr>
          <w:b/>
          <w:sz w:val="24"/>
          <w:szCs w:val="24"/>
        </w:rPr>
        <w:t>Financial Services Authority</w:t>
      </w:r>
      <w:r w:rsidRPr="00EB3D13">
        <w:rPr>
          <w:sz w:val="24"/>
          <w:szCs w:val="24"/>
        </w:rPr>
        <w:t xml:space="preserve"> (200</w:t>
      </w:r>
      <w:r>
        <w:rPr>
          <w:sz w:val="24"/>
          <w:szCs w:val="24"/>
        </w:rPr>
        <w:t>8</w:t>
      </w:r>
      <w:r w:rsidRPr="00EB3D13">
        <w:rPr>
          <w:sz w:val="24"/>
          <w:szCs w:val="24"/>
        </w:rPr>
        <w:t>)</w:t>
      </w:r>
      <w:r>
        <w:rPr>
          <w:sz w:val="24"/>
          <w:szCs w:val="24"/>
        </w:rPr>
        <w:t>, Consultation Paper 08/22</w:t>
      </w:r>
      <w:r w:rsidR="009E6EC3">
        <w:rPr>
          <w:sz w:val="24"/>
          <w:szCs w:val="24"/>
        </w:rPr>
        <w:t xml:space="preserve">, Strengthening Liquidity Standards, December 2008, available at </w:t>
      </w:r>
      <w:hyperlink r:id="rId75" w:history="1">
        <w:r w:rsidR="009E6EC3" w:rsidRPr="00913F37">
          <w:rPr>
            <w:rStyle w:val="Hyperlink"/>
            <w:sz w:val="24"/>
            <w:szCs w:val="24"/>
          </w:rPr>
          <w:t>http://www.fsa.gov.uk/pubs/cp/cp08_22.pdf</w:t>
        </w:r>
      </w:hyperlink>
      <w:r w:rsidR="009E6EC3">
        <w:rPr>
          <w:sz w:val="24"/>
          <w:szCs w:val="24"/>
        </w:rPr>
        <w:t xml:space="preserve"> (last accessed on 29th August 2015. </w:t>
      </w:r>
    </w:p>
    <w:p w:rsidR="002D296C" w:rsidRDefault="002D296C" w:rsidP="00DE7163">
      <w:pPr>
        <w:jc w:val="both"/>
        <w:rPr>
          <w:sz w:val="24"/>
          <w:szCs w:val="24"/>
        </w:rPr>
      </w:pPr>
    </w:p>
    <w:p w:rsidR="00530EDF" w:rsidRDefault="00EB3D13" w:rsidP="00DE7163">
      <w:pPr>
        <w:jc w:val="both"/>
        <w:rPr>
          <w:sz w:val="24"/>
          <w:szCs w:val="24"/>
        </w:rPr>
      </w:pPr>
      <w:r w:rsidRPr="00EB3D13">
        <w:rPr>
          <w:b/>
          <w:sz w:val="24"/>
          <w:szCs w:val="24"/>
        </w:rPr>
        <w:t>Financial Services Authority</w:t>
      </w:r>
      <w:r w:rsidRPr="00EB3D13">
        <w:rPr>
          <w:sz w:val="24"/>
          <w:szCs w:val="24"/>
        </w:rPr>
        <w:t xml:space="preserve"> (2009)</w:t>
      </w:r>
      <w:r>
        <w:rPr>
          <w:sz w:val="24"/>
          <w:szCs w:val="24"/>
        </w:rPr>
        <w:t>, Policy Statement 09/16, Strengthening liquidity standards</w:t>
      </w:r>
      <w:r w:rsidR="00530EDF">
        <w:rPr>
          <w:sz w:val="24"/>
          <w:szCs w:val="24"/>
        </w:rPr>
        <w:t>, October 2009, available at</w:t>
      </w:r>
      <w:hyperlink r:id="rId76" w:history="1">
        <w:r w:rsidR="002832BC" w:rsidRPr="00913F37">
          <w:rPr>
            <w:rStyle w:val="Hyperlink"/>
            <w:sz w:val="24"/>
            <w:szCs w:val="24"/>
          </w:rPr>
          <w:t>http://www.fsa.gov.uk/pubs/policy/ps09_16.pdf</w:t>
        </w:r>
      </w:hyperlink>
      <w:r w:rsidR="00B41250">
        <w:t xml:space="preserve"> </w:t>
      </w:r>
      <w:r w:rsidR="00530EDF">
        <w:rPr>
          <w:sz w:val="24"/>
          <w:szCs w:val="24"/>
        </w:rPr>
        <w:t xml:space="preserve">(last accessed on </w:t>
      </w:r>
      <w:r w:rsidR="002832BC">
        <w:rPr>
          <w:sz w:val="24"/>
          <w:szCs w:val="24"/>
        </w:rPr>
        <w:t>29th August 2015</w:t>
      </w:r>
      <w:r w:rsidR="00530EDF">
        <w:rPr>
          <w:sz w:val="24"/>
          <w:szCs w:val="24"/>
        </w:rPr>
        <w:t>)</w:t>
      </w:r>
      <w:r w:rsidR="002832BC">
        <w:rPr>
          <w:sz w:val="24"/>
          <w:szCs w:val="24"/>
        </w:rPr>
        <w:t>.</w:t>
      </w:r>
    </w:p>
    <w:p w:rsidR="004E724D" w:rsidRDefault="004E724D" w:rsidP="00DE7163">
      <w:pPr>
        <w:jc w:val="both"/>
        <w:rPr>
          <w:sz w:val="24"/>
          <w:szCs w:val="24"/>
        </w:rPr>
      </w:pPr>
    </w:p>
    <w:p w:rsidR="0074539B" w:rsidRDefault="0074539B" w:rsidP="00A96C64">
      <w:pPr>
        <w:jc w:val="both"/>
        <w:rPr>
          <w:b/>
          <w:sz w:val="24"/>
          <w:szCs w:val="24"/>
        </w:rPr>
      </w:pPr>
      <w:r>
        <w:rPr>
          <w:b/>
          <w:sz w:val="24"/>
          <w:szCs w:val="24"/>
        </w:rPr>
        <w:t xml:space="preserve">Financial Services Authority </w:t>
      </w:r>
      <w:r w:rsidRPr="0074539B">
        <w:rPr>
          <w:sz w:val="24"/>
          <w:szCs w:val="24"/>
        </w:rPr>
        <w:t>(2011),</w:t>
      </w:r>
      <w:r>
        <w:rPr>
          <w:sz w:val="24"/>
          <w:szCs w:val="24"/>
        </w:rPr>
        <w:t xml:space="preserve"> The failure of the Royal Bank of Scotland, December 2011, av</w:t>
      </w:r>
      <w:r w:rsidR="00C1615F">
        <w:rPr>
          <w:sz w:val="24"/>
          <w:szCs w:val="24"/>
        </w:rPr>
        <w:t>a</w:t>
      </w:r>
      <w:r>
        <w:rPr>
          <w:sz w:val="24"/>
          <w:szCs w:val="24"/>
        </w:rPr>
        <w:t>ilable at</w:t>
      </w:r>
      <w:hyperlink r:id="rId77" w:history="1">
        <w:r w:rsidR="00C1615F" w:rsidRPr="004A1ECA">
          <w:rPr>
            <w:rStyle w:val="Hyperlink"/>
            <w:sz w:val="24"/>
            <w:szCs w:val="24"/>
          </w:rPr>
          <w:t>http://www.fsa.gov.uk/pubs/other/rbs.pdf</w:t>
        </w:r>
      </w:hyperlink>
      <w:r w:rsidR="00C1615F">
        <w:rPr>
          <w:sz w:val="24"/>
          <w:szCs w:val="24"/>
        </w:rPr>
        <w:t xml:space="preserve"> (last accessed 25th July 2015).</w:t>
      </w:r>
    </w:p>
    <w:p w:rsidR="0074539B" w:rsidRDefault="0074539B" w:rsidP="00A96C64">
      <w:pPr>
        <w:jc w:val="both"/>
        <w:rPr>
          <w:b/>
          <w:sz w:val="24"/>
          <w:szCs w:val="24"/>
        </w:rPr>
      </w:pPr>
    </w:p>
    <w:p w:rsidR="00CA6DC4" w:rsidRDefault="00CA6DC4" w:rsidP="00A96C64">
      <w:pPr>
        <w:jc w:val="both"/>
        <w:rPr>
          <w:sz w:val="24"/>
          <w:szCs w:val="24"/>
        </w:rPr>
      </w:pPr>
      <w:r>
        <w:rPr>
          <w:b/>
          <w:sz w:val="24"/>
          <w:szCs w:val="24"/>
        </w:rPr>
        <w:t xml:space="preserve">Financial Stability Board </w:t>
      </w:r>
      <w:r w:rsidRPr="00CA6DC4">
        <w:rPr>
          <w:sz w:val="24"/>
          <w:szCs w:val="24"/>
        </w:rPr>
        <w:t xml:space="preserve">(2013), Thematic review of resolution regimes, April 2013, available at </w:t>
      </w:r>
      <w:hyperlink r:id="rId78" w:history="1">
        <w:r w:rsidRPr="00B17872">
          <w:rPr>
            <w:rStyle w:val="Hyperlink"/>
            <w:sz w:val="24"/>
            <w:szCs w:val="24"/>
          </w:rPr>
          <w:t>http://www.financialstabilityboard.org/wp-content/uploads/r_130411a.pdf?page_moved=1</w:t>
        </w:r>
      </w:hyperlink>
      <w:r>
        <w:rPr>
          <w:sz w:val="24"/>
          <w:szCs w:val="24"/>
        </w:rPr>
        <w:t xml:space="preserve"> (last accessed 25</w:t>
      </w:r>
      <w:r w:rsidRPr="00CA6DC4">
        <w:rPr>
          <w:sz w:val="24"/>
          <w:szCs w:val="24"/>
          <w:vertAlign w:val="superscript"/>
        </w:rPr>
        <w:t>th</w:t>
      </w:r>
      <w:r>
        <w:rPr>
          <w:sz w:val="24"/>
          <w:szCs w:val="24"/>
        </w:rPr>
        <w:t xml:space="preserve"> July 2015).</w:t>
      </w:r>
    </w:p>
    <w:p w:rsidR="00490572" w:rsidRDefault="00490572" w:rsidP="00A96C64">
      <w:pPr>
        <w:jc w:val="both"/>
        <w:rPr>
          <w:sz w:val="24"/>
          <w:szCs w:val="24"/>
        </w:rPr>
      </w:pPr>
    </w:p>
    <w:p w:rsidR="00CA6DC4" w:rsidRDefault="00CA6DC4" w:rsidP="00A96C64">
      <w:pPr>
        <w:jc w:val="both"/>
        <w:rPr>
          <w:sz w:val="24"/>
          <w:szCs w:val="24"/>
        </w:rPr>
      </w:pPr>
      <w:r>
        <w:rPr>
          <w:b/>
          <w:sz w:val="24"/>
          <w:szCs w:val="24"/>
        </w:rPr>
        <w:t xml:space="preserve">Financial Stability Board </w:t>
      </w:r>
      <w:r w:rsidRPr="00CA6DC4">
        <w:rPr>
          <w:sz w:val="24"/>
          <w:szCs w:val="24"/>
        </w:rPr>
        <w:t>(2013),</w:t>
      </w:r>
      <w:r>
        <w:rPr>
          <w:sz w:val="24"/>
          <w:szCs w:val="24"/>
        </w:rPr>
        <w:t xml:space="preserve"> Recovery and resolution planning for systemically important financial institutions, guidance on identification of critical functions and critical shared services, July 2013, available at </w:t>
      </w:r>
      <w:hyperlink r:id="rId79" w:history="1">
        <w:r w:rsidRPr="00B17872">
          <w:rPr>
            <w:rStyle w:val="Hyperlink"/>
            <w:sz w:val="24"/>
            <w:szCs w:val="24"/>
          </w:rPr>
          <w:t>http://www.financialstabilityboard.org/wp-content/uploads/r_130716a.pdf?page_moved=1</w:t>
        </w:r>
      </w:hyperlink>
      <w:r>
        <w:rPr>
          <w:sz w:val="24"/>
          <w:szCs w:val="24"/>
        </w:rPr>
        <w:t xml:space="preserve"> (last accessed 25</w:t>
      </w:r>
      <w:r w:rsidRPr="00CA6DC4">
        <w:rPr>
          <w:sz w:val="24"/>
          <w:szCs w:val="24"/>
          <w:vertAlign w:val="superscript"/>
        </w:rPr>
        <w:t>th</w:t>
      </w:r>
      <w:r>
        <w:rPr>
          <w:sz w:val="24"/>
          <w:szCs w:val="24"/>
        </w:rPr>
        <w:t xml:space="preserve"> July 2015). </w:t>
      </w:r>
    </w:p>
    <w:p w:rsidR="00CA6DC4" w:rsidRDefault="00CA6DC4" w:rsidP="00A96C64">
      <w:pPr>
        <w:jc w:val="both"/>
        <w:rPr>
          <w:sz w:val="24"/>
          <w:szCs w:val="24"/>
        </w:rPr>
      </w:pPr>
    </w:p>
    <w:p w:rsidR="00CA6DC4" w:rsidRPr="00CA6DC4" w:rsidRDefault="00CA6DC4" w:rsidP="00A96C64">
      <w:pPr>
        <w:jc w:val="both"/>
        <w:rPr>
          <w:sz w:val="24"/>
          <w:szCs w:val="24"/>
        </w:rPr>
      </w:pPr>
      <w:r>
        <w:rPr>
          <w:b/>
          <w:sz w:val="24"/>
          <w:szCs w:val="24"/>
        </w:rPr>
        <w:t xml:space="preserve">Financial Stability Board </w:t>
      </w:r>
      <w:r w:rsidRPr="00CA6DC4">
        <w:rPr>
          <w:sz w:val="24"/>
          <w:szCs w:val="24"/>
        </w:rPr>
        <w:t>(2013),</w:t>
      </w:r>
      <w:r>
        <w:rPr>
          <w:sz w:val="24"/>
          <w:szCs w:val="24"/>
        </w:rPr>
        <w:t xml:space="preserve"> Recovery and resolution planning for systemically important financial institutions, guidance on developing effective resolution strategies, July 2013, available at </w:t>
      </w:r>
      <w:hyperlink r:id="rId80" w:history="1">
        <w:r w:rsidRPr="00B17872">
          <w:rPr>
            <w:rStyle w:val="Hyperlink"/>
            <w:sz w:val="24"/>
            <w:szCs w:val="24"/>
          </w:rPr>
          <w:t>http://www.financialstabilityboard.org/wp-content/uploads/r_130716b.pdf?page_moved=1</w:t>
        </w:r>
      </w:hyperlink>
      <w:r>
        <w:rPr>
          <w:sz w:val="24"/>
          <w:szCs w:val="24"/>
        </w:rPr>
        <w:t xml:space="preserve"> (last accessed 25</w:t>
      </w:r>
      <w:r w:rsidRPr="00CA6DC4">
        <w:rPr>
          <w:sz w:val="24"/>
          <w:szCs w:val="24"/>
          <w:vertAlign w:val="superscript"/>
        </w:rPr>
        <w:t>th</w:t>
      </w:r>
      <w:r>
        <w:rPr>
          <w:sz w:val="24"/>
          <w:szCs w:val="24"/>
        </w:rPr>
        <w:t xml:space="preserve"> July 2015).</w:t>
      </w:r>
    </w:p>
    <w:p w:rsidR="00CA6DC4" w:rsidRDefault="00CA6DC4" w:rsidP="00A96C64">
      <w:pPr>
        <w:jc w:val="both"/>
        <w:rPr>
          <w:b/>
          <w:sz w:val="24"/>
          <w:szCs w:val="24"/>
        </w:rPr>
      </w:pPr>
    </w:p>
    <w:p w:rsidR="00A80BF8" w:rsidRPr="00A80BF8" w:rsidRDefault="00A80BF8" w:rsidP="00A96C64">
      <w:pPr>
        <w:jc w:val="both"/>
        <w:rPr>
          <w:sz w:val="24"/>
          <w:szCs w:val="24"/>
        </w:rPr>
      </w:pPr>
      <w:r w:rsidRPr="00A80BF8">
        <w:rPr>
          <w:b/>
          <w:sz w:val="24"/>
          <w:szCs w:val="24"/>
        </w:rPr>
        <w:t>Financial Stability Board</w:t>
      </w:r>
      <w:r>
        <w:rPr>
          <w:sz w:val="24"/>
          <w:szCs w:val="24"/>
        </w:rPr>
        <w:t>(201</w:t>
      </w:r>
      <w:r w:rsidR="00CA6DC4">
        <w:rPr>
          <w:sz w:val="24"/>
          <w:szCs w:val="24"/>
        </w:rPr>
        <w:t>4</w:t>
      </w:r>
      <w:r>
        <w:rPr>
          <w:sz w:val="24"/>
          <w:szCs w:val="24"/>
        </w:rPr>
        <w:t xml:space="preserve">), </w:t>
      </w:r>
      <w:r w:rsidRPr="00A80BF8">
        <w:rPr>
          <w:sz w:val="24"/>
          <w:szCs w:val="24"/>
        </w:rPr>
        <w:t>Key Attributes of Effective Resolution Regimes for Financial Inst</w:t>
      </w:r>
      <w:r>
        <w:rPr>
          <w:sz w:val="24"/>
          <w:szCs w:val="24"/>
        </w:rPr>
        <w:t>it</w:t>
      </w:r>
      <w:r w:rsidRPr="00A80BF8">
        <w:rPr>
          <w:sz w:val="24"/>
          <w:szCs w:val="24"/>
        </w:rPr>
        <w:t>utions</w:t>
      </w:r>
      <w:r>
        <w:rPr>
          <w:sz w:val="24"/>
          <w:szCs w:val="24"/>
        </w:rPr>
        <w:t>, October 201</w:t>
      </w:r>
      <w:r w:rsidR="00CA6DC4">
        <w:rPr>
          <w:sz w:val="24"/>
          <w:szCs w:val="24"/>
        </w:rPr>
        <w:t>4</w:t>
      </w:r>
      <w:r>
        <w:rPr>
          <w:sz w:val="24"/>
          <w:szCs w:val="24"/>
        </w:rPr>
        <w:t xml:space="preserve">, available at </w:t>
      </w:r>
      <w:hyperlink r:id="rId81" w:history="1">
        <w:r w:rsidR="00CA6DC4" w:rsidRPr="00B17872">
          <w:rPr>
            <w:rStyle w:val="Hyperlink"/>
            <w:sz w:val="24"/>
            <w:szCs w:val="24"/>
          </w:rPr>
          <w:t>http://www.financialstabilityboard.org/wp-content/uploads/r_141015.pdf</w:t>
        </w:r>
      </w:hyperlink>
      <w:r w:rsidR="00CA6DC4">
        <w:rPr>
          <w:sz w:val="24"/>
          <w:szCs w:val="24"/>
        </w:rPr>
        <w:t xml:space="preserve"> (last accessed 25th July 2015)</w:t>
      </w:r>
      <w:r>
        <w:rPr>
          <w:sz w:val="24"/>
          <w:szCs w:val="24"/>
        </w:rPr>
        <w:t>.</w:t>
      </w:r>
    </w:p>
    <w:p w:rsidR="00A96C64" w:rsidRPr="00A96C64" w:rsidRDefault="00A96C64" w:rsidP="00A96C64">
      <w:pPr>
        <w:jc w:val="both"/>
        <w:rPr>
          <w:sz w:val="24"/>
          <w:szCs w:val="24"/>
        </w:rPr>
      </w:pPr>
    </w:p>
    <w:p w:rsidR="00A26849" w:rsidRDefault="004E724D" w:rsidP="00A96C64">
      <w:pPr>
        <w:jc w:val="both"/>
        <w:rPr>
          <w:sz w:val="24"/>
          <w:szCs w:val="24"/>
        </w:rPr>
      </w:pPr>
      <w:r w:rsidRPr="00A96C64">
        <w:rPr>
          <w:b/>
          <w:sz w:val="24"/>
          <w:szCs w:val="24"/>
        </w:rPr>
        <w:t xml:space="preserve">Financial </w:t>
      </w:r>
      <w:r w:rsidRPr="004E724D">
        <w:rPr>
          <w:b/>
          <w:sz w:val="24"/>
          <w:szCs w:val="24"/>
        </w:rPr>
        <w:t>Stability Board</w:t>
      </w:r>
      <w:r w:rsidRPr="004E724D">
        <w:rPr>
          <w:sz w:val="24"/>
          <w:szCs w:val="24"/>
        </w:rPr>
        <w:t xml:space="preserve"> (2013), Thematic Review on Risk Governance, Peer Review Report, February 2013, available at </w:t>
      </w:r>
      <w:hyperlink r:id="rId82" w:history="1">
        <w:r w:rsidRPr="004E724D">
          <w:rPr>
            <w:rStyle w:val="Hyperlink"/>
            <w:sz w:val="24"/>
            <w:szCs w:val="24"/>
          </w:rPr>
          <w:t>http://www.financialstabilityboard.org/publications/r_130212.pdf</w:t>
        </w:r>
      </w:hyperlink>
      <w:r w:rsidRPr="004E724D">
        <w:rPr>
          <w:sz w:val="24"/>
          <w:szCs w:val="24"/>
        </w:rPr>
        <w:t>. (last accessed on 14</w:t>
      </w:r>
      <w:r w:rsidRPr="004E724D">
        <w:rPr>
          <w:sz w:val="24"/>
          <w:szCs w:val="24"/>
          <w:vertAlign w:val="superscript"/>
        </w:rPr>
        <w:t>th</w:t>
      </w:r>
      <w:r w:rsidR="00BF6ADB">
        <w:rPr>
          <w:sz w:val="24"/>
          <w:szCs w:val="24"/>
        </w:rPr>
        <w:t xml:space="preserve">June </w:t>
      </w:r>
      <w:r w:rsidRPr="004E724D">
        <w:rPr>
          <w:sz w:val="24"/>
          <w:szCs w:val="24"/>
        </w:rPr>
        <w:t>201</w:t>
      </w:r>
      <w:r w:rsidR="00BF6ADB">
        <w:rPr>
          <w:sz w:val="24"/>
          <w:szCs w:val="24"/>
        </w:rPr>
        <w:t>5</w:t>
      </w:r>
      <w:r w:rsidRPr="004E724D">
        <w:rPr>
          <w:sz w:val="24"/>
          <w:szCs w:val="24"/>
        </w:rPr>
        <w:t>).</w:t>
      </w:r>
    </w:p>
    <w:p w:rsidR="00A96C64" w:rsidRDefault="00A96C64" w:rsidP="00A96C64">
      <w:pPr>
        <w:jc w:val="both"/>
        <w:rPr>
          <w:sz w:val="24"/>
          <w:szCs w:val="24"/>
        </w:rPr>
      </w:pPr>
    </w:p>
    <w:p w:rsidR="00BF6ADB" w:rsidRDefault="00BF6ADB" w:rsidP="00BF6ADB">
      <w:pPr>
        <w:jc w:val="both"/>
        <w:rPr>
          <w:sz w:val="24"/>
          <w:szCs w:val="24"/>
        </w:rPr>
      </w:pPr>
      <w:r w:rsidRPr="00BF6ADB">
        <w:rPr>
          <w:b/>
          <w:sz w:val="24"/>
          <w:szCs w:val="24"/>
        </w:rPr>
        <w:t>Financial Stability Board</w:t>
      </w:r>
      <w:r w:rsidRPr="00BF6ADB">
        <w:rPr>
          <w:sz w:val="24"/>
          <w:szCs w:val="24"/>
        </w:rPr>
        <w:t xml:space="preserve"> (2013), Principles for an Effective Risk Appetite Framework, Consultative Document, July 2013, available at </w:t>
      </w:r>
      <w:hyperlink r:id="rId83" w:history="1">
        <w:r w:rsidRPr="00BF6ADB">
          <w:rPr>
            <w:rStyle w:val="Hyperlink"/>
            <w:sz w:val="24"/>
            <w:szCs w:val="24"/>
          </w:rPr>
          <w:t>http://www.financialstabilityboard.org/publications/r_130717.pdf</w:t>
        </w:r>
      </w:hyperlink>
      <w:r w:rsidRPr="00BF6ADB">
        <w:rPr>
          <w:sz w:val="24"/>
          <w:szCs w:val="24"/>
        </w:rPr>
        <w:t xml:space="preserve">  (last accessed on 18</w:t>
      </w:r>
      <w:r w:rsidRPr="00BF6ADB">
        <w:rPr>
          <w:sz w:val="24"/>
          <w:szCs w:val="24"/>
          <w:vertAlign w:val="superscript"/>
        </w:rPr>
        <w:t>th</w:t>
      </w:r>
      <w:r w:rsidRPr="00BF6ADB">
        <w:rPr>
          <w:sz w:val="24"/>
          <w:szCs w:val="24"/>
        </w:rPr>
        <w:t xml:space="preserve"> June 2015).</w:t>
      </w:r>
    </w:p>
    <w:p w:rsidR="00BF6ADB" w:rsidRPr="00BF6ADB" w:rsidRDefault="00BF6ADB" w:rsidP="00BF6ADB">
      <w:pPr>
        <w:jc w:val="both"/>
        <w:rPr>
          <w:sz w:val="24"/>
          <w:szCs w:val="24"/>
        </w:rPr>
      </w:pPr>
    </w:p>
    <w:p w:rsidR="00A26849" w:rsidRDefault="00CF42AD" w:rsidP="00A26849">
      <w:pPr>
        <w:pStyle w:val="EndnoteText"/>
        <w:spacing w:line="240" w:lineRule="auto"/>
        <w:jc w:val="both"/>
        <w:rPr>
          <w:sz w:val="24"/>
          <w:szCs w:val="24"/>
        </w:rPr>
      </w:pPr>
      <w:r w:rsidRPr="00534803">
        <w:rPr>
          <w:b/>
          <w:sz w:val="24"/>
          <w:szCs w:val="24"/>
        </w:rPr>
        <w:lastRenderedPageBreak/>
        <w:t>Friedman, M.</w:t>
      </w:r>
      <w:r>
        <w:rPr>
          <w:sz w:val="24"/>
          <w:szCs w:val="24"/>
        </w:rPr>
        <w:t xml:space="preserve"> (1962),</w:t>
      </w:r>
      <w:r w:rsidRPr="00534803">
        <w:rPr>
          <w:sz w:val="24"/>
          <w:szCs w:val="24"/>
        </w:rPr>
        <w:t xml:space="preserve"> Capitalism and Freedom</w:t>
      </w:r>
      <w:r>
        <w:rPr>
          <w:sz w:val="24"/>
          <w:szCs w:val="24"/>
        </w:rPr>
        <w:t xml:space="preserve">, </w:t>
      </w:r>
      <w:r w:rsidRPr="00534803">
        <w:rPr>
          <w:sz w:val="24"/>
          <w:szCs w:val="24"/>
        </w:rPr>
        <w:t xml:space="preserve">University of Chicago Press: Chicago. </w:t>
      </w:r>
    </w:p>
    <w:p w:rsidR="00A26849" w:rsidRDefault="00CF42AD" w:rsidP="00A26849">
      <w:pPr>
        <w:pStyle w:val="EndnoteText"/>
        <w:spacing w:line="240" w:lineRule="auto"/>
        <w:jc w:val="both"/>
        <w:rPr>
          <w:sz w:val="24"/>
          <w:szCs w:val="24"/>
        </w:rPr>
      </w:pPr>
      <w:r w:rsidRPr="00534803">
        <w:rPr>
          <w:b/>
          <w:sz w:val="24"/>
          <w:szCs w:val="24"/>
        </w:rPr>
        <w:t>Galbraith, J. K.</w:t>
      </w:r>
      <w:r>
        <w:rPr>
          <w:sz w:val="24"/>
          <w:szCs w:val="24"/>
        </w:rPr>
        <w:t xml:space="preserve"> (1954),</w:t>
      </w:r>
      <w:r w:rsidRPr="00534803">
        <w:rPr>
          <w:sz w:val="24"/>
          <w:szCs w:val="24"/>
        </w:rPr>
        <w:t xml:space="preserve"> The Great Crash 1929</w:t>
      </w:r>
      <w:r>
        <w:rPr>
          <w:sz w:val="24"/>
          <w:szCs w:val="24"/>
        </w:rPr>
        <w:t>,</w:t>
      </w:r>
      <w:r w:rsidRPr="00534803">
        <w:rPr>
          <w:sz w:val="24"/>
          <w:szCs w:val="24"/>
        </w:rPr>
        <w:t xml:space="preserve"> Penguin Books: New York. </w:t>
      </w:r>
    </w:p>
    <w:p w:rsidR="00217488" w:rsidRPr="00A96C64" w:rsidRDefault="00217488" w:rsidP="00A96C64">
      <w:pPr>
        <w:pStyle w:val="EndnoteText"/>
        <w:spacing w:line="240" w:lineRule="auto"/>
        <w:jc w:val="both"/>
        <w:rPr>
          <w:b/>
          <w:sz w:val="24"/>
          <w:szCs w:val="24"/>
        </w:rPr>
      </w:pPr>
      <w:r w:rsidRPr="00217488">
        <w:rPr>
          <w:b/>
          <w:sz w:val="24"/>
          <w:szCs w:val="24"/>
        </w:rPr>
        <w:t>Goldgar, A.</w:t>
      </w:r>
      <w:r w:rsidRPr="00217488">
        <w:rPr>
          <w:sz w:val="24"/>
          <w:szCs w:val="24"/>
        </w:rPr>
        <w:t xml:space="preserve"> (</w:t>
      </w:r>
      <w:r w:rsidR="001A2DF9">
        <w:rPr>
          <w:sz w:val="24"/>
          <w:szCs w:val="24"/>
        </w:rPr>
        <w:t>2008</w:t>
      </w:r>
      <w:r w:rsidRPr="00217488">
        <w:rPr>
          <w:sz w:val="24"/>
          <w:szCs w:val="24"/>
        </w:rPr>
        <w:t>)</w:t>
      </w:r>
      <w:r w:rsidR="00A029B5">
        <w:rPr>
          <w:sz w:val="24"/>
          <w:szCs w:val="24"/>
        </w:rPr>
        <w:t>,</w:t>
      </w:r>
      <w:r w:rsidRPr="00217488">
        <w:rPr>
          <w:sz w:val="24"/>
          <w:szCs w:val="24"/>
        </w:rPr>
        <w:t xml:space="preserve"> Tulipmania: money, honor, and knowledge in the Ducth golden age, </w:t>
      </w:r>
      <w:r w:rsidRPr="00A96C64">
        <w:rPr>
          <w:sz w:val="24"/>
          <w:szCs w:val="24"/>
        </w:rPr>
        <w:t>University of Chicago Press: Chicago</w:t>
      </w:r>
      <w:r w:rsidR="00A029B5">
        <w:rPr>
          <w:sz w:val="24"/>
          <w:szCs w:val="24"/>
        </w:rPr>
        <w:t>.</w:t>
      </w:r>
    </w:p>
    <w:p w:rsidR="002832BC" w:rsidRDefault="002625EC" w:rsidP="002832BC">
      <w:pPr>
        <w:overflowPunct/>
        <w:jc w:val="both"/>
        <w:textAlignment w:val="auto"/>
        <w:rPr>
          <w:sz w:val="24"/>
          <w:szCs w:val="24"/>
        </w:rPr>
      </w:pPr>
      <w:r w:rsidRPr="002832BC">
        <w:rPr>
          <w:b/>
          <w:sz w:val="24"/>
          <w:szCs w:val="24"/>
        </w:rPr>
        <w:t>Gordy</w:t>
      </w:r>
      <w:r w:rsidR="002832BC" w:rsidRPr="002832BC">
        <w:rPr>
          <w:b/>
          <w:sz w:val="24"/>
          <w:szCs w:val="24"/>
        </w:rPr>
        <w:t xml:space="preserve">, M. </w:t>
      </w:r>
      <w:r w:rsidRPr="002832BC">
        <w:rPr>
          <w:b/>
          <w:sz w:val="24"/>
          <w:szCs w:val="24"/>
        </w:rPr>
        <w:t>and Lütkebohmert</w:t>
      </w:r>
      <w:r w:rsidR="002832BC" w:rsidRPr="002832BC">
        <w:rPr>
          <w:b/>
          <w:sz w:val="24"/>
          <w:szCs w:val="24"/>
        </w:rPr>
        <w:t>, E.</w:t>
      </w:r>
      <w:r w:rsidR="002832BC">
        <w:rPr>
          <w:sz w:val="24"/>
          <w:szCs w:val="24"/>
        </w:rPr>
        <w:t xml:space="preserve"> (2007) </w:t>
      </w:r>
      <w:r w:rsidRPr="002832BC">
        <w:rPr>
          <w:sz w:val="24"/>
          <w:szCs w:val="24"/>
        </w:rPr>
        <w:t>Granularity adjustment for Basel II</w:t>
      </w:r>
      <w:r w:rsidR="002832BC">
        <w:rPr>
          <w:sz w:val="24"/>
          <w:szCs w:val="24"/>
        </w:rPr>
        <w:t xml:space="preserve">, </w:t>
      </w:r>
      <w:r w:rsidRPr="002832BC">
        <w:rPr>
          <w:sz w:val="24"/>
          <w:szCs w:val="24"/>
        </w:rPr>
        <w:t>Discussion Paper 01/2007, Deutsche Bundesbank</w:t>
      </w:r>
      <w:r w:rsidR="002832BC">
        <w:rPr>
          <w:sz w:val="24"/>
          <w:szCs w:val="24"/>
        </w:rPr>
        <w:t xml:space="preserve">, available at </w:t>
      </w:r>
      <w:hyperlink r:id="rId84" w:history="1">
        <w:r w:rsidR="002832BC" w:rsidRPr="00913F37">
          <w:rPr>
            <w:rStyle w:val="Hyperlink"/>
            <w:sz w:val="24"/>
            <w:szCs w:val="24"/>
          </w:rPr>
          <w:t>http://core.ac.uk/download/pdf/6385940.pdf</w:t>
        </w:r>
      </w:hyperlink>
      <w:r w:rsidR="002832BC">
        <w:rPr>
          <w:sz w:val="24"/>
          <w:szCs w:val="24"/>
        </w:rPr>
        <w:t xml:space="preserve"> (last accessed on 29th August 2015)</w:t>
      </w:r>
      <w:r w:rsidRPr="002832BC">
        <w:rPr>
          <w:sz w:val="24"/>
          <w:szCs w:val="24"/>
        </w:rPr>
        <w:t>.</w:t>
      </w:r>
    </w:p>
    <w:p w:rsidR="002832BC" w:rsidRDefault="002832BC" w:rsidP="002832BC">
      <w:pPr>
        <w:overflowPunct/>
        <w:jc w:val="both"/>
        <w:textAlignment w:val="auto"/>
        <w:rPr>
          <w:b/>
          <w:sz w:val="24"/>
          <w:szCs w:val="24"/>
        </w:rPr>
      </w:pPr>
    </w:p>
    <w:p w:rsidR="00A26849" w:rsidRDefault="003B4E4A" w:rsidP="00A26849">
      <w:pPr>
        <w:pStyle w:val="EndnoteText"/>
        <w:spacing w:line="240" w:lineRule="auto"/>
        <w:jc w:val="both"/>
        <w:rPr>
          <w:rFonts w:eastAsia="SimSun"/>
          <w:sz w:val="24"/>
          <w:szCs w:val="24"/>
          <w:lang w:eastAsia="zh-CN"/>
        </w:rPr>
      </w:pPr>
      <w:r w:rsidRPr="00A96C64">
        <w:rPr>
          <w:b/>
          <w:sz w:val="24"/>
          <w:szCs w:val="24"/>
        </w:rPr>
        <w:t>Gower,</w:t>
      </w:r>
      <w:r w:rsidRPr="003B4E4A">
        <w:rPr>
          <w:rFonts w:eastAsia="SimSun"/>
          <w:b/>
          <w:bCs/>
          <w:sz w:val="24"/>
          <w:szCs w:val="24"/>
          <w:lang w:eastAsia="zh-CN"/>
        </w:rPr>
        <w:t xml:space="preserve"> L.C.B. </w:t>
      </w:r>
      <w:r w:rsidRPr="003B4E4A">
        <w:rPr>
          <w:rFonts w:eastAsia="SimSun"/>
          <w:sz w:val="24"/>
          <w:szCs w:val="24"/>
          <w:lang w:eastAsia="zh-CN"/>
        </w:rPr>
        <w:t>(1984), Review of Investor Protection, Report: Part 1, Cmnd 9125, HMSO, 1984, Department of Trade and Industry: London.</w:t>
      </w:r>
    </w:p>
    <w:p w:rsidR="00617BB6" w:rsidRDefault="00617BB6" w:rsidP="00A26849">
      <w:pPr>
        <w:pStyle w:val="EndnoteText"/>
        <w:spacing w:line="240" w:lineRule="auto"/>
        <w:jc w:val="both"/>
        <w:rPr>
          <w:b/>
          <w:sz w:val="24"/>
          <w:szCs w:val="24"/>
        </w:rPr>
      </w:pPr>
      <w:r>
        <w:rPr>
          <w:b/>
          <w:sz w:val="24"/>
          <w:szCs w:val="24"/>
        </w:rPr>
        <w:t xml:space="preserve">Greenspan , A. </w:t>
      </w:r>
      <w:r w:rsidRPr="00617BB6">
        <w:rPr>
          <w:sz w:val="24"/>
          <w:szCs w:val="24"/>
        </w:rPr>
        <w:t>(2008),The Age of Turbulence, Penguin Books: London</w:t>
      </w:r>
      <w:r w:rsidR="00A029B5">
        <w:rPr>
          <w:sz w:val="24"/>
          <w:szCs w:val="24"/>
        </w:rPr>
        <w:t>.</w:t>
      </w:r>
    </w:p>
    <w:p w:rsidR="00CF42AD" w:rsidRPr="004327C6" w:rsidRDefault="00CF42AD" w:rsidP="00126B29">
      <w:pPr>
        <w:pStyle w:val="FootnoteText"/>
        <w:jc w:val="both"/>
        <w:rPr>
          <w:sz w:val="24"/>
          <w:szCs w:val="24"/>
        </w:rPr>
      </w:pPr>
      <w:r w:rsidRPr="004327C6">
        <w:rPr>
          <w:b/>
          <w:sz w:val="24"/>
          <w:szCs w:val="24"/>
        </w:rPr>
        <w:t>Group of Thirty</w:t>
      </w:r>
      <w:r>
        <w:rPr>
          <w:sz w:val="24"/>
          <w:szCs w:val="24"/>
        </w:rPr>
        <w:t xml:space="preserve">(2009), </w:t>
      </w:r>
      <w:r w:rsidRPr="004327C6">
        <w:rPr>
          <w:sz w:val="24"/>
          <w:szCs w:val="24"/>
        </w:rPr>
        <w:t>Financial Reform – A Framework for Financial Stability</w:t>
      </w:r>
      <w:r>
        <w:rPr>
          <w:sz w:val="24"/>
          <w:szCs w:val="24"/>
        </w:rPr>
        <w:t xml:space="preserve">, available at </w:t>
      </w:r>
      <w:hyperlink r:id="rId85" w:history="1">
        <w:r w:rsidR="00A029B5" w:rsidRPr="00E469AD">
          <w:rPr>
            <w:rStyle w:val="Hyperlink"/>
            <w:sz w:val="24"/>
            <w:szCs w:val="24"/>
          </w:rPr>
          <w:t>http://www.group30.org/images/PDF/Financial_Reform-A_Framework_for_Financial_Stability.pdf</w:t>
        </w:r>
      </w:hyperlink>
      <w:r w:rsidR="00126B29" w:rsidRPr="00126B29">
        <w:rPr>
          <w:color w:val="202020"/>
          <w:sz w:val="24"/>
          <w:szCs w:val="24"/>
        </w:rPr>
        <w:t>.</w:t>
      </w:r>
      <w:r w:rsidR="00126B29">
        <w:rPr>
          <w:sz w:val="24"/>
          <w:szCs w:val="24"/>
        </w:rPr>
        <w:t xml:space="preserve"> (last accessed 9</w:t>
      </w:r>
      <w:r w:rsidR="00126B29" w:rsidRPr="00126B29">
        <w:rPr>
          <w:sz w:val="24"/>
          <w:szCs w:val="24"/>
          <w:vertAlign w:val="superscript"/>
        </w:rPr>
        <w:t>th</w:t>
      </w:r>
      <w:r w:rsidR="00126B29">
        <w:rPr>
          <w:sz w:val="24"/>
          <w:szCs w:val="24"/>
        </w:rPr>
        <w:t xml:space="preserve"> July 2015</w:t>
      </w:r>
      <w:r>
        <w:rPr>
          <w:sz w:val="24"/>
          <w:szCs w:val="24"/>
        </w:rPr>
        <w:t>)</w:t>
      </w:r>
      <w:r w:rsidRPr="004327C6">
        <w:rPr>
          <w:sz w:val="24"/>
          <w:szCs w:val="24"/>
        </w:rPr>
        <w:t>.</w:t>
      </w:r>
    </w:p>
    <w:p w:rsidR="00CF42AD" w:rsidRDefault="00CF42AD" w:rsidP="00CF42AD">
      <w:pPr>
        <w:jc w:val="both"/>
        <w:rPr>
          <w:b/>
          <w:bCs/>
          <w:sz w:val="24"/>
          <w:szCs w:val="24"/>
        </w:rPr>
      </w:pPr>
    </w:p>
    <w:p w:rsidR="00352DFC" w:rsidRPr="00EC6587" w:rsidRDefault="00352DFC" w:rsidP="00352DFC">
      <w:pPr>
        <w:jc w:val="both"/>
        <w:rPr>
          <w:b/>
          <w:sz w:val="24"/>
          <w:szCs w:val="24"/>
        </w:rPr>
      </w:pPr>
      <w:r w:rsidRPr="00EC6587">
        <w:rPr>
          <w:b/>
          <w:sz w:val="24"/>
          <w:szCs w:val="24"/>
        </w:rPr>
        <w:t>Hemraj, M.B.</w:t>
      </w:r>
      <w:r>
        <w:rPr>
          <w:sz w:val="24"/>
          <w:szCs w:val="24"/>
        </w:rPr>
        <w:t xml:space="preserve"> (2005), The regulatory failure: the saga of BCCI, </w:t>
      </w:r>
      <w:r w:rsidRPr="008C2C51">
        <w:rPr>
          <w:sz w:val="24"/>
          <w:szCs w:val="24"/>
        </w:rPr>
        <w:t>Journal of Money Laundering Control</w:t>
      </w:r>
      <w:r>
        <w:rPr>
          <w:sz w:val="24"/>
          <w:szCs w:val="24"/>
        </w:rPr>
        <w:t>, 8, 4, pp 346-353.</w:t>
      </w:r>
    </w:p>
    <w:p w:rsidR="00352DFC" w:rsidRDefault="00352DFC" w:rsidP="00CF42AD">
      <w:pPr>
        <w:jc w:val="both"/>
        <w:rPr>
          <w:b/>
          <w:bCs/>
          <w:sz w:val="24"/>
          <w:szCs w:val="24"/>
        </w:rPr>
      </w:pPr>
    </w:p>
    <w:p w:rsidR="001F350E" w:rsidRPr="001066D7" w:rsidRDefault="001F350E" w:rsidP="008C2C51">
      <w:pPr>
        <w:overflowPunct/>
        <w:autoSpaceDE/>
        <w:autoSpaceDN/>
        <w:adjustRightInd/>
        <w:jc w:val="both"/>
        <w:textAlignment w:val="auto"/>
        <w:rPr>
          <w:color w:val="202020"/>
          <w:sz w:val="24"/>
          <w:szCs w:val="24"/>
        </w:rPr>
      </w:pPr>
      <w:r w:rsidRPr="001066D7">
        <w:rPr>
          <w:b/>
          <w:bCs/>
          <w:sz w:val="24"/>
          <w:szCs w:val="24"/>
        </w:rPr>
        <w:t>High</w:t>
      </w:r>
      <w:r w:rsidRPr="001066D7">
        <w:rPr>
          <w:b/>
          <w:sz w:val="24"/>
          <w:szCs w:val="24"/>
        </w:rPr>
        <w:t>-</w:t>
      </w:r>
      <w:r w:rsidRPr="001066D7">
        <w:rPr>
          <w:b/>
          <w:bCs/>
          <w:sz w:val="24"/>
          <w:szCs w:val="24"/>
        </w:rPr>
        <w:t>level Expert Group</w:t>
      </w:r>
      <w:r w:rsidRPr="001066D7">
        <w:rPr>
          <w:bCs/>
          <w:sz w:val="24"/>
          <w:szCs w:val="24"/>
        </w:rPr>
        <w:t xml:space="preserve"> (2012)</w:t>
      </w:r>
      <w:r w:rsidR="00A029B5">
        <w:rPr>
          <w:bCs/>
          <w:sz w:val="24"/>
          <w:szCs w:val="24"/>
        </w:rPr>
        <w:t>,</w:t>
      </w:r>
      <w:r w:rsidRPr="001066D7">
        <w:rPr>
          <w:sz w:val="24"/>
          <w:szCs w:val="24"/>
        </w:rPr>
        <w:t xml:space="preserve"> on reforming the structure of the EU banking sector, final report, 2 October 2012  - the Liikanen Report, available at </w:t>
      </w:r>
      <w:hyperlink r:id="rId86" w:history="1">
        <w:r w:rsidR="008C2C51" w:rsidRPr="00B17872">
          <w:rPr>
            <w:rStyle w:val="Hyperlink"/>
            <w:sz w:val="24"/>
            <w:szCs w:val="24"/>
          </w:rPr>
          <w:t>http://ec.europa.eu/internal_market/bank/docs/high-level_expert_group/report_en.pdf</w:t>
        </w:r>
      </w:hyperlink>
      <w:r w:rsidR="008C2C51">
        <w:rPr>
          <w:sz w:val="24"/>
          <w:szCs w:val="24"/>
        </w:rPr>
        <w:t xml:space="preserve"> (last accessed 25th July 2015)</w:t>
      </w:r>
      <w:r w:rsidR="00A029B5">
        <w:rPr>
          <w:sz w:val="24"/>
          <w:szCs w:val="24"/>
        </w:rPr>
        <w:t>.</w:t>
      </w:r>
    </w:p>
    <w:p w:rsidR="001F350E" w:rsidRDefault="001F350E" w:rsidP="00CF42AD">
      <w:pPr>
        <w:jc w:val="both"/>
      </w:pPr>
    </w:p>
    <w:p w:rsidR="002625EC" w:rsidRPr="002625EC" w:rsidRDefault="002625EC" w:rsidP="001066D7">
      <w:pPr>
        <w:overflowPunct/>
        <w:autoSpaceDE/>
        <w:autoSpaceDN/>
        <w:adjustRightInd/>
        <w:jc w:val="both"/>
        <w:textAlignment w:val="auto"/>
        <w:rPr>
          <w:rStyle w:val="citation"/>
          <w:sz w:val="24"/>
          <w:szCs w:val="24"/>
        </w:rPr>
      </w:pPr>
      <w:r w:rsidRPr="002625EC">
        <w:rPr>
          <w:rStyle w:val="citation"/>
          <w:b/>
          <w:sz w:val="24"/>
          <w:szCs w:val="24"/>
        </w:rPr>
        <w:t>Hirschman, Albert O.</w:t>
      </w:r>
      <w:r w:rsidRPr="002625EC">
        <w:rPr>
          <w:rStyle w:val="citation"/>
          <w:sz w:val="24"/>
          <w:szCs w:val="24"/>
        </w:rPr>
        <w:t xml:space="preserve"> (1964). "The Paternity of an Index". </w:t>
      </w:r>
      <w:r w:rsidRPr="002625EC">
        <w:rPr>
          <w:rStyle w:val="citation"/>
          <w:iCs/>
          <w:sz w:val="24"/>
          <w:szCs w:val="24"/>
        </w:rPr>
        <w:t>The American Economic Review</w:t>
      </w:r>
      <w:r w:rsidRPr="002625EC">
        <w:rPr>
          <w:rStyle w:val="citation"/>
          <w:sz w:val="24"/>
          <w:szCs w:val="24"/>
        </w:rPr>
        <w:t xml:space="preserve"> (American Economic Association) </w:t>
      </w:r>
      <w:r w:rsidRPr="002625EC">
        <w:rPr>
          <w:rStyle w:val="citation"/>
          <w:bCs/>
          <w:sz w:val="24"/>
          <w:szCs w:val="24"/>
        </w:rPr>
        <w:t>54</w:t>
      </w:r>
      <w:r>
        <w:rPr>
          <w:rStyle w:val="citation"/>
          <w:bCs/>
          <w:sz w:val="24"/>
          <w:szCs w:val="24"/>
        </w:rPr>
        <w:t xml:space="preserve">, </w:t>
      </w:r>
      <w:r w:rsidRPr="002625EC">
        <w:rPr>
          <w:rStyle w:val="citation"/>
          <w:sz w:val="24"/>
          <w:szCs w:val="24"/>
        </w:rPr>
        <w:t>5</w:t>
      </w:r>
      <w:r>
        <w:rPr>
          <w:rStyle w:val="citation"/>
          <w:sz w:val="24"/>
          <w:szCs w:val="24"/>
        </w:rPr>
        <w:t>, p</w:t>
      </w:r>
      <w:r w:rsidRPr="002625EC">
        <w:rPr>
          <w:rStyle w:val="citation"/>
          <w:sz w:val="24"/>
          <w:szCs w:val="24"/>
        </w:rPr>
        <w:t xml:space="preserve"> 761</w:t>
      </w:r>
      <w:r>
        <w:rPr>
          <w:rStyle w:val="citation"/>
          <w:sz w:val="24"/>
          <w:szCs w:val="24"/>
        </w:rPr>
        <w:t>.</w:t>
      </w:r>
    </w:p>
    <w:p w:rsidR="002625EC" w:rsidRDefault="002625EC" w:rsidP="001066D7">
      <w:pPr>
        <w:overflowPunct/>
        <w:autoSpaceDE/>
        <w:autoSpaceDN/>
        <w:adjustRightInd/>
        <w:jc w:val="both"/>
        <w:textAlignment w:val="auto"/>
        <w:rPr>
          <w:rStyle w:val="citation"/>
        </w:rPr>
      </w:pPr>
    </w:p>
    <w:p w:rsidR="00433A5F" w:rsidRDefault="00433A5F" w:rsidP="001066D7">
      <w:pPr>
        <w:overflowPunct/>
        <w:autoSpaceDE/>
        <w:autoSpaceDN/>
        <w:adjustRightInd/>
        <w:jc w:val="both"/>
        <w:textAlignment w:val="auto"/>
        <w:rPr>
          <w:sz w:val="24"/>
          <w:szCs w:val="24"/>
        </w:rPr>
      </w:pPr>
      <w:r w:rsidRPr="001066D7">
        <w:rPr>
          <w:b/>
          <w:sz w:val="24"/>
          <w:szCs w:val="24"/>
        </w:rPr>
        <w:t>HM Treasury / Department for Business Innovation and Skills</w:t>
      </w:r>
      <w:r w:rsidR="00B41250">
        <w:rPr>
          <w:b/>
          <w:sz w:val="24"/>
          <w:szCs w:val="24"/>
        </w:rPr>
        <w:t xml:space="preserve"> </w:t>
      </w:r>
      <w:r>
        <w:rPr>
          <w:sz w:val="24"/>
          <w:szCs w:val="24"/>
        </w:rPr>
        <w:t>(2011), The government response to the Independent Commission on Banking, December 2011, available at</w:t>
      </w:r>
      <w:hyperlink r:id="rId87" w:history="1">
        <w:r w:rsidR="002832BC" w:rsidRPr="00913F37">
          <w:rPr>
            <w:rStyle w:val="Hyperlink"/>
            <w:sz w:val="24"/>
            <w:szCs w:val="24"/>
          </w:rPr>
          <w:t>https://www.gov.uk/government/uploads/system/uploads/attachment_data/file/31585/govt_response_to_icb_191211.pdf</w:t>
        </w:r>
      </w:hyperlink>
      <w:r w:rsidR="00B41250">
        <w:t xml:space="preserve"> </w:t>
      </w:r>
      <w:r>
        <w:rPr>
          <w:sz w:val="24"/>
          <w:szCs w:val="24"/>
        </w:rPr>
        <w:t>(last accessed</w:t>
      </w:r>
      <w:r w:rsidR="002832BC">
        <w:rPr>
          <w:sz w:val="24"/>
          <w:szCs w:val="24"/>
        </w:rPr>
        <w:t xml:space="preserve"> on 29th August 2015)</w:t>
      </w:r>
      <w:r w:rsidR="00A029B5">
        <w:rPr>
          <w:sz w:val="24"/>
          <w:szCs w:val="24"/>
        </w:rPr>
        <w:t>.</w:t>
      </w:r>
    </w:p>
    <w:p w:rsidR="00433A5F" w:rsidRDefault="00433A5F" w:rsidP="001066D7">
      <w:pPr>
        <w:overflowPunct/>
        <w:autoSpaceDE/>
        <w:autoSpaceDN/>
        <w:adjustRightInd/>
        <w:jc w:val="both"/>
        <w:textAlignment w:val="auto"/>
        <w:rPr>
          <w:b/>
          <w:sz w:val="24"/>
          <w:szCs w:val="24"/>
        </w:rPr>
      </w:pPr>
    </w:p>
    <w:p w:rsidR="001066D7" w:rsidRPr="001066D7" w:rsidRDefault="001066D7" w:rsidP="001066D7">
      <w:pPr>
        <w:overflowPunct/>
        <w:autoSpaceDE/>
        <w:autoSpaceDN/>
        <w:adjustRightInd/>
        <w:jc w:val="both"/>
        <w:textAlignment w:val="auto"/>
        <w:rPr>
          <w:sz w:val="24"/>
          <w:szCs w:val="24"/>
        </w:rPr>
      </w:pPr>
      <w:r w:rsidRPr="001066D7">
        <w:rPr>
          <w:b/>
          <w:sz w:val="24"/>
          <w:szCs w:val="24"/>
        </w:rPr>
        <w:t>HM Treasury / Department for Business Innovation and Skills</w:t>
      </w:r>
      <w:r w:rsidR="00B41250">
        <w:rPr>
          <w:b/>
          <w:sz w:val="24"/>
          <w:szCs w:val="24"/>
        </w:rPr>
        <w:t xml:space="preserve"> </w:t>
      </w:r>
      <w:r>
        <w:rPr>
          <w:sz w:val="24"/>
          <w:szCs w:val="24"/>
        </w:rPr>
        <w:t>(2012)</w:t>
      </w:r>
      <w:r w:rsidR="00A029B5">
        <w:rPr>
          <w:sz w:val="24"/>
          <w:szCs w:val="24"/>
        </w:rPr>
        <w:t>,</w:t>
      </w:r>
      <w:r w:rsidRPr="001066D7">
        <w:rPr>
          <w:sz w:val="24"/>
          <w:szCs w:val="24"/>
        </w:rPr>
        <w:t xml:space="preserve"> Banking Reform: delivering stability and supporting a sustainable economy</w:t>
      </w:r>
      <w:r>
        <w:rPr>
          <w:sz w:val="24"/>
          <w:szCs w:val="24"/>
        </w:rPr>
        <w:t>,</w:t>
      </w:r>
      <w:r w:rsidRPr="001066D7">
        <w:rPr>
          <w:sz w:val="24"/>
          <w:szCs w:val="24"/>
        </w:rPr>
        <w:t xml:space="preserve"> June 2012</w:t>
      </w:r>
      <w:r>
        <w:rPr>
          <w:sz w:val="24"/>
          <w:szCs w:val="24"/>
        </w:rPr>
        <w:t xml:space="preserve">, available at </w:t>
      </w:r>
      <w:hyperlink r:id="rId88" w:history="1">
        <w:r w:rsidRPr="00E9349C">
          <w:rPr>
            <w:rStyle w:val="Hyperlink"/>
            <w:sz w:val="24"/>
            <w:szCs w:val="24"/>
          </w:rPr>
          <w:t>https://www.gov.uk/...data/.../whitepaper_banking_reform_140512.pdf</w:t>
        </w:r>
      </w:hyperlink>
      <w:r>
        <w:rPr>
          <w:sz w:val="24"/>
          <w:szCs w:val="24"/>
        </w:rPr>
        <w:t xml:space="preserve"> (last accessed 9th July 2015).</w:t>
      </w:r>
    </w:p>
    <w:p w:rsidR="001066D7" w:rsidRPr="001066D7" w:rsidRDefault="001066D7" w:rsidP="00CF42AD">
      <w:pPr>
        <w:jc w:val="both"/>
        <w:rPr>
          <w:sz w:val="24"/>
          <w:szCs w:val="24"/>
        </w:rPr>
      </w:pPr>
    </w:p>
    <w:p w:rsidR="001066D7" w:rsidRDefault="001066D7" w:rsidP="001066D7">
      <w:pPr>
        <w:overflowPunct/>
        <w:autoSpaceDE/>
        <w:autoSpaceDN/>
        <w:adjustRightInd/>
        <w:textAlignment w:val="auto"/>
        <w:rPr>
          <w:sz w:val="24"/>
          <w:szCs w:val="24"/>
        </w:rPr>
      </w:pPr>
      <w:r w:rsidRPr="001066D7">
        <w:rPr>
          <w:b/>
          <w:sz w:val="24"/>
          <w:szCs w:val="24"/>
        </w:rPr>
        <w:t>HM Treasury / Department for Business Innovation and Skills</w:t>
      </w:r>
      <w:r w:rsidR="00B41250">
        <w:rPr>
          <w:b/>
          <w:sz w:val="24"/>
          <w:szCs w:val="24"/>
        </w:rPr>
        <w:t xml:space="preserve"> </w:t>
      </w:r>
      <w:r>
        <w:rPr>
          <w:sz w:val="24"/>
          <w:szCs w:val="24"/>
        </w:rPr>
        <w:t>(2013)</w:t>
      </w:r>
      <w:r w:rsidR="00A029B5">
        <w:rPr>
          <w:sz w:val="24"/>
          <w:szCs w:val="24"/>
        </w:rPr>
        <w:t>,</w:t>
      </w:r>
      <w:r w:rsidR="00B41250">
        <w:rPr>
          <w:sz w:val="24"/>
          <w:szCs w:val="24"/>
        </w:rPr>
        <w:t xml:space="preserve"> </w:t>
      </w:r>
      <w:r w:rsidRPr="001066D7">
        <w:rPr>
          <w:sz w:val="24"/>
          <w:szCs w:val="24"/>
        </w:rPr>
        <w:t>Banking Reform: a new structure for stability and growth</w:t>
      </w:r>
      <w:r>
        <w:rPr>
          <w:sz w:val="24"/>
          <w:szCs w:val="24"/>
        </w:rPr>
        <w:t>,</w:t>
      </w:r>
      <w:r w:rsidRPr="001066D7">
        <w:rPr>
          <w:sz w:val="24"/>
          <w:szCs w:val="24"/>
        </w:rPr>
        <w:t xml:space="preserve"> February 2013</w:t>
      </w:r>
      <w:r>
        <w:rPr>
          <w:sz w:val="24"/>
          <w:szCs w:val="24"/>
        </w:rPr>
        <w:t xml:space="preserve">, available at </w:t>
      </w:r>
      <w:hyperlink r:id="rId89" w:history="1">
        <w:r w:rsidRPr="00E9349C">
          <w:rPr>
            <w:rStyle w:val="Hyperlink"/>
            <w:sz w:val="24"/>
            <w:szCs w:val="24"/>
          </w:rPr>
          <w:t>https://www.gov.uk/government/uploads/system/uploads/.../8545.pdf</w:t>
        </w:r>
      </w:hyperlink>
      <w:r>
        <w:rPr>
          <w:sz w:val="24"/>
          <w:szCs w:val="24"/>
        </w:rPr>
        <w:t xml:space="preserve"> (last accessed 9th July 2015)</w:t>
      </w:r>
      <w:r w:rsidR="00A029B5">
        <w:rPr>
          <w:sz w:val="24"/>
          <w:szCs w:val="24"/>
        </w:rPr>
        <w:t>.</w:t>
      </w:r>
    </w:p>
    <w:p w:rsidR="00E41F47" w:rsidRDefault="00E41F47" w:rsidP="001066D7">
      <w:pPr>
        <w:overflowPunct/>
        <w:autoSpaceDE/>
        <w:autoSpaceDN/>
        <w:adjustRightInd/>
        <w:textAlignment w:val="auto"/>
        <w:rPr>
          <w:sz w:val="24"/>
          <w:szCs w:val="24"/>
        </w:rPr>
      </w:pPr>
    </w:p>
    <w:p w:rsidR="00E41F47" w:rsidRDefault="00E41F47" w:rsidP="001066D7">
      <w:pPr>
        <w:overflowPunct/>
        <w:autoSpaceDE/>
        <w:autoSpaceDN/>
        <w:adjustRightInd/>
        <w:textAlignment w:val="auto"/>
        <w:rPr>
          <w:sz w:val="24"/>
          <w:szCs w:val="24"/>
        </w:rPr>
      </w:pPr>
      <w:r w:rsidRPr="00E41F47">
        <w:rPr>
          <w:b/>
          <w:sz w:val="24"/>
          <w:szCs w:val="24"/>
        </w:rPr>
        <w:t>HM Treasury</w:t>
      </w:r>
      <w:r>
        <w:rPr>
          <w:sz w:val="24"/>
          <w:szCs w:val="24"/>
        </w:rPr>
        <w:t xml:space="preserve"> (2013), Financial Services (Banking Reform) Bill, Government Amendments: Group Re-structuring powers (‘electrification’), available </w:t>
      </w:r>
      <w:r>
        <w:rPr>
          <w:sz w:val="24"/>
          <w:szCs w:val="24"/>
        </w:rPr>
        <w:lastRenderedPageBreak/>
        <w:t>at</w:t>
      </w:r>
      <w:hyperlink r:id="rId90" w:history="1">
        <w:r w:rsidR="002832BC" w:rsidRPr="00913F37">
          <w:rPr>
            <w:rStyle w:val="Hyperlink"/>
            <w:sz w:val="24"/>
            <w:szCs w:val="24"/>
          </w:rPr>
          <w:t>https://www.gov.uk/government/uploads/system/uploads/attachment_data/file/245759/HoL_Policy_brief_-_Electrification_of_the_ring-fence.pdf</w:t>
        </w:r>
      </w:hyperlink>
      <w:r w:rsidR="00B41250">
        <w:t xml:space="preserve"> </w:t>
      </w:r>
      <w:r>
        <w:rPr>
          <w:sz w:val="24"/>
          <w:szCs w:val="24"/>
        </w:rPr>
        <w:t>(last accessed on 27</w:t>
      </w:r>
      <w:r w:rsidRPr="00E41F47">
        <w:rPr>
          <w:sz w:val="24"/>
          <w:szCs w:val="24"/>
          <w:vertAlign w:val="superscript"/>
        </w:rPr>
        <w:t>th</w:t>
      </w:r>
      <w:r>
        <w:rPr>
          <w:sz w:val="24"/>
          <w:szCs w:val="24"/>
        </w:rPr>
        <w:t xml:space="preserve"> August 2015).</w:t>
      </w:r>
    </w:p>
    <w:p w:rsidR="00E41F47" w:rsidRDefault="00E41F47" w:rsidP="001066D7">
      <w:pPr>
        <w:overflowPunct/>
        <w:autoSpaceDE/>
        <w:autoSpaceDN/>
        <w:adjustRightInd/>
        <w:textAlignment w:val="auto"/>
        <w:rPr>
          <w:sz w:val="24"/>
          <w:szCs w:val="24"/>
        </w:rPr>
      </w:pPr>
    </w:p>
    <w:p w:rsidR="00E41F47" w:rsidRPr="001066D7" w:rsidRDefault="00E41F47" w:rsidP="002832BC">
      <w:pPr>
        <w:overflowPunct/>
        <w:autoSpaceDE/>
        <w:autoSpaceDN/>
        <w:adjustRightInd/>
        <w:jc w:val="both"/>
        <w:textAlignment w:val="auto"/>
        <w:rPr>
          <w:sz w:val="24"/>
          <w:szCs w:val="24"/>
        </w:rPr>
      </w:pPr>
      <w:r w:rsidRPr="00E41F47">
        <w:rPr>
          <w:b/>
          <w:sz w:val="24"/>
          <w:szCs w:val="24"/>
        </w:rPr>
        <w:t>HM Treasury</w:t>
      </w:r>
      <w:r>
        <w:rPr>
          <w:sz w:val="24"/>
          <w:szCs w:val="24"/>
        </w:rPr>
        <w:t xml:space="preserve"> (2015), Bank of England Bill: technical consultation, July 2015, available at </w:t>
      </w:r>
      <w:hyperlink r:id="rId91" w:history="1">
        <w:r w:rsidR="002832BC" w:rsidRPr="00913F37">
          <w:rPr>
            <w:rStyle w:val="Hyperlink"/>
            <w:sz w:val="24"/>
            <w:szCs w:val="24"/>
          </w:rPr>
          <w:t>https://www.gov.uk/government/uploads/system/uploads/attachment_data/file/447140/bank_of_england_bill_v3.pdf</w:t>
        </w:r>
      </w:hyperlink>
      <w:r w:rsidR="00B41250">
        <w:t xml:space="preserve"> </w:t>
      </w:r>
      <w:r>
        <w:rPr>
          <w:sz w:val="24"/>
          <w:szCs w:val="24"/>
        </w:rPr>
        <w:t>(last accessed on 27</w:t>
      </w:r>
      <w:r w:rsidRPr="00E41F47">
        <w:rPr>
          <w:sz w:val="24"/>
          <w:szCs w:val="24"/>
          <w:vertAlign w:val="superscript"/>
        </w:rPr>
        <w:t>th</w:t>
      </w:r>
      <w:r>
        <w:rPr>
          <w:sz w:val="24"/>
          <w:szCs w:val="24"/>
        </w:rPr>
        <w:t xml:space="preserve"> August 2015).</w:t>
      </w:r>
    </w:p>
    <w:p w:rsidR="001066D7" w:rsidRDefault="001066D7" w:rsidP="00CF42AD">
      <w:pPr>
        <w:jc w:val="both"/>
      </w:pPr>
    </w:p>
    <w:p w:rsidR="00077991" w:rsidRDefault="00077991" w:rsidP="00CF42AD">
      <w:pPr>
        <w:jc w:val="both"/>
        <w:rPr>
          <w:b/>
          <w:bCs/>
          <w:sz w:val="24"/>
          <w:szCs w:val="24"/>
        </w:rPr>
      </w:pPr>
      <w:r>
        <w:rPr>
          <w:b/>
          <w:bCs/>
          <w:sz w:val="24"/>
          <w:szCs w:val="24"/>
        </w:rPr>
        <w:t xml:space="preserve">House of Lords </w:t>
      </w:r>
      <w:r w:rsidRPr="00077991">
        <w:rPr>
          <w:bCs/>
          <w:sz w:val="24"/>
          <w:szCs w:val="24"/>
        </w:rPr>
        <w:t>(2011)</w:t>
      </w:r>
      <w:r>
        <w:rPr>
          <w:bCs/>
          <w:sz w:val="24"/>
          <w:szCs w:val="24"/>
        </w:rPr>
        <w:t>, Select Committee on Economic Affairs: Final Report of the Independent Commission on Banking: Report with evidence, 5</w:t>
      </w:r>
      <w:r w:rsidRPr="00077991">
        <w:rPr>
          <w:bCs/>
          <w:sz w:val="24"/>
          <w:szCs w:val="24"/>
          <w:vertAlign w:val="superscript"/>
        </w:rPr>
        <w:t>th</w:t>
      </w:r>
      <w:r>
        <w:rPr>
          <w:bCs/>
          <w:sz w:val="24"/>
          <w:szCs w:val="24"/>
        </w:rPr>
        <w:t xml:space="preserve"> Report of session 2010-12, available at </w:t>
      </w:r>
      <w:hyperlink r:id="rId92" w:history="1">
        <w:r w:rsidR="00B7508D" w:rsidRPr="00543B5D">
          <w:rPr>
            <w:rStyle w:val="Hyperlink"/>
            <w:bCs/>
            <w:sz w:val="24"/>
            <w:szCs w:val="24"/>
          </w:rPr>
          <w:t>http://www.parliament.uk/business/committees/committees-a-z/lords-select/economic-affairs-committee/news/icb-report/</w:t>
        </w:r>
      </w:hyperlink>
      <w:r w:rsidR="00B7508D">
        <w:rPr>
          <w:bCs/>
          <w:sz w:val="24"/>
          <w:szCs w:val="24"/>
        </w:rPr>
        <w:t xml:space="preserve"> (last accessed on 9</w:t>
      </w:r>
      <w:r w:rsidR="00B7508D" w:rsidRPr="00B7508D">
        <w:rPr>
          <w:bCs/>
          <w:sz w:val="24"/>
          <w:szCs w:val="24"/>
          <w:vertAlign w:val="superscript"/>
        </w:rPr>
        <w:t>th</w:t>
      </w:r>
      <w:r w:rsidR="00B7508D">
        <w:rPr>
          <w:bCs/>
          <w:sz w:val="24"/>
          <w:szCs w:val="24"/>
        </w:rPr>
        <w:t xml:space="preserve"> July 2015).</w:t>
      </w:r>
    </w:p>
    <w:p w:rsidR="00837C1D" w:rsidRPr="001A050C" w:rsidRDefault="00837C1D" w:rsidP="00837C1D">
      <w:pPr>
        <w:pStyle w:val="FootnoteText"/>
        <w:jc w:val="both"/>
        <w:rPr>
          <w:sz w:val="24"/>
          <w:szCs w:val="24"/>
        </w:rPr>
      </w:pPr>
      <w:r w:rsidRPr="001A050C">
        <w:rPr>
          <w:b/>
          <w:sz w:val="24"/>
          <w:szCs w:val="24"/>
        </w:rPr>
        <w:t>House of Lords</w:t>
      </w:r>
      <w:r w:rsidR="00B41250">
        <w:rPr>
          <w:b/>
          <w:sz w:val="24"/>
          <w:szCs w:val="24"/>
        </w:rPr>
        <w:t xml:space="preserve"> </w:t>
      </w:r>
      <w:r>
        <w:rPr>
          <w:sz w:val="24"/>
          <w:szCs w:val="24"/>
        </w:rPr>
        <w:t xml:space="preserve">(2013), </w:t>
      </w:r>
      <w:r w:rsidRPr="001A050C">
        <w:rPr>
          <w:sz w:val="24"/>
          <w:szCs w:val="24"/>
        </w:rPr>
        <w:t>Official Report (Hansard) (session 2013-14) Debate on Financial Services (Banking Reform) Bill, Committee Stage, 8 October 2013, cc35</w:t>
      </w:r>
      <w:r>
        <w:rPr>
          <w:sz w:val="24"/>
          <w:szCs w:val="24"/>
        </w:rPr>
        <w:t xml:space="preserve">, available at </w:t>
      </w:r>
      <w:hyperlink r:id="rId93" w:anchor="13100819000471" w:history="1">
        <w:r w:rsidRPr="003C328D">
          <w:rPr>
            <w:rStyle w:val="Hyperlink"/>
            <w:sz w:val="24"/>
            <w:szCs w:val="24"/>
          </w:rPr>
          <w:t>www.publications.parliament.uk/pa/ld201314/ldhansard/text/131008-0001.htm#13100819000471</w:t>
        </w:r>
      </w:hyperlink>
      <w:r w:rsidRPr="001A050C">
        <w:rPr>
          <w:sz w:val="24"/>
          <w:szCs w:val="24"/>
        </w:rPr>
        <w:t>.</w:t>
      </w:r>
      <w:r w:rsidR="00A029B5">
        <w:rPr>
          <w:sz w:val="24"/>
          <w:szCs w:val="24"/>
        </w:rPr>
        <w:t xml:space="preserve"> (last accessed on </w:t>
      </w:r>
      <w:r w:rsidR="003D0BC2">
        <w:rPr>
          <w:sz w:val="24"/>
          <w:szCs w:val="24"/>
        </w:rPr>
        <w:t>29</w:t>
      </w:r>
      <w:r w:rsidR="003D0BC2" w:rsidRPr="003D0BC2">
        <w:rPr>
          <w:sz w:val="24"/>
          <w:szCs w:val="24"/>
          <w:vertAlign w:val="superscript"/>
        </w:rPr>
        <w:t>th</w:t>
      </w:r>
      <w:r w:rsidR="003D0BC2">
        <w:rPr>
          <w:sz w:val="24"/>
          <w:szCs w:val="24"/>
        </w:rPr>
        <w:t xml:space="preserve"> August 2015</w:t>
      </w:r>
      <w:r w:rsidR="00A029B5">
        <w:rPr>
          <w:sz w:val="24"/>
          <w:szCs w:val="24"/>
        </w:rPr>
        <w:t>)</w:t>
      </w:r>
      <w:r w:rsidR="003D0BC2">
        <w:rPr>
          <w:sz w:val="24"/>
          <w:szCs w:val="24"/>
        </w:rPr>
        <w:t>.</w:t>
      </w:r>
    </w:p>
    <w:p w:rsidR="00837C1D" w:rsidRDefault="00837C1D" w:rsidP="00CF42AD">
      <w:pPr>
        <w:jc w:val="both"/>
        <w:rPr>
          <w:b/>
          <w:sz w:val="24"/>
          <w:szCs w:val="24"/>
        </w:rPr>
      </w:pPr>
    </w:p>
    <w:p w:rsidR="0074539B" w:rsidRPr="0074539B" w:rsidRDefault="0074539B" w:rsidP="00CF42AD">
      <w:pPr>
        <w:jc w:val="both"/>
        <w:rPr>
          <w:sz w:val="24"/>
          <w:szCs w:val="24"/>
        </w:rPr>
      </w:pPr>
      <w:r w:rsidRPr="0074539B">
        <w:rPr>
          <w:b/>
          <w:sz w:val="24"/>
          <w:szCs w:val="24"/>
        </w:rPr>
        <w:t>House of Lords</w:t>
      </w:r>
      <w:r w:rsidRPr="0074539B">
        <w:rPr>
          <w:sz w:val="24"/>
          <w:szCs w:val="24"/>
        </w:rPr>
        <w:t xml:space="preserve"> (2015), Unrevised transcript of evidence taken before The Select Committee on Economic Affairs: Inquiry on Bank Ring-Fencing, 30th June 2015, available at </w:t>
      </w:r>
      <w:hyperlink r:id="rId94" w:history="1">
        <w:r w:rsidRPr="0074539B">
          <w:rPr>
            <w:rStyle w:val="Hyperlink"/>
            <w:sz w:val="24"/>
            <w:szCs w:val="24"/>
          </w:rPr>
          <w:t>http://www.parliament.uk/documents/lords-committees/economic-affairs/cEAC-Ev1-30-06-15-JVandSB.pdf</w:t>
        </w:r>
      </w:hyperlink>
      <w:r w:rsidRPr="0074539B">
        <w:rPr>
          <w:sz w:val="24"/>
          <w:szCs w:val="24"/>
        </w:rPr>
        <w:t xml:space="preserve"> (last accessed 25th July 2015)</w:t>
      </w:r>
      <w:r w:rsidR="00A029B5">
        <w:rPr>
          <w:sz w:val="24"/>
          <w:szCs w:val="24"/>
        </w:rPr>
        <w:t>.</w:t>
      </w:r>
    </w:p>
    <w:p w:rsidR="0074539B" w:rsidRDefault="0074539B" w:rsidP="00CF42AD">
      <w:pPr>
        <w:jc w:val="both"/>
      </w:pPr>
    </w:p>
    <w:p w:rsidR="0074539B" w:rsidRDefault="0074539B" w:rsidP="00CF42AD">
      <w:pPr>
        <w:jc w:val="both"/>
        <w:rPr>
          <w:b/>
          <w:bCs/>
          <w:sz w:val="24"/>
          <w:szCs w:val="24"/>
        </w:rPr>
      </w:pPr>
      <w:r>
        <w:rPr>
          <w:b/>
          <w:bCs/>
          <w:sz w:val="24"/>
          <w:szCs w:val="24"/>
        </w:rPr>
        <w:t xml:space="preserve">Independent Commission on Banking </w:t>
      </w:r>
      <w:r w:rsidRPr="0074539B">
        <w:rPr>
          <w:bCs/>
          <w:sz w:val="24"/>
          <w:szCs w:val="24"/>
        </w:rPr>
        <w:t>(2010), Terms of Reference</w:t>
      </w:r>
      <w:r>
        <w:rPr>
          <w:bCs/>
          <w:sz w:val="24"/>
          <w:szCs w:val="24"/>
        </w:rPr>
        <w:t xml:space="preserve">, available at </w:t>
      </w:r>
      <w:hyperlink r:id="rId95" w:history="1">
        <w:r w:rsidRPr="004A1ECA">
          <w:rPr>
            <w:rStyle w:val="Hyperlink"/>
            <w:bCs/>
            <w:sz w:val="24"/>
            <w:szCs w:val="24"/>
          </w:rPr>
          <w:t>http://webarchive.nationalarchives.gov.uk/20130129110402/http://www.hm-treasury.gov.uk/d/banking_commission_terms_of_reference.pdf</w:t>
        </w:r>
      </w:hyperlink>
      <w:r>
        <w:rPr>
          <w:bCs/>
          <w:sz w:val="24"/>
          <w:szCs w:val="24"/>
        </w:rPr>
        <w:t xml:space="preserve"> (last accessed 25th July 2015).</w:t>
      </w:r>
    </w:p>
    <w:p w:rsidR="0074539B" w:rsidRDefault="0074539B" w:rsidP="00CF42AD">
      <w:pPr>
        <w:jc w:val="both"/>
        <w:rPr>
          <w:b/>
          <w:bCs/>
          <w:sz w:val="24"/>
          <w:szCs w:val="24"/>
        </w:rPr>
      </w:pPr>
    </w:p>
    <w:p w:rsidR="00CF42AD" w:rsidRDefault="00CF42AD" w:rsidP="00CF42AD">
      <w:pPr>
        <w:jc w:val="both"/>
        <w:rPr>
          <w:b/>
          <w:sz w:val="24"/>
          <w:szCs w:val="24"/>
        </w:rPr>
      </w:pPr>
      <w:r w:rsidRPr="00DB65AB">
        <w:rPr>
          <w:b/>
          <w:bCs/>
          <w:sz w:val="24"/>
          <w:szCs w:val="24"/>
        </w:rPr>
        <w:t xml:space="preserve">Independent Commission on Banking </w:t>
      </w:r>
      <w:r w:rsidRPr="00DB65AB">
        <w:rPr>
          <w:bCs/>
          <w:sz w:val="24"/>
          <w:szCs w:val="24"/>
        </w:rPr>
        <w:t>(2011)</w:t>
      </w:r>
      <w:r w:rsidR="002832BC">
        <w:rPr>
          <w:bCs/>
          <w:sz w:val="24"/>
          <w:szCs w:val="24"/>
        </w:rPr>
        <w:t xml:space="preserve">, </w:t>
      </w:r>
      <w:r w:rsidRPr="00DB65AB">
        <w:rPr>
          <w:bCs/>
          <w:sz w:val="24"/>
          <w:szCs w:val="24"/>
        </w:rPr>
        <w:t xml:space="preserve">Independent Commission on Banking, final report recommendations, September 2011, available at </w:t>
      </w:r>
      <w:hyperlink r:id="rId96" w:history="1">
        <w:r w:rsidRPr="00DB65AB">
          <w:rPr>
            <w:rStyle w:val="Hyperlink"/>
            <w:bCs/>
            <w:sz w:val="24"/>
            <w:szCs w:val="24"/>
          </w:rPr>
          <w:t>http://webarchive.nationalarchives.gov.uk/20131003105424/https:/hmt-sanctions.s3.amazonaws.com/ICB%20final%20report/ICB%2520Final%2520Report%5B1%5D.pdf</w:t>
        </w:r>
      </w:hyperlink>
      <w:r w:rsidRPr="00DB65AB">
        <w:rPr>
          <w:bCs/>
          <w:sz w:val="24"/>
          <w:szCs w:val="24"/>
        </w:rPr>
        <w:t xml:space="preserve"> (last accessed on 27</w:t>
      </w:r>
      <w:r w:rsidRPr="00DB65AB">
        <w:rPr>
          <w:bCs/>
          <w:sz w:val="24"/>
          <w:szCs w:val="24"/>
          <w:vertAlign w:val="superscript"/>
        </w:rPr>
        <w:t>th</w:t>
      </w:r>
      <w:r w:rsidRPr="00DB65AB">
        <w:rPr>
          <w:bCs/>
          <w:sz w:val="24"/>
          <w:szCs w:val="24"/>
        </w:rPr>
        <w:t xml:space="preserve"> March 2015).</w:t>
      </w:r>
    </w:p>
    <w:p w:rsidR="00C1615F" w:rsidRPr="00837C1D" w:rsidRDefault="00C1615F" w:rsidP="00837C1D">
      <w:pPr>
        <w:pStyle w:val="FootnoteText"/>
        <w:jc w:val="both"/>
        <w:rPr>
          <w:b/>
          <w:i/>
          <w:sz w:val="24"/>
          <w:szCs w:val="24"/>
        </w:rPr>
      </w:pPr>
      <w:r w:rsidRPr="00837C1D">
        <w:rPr>
          <w:b/>
          <w:sz w:val="24"/>
          <w:szCs w:val="24"/>
        </w:rPr>
        <w:t xml:space="preserve">International Monetary Fund </w:t>
      </w:r>
      <w:r w:rsidRPr="00837C1D">
        <w:rPr>
          <w:sz w:val="24"/>
          <w:szCs w:val="24"/>
        </w:rPr>
        <w:t>(2012)</w:t>
      </w:r>
      <w:r w:rsidR="00D047D7" w:rsidRPr="00837C1D">
        <w:rPr>
          <w:sz w:val="24"/>
          <w:szCs w:val="24"/>
        </w:rPr>
        <w:t xml:space="preserve">, Global Financial Stability Report, October 2012, Washington DC, available at </w:t>
      </w:r>
      <w:hyperlink r:id="rId97" w:history="1">
        <w:r w:rsidR="00837C1D" w:rsidRPr="00837C1D">
          <w:rPr>
            <w:rStyle w:val="Hyperlink"/>
            <w:sz w:val="24"/>
            <w:szCs w:val="24"/>
          </w:rPr>
          <w:t>www.</w:t>
        </w:r>
        <w:r w:rsidR="00837C1D" w:rsidRPr="00837C1D">
          <w:rPr>
            <w:rStyle w:val="Hyperlink"/>
            <w:b/>
            <w:bCs/>
            <w:sz w:val="24"/>
            <w:szCs w:val="24"/>
          </w:rPr>
          <w:t>imf</w:t>
        </w:r>
        <w:r w:rsidR="00837C1D" w:rsidRPr="00837C1D">
          <w:rPr>
            <w:rStyle w:val="Hyperlink"/>
            <w:sz w:val="24"/>
            <w:szCs w:val="24"/>
          </w:rPr>
          <w:t>.org/external/pubs/ft/gfsr/</w:t>
        </w:r>
        <w:r w:rsidR="00837C1D" w:rsidRPr="00837C1D">
          <w:rPr>
            <w:rStyle w:val="Hyperlink"/>
            <w:b/>
            <w:bCs/>
            <w:sz w:val="24"/>
            <w:szCs w:val="24"/>
          </w:rPr>
          <w:t>2012</w:t>
        </w:r>
        <w:r w:rsidR="00837C1D" w:rsidRPr="00837C1D">
          <w:rPr>
            <w:rStyle w:val="Hyperlink"/>
            <w:sz w:val="24"/>
            <w:szCs w:val="24"/>
          </w:rPr>
          <w:t>/02/pdf/text.pdf</w:t>
        </w:r>
      </w:hyperlink>
      <w:r w:rsidR="00B41250">
        <w:t xml:space="preserve"> </w:t>
      </w:r>
      <w:r w:rsidR="00837C1D" w:rsidRPr="00837C1D">
        <w:rPr>
          <w:rStyle w:val="HTMLCite"/>
          <w:i w:val="0"/>
          <w:color w:val="222222"/>
          <w:sz w:val="24"/>
          <w:szCs w:val="24"/>
        </w:rPr>
        <w:t>(last accessed 25th July 2015).</w:t>
      </w:r>
    </w:p>
    <w:p w:rsidR="001A050C" w:rsidRDefault="001A050C" w:rsidP="00CF42AD">
      <w:pPr>
        <w:jc w:val="both"/>
        <w:rPr>
          <w:b/>
          <w:sz w:val="24"/>
          <w:szCs w:val="24"/>
        </w:rPr>
      </w:pPr>
    </w:p>
    <w:p w:rsidR="00577D07" w:rsidRPr="00577D07" w:rsidRDefault="00577D07" w:rsidP="00CF42AD">
      <w:pPr>
        <w:jc w:val="both"/>
        <w:rPr>
          <w:sz w:val="24"/>
          <w:szCs w:val="24"/>
        </w:rPr>
      </w:pPr>
      <w:r w:rsidRPr="00577D07">
        <w:rPr>
          <w:b/>
          <w:sz w:val="24"/>
          <w:szCs w:val="24"/>
        </w:rPr>
        <w:t>Institute of International Finance</w:t>
      </w:r>
      <w:r w:rsidRPr="00577D07">
        <w:rPr>
          <w:sz w:val="24"/>
          <w:szCs w:val="24"/>
        </w:rPr>
        <w:t xml:space="preserve"> (2009), Reform in the Financial Services Industry: Strengthening Practices for a More Stable System, The Report of the IIF Steering Committee on Implementation (SCI), December 2009. Washington DC: Institute of International Finance, available at </w:t>
      </w:r>
      <w:hyperlink r:id="rId98" w:history="1">
        <w:r w:rsidRPr="00577D07">
          <w:rPr>
            <w:rStyle w:val="Hyperlink"/>
            <w:sz w:val="24"/>
            <w:szCs w:val="24"/>
          </w:rPr>
          <w:t>http://www.iif.com/download.php?id=ukBoiNBO8UE</w:t>
        </w:r>
      </w:hyperlink>
      <w:r w:rsidRPr="00577D07">
        <w:rPr>
          <w:sz w:val="24"/>
          <w:szCs w:val="24"/>
        </w:rPr>
        <w:t xml:space="preserve"> (last accessed on 14</w:t>
      </w:r>
      <w:r w:rsidRPr="00577D07">
        <w:rPr>
          <w:sz w:val="24"/>
          <w:szCs w:val="24"/>
          <w:vertAlign w:val="superscript"/>
        </w:rPr>
        <w:t>th</w:t>
      </w:r>
      <w:r w:rsidRPr="00577D07">
        <w:rPr>
          <w:sz w:val="24"/>
          <w:szCs w:val="24"/>
        </w:rPr>
        <w:t xml:space="preserve"> May 2013).</w:t>
      </w:r>
    </w:p>
    <w:p w:rsidR="00033978" w:rsidRPr="00C200D5" w:rsidRDefault="00033978" w:rsidP="00126B29">
      <w:pPr>
        <w:pStyle w:val="FootnoteText"/>
        <w:jc w:val="both"/>
        <w:rPr>
          <w:sz w:val="24"/>
          <w:szCs w:val="24"/>
        </w:rPr>
      </w:pPr>
      <w:r w:rsidRPr="00C200D5">
        <w:rPr>
          <w:b/>
          <w:sz w:val="24"/>
          <w:szCs w:val="24"/>
        </w:rPr>
        <w:t>Kay, J.</w:t>
      </w:r>
      <w:r w:rsidRPr="00C200D5">
        <w:rPr>
          <w:sz w:val="24"/>
          <w:szCs w:val="24"/>
        </w:rPr>
        <w:t xml:space="preserve"> (2009)</w:t>
      </w:r>
      <w:r w:rsidR="00B41250">
        <w:rPr>
          <w:sz w:val="24"/>
          <w:szCs w:val="24"/>
        </w:rPr>
        <w:t>,</w:t>
      </w:r>
      <w:r w:rsidRPr="00C200D5">
        <w:rPr>
          <w:sz w:val="24"/>
          <w:szCs w:val="24"/>
        </w:rPr>
        <w:t xml:space="preserve"> Narrow banking: the reform of banking regulation, unpublished, available at</w:t>
      </w:r>
      <w:hyperlink r:id="rId99" w:history="1">
        <w:r w:rsidR="00126B29" w:rsidRPr="00126B29">
          <w:rPr>
            <w:color w:val="1A0DAB"/>
            <w:sz w:val="24"/>
            <w:szCs w:val="24"/>
          </w:rPr>
          <w:t>http://www.johnkay.com/wp-content/uploads/2009/12/JK-Narrow-Banking.pdf</w:t>
        </w:r>
      </w:hyperlink>
      <w:r w:rsidR="00126B29" w:rsidRPr="00126B29">
        <w:rPr>
          <w:color w:val="202020"/>
          <w:sz w:val="24"/>
          <w:szCs w:val="24"/>
        </w:rPr>
        <w:t>.</w:t>
      </w:r>
      <w:r w:rsidR="00B41250">
        <w:rPr>
          <w:color w:val="202020"/>
          <w:sz w:val="24"/>
          <w:szCs w:val="24"/>
        </w:rPr>
        <w:t xml:space="preserve"> </w:t>
      </w:r>
      <w:r w:rsidR="00126B29" w:rsidRPr="00126B29">
        <w:rPr>
          <w:color w:val="202020"/>
          <w:sz w:val="24"/>
          <w:szCs w:val="24"/>
        </w:rPr>
        <w:t>(last accessed on 9th July 2015)</w:t>
      </w:r>
      <w:r w:rsidRPr="00126B29">
        <w:rPr>
          <w:sz w:val="24"/>
          <w:szCs w:val="24"/>
        </w:rPr>
        <w:t>.</w:t>
      </w:r>
    </w:p>
    <w:p w:rsidR="005C24BD" w:rsidRPr="005C24BD" w:rsidRDefault="005C24BD" w:rsidP="00126B29">
      <w:pPr>
        <w:pStyle w:val="FootnoteText"/>
        <w:jc w:val="both"/>
        <w:rPr>
          <w:sz w:val="24"/>
          <w:szCs w:val="24"/>
        </w:rPr>
      </w:pPr>
      <w:r w:rsidRPr="005C24BD">
        <w:rPr>
          <w:b/>
          <w:sz w:val="24"/>
          <w:szCs w:val="24"/>
        </w:rPr>
        <w:t>Kroszner, R. and Rajan, R.</w:t>
      </w:r>
      <w:r w:rsidRPr="005C24BD">
        <w:rPr>
          <w:sz w:val="24"/>
          <w:szCs w:val="24"/>
        </w:rPr>
        <w:t xml:space="preserve"> (1994), Is the Glass-Steagall Act justified: A study of the US experience with universal banking before 1933, American Economic Review, Vol. 84, pp 810-832.  </w:t>
      </w:r>
    </w:p>
    <w:p w:rsidR="00033978" w:rsidRPr="00C200D5" w:rsidRDefault="00033978" w:rsidP="00033978">
      <w:pPr>
        <w:pStyle w:val="FootnoteText"/>
        <w:rPr>
          <w:sz w:val="24"/>
          <w:szCs w:val="24"/>
        </w:rPr>
      </w:pPr>
      <w:r w:rsidRPr="00C200D5">
        <w:rPr>
          <w:b/>
          <w:sz w:val="24"/>
          <w:szCs w:val="24"/>
        </w:rPr>
        <w:t>Litan, R.</w:t>
      </w:r>
      <w:r w:rsidRPr="00C200D5">
        <w:rPr>
          <w:sz w:val="24"/>
          <w:szCs w:val="24"/>
        </w:rPr>
        <w:t xml:space="preserve"> (1987), What should banks do? The Brookings Institution: Washington DC</w:t>
      </w:r>
      <w:r>
        <w:rPr>
          <w:sz w:val="24"/>
          <w:szCs w:val="24"/>
        </w:rPr>
        <w:t>.</w:t>
      </w:r>
    </w:p>
    <w:p w:rsidR="00033978" w:rsidRDefault="00033978" w:rsidP="00CF42AD">
      <w:pPr>
        <w:rPr>
          <w:b/>
          <w:bCs/>
          <w:sz w:val="24"/>
          <w:szCs w:val="24"/>
        </w:rPr>
      </w:pPr>
    </w:p>
    <w:p w:rsidR="00CF42AD" w:rsidRDefault="00CF42AD" w:rsidP="002832BC">
      <w:pPr>
        <w:jc w:val="both"/>
        <w:rPr>
          <w:bCs/>
          <w:sz w:val="24"/>
          <w:szCs w:val="24"/>
        </w:rPr>
      </w:pPr>
      <w:r w:rsidRPr="00167D7D">
        <w:rPr>
          <w:b/>
          <w:bCs/>
          <w:sz w:val="24"/>
          <w:szCs w:val="24"/>
        </w:rPr>
        <w:t xml:space="preserve">Llewellyn, D. </w:t>
      </w:r>
      <w:r w:rsidRPr="00167D7D">
        <w:rPr>
          <w:bCs/>
          <w:sz w:val="24"/>
          <w:szCs w:val="24"/>
        </w:rPr>
        <w:t xml:space="preserve">(1999), The Economic Rationale of Financial Regulation, Occasional Paper </w:t>
      </w:r>
    </w:p>
    <w:p w:rsidR="00CF42AD" w:rsidRPr="00167D7D" w:rsidRDefault="00CF42AD" w:rsidP="00CF42AD">
      <w:pPr>
        <w:rPr>
          <w:sz w:val="24"/>
          <w:szCs w:val="24"/>
        </w:rPr>
      </w:pPr>
      <w:r w:rsidRPr="00167D7D">
        <w:rPr>
          <w:bCs/>
          <w:sz w:val="24"/>
          <w:szCs w:val="24"/>
        </w:rPr>
        <w:t>No. 1</w:t>
      </w:r>
      <w:r w:rsidRPr="00167D7D">
        <w:rPr>
          <w:sz w:val="24"/>
          <w:szCs w:val="24"/>
        </w:rPr>
        <w:t>, Financial Services Authority: London.</w:t>
      </w:r>
    </w:p>
    <w:p w:rsidR="00CF42AD" w:rsidRDefault="00CF42AD" w:rsidP="00CF42AD">
      <w:pPr>
        <w:jc w:val="both"/>
        <w:rPr>
          <w:b/>
          <w:sz w:val="24"/>
          <w:szCs w:val="24"/>
        </w:rPr>
      </w:pPr>
    </w:p>
    <w:p w:rsidR="001A79AA" w:rsidRPr="001A79AA" w:rsidRDefault="001A79AA" w:rsidP="001A79AA">
      <w:pPr>
        <w:overflowPunct/>
        <w:autoSpaceDE/>
        <w:autoSpaceDN/>
        <w:adjustRightInd/>
        <w:jc w:val="both"/>
        <w:textAlignment w:val="auto"/>
        <w:rPr>
          <w:bCs/>
          <w:sz w:val="24"/>
          <w:szCs w:val="24"/>
        </w:rPr>
      </w:pPr>
      <w:r w:rsidRPr="001A79AA">
        <w:rPr>
          <w:b/>
          <w:bCs/>
          <w:sz w:val="24"/>
          <w:szCs w:val="24"/>
        </w:rPr>
        <w:t xml:space="preserve">McCormack, P. </w:t>
      </w:r>
      <w:r w:rsidRPr="001A79AA">
        <w:rPr>
          <w:bCs/>
          <w:sz w:val="24"/>
          <w:szCs w:val="24"/>
        </w:rPr>
        <w:t>(2003), The FSA Approach to the Supervision of Outsourcing, Journal of Financial Regulation and Compliance, Vol. 11, Issue 2, p 113 – 120.</w:t>
      </w:r>
    </w:p>
    <w:p w:rsidR="001A79AA" w:rsidRDefault="001A79AA" w:rsidP="00A96C64">
      <w:pPr>
        <w:overflowPunct/>
        <w:autoSpaceDE/>
        <w:autoSpaceDN/>
        <w:adjustRightInd/>
        <w:jc w:val="both"/>
        <w:textAlignment w:val="auto"/>
        <w:rPr>
          <w:b/>
          <w:bCs/>
          <w:sz w:val="24"/>
          <w:szCs w:val="24"/>
        </w:rPr>
      </w:pPr>
    </w:p>
    <w:p w:rsidR="0020505D" w:rsidRPr="0020505D" w:rsidRDefault="0020505D" w:rsidP="00A96C64">
      <w:pPr>
        <w:overflowPunct/>
        <w:autoSpaceDE/>
        <w:autoSpaceDN/>
        <w:adjustRightInd/>
        <w:jc w:val="both"/>
        <w:textAlignment w:val="auto"/>
        <w:rPr>
          <w:bCs/>
          <w:sz w:val="24"/>
          <w:szCs w:val="24"/>
        </w:rPr>
      </w:pPr>
      <w:r w:rsidRPr="0020505D">
        <w:rPr>
          <w:b/>
          <w:bCs/>
          <w:sz w:val="24"/>
          <w:szCs w:val="24"/>
        </w:rPr>
        <w:t>McCormack, P. and Sheen, A.</w:t>
      </w:r>
      <w:r w:rsidRPr="0020505D">
        <w:rPr>
          <w:bCs/>
          <w:sz w:val="24"/>
          <w:szCs w:val="24"/>
        </w:rPr>
        <w:t xml:space="preserve"> (2013), Operational Risk: Back on the Agenda, Journal of Risk Management in Financial Institutions, Vol. 6, Issue 4, p</w:t>
      </w:r>
      <w:r>
        <w:rPr>
          <w:bCs/>
          <w:sz w:val="24"/>
          <w:szCs w:val="24"/>
        </w:rPr>
        <w:t>p</w:t>
      </w:r>
      <w:r w:rsidRPr="0020505D">
        <w:rPr>
          <w:bCs/>
          <w:sz w:val="24"/>
          <w:szCs w:val="24"/>
        </w:rPr>
        <w:t xml:space="preserve"> 366 – 386</w:t>
      </w:r>
      <w:r w:rsidR="00A029B5">
        <w:rPr>
          <w:bCs/>
          <w:sz w:val="24"/>
          <w:szCs w:val="24"/>
        </w:rPr>
        <w:t>.</w:t>
      </w:r>
    </w:p>
    <w:p w:rsidR="0020505D" w:rsidRPr="0020505D" w:rsidRDefault="0020505D" w:rsidP="00A96C64">
      <w:pPr>
        <w:overflowPunct/>
        <w:autoSpaceDE/>
        <w:autoSpaceDN/>
        <w:adjustRightInd/>
        <w:jc w:val="both"/>
        <w:textAlignment w:val="auto"/>
        <w:rPr>
          <w:bCs/>
          <w:sz w:val="24"/>
          <w:szCs w:val="24"/>
        </w:rPr>
      </w:pPr>
    </w:p>
    <w:p w:rsidR="0020505D" w:rsidRPr="0020505D" w:rsidRDefault="0020505D" w:rsidP="00A96C64">
      <w:pPr>
        <w:overflowPunct/>
        <w:autoSpaceDE/>
        <w:autoSpaceDN/>
        <w:adjustRightInd/>
        <w:jc w:val="both"/>
        <w:textAlignment w:val="auto"/>
        <w:rPr>
          <w:bCs/>
          <w:sz w:val="24"/>
          <w:szCs w:val="24"/>
        </w:rPr>
      </w:pPr>
      <w:r w:rsidRPr="0020505D">
        <w:rPr>
          <w:b/>
          <w:bCs/>
          <w:sz w:val="24"/>
          <w:szCs w:val="24"/>
        </w:rPr>
        <w:t>McCormack, P., Sheen, A., and Umande, P.</w:t>
      </w:r>
      <w:r w:rsidRPr="0020505D">
        <w:rPr>
          <w:bCs/>
          <w:sz w:val="24"/>
          <w:szCs w:val="24"/>
        </w:rPr>
        <w:t xml:space="preserve"> (2014), Managing Operational Risk: Moving towards the Advanced Measurement Approach, Journal of Risk Management in Financial Institutions, Vol. 7, Issue 3, p</w:t>
      </w:r>
      <w:r>
        <w:rPr>
          <w:bCs/>
          <w:sz w:val="24"/>
          <w:szCs w:val="24"/>
        </w:rPr>
        <w:t>p</w:t>
      </w:r>
      <w:r w:rsidRPr="0020505D">
        <w:rPr>
          <w:bCs/>
          <w:sz w:val="24"/>
          <w:szCs w:val="24"/>
        </w:rPr>
        <w:t xml:space="preserve"> 239 - 256.</w:t>
      </w:r>
    </w:p>
    <w:p w:rsidR="0020505D" w:rsidRDefault="0020505D" w:rsidP="00A96C64">
      <w:pPr>
        <w:overflowPunct/>
        <w:autoSpaceDE/>
        <w:autoSpaceDN/>
        <w:adjustRightInd/>
        <w:jc w:val="both"/>
        <w:textAlignment w:val="auto"/>
        <w:rPr>
          <w:bCs/>
        </w:rPr>
      </w:pPr>
    </w:p>
    <w:p w:rsidR="00E03D11" w:rsidRPr="00967D04" w:rsidRDefault="00E03D11" w:rsidP="00A96C64">
      <w:pPr>
        <w:overflowPunct/>
        <w:autoSpaceDE/>
        <w:autoSpaceDN/>
        <w:adjustRightInd/>
        <w:jc w:val="both"/>
        <w:textAlignment w:val="auto"/>
        <w:rPr>
          <w:sz w:val="24"/>
          <w:szCs w:val="24"/>
        </w:rPr>
      </w:pPr>
      <w:r w:rsidRPr="00967D04">
        <w:rPr>
          <w:b/>
          <w:sz w:val="24"/>
          <w:szCs w:val="24"/>
        </w:rPr>
        <w:t>Mayer Brown</w:t>
      </w:r>
      <w:r w:rsidRPr="00967D04">
        <w:rPr>
          <w:sz w:val="24"/>
          <w:szCs w:val="24"/>
        </w:rPr>
        <w:t xml:space="preserve"> (2014), Does Volcker +Vickers = Liikanen?; EU proposal for a regulation on structural measures improving the resilience of EU credit institutions’, Legal Update, February 2014, available at</w:t>
      </w:r>
      <w:r w:rsidR="00B41250">
        <w:rPr>
          <w:sz w:val="24"/>
          <w:szCs w:val="24"/>
        </w:rPr>
        <w:t xml:space="preserve"> </w:t>
      </w:r>
      <w:hyperlink r:id="rId100" w:history="1">
        <w:r w:rsidR="00967D04" w:rsidRPr="00967D04">
          <w:rPr>
            <w:rStyle w:val="Hyperlink"/>
            <w:sz w:val="24"/>
            <w:szCs w:val="24"/>
          </w:rPr>
          <w:t>https://www.mayerbrown.com/.../update_volcker_vickers_feb14.pdf</w:t>
        </w:r>
      </w:hyperlink>
      <w:r w:rsidR="00967D04" w:rsidRPr="00967D04">
        <w:rPr>
          <w:sz w:val="24"/>
          <w:szCs w:val="24"/>
        </w:rPr>
        <w:t xml:space="preserve"> (last accessed 9th July 2015</w:t>
      </w:r>
      <w:r w:rsidR="00967D04" w:rsidRPr="00967D04">
        <w:rPr>
          <w:color w:val="1A0DAB"/>
          <w:sz w:val="24"/>
          <w:szCs w:val="24"/>
        </w:rPr>
        <w:t>)</w:t>
      </w:r>
    </w:p>
    <w:p w:rsidR="00A96C64" w:rsidRDefault="00A96C64" w:rsidP="00931B3C">
      <w:pPr>
        <w:jc w:val="both"/>
        <w:rPr>
          <w:b/>
          <w:sz w:val="24"/>
          <w:szCs w:val="24"/>
        </w:rPr>
      </w:pPr>
    </w:p>
    <w:p w:rsidR="00E56015" w:rsidRDefault="00E56015" w:rsidP="00931B3C">
      <w:pPr>
        <w:jc w:val="both"/>
        <w:rPr>
          <w:sz w:val="24"/>
          <w:szCs w:val="24"/>
        </w:rPr>
      </w:pPr>
      <w:r>
        <w:rPr>
          <w:b/>
          <w:sz w:val="24"/>
          <w:szCs w:val="24"/>
        </w:rPr>
        <w:t xml:space="preserve">Moosa, I. A. </w:t>
      </w:r>
      <w:r w:rsidRPr="002B26E8">
        <w:rPr>
          <w:sz w:val="24"/>
          <w:szCs w:val="24"/>
        </w:rPr>
        <w:t>(2010),</w:t>
      </w:r>
      <w:r w:rsidR="00B41250">
        <w:rPr>
          <w:sz w:val="24"/>
          <w:szCs w:val="24"/>
        </w:rPr>
        <w:t xml:space="preserve"> </w:t>
      </w:r>
      <w:r w:rsidRPr="00E56015">
        <w:rPr>
          <w:sz w:val="24"/>
          <w:szCs w:val="24"/>
        </w:rPr>
        <w:t>Basel II as a casualty of the global financial crisis</w:t>
      </w:r>
      <w:r>
        <w:rPr>
          <w:sz w:val="24"/>
          <w:szCs w:val="24"/>
        </w:rPr>
        <w:t>,</w:t>
      </w:r>
      <w:r w:rsidRPr="00E56015">
        <w:rPr>
          <w:sz w:val="24"/>
          <w:szCs w:val="24"/>
        </w:rPr>
        <w:t xml:space="preserve"> Journal of Banking Regulation 11 </w:t>
      </w:r>
      <w:r>
        <w:rPr>
          <w:sz w:val="24"/>
          <w:szCs w:val="24"/>
        </w:rPr>
        <w:t xml:space="preserve">pp </w:t>
      </w:r>
      <w:r w:rsidRPr="00E56015">
        <w:rPr>
          <w:sz w:val="24"/>
          <w:szCs w:val="24"/>
        </w:rPr>
        <w:t>95-114</w:t>
      </w:r>
      <w:r>
        <w:rPr>
          <w:sz w:val="24"/>
          <w:szCs w:val="24"/>
        </w:rPr>
        <w:t>.</w:t>
      </w:r>
    </w:p>
    <w:p w:rsidR="002B26E8" w:rsidRPr="002B26E8" w:rsidRDefault="002B26E8" w:rsidP="002B26E8">
      <w:pPr>
        <w:pStyle w:val="FootnoteText"/>
        <w:ind w:left="142" w:hanging="142"/>
        <w:rPr>
          <w:sz w:val="24"/>
          <w:szCs w:val="24"/>
        </w:rPr>
      </w:pPr>
      <w:r w:rsidRPr="002B26E8">
        <w:rPr>
          <w:b/>
          <w:sz w:val="24"/>
          <w:szCs w:val="24"/>
        </w:rPr>
        <w:t>Moosa, I.</w:t>
      </w:r>
      <w:r w:rsidRPr="002B26E8">
        <w:rPr>
          <w:sz w:val="24"/>
          <w:szCs w:val="24"/>
        </w:rPr>
        <w:t xml:space="preserve"> (2010), The myth of too big to fail, Journal of Banking Regulation 11, 4</w:t>
      </w:r>
      <w:r w:rsidR="00A029B5">
        <w:rPr>
          <w:sz w:val="24"/>
          <w:szCs w:val="24"/>
        </w:rPr>
        <w:t>,</w:t>
      </w:r>
      <w:r w:rsidRPr="002B26E8">
        <w:rPr>
          <w:sz w:val="24"/>
          <w:szCs w:val="24"/>
        </w:rPr>
        <w:t xml:space="preserve"> pp 319-333.</w:t>
      </w:r>
    </w:p>
    <w:p w:rsidR="00E56015" w:rsidRDefault="00E56015" w:rsidP="00931B3C">
      <w:pPr>
        <w:jc w:val="both"/>
        <w:rPr>
          <w:b/>
          <w:sz w:val="24"/>
          <w:szCs w:val="24"/>
        </w:rPr>
      </w:pPr>
    </w:p>
    <w:p w:rsidR="00281427" w:rsidRPr="00281427" w:rsidRDefault="00281427" w:rsidP="00931B3C">
      <w:pPr>
        <w:jc w:val="both"/>
        <w:rPr>
          <w:sz w:val="24"/>
          <w:szCs w:val="24"/>
        </w:rPr>
      </w:pPr>
      <w:r>
        <w:rPr>
          <w:b/>
          <w:sz w:val="24"/>
          <w:szCs w:val="24"/>
        </w:rPr>
        <w:t xml:space="preserve">Noss, J., and Sowerbutts, R. </w:t>
      </w:r>
      <w:r w:rsidRPr="00281427">
        <w:rPr>
          <w:sz w:val="24"/>
          <w:szCs w:val="24"/>
        </w:rPr>
        <w:t>(2012)</w:t>
      </w:r>
      <w:r>
        <w:rPr>
          <w:sz w:val="24"/>
          <w:szCs w:val="24"/>
        </w:rPr>
        <w:t xml:space="preserve">, The implicit subsidy of banks, Bank of England Financial Stability Paper No. 15, May 2012, available at </w:t>
      </w:r>
      <w:hyperlink r:id="rId101" w:history="1">
        <w:r w:rsidR="002832BC" w:rsidRPr="00913F37">
          <w:rPr>
            <w:rStyle w:val="Hyperlink"/>
            <w:sz w:val="24"/>
            <w:szCs w:val="24"/>
          </w:rPr>
          <w:t>http://www.bankofengland.co.uk/financialstability/Documents/fpc/fspapers/fs_paper15.pdf</w:t>
        </w:r>
      </w:hyperlink>
      <w:r w:rsidR="00B41250">
        <w:t xml:space="preserve"> </w:t>
      </w:r>
      <w:r>
        <w:rPr>
          <w:sz w:val="24"/>
          <w:szCs w:val="24"/>
        </w:rPr>
        <w:t>(last accessed on</w:t>
      </w:r>
      <w:r w:rsidR="002832BC">
        <w:rPr>
          <w:sz w:val="24"/>
          <w:szCs w:val="24"/>
        </w:rPr>
        <w:t xml:space="preserve"> 29th August 2015).</w:t>
      </w:r>
    </w:p>
    <w:p w:rsidR="00281427" w:rsidRDefault="00281427" w:rsidP="00931B3C">
      <w:pPr>
        <w:jc w:val="both"/>
        <w:rPr>
          <w:b/>
          <w:sz w:val="24"/>
          <w:szCs w:val="24"/>
        </w:rPr>
      </w:pPr>
    </w:p>
    <w:p w:rsidR="00931B3C" w:rsidRDefault="00931B3C" w:rsidP="00931B3C">
      <w:pPr>
        <w:jc w:val="both"/>
        <w:rPr>
          <w:b/>
          <w:sz w:val="24"/>
          <w:szCs w:val="24"/>
        </w:rPr>
      </w:pPr>
      <w:r>
        <w:rPr>
          <w:b/>
          <w:sz w:val="24"/>
          <w:szCs w:val="24"/>
        </w:rPr>
        <w:t xml:space="preserve">Parker, P. </w:t>
      </w:r>
      <w:r w:rsidRPr="00C05FC9">
        <w:rPr>
          <w:sz w:val="24"/>
          <w:szCs w:val="24"/>
        </w:rPr>
        <w:t>(</w:t>
      </w:r>
      <w:r>
        <w:rPr>
          <w:sz w:val="24"/>
          <w:szCs w:val="24"/>
        </w:rPr>
        <w:t>1985</w:t>
      </w:r>
      <w:r w:rsidRPr="00C05FC9">
        <w:rPr>
          <w:sz w:val="24"/>
          <w:szCs w:val="24"/>
        </w:rPr>
        <w:t>)</w:t>
      </w:r>
      <w:r>
        <w:rPr>
          <w:sz w:val="24"/>
          <w:szCs w:val="24"/>
        </w:rPr>
        <w:t xml:space="preserve">, The Johnson Matthey Affair, </w:t>
      </w:r>
      <w:r w:rsidRPr="002832BC">
        <w:rPr>
          <w:sz w:val="24"/>
          <w:szCs w:val="24"/>
        </w:rPr>
        <w:t>Marxism Today</w:t>
      </w:r>
      <w:r>
        <w:rPr>
          <w:sz w:val="24"/>
          <w:szCs w:val="24"/>
        </w:rPr>
        <w:t xml:space="preserve">, September 1985, pp 5-6, available at </w:t>
      </w:r>
      <w:hyperlink r:id="rId102" w:history="1">
        <w:r w:rsidRPr="00241555">
          <w:rPr>
            <w:rStyle w:val="Hyperlink"/>
            <w:sz w:val="24"/>
            <w:szCs w:val="24"/>
          </w:rPr>
          <w:t>http://www.amielandmelburn.org.uk/collections/mt/pdf/85_09_02d.pdf</w:t>
        </w:r>
      </w:hyperlink>
      <w:r>
        <w:rPr>
          <w:sz w:val="24"/>
          <w:szCs w:val="24"/>
        </w:rPr>
        <w:t xml:space="preserve"> (last accessed 1st May 2015).</w:t>
      </w:r>
    </w:p>
    <w:p w:rsidR="00931B3C" w:rsidRDefault="00931B3C" w:rsidP="00CF42AD">
      <w:pPr>
        <w:jc w:val="both"/>
        <w:rPr>
          <w:b/>
          <w:sz w:val="24"/>
          <w:szCs w:val="24"/>
        </w:rPr>
      </w:pPr>
    </w:p>
    <w:p w:rsidR="00033978" w:rsidRDefault="00CF42AD" w:rsidP="00CF42AD">
      <w:pPr>
        <w:jc w:val="both"/>
        <w:rPr>
          <w:sz w:val="24"/>
          <w:szCs w:val="24"/>
        </w:rPr>
      </w:pPr>
      <w:r>
        <w:rPr>
          <w:b/>
          <w:sz w:val="24"/>
          <w:szCs w:val="24"/>
        </w:rPr>
        <w:t>P</w:t>
      </w:r>
      <w:r w:rsidRPr="00DB65AB">
        <w:rPr>
          <w:b/>
          <w:sz w:val="24"/>
          <w:szCs w:val="24"/>
        </w:rPr>
        <w:t xml:space="preserve">arliamentary Commission on Banking Standards </w:t>
      </w:r>
      <w:r w:rsidRPr="00DB65AB">
        <w:rPr>
          <w:sz w:val="24"/>
          <w:szCs w:val="24"/>
        </w:rPr>
        <w:t xml:space="preserve">(2013), Changing banking for good, Report of the Parliamentary Commission on Banking Standards, summary, and conclusions and recommendations, available at </w:t>
      </w:r>
      <w:hyperlink r:id="rId103" w:history="1">
        <w:r w:rsidRPr="00DB65AB">
          <w:rPr>
            <w:rStyle w:val="Hyperlink"/>
            <w:sz w:val="24"/>
            <w:szCs w:val="24"/>
          </w:rPr>
          <w:t>http://www.parliament.uk/documents/banking-commission/Banking-final-report-volume-i.pdf</w:t>
        </w:r>
      </w:hyperlink>
      <w:r w:rsidRPr="00DB65AB">
        <w:rPr>
          <w:sz w:val="24"/>
          <w:szCs w:val="24"/>
        </w:rPr>
        <w:t xml:space="preserve"> (last accessed 27th March 2015). </w:t>
      </w:r>
    </w:p>
    <w:p w:rsidR="00217488" w:rsidRPr="00217488" w:rsidRDefault="00217488" w:rsidP="00217488">
      <w:pPr>
        <w:pStyle w:val="FootnoteText"/>
        <w:jc w:val="both"/>
        <w:rPr>
          <w:sz w:val="24"/>
          <w:szCs w:val="24"/>
        </w:rPr>
      </w:pPr>
      <w:r w:rsidRPr="00217488">
        <w:rPr>
          <w:b/>
          <w:sz w:val="24"/>
          <w:szCs w:val="24"/>
        </w:rPr>
        <w:t>Paul, H.</w:t>
      </w:r>
      <w:r w:rsidRPr="00217488">
        <w:rPr>
          <w:sz w:val="24"/>
          <w:szCs w:val="24"/>
        </w:rPr>
        <w:t xml:space="preserve"> (</w:t>
      </w:r>
      <w:r w:rsidR="001A2DF9">
        <w:rPr>
          <w:sz w:val="24"/>
          <w:szCs w:val="24"/>
        </w:rPr>
        <w:t>2013</w:t>
      </w:r>
      <w:r w:rsidRPr="00217488">
        <w:rPr>
          <w:sz w:val="24"/>
          <w:szCs w:val="24"/>
        </w:rPr>
        <w:t>) ‘The South Sea Bubble: An economic history of its origins and consequences, Routledge Explorations in Economic History:</w:t>
      </w:r>
      <w:r w:rsidR="001A2DF9">
        <w:rPr>
          <w:sz w:val="24"/>
          <w:szCs w:val="24"/>
        </w:rPr>
        <w:t>Abingdon, Oxon.</w:t>
      </w:r>
    </w:p>
    <w:p w:rsidR="00033978" w:rsidRPr="00033978" w:rsidRDefault="00033978" w:rsidP="00033978">
      <w:pPr>
        <w:pStyle w:val="FootnoteText"/>
        <w:rPr>
          <w:sz w:val="24"/>
          <w:szCs w:val="24"/>
        </w:rPr>
      </w:pPr>
      <w:r w:rsidRPr="00033978">
        <w:rPr>
          <w:b/>
          <w:sz w:val="24"/>
          <w:szCs w:val="24"/>
        </w:rPr>
        <w:t>Pierce, J.</w:t>
      </w:r>
      <w:r w:rsidRPr="00033978">
        <w:rPr>
          <w:sz w:val="24"/>
          <w:szCs w:val="24"/>
        </w:rPr>
        <w:t xml:space="preserve"> (1991), The Future of Banking, Yale University Press: New Haven, CT.</w:t>
      </w:r>
    </w:p>
    <w:p w:rsidR="007F4BA6" w:rsidRPr="007F4BA6" w:rsidRDefault="007F4BA6" w:rsidP="007F4BA6">
      <w:pPr>
        <w:pStyle w:val="FootnoteText"/>
        <w:jc w:val="both"/>
        <w:rPr>
          <w:sz w:val="24"/>
          <w:szCs w:val="24"/>
        </w:rPr>
      </w:pPr>
      <w:r>
        <w:rPr>
          <w:b/>
          <w:sz w:val="24"/>
          <w:szCs w:val="24"/>
        </w:rPr>
        <w:t xml:space="preserve">Power, M., Ashby, S., and Palermo, T. </w:t>
      </w:r>
      <w:r w:rsidRPr="007F4BA6">
        <w:rPr>
          <w:sz w:val="24"/>
          <w:szCs w:val="24"/>
        </w:rPr>
        <w:t xml:space="preserve">(2013),Risk Culture in Financial Organisations: A Research Report, </w:t>
      </w:r>
      <w:r>
        <w:rPr>
          <w:sz w:val="24"/>
          <w:szCs w:val="24"/>
        </w:rPr>
        <w:t xml:space="preserve">available at </w:t>
      </w:r>
      <w:hyperlink r:id="rId104" w:history="1">
        <w:r w:rsidRPr="00B17872">
          <w:rPr>
            <w:rStyle w:val="Hyperlink"/>
            <w:sz w:val="24"/>
            <w:szCs w:val="24"/>
          </w:rPr>
          <w:t>http://www.lse.ac.uk/accounting/CARR/pdf/final-risk-culture-report.pdf</w:t>
        </w:r>
      </w:hyperlink>
      <w:r>
        <w:rPr>
          <w:sz w:val="24"/>
          <w:szCs w:val="24"/>
        </w:rPr>
        <w:t xml:space="preserve"> (last accessed 25th July 2015).</w:t>
      </w:r>
    </w:p>
    <w:p w:rsidR="00CF42AD" w:rsidRPr="00534803" w:rsidRDefault="00CF42AD" w:rsidP="00CF42AD">
      <w:pPr>
        <w:pStyle w:val="FootnoteText"/>
        <w:rPr>
          <w:sz w:val="24"/>
          <w:szCs w:val="24"/>
        </w:rPr>
      </w:pPr>
      <w:r w:rsidRPr="00534803">
        <w:rPr>
          <w:b/>
          <w:sz w:val="24"/>
          <w:szCs w:val="24"/>
        </w:rPr>
        <w:t>Preston, H. H.</w:t>
      </w:r>
      <w:r>
        <w:rPr>
          <w:sz w:val="24"/>
          <w:szCs w:val="24"/>
        </w:rPr>
        <w:t xml:space="preserve"> (1933), </w:t>
      </w:r>
      <w:r w:rsidRPr="00534803">
        <w:rPr>
          <w:sz w:val="24"/>
          <w:szCs w:val="24"/>
        </w:rPr>
        <w:t>The Banking Act of 1933</w:t>
      </w:r>
      <w:r>
        <w:rPr>
          <w:sz w:val="24"/>
          <w:szCs w:val="24"/>
        </w:rPr>
        <w:t>,</w:t>
      </w:r>
      <w:r w:rsidRPr="00534803">
        <w:rPr>
          <w:sz w:val="24"/>
          <w:szCs w:val="24"/>
        </w:rPr>
        <w:t xml:space="preserve"> American Economic Review</w:t>
      </w:r>
      <w:r w:rsidR="00A029B5">
        <w:rPr>
          <w:sz w:val="24"/>
          <w:szCs w:val="24"/>
        </w:rPr>
        <w:t>,</w:t>
      </w:r>
      <w:r w:rsidRPr="00534803">
        <w:rPr>
          <w:sz w:val="24"/>
          <w:szCs w:val="24"/>
        </w:rPr>
        <w:t xml:space="preserve"> 23</w:t>
      </w:r>
      <w:r w:rsidR="00A029B5">
        <w:rPr>
          <w:sz w:val="24"/>
          <w:szCs w:val="24"/>
        </w:rPr>
        <w:t>,</w:t>
      </w:r>
      <w:r w:rsidRPr="00534803">
        <w:rPr>
          <w:sz w:val="24"/>
          <w:szCs w:val="24"/>
        </w:rPr>
        <w:t xml:space="preserve"> 4</w:t>
      </w:r>
      <w:r w:rsidR="00A029B5">
        <w:rPr>
          <w:sz w:val="24"/>
          <w:szCs w:val="24"/>
        </w:rPr>
        <w:t>, pp</w:t>
      </w:r>
      <w:r w:rsidRPr="00534803">
        <w:rPr>
          <w:sz w:val="24"/>
          <w:szCs w:val="24"/>
        </w:rPr>
        <w:t xml:space="preserve"> 585-607.</w:t>
      </w:r>
    </w:p>
    <w:p w:rsidR="001A61D0" w:rsidRDefault="001A61D0" w:rsidP="001A61D0">
      <w:pPr>
        <w:pStyle w:val="FootnoteText"/>
        <w:jc w:val="both"/>
        <w:rPr>
          <w:sz w:val="24"/>
          <w:szCs w:val="24"/>
        </w:rPr>
      </w:pPr>
      <w:r>
        <w:rPr>
          <w:b/>
          <w:sz w:val="24"/>
          <w:szCs w:val="24"/>
        </w:rPr>
        <w:lastRenderedPageBreak/>
        <w:t xml:space="preserve">Prudential Regulation Authority </w:t>
      </w:r>
      <w:r w:rsidRPr="001A61D0">
        <w:rPr>
          <w:sz w:val="24"/>
          <w:szCs w:val="24"/>
        </w:rPr>
        <w:t>(2013),</w:t>
      </w:r>
      <w:r>
        <w:rPr>
          <w:sz w:val="24"/>
          <w:szCs w:val="24"/>
        </w:rPr>
        <w:t xml:space="preserve"> Policy Statement 7/13, </w:t>
      </w:r>
      <w:r w:rsidRPr="001A61D0">
        <w:rPr>
          <w:sz w:val="24"/>
          <w:szCs w:val="24"/>
        </w:rPr>
        <w:t>Strengthening capital standards: implementing CRD IV feedback and final rules, December 2013</w:t>
      </w:r>
      <w:r>
        <w:rPr>
          <w:sz w:val="24"/>
          <w:szCs w:val="24"/>
        </w:rPr>
        <w:t xml:space="preserve">, available at </w:t>
      </w:r>
      <w:hyperlink r:id="rId105" w:history="1">
        <w:r w:rsidRPr="00B17872">
          <w:rPr>
            <w:rStyle w:val="Hyperlink"/>
            <w:sz w:val="24"/>
            <w:szCs w:val="24"/>
          </w:rPr>
          <w:t>http://www.bankofengland.co.uk/pra/Documents/publications/ps/2013/ps713.pdf</w:t>
        </w:r>
      </w:hyperlink>
      <w:r>
        <w:rPr>
          <w:sz w:val="24"/>
          <w:szCs w:val="24"/>
        </w:rPr>
        <w:t xml:space="preserve"> (last accessed 25th July 2015)</w:t>
      </w:r>
      <w:r w:rsidRPr="001A61D0">
        <w:rPr>
          <w:sz w:val="24"/>
          <w:szCs w:val="24"/>
        </w:rPr>
        <w:t>.</w:t>
      </w:r>
    </w:p>
    <w:p w:rsidR="00AB7A2A" w:rsidRDefault="00AB7A2A" w:rsidP="001A61D0">
      <w:pPr>
        <w:pStyle w:val="FootnoteText"/>
        <w:jc w:val="both"/>
        <w:rPr>
          <w:b/>
          <w:sz w:val="24"/>
          <w:szCs w:val="24"/>
        </w:rPr>
      </w:pPr>
      <w:r w:rsidRPr="00AB7A2A">
        <w:rPr>
          <w:b/>
          <w:sz w:val="24"/>
          <w:szCs w:val="24"/>
        </w:rPr>
        <w:t>Prudential Regulation Authority</w:t>
      </w:r>
      <w:r>
        <w:rPr>
          <w:sz w:val="24"/>
          <w:szCs w:val="24"/>
        </w:rPr>
        <w:t xml:space="preserve"> (2013), Supervisory Statement SS 6/13, Stress testing, scenario analysis and capital planning, December 2013, available at</w:t>
      </w:r>
      <w:hyperlink r:id="rId106" w:history="1">
        <w:r w:rsidR="00A10DF4" w:rsidRPr="00913F37">
          <w:rPr>
            <w:rStyle w:val="Hyperlink"/>
            <w:sz w:val="24"/>
            <w:szCs w:val="24"/>
          </w:rPr>
          <w:t>http://www.bankofengland.co.uk/pra/Documents/publications/ss/2013/ss613.pdf</w:t>
        </w:r>
      </w:hyperlink>
      <w:r w:rsidR="00B41250">
        <w:t xml:space="preserve"> </w:t>
      </w:r>
      <w:r>
        <w:rPr>
          <w:sz w:val="24"/>
          <w:szCs w:val="24"/>
        </w:rPr>
        <w:t xml:space="preserve">(last accessed on </w:t>
      </w:r>
      <w:r w:rsidR="00A10DF4">
        <w:rPr>
          <w:sz w:val="24"/>
          <w:szCs w:val="24"/>
        </w:rPr>
        <w:t>29th August 2015)</w:t>
      </w:r>
      <w:r w:rsidR="008D677C">
        <w:rPr>
          <w:sz w:val="24"/>
          <w:szCs w:val="24"/>
        </w:rPr>
        <w:t>.</w:t>
      </w:r>
    </w:p>
    <w:p w:rsidR="001A61D0" w:rsidRDefault="001A61D0" w:rsidP="00DE7163">
      <w:pPr>
        <w:jc w:val="both"/>
        <w:rPr>
          <w:b/>
          <w:sz w:val="24"/>
          <w:szCs w:val="24"/>
        </w:rPr>
      </w:pPr>
    </w:p>
    <w:p w:rsidR="00AB7A2A" w:rsidRDefault="00AB7A2A" w:rsidP="00AB7A2A">
      <w:pPr>
        <w:jc w:val="both"/>
        <w:rPr>
          <w:sz w:val="24"/>
          <w:szCs w:val="24"/>
        </w:rPr>
      </w:pPr>
      <w:r>
        <w:rPr>
          <w:b/>
          <w:sz w:val="24"/>
          <w:szCs w:val="24"/>
        </w:rPr>
        <w:t xml:space="preserve">Prudential Regulation Authority </w:t>
      </w:r>
      <w:r w:rsidRPr="00837C1D">
        <w:rPr>
          <w:sz w:val="24"/>
          <w:szCs w:val="24"/>
        </w:rPr>
        <w:t>(2014),</w:t>
      </w:r>
      <w:r w:rsidR="00B41250">
        <w:rPr>
          <w:sz w:val="24"/>
          <w:szCs w:val="24"/>
        </w:rPr>
        <w:t xml:space="preserve"> </w:t>
      </w:r>
      <w:r w:rsidR="008D677C">
        <w:rPr>
          <w:sz w:val="24"/>
          <w:szCs w:val="24"/>
        </w:rPr>
        <w:t>Policy Statement PS 3/14, Implementing CRD IV: capital buffers</w:t>
      </w:r>
      <w:r w:rsidRPr="00837C1D">
        <w:rPr>
          <w:sz w:val="24"/>
          <w:szCs w:val="24"/>
        </w:rPr>
        <w:t xml:space="preserve">, </w:t>
      </w:r>
      <w:r w:rsidR="008D677C">
        <w:rPr>
          <w:sz w:val="24"/>
          <w:szCs w:val="24"/>
        </w:rPr>
        <w:t>April</w:t>
      </w:r>
      <w:r w:rsidRPr="00837C1D">
        <w:rPr>
          <w:sz w:val="24"/>
          <w:szCs w:val="24"/>
        </w:rPr>
        <w:t xml:space="preserve"> 2014, available at </w:t>
      </w:r>
      <w:hyperlink r:id="rId107" w:history="1">
        <w:r w:rsidR="00A10DF4" w:rsidRPr="00913F37">
          <w:rPr>
            <w:rStyle w:val="Hyperlink"/>
            <w:sz w:val="24"/>
            <w:szCs w:val="24"/>
          </w:rPr>
          <w:t>http://www.bankofengland.co.uk/pra/Documents/publications/ps/2014/ps314.pdf</w:t>
        </w:r>
      </w:hyperlink>
      <w:r w:rsidR="00B41250">
        <w:t xml:space="preserve"> </w:t>
      </w:r>
      <w:r w:rsidRPr="00837C1D">
        <w:rPr>
          <w:sz w:val="24"/>
          <w:szCs w:val="24"/>
        </w:rPr>
        <w:t xml:space="preserve">(last accessed </w:t>
      </w:r>
      <w:r w:rsidR="008D677C">
        <w:rPr>
          <w:sz w:val="24"/>
          <w:szCs w:val="24"/>
        </w:rPr>
        <w:t xml:space="preserve">on </w:t>
      </w:r>
      <w:r w:rsidR="00A10DF4">
        <w:rPr>
          <w:sz w:val="24"/>
          <w:szCs w:val="24"/>
        </w:rPr>
        <w:t xml:space="preserve">29th August </w:t>
      </w:r>
      <w:r w:rsidRPr="00837C1D">
        <w:rPr>
          <w:sz w:val="24"/>
          <w:szCs w:val="24"/>
        </w:rPr>
        <w:t>2015).</w:t>
      </w:r>
    </w:p>
    <w:p w:rsidR="008D677C" w:rsidRPr="00837C1D" w:rsidRDefault="008D677C" w:rsidP="00AB7A2A">
      <w:pPr>
        <w:jc w:val="both"/>
        <w:rPr>
          <w:sz w:val="24"/>
          <w:szCs w:val="24"/>
        </w:rPr>
      </w:pPr>
    </w:p>
    <w:p w:rsidR="00837C1D" w:rsidRPr="00837C1D" w:rsidRDefault="00837C1D" w:rsidP="00DE7163">
      <w:pPr>
        <w:jc w:val="both"/>
        <w:rPr>
          <w:sz w:val="24"/>
          <w:szCs w:val="24"/>
        </w:rPr>
      </w:pPr>
      <w:r>
        <w:rPr>
          <w:b/>
          <w:sz w:val="24"/>
          <w:szCs w:val="24"/>
        </w:rPr>
        <w:t xml:space="preserve">Prudential Regulation Authority </w:t>
      </w:r>
      <w:r w:rsidRPr="00837C1D">
        <w:rPr>
          <w:sz w:val="24"/>
          <w:szCs w:val="24"/>
        </w:rPr>
        <w:t>(2014),</w:t>
      </w:r>
      <w:r w:rsidR="00B41250">
        <w:rPr>
          <w:sz w:val="24"/>
          <w:szCs w:val="24"/>
        </w:rPr>
        <w:t xml:space="preserve"> </w:t>
      </w:r>
      <w:r w:rsidRPr="00837C1D">
        <w:rPr>
          <w:sz w:val="24"/>
          <w:szCs w:val="24"/>
        </w:rPr>
        <w:t xml:space="preserve">The PRA’s approach to banking supervision, June 2014, available at </w:t>
      </w:r>
      <w:hyperlink r:id="rId108" w:history="1">
        <w:r w:rsidRPr="00837C1D">
          <w:rPr>
            <w:rStyle w:val="Hyperlink"/>
            <w:sz w:val="24"/>
            <w:szCs w:val="24"/>
          </w:rPr>
          <w:t>http://www.bankofengland.co.uk/publications/Documents/praapproach/bankingappr1406.pdf</w:t>
        </w:r>
      </w:hyperlink>
      <w:r w:rsidRPr="00837C1D">
        <w:rPr>
          <w:sz w:val="24"/>
          <w:szCs w:val="24"/>
        </w:rPr>
        <w:t xml:space="preserve"> (last accessed 25th July 2015).</w:t>
      </w:r>
    </w:p>
    <w:p w:rsidR="00837C1D" w:rsidRDefault="00837C1D" w:rsidP="00DE7163">
      <w:pPr>
        <w:jc w:val="both"/>
        <w:rPr>
          <w:b/>
          <w:sz w:val="24"/>
          <w:szCs w:val="24"/>
        </w:rPr>
      </w:pPr>
    </w:p>
    <w:p w:rsidR="002B26E8" w:rsidRDefault="002B26E8" w:rsidP="00DE7163">
      <w:pPr>
        <w:jc w:val="both"/>
        <w:rPr>
          <w:sz w:val="24"/>
          <w:szCs w:val="24"/>
        </w:rPr>
      </w:pPr>
      <w:r w:rsidRPr="0059377D">
        <w:rPr>
          <w:b/>
          <w:sz w:val="24"/>
          <w:szCs w:val="24"/>
        </w:rPr>
        <w:t>Prudential Regulat</w:t>
      </w:r>
      <w:r>
        <w:rPr>
          <w:b/>
          <w:sz w:val="24"/>
          <w:szCs w:val="24"/>
        </w:rPr>
        <w:t>ion</w:t>
      </w:r>
      <w:r w:rsidRPr="0059377D">
        <w:rPr>
          <w:b/>
          <w:sz w:val="24"/>
          <w:szCs w:val="24"/>
        </w:rPr>
        <w:t xml:space="preserve"> Authority</w:t>
      </w:r>
      <w:r w:rsidRPr="0059377D">
        <w:rPr>
          <w:sz w:val="24"/>
          <w:szCs w:val="24"/>
        </w:rPr>
        <w:t xml:space="preserve"> (201</w:t>
      </w:r>
      <w:r>
        <w:rPr>
          <w:sz w:val="24"/>
          <w:szCs w:val="24"/>
        </w:rPr>
        <w:t>4</w:t>
      </w:r>
      <w:r w:rsidRPr="0059377D">
        <w:rPr>
          <w:sz w:val="24"/>
          <w:szCs w:val="24"/>
        </w:rPr>
        <w:t xml:space="preserve">), </w:t>
      </w:r>
      <w:r>
        <w:rPr>
          <w:sz w:val="24"/>
          <w:szCs w:val="24"/>
        </w:rPr>
        <w:t xml:space="preserve">Policy Statement 3/14, Implementing CRD IV: capital buffers, April 2014, available at </w:t>
      </w:r>
      <w:hyperlink r:id="rId109" w:history="1">
        <w:r w:rsidRPr="00B17872">
          <w:rPr>
            <w:rStyle w:val="Hyperlink"/>
            <w:sz w:val="24"/>
            <w:szCs w:val="24"/>
          </w:rPr>
          <w:t>http://www.bankofengland.co.uk/pra/Documents/publications/ps/2014/ps314.pdf</w:t>
        </w:r>
      </w:hyperlink>
      <w:r>
        <w:rPr>
          <w:sz w:val="24"/>
          <w:szCs w:val="24"/>
        </w:rPr>
        <w:t xml:space="preserve"> (last accessed 20 25th July 2015).</w:t>
      </w:r>
    </w:p>
    <w:p w:rsidR="002B26E8" w:rsidRDefault="002B26E8" w:rsidP="00DE7163">
      <w:pPr>
        <w:jc w:val="both"/>
        <w:rPr>
          <w:sz w:val="24"/>
          <w:szCs w:val="24"/>
        </w:rPr>
      </w:pPr>
    </w:p>
    <w:p w:rsidR="00B823B5" w:rsidRDefault="00B823B5" w:rsidP="00DE7163">
      <w:pPr>
        <w:jc w:val="both"/>
        <w:rPr>
          <w:sz w:val="24"/>
          <w:szCs w:val="24"/>
        </w:rPr>
      </w:pPr>
      <w:r w:rsidRPr="0059377D">
        <w:rPr>
          <w:b/>
          <w:sz w:val="24"/>
          <w:szCs w:val="24"/>
        </w:rPr>
        <w:t>Prudential Regulat</w:t>
      </w:r>
      <w:r w:rsidR="009423CC">
        <w:rPr>
          <w:b/>
          <w:sz w:val="24"/>
          <w:szCs w:val="24"/>
        </w:rPr>
        <w:t>ion</w:t>
      </w:r>
      <w:r w:rsidRPr="0059377D">
        <w:rPr>
          <w:b/>
          <w:sz w:val="24"/>
          <w:szCs w:val="24"/>
        </w:rPr>
        <w:t xml:space="preserve"> Authority</w:t>
      </w:r>
      <w:r w:rsidRPr="0059377D">
        <w:rPr>
          <w:sz w:val="24"/>
          <w:szCs w:val="24"/>
        </w:rPr>
        <w:t xml:space="preserve"> (201</w:t>
      </w:r>
      <w:r>
        <w:rPr>
          <w:sz w:val="24"/>
          <w:szCs w:val="24"/>
        </w:rPr>
        <w:t>4</w:t>
      </w:r>
      <w:r w:rsidRPr="0059377D">
        <w:rPr>
          <w:sz w:val="24"/>
          <w:szCs w:val="24"/>
        </w:rPr>
        <w:t>), Consultation Paper</w:t>
      </w:r>
      <w:r>
        <w:rPr>
          <w:sz w:val="24"/>
          <w:szCs w:val="24"/>
        </w:rPr>
        <w:t xml:space="preserve"> 14/14</w:t>
      </w:r>
      <w:r w:rsidR="001A61D0">
        <w:rPr>
          <w:sz w:val="24"/>
          <w:szCs w:val="24"/>
        </w:rPr>
        <w:t xml:space="preserve"> (and FCA Consultation paper 14/3</w:t>
      </w:r>
      <w:r w:rsidR="00A029B5">
        <w:rPr>
          <w:sz w:val="24"/>
          <w:szCs w:val="24"/>
        </w:rPr>
        <w:t>)</w:t>
      </w:r>
      <w:r>
        <w:rPr>
          <w:sz w:val="24"/>
          <w:szCs w:val="24"/>
        </w:rPr>
        <w:t xml:space="preserve">: Strengthening accountability in banking: a new regulatory framework for individuals, April 2015, available at </w:t>
      </w:r>
      <w:hyperlink r:id="rId110" w:history="1">
        <w:r w:rsidRPr="00B823B5">
          <w:rPr>
            <w:rStyle w:val="Hyperlink"/>
            <w:sz w:val="24"/>
            <w:szCs w:val="24"/>
          </w:rPr>
          <w:t>http://www.bankofengland.co.uk/pra/Pages/publications/cp/2014/cp1414.aspx</w:t>
        </w:r>
      </w:hyperlink>
      <w:r w:rsidR="00B41250">
        <w:t xml:space="preserve"> </w:t>
      </w:r>
      <w:r w:rsidRPr="00B823B5">
        <w:rPr>
          <w:sz w:val="24"/>
          <w:szCs w:val="24"/>
        </w:rPr>
        <w:t>(last accessed on 9th July)</w:t>
      </w:r>
      <w:r w:rsidR="00697A09">
        <w:rPr>
          <w:sz w:val="24"/>
          <w:szCs w:val="24"/>
        </w:rPr>
        <w:t>.</w:t>
      </w:r>
    </w:p>
    <w:p w:rsidR="00B823B5" w:rsidRDefault="00B823B5" w:rsidP="00DE7163">
      <w:pPr>
        <w:jc w:val="both"/>
        <w:rPr>
          <w:sz w:val="24"/>
          <w:szCs w:val="24"/>
        </w:rPr>
      </w:pPr>
    </w:p>
    <w:p w:rsidR="004270D2" w:rsidRPr="00EB3D13" w:rsidRDefault="004270D2" w:rsidP="00DE7163">
      <w:pPr>
        <w:jc w:val="both"/>
        <w:rPr>
          <w:sz w:val="24"/>
          <w:szCs w:val="24"/>
        </w:rPr>
      </w:pPr>
      <w:r w:rsidRPr="00667887">
        <w:rPr>
          <w:b/>
          <w:sz w:val="24"/>
          <w:szCs w:val="24"/>
        </w:rPr>
        <w:t>Prudential Regulation Authority</w:t>
      </w:r>
      <w:r>
        <w:rPr>
          <w:sz w:val="24"/>
          <w:szCs w:val="24"/>
        </w:rPr>
        <w:t xml:space="preserve"> (2014), </w:t>
      </w:r>
      <w:r w:rsidR="00667887">
        <w:rPr>
          <w:sz w:val="24"/>
          <w:szCs w:val="24"/>
        </w:rPr>
        <w:t>Consultation Paper 19/14</w:t>
      </w:r>
      <w:r w:rsidR="00B823B5">
        <w:rPr>
          <w:sz w:val="24"/>
          <w:szCs w:val="24"/>
        </w:rPr>
        <w:t xml:space="preserve">, </w:t>
      </w:r>
      <w:r>
        <w:rPr>
          <w:sz w:val="24"/>
          <w:szCs w:val="24"/>
        </w:rPr>
        <w:t xml:space="preserve">The implementation of ring-fencing: consultation on legal structure, </w:t>
      </w:r>
      <w:r w:rsidR="00667887">
        <w:rPr>
          <w:sz w:val="24"/>
          <w:szCs w:val="24"/>
        </w:rPr>
        <w:t xml:space="preserve">governance and the continuity of services and facilities, available at </w:t>
      </w:r>
      <w:hyperlink r:id="rId111" w:history="1">
        <w:r w:rsidR="00667887" w:rsidRPr="00E9349C">
          <w:rPr>
            <w:rStyle w:val="Hyperlink"/>
            <w:sz w:val="24"/>
            <w:szCs w:val="24"/>
          </w:rPr>
          <w:t>http://www.bankofengland.co.uk/pra/Pages/publications/cp/2014/cp1914.aspx</w:t>
        </w:r>
      </w:hyperlink>
      <w:r w:rsidR="00667887">
        <w:rPr>
          <w:sz w:val="24"/>
          <w:szCs w:val="24"/>
        </w:rPr>
        <w:t xml:space="preserve"> (last accessed 9th July 2015)</w:t>
      </w:r>
      <w:r w:rsidR="00697A09">
        <w:rPr>
          <w:sz w:val="24"/>
          <w:szCs w:val="24"/>
        </w:rPr>
        <w:t>.</w:t>
      </w:r>
    </w:p>
    <w:p w:rsidR="0033431F" w:rsidRPr="00667887" w:rsidRDefault="0033431F" w:rsidP="00CF7ECC">
      <w:pPr>
        <w:rPr>
          <w:sz w:val="24"/>
          <w:szCs w:val="24"/>
        </w:rPr>
      </w:pPr>
    </w:p>
    <w:p w:rsidR="00077991" w:rsidRDefault="00077991" w:rsidP="00B823B5">
      <w:pPr>
        <w:jc w:val="both"/>
        <w:rPr>
          <w:sz w:val="24"/>
          <w:szCs w:val="24"/>
        </w:rPr>
      </w:pPr>
      <w:r w:rsidRPr="00530EDF">
        <w:rPr>
          <w:b/>
          <w:sz w:val="24"/>
          <w:szCs w:val="24"/>
        </w:rPr>
        <w:t>Prudential Regulation Authority</w:t>
      </w:r>
      <w:r>
        <w:rPr>
          <w:sz w:val="24"/>
          <w:szCs w:val="24"/>
        </w:rPr>
        <w:t xml:space="preserve"> (2014), Consultation Paper 20/14, Depositor Protection, October 2014, available at </w:t>
      </w:r>
      <w:hyperlink r:id="rId112" w:history="1">
        <w:r w:rsidRPr="00077991">
          <w:rPr>
            <w:rStyle w:val="Hyperlink"/>
            <w:sz w:val="24"/>
            <w:szCs w:val="24"/>
          </w:rPr>
          <w:t>http://www.bankofengland.co.uk/pra/Documents/publications/cp/2014/cp2014.pdf</w:t>
        </w:r>
      </w:hyperlink>
      <w:r w:rsidR="001D752C">
        <w:t xml:space="preserve"> </w:t>
      </w:r>
      <w:r w:rsidRPr="00077991">
        <w:rPr>
          <w:sz w:val="24"/>
          <w:szCs w:val="24"/>
        </w:rPr>
        <w:t>(last accessed on 9th July).</w:t>
      </w:r>
    </w:p>
    <w:p w:rsidR="00077991" w:rsidRDefault="00077991" w:rsidP="00B823B5">
      <w:pPr>
        <w:jc w:val="both"/>
        <w:rPr>
          <w:sz w:val="24"/>
          <w:szCs w:val="24"/>
        </w:rPr>
      </w:pPr>
    </w:p>
    <w:p w:rsidR="00B823B5" w:rsidRDefault="00B823B5" w:rsidP="00B823B5">
      <w:pPr>
        <w:jc w:val="both"/>
        <w:rPr>
          <w:sz w:val="24"/>
          <w:szCs w:val="24"/>
        </w:rPr>
      </w:pPr>
      <w:r w:rsidRPr="00530EDF">
        <w:rPr>
          <w:b/>
          <w:sz w:val="24"/>
          <w:szCs w:val="24"/>
        </w:rPr>
        <w:t>Prudential Regulation Authority</w:t>
      </w:r>
      <w:r>
        <w:rPr>
          <w:sz w:val="24"/>
          <w:szCs w:val="24"/>
        </w:rPr>
        <w:t xml:space="preserve"> (2014), Consultation Paper 27/14, CRD IV: Liquidity, available at </w:t>
      </w:r>
      <w:hyperlink r:id="rId113" w:history="1">
        <w:r w:rsidRPr="00E9349C">
          <w:rPr>
            <w:rStyle w:val="Hyperlink"/>
            <w:sz w:val="24"/>
            <w:szCs w:val="24"/>
          </w:rPr>
          <w:t>http://www.bankofengland.co.uk/pra/Documents/publications/</w:t>
        </w:r>
        <w:r w:rsidRPr="00E9349C">
          <w:rPr>
            <w:rStyle w:val="Hyperlink"/>
            <w:b/>
            <w:bCs/>
            <w:sz w:val="24"/>
            <w:szCs w:val="24"/>
          </w:rPr>
          <w:t>cp</w:t>
        </w:r>
        <w:r w:rsidRPr="00E9349C">
          <w:rPr>
            <w:rStyle w:val="Hyperlink"/>
            <w:sz w:val="24"/>
            <w:szCs w:val="24"/>
          </w:rPr>
          <w:t>/2014/cp2714.pdf</w:t>
        </w:r>
      </w:hyperlink>
      <w:r>
        <w:rPr>
          <w:sz w:val="24"/>
          <w:szCs w:val="24"/>
        </w:rPr>
        <w:t xml:space="preserve"> (last accessed on 9th July 2015).  </w:t>
      </w:r>
    </w:p>
    <w:p w:rsidR="00B823B5" w:rsidRDefault="00B823B5" w:rsidP="00667887">
      <w:pPr>
        <w:jc w:val="both"/>
        <w:rPr>
          <w:b/>
          <w:sz w:val="24"/>
          <w:szCs w:val="24"/>
        </w:rPr>
      </w:pPr>
    </w:p>
    <w:p w:rsidR="0059377D" w:rsidRDefault="0059377D" w:rsidP="00667887">
      <w:pPr>
        <w:jc w:val="both"/>
        <w:rPr>
          <w:sz w:val="24"/>
          <w:szCs w:val="24"/>
        </w:rPr>
      </w:pPr>
      <w:r w:rsidRPr="0059377D">
        <w:rPr>
          <w:b/>
          <w:sz w:val="24"/>
          <w:szCs w:val="24"/>
        </w:rPr>
        <w:t>Prudential Regulat</w:t>
      </w:r>
      <w:r w:rsidR="009423CC">
        <w:rPr>
          <w:b/>
          <w:sz w:val="24"/>
          <w:szCs w:val="24"/>
        </w:rPr>
        <w:t>ion</w:t>
      </w:r>
      <w:r w:rsidRPr="0059377D">
        <w:rPr>
          <w:b/>
          <w:sz w:val="24"/>
          <w:szCs w:val="24"/>
        </w:rPr>
        <w:t xml:space="preserve"> Authority</w:t>
      </w:r>
      <w:r w:rsidRPr="0059377D">
        <w:rPr>
          <w:sz w:val="24"/>
          <w:szCs w:val="24"/>
        </w:rPr>
        <w:t xml:space="preserve"> (201</w:t>
      </w:r>
      <w:r>
        <w:rPr>
          <w:sz w:val="24"/>
          <w:szCs w:val="24"/>
        </w:rPr>
        <w:t>4</w:t>
      </w:r>
      <w:r w:rsidRPr="0059377D">
        <w:rPr>
          <w:sz w:val="24"/>
          <w:szCs w:val="24"/>
        </w:rPr>
        <w:t>), Consultation Paper</w:t>
      </w:r>
      <w:r>
        <w:rPr>
          <w:sz w:val="24"/>
          <w:szCs w:val="24"/>
        </w:rPr>
        <w:t xml:space="preserve"> 28/14</w:t>
      </w:r>
      <w:r w:rsidR="00B823B5">
        <w:rPr>
          <w:sz w:val="24"/>
          <w:szCs w:val="24"/>
        </w:rPr>
        <w:t xml:space="preserve">, Strengthening accountability in banking: forms, consequential and transitional aspects, December 2014, available </w:t>
      </w:r>
      <w:r w:rsidR="00B823B5" w:rsidRPr="00B823B5">
        <w:rPr>
          <w:sz w:val="24"/>
          <w:szCs w:val="24"/>
        </w:rPr>
        <w:t xml:space="preserve">at </w:t>
      </w:r>
      <w:hyperlink r:id="rId114" w:history="1">
        <w:r w:rsidR="00B823B5" w:rsidRPr="00B823B5">
          <w:rPr>
            <w:rStyle w:val="Hyperlink"/>
            <w:sz w:val="24"/>
            <w:szCs w:val="24"/>
          </w:rPr>
          <w:t>http://www.bankofengland.co.uk/pra/Pages/publications/cp/2014/cp2814.aspx</w:t>
        </w:r>
      </w:hyperlink>
      <w:r w:rsidR="001D752C">
        <w:t xml:space="preserve"> </w:t>
      </w:r>
      <w:r w:rsidR="00B823B5" w:rsidRPr="00B823B5">
        <w:rPr>
          <w:sz w:val="24"/>
          <w:szCs w:val="24"/>
        </w:rPr>
        <w:t>(last accessed on 9th July 2015)</w:t>
      </w:r>
      <w:r w:rsidR="00697A09">
        <w:rPr>
          <w:sz w:val="24"/>
          <w:szCs w:val="24"/>
        </w:rPr>
        <w:t>.</w:t>
      </w:r>
    </w:p>
    <w:p w:rsidR="00077991" w:rsidRDefault="00077991" w:rsidP="00667887">
      <w:pPr>
        <w:jc w:val="both"/>
        <w:rPr>
          <w:sz w:val="24"/>
          <w:szCs w:val="24"/>
        </w:rPr>
      </w:pPr>
    </w:p>
    <w:p w:rsidR="00077991" w:rsidRDefault="00077991" w:rsidP="00667887">
      <w:pPr>
        <w:jc w:val="both"/>
        <w:rPr>
          <w:sz w:val="24"/>
          <w:szCs w:val="24"/>
        </w:rPr>
      </w:pPr>
      <w:r w:rsidRPr="00530EDF">
        <w:rPr>
          <w:b/>
          <w:sz w:val="24"/>
          <w:szCs w:val="24"/>
        </w:rPr>
        <w:t>Prudential Regulation Authority</w:t>
      </w:r>
      <w:r>
        <w:rPr>
          <w:sz w:val="24"/>
          <w:szCs w:val="24"/>
        </w:rPr>
        <w:t xml:space="preserve"> (2014), Discussion Paper 1/14, Ensuring operational continuity in resolution, October 2014, available at </w:t>
      </w:r>
      <w:hyperlink r:id="rId115" w:history="1">
        <w:r w:rsidRPr="00077991">
          <w:rPr>
            <w:rStyle w:val="Hyperlink"/>
            <w:sz w:val="24"/>
            <w:szCs w:val="24"/>
          </w:rPr>
          <w:t>http://www.bankofengland.co.uk/pra/Documents/publications/cp/2014/dp114.pdf</w:t>
        </w:r>
      </w:hyperlink>
      <w:r w:rsidR="001D752C">
        <w:t xml:space="preserve"> </w:t>
      </w:r>
      <w:r w:rsidRPr="00077991">
        <w:rPr>
          <w:sz w:val="24"/>
          <w:szCs w:val="24"/>
        </w:rPr>
        <w:t>(last accessed on 9th July 2015)</w:t>
      </w:r>
      <w:r w:rsidR="00697A09">
        <w:rPr>
          <w:sz w:val="24"/>
          <w:szCs w:val="24"/>
        </w:rPr>
        <w:t>.</w:t>
      </w:r>
    </w:p>
    <w:p w:rsidR="0059377D" w:rsidRDefault="0059377D" w:rsidP="00667887">
      <w:pPr>
        <w:jc w:val="both"/>
        <w:rPr>
          <w:sz w:val="24"/>
          <w:szCs w:val="24"/>
        </w:rPr>
      </w:pPr>
    </w:p>
    <w:p w:rsidR="00667887" w:rsidRDefault="00667887" w:rsidP="00667887">
      <w:pPr>
        <w:jc w:val="both"/>
        <w:rPr>
          <w:sz w:val="24"/>
          <w:szCs w:val="24"/>
        </w:rPr>
      </w:pPr>
      <w:r>
        <w:rPr>
          <w:b/>
          <w:sz w:val="24"/>
          <w:szCs w:val="24"/>
        </w:rPr>
        <w:t xml:space="preserve">Prudential Regulation Authority </w:t>
      </w:r>
      <w:r w:rsidRPr="00667887">
        <w:rPr>
          <w:sz w:val="24"/>
          <w:szCs w:val="24"/>
        </w:rPr>
        <w:t>(2015)</w:t>
      </w:r>
      <w:r>
        <w:rPr>
          <w:sz w:val="24"/>
          <w:szCs w:val="24"/>
        </w:rPr>
        <w:t xml:space="preserve">, Consultation Paper CP 1/15, Assessing Capital Adequacy under Pillar 2, available at </w:t>
      </w:r>
      <w:hyperlink r:id="rId116" w:history="1">
        <w:r w:rsidRPr="00667887">
          <w:rPr>
            <w:rStyle w:val="Hyperlink"/>
            <w:sz w:val="24"/>
            <w:szCs w:val="24"/>
          </w:rPr>
          <w:t>http://www.bankofengland.co.uk/pra/Pages/publications/cp/2015/cp115.aspx</w:t>
        </w:r>
      </w:hyperlink>
      <w:r w:rsidR="001D752C">
        <w:t xml:space="preserve"> </w:t>
      </w:r>
      <w:r w:rsidRPr="00667887">
        <w:rPr>
          <w:sz w:val="24"/>
          <w:szCs w:val="24"/>
        </w:rPr>
        <w:t>(last accessed on 9th July 2015</w:t>
      </w:r>
      <w:r w:rsidR="00697A09">
        <w:rPr>
          <w:sz w:val="24"/>
          <w:szCs w:val="24"/>
        </w:rPr>
        <w:t>)</w:t>
      </w:r>
      <w:r>
        <w:rPr>
          <w:sz w:val="24"/>
          <w:szCs w:val="24"/>
        </w:rPr>
        <w:t xml:space="preserve">.  </w:t>
      </w:r>
    </w:p>
    <w:p w:rsidR="00667887" w:rsidRDefault="00667887" w:rsidP="00667887">
      <w:pPr>
        <w:jc w:val="both"/>
        <w:rPr>
          <w:b/>
          <w:sz w:val="24"/>
          <w:szCs w:val="24"/>
        </w:rPr>
      </w:pPr>
    </w:p>
    <w:p w:rsidR="00667887" w:rsidRPr="00EB3D13" w:rsidRDefault="00667887" w:rsidP="00667887">
      <w:pPr>
        <w:jc w:val="both"/>
        <w:rPr>
          <w:sz w:val="24"/>
          <w:szCs w:val="24"/>
        </w:rPr>
      </w:pPr>
      <w:r w:rsidRPr="00667887">
        <w:rPr>
          <w:b/>
          <w:sz w:val="24"/>
          <w:szCs w:val="24"/>
        </w:rPr>
        <w:t>Prudential Regulation Authority</w:t>
      </w:r>
      <w:r>
        <w:rPr>
          <w:sz w:val="24"/>
          <w:szCs w:val="24"/>
        </w:rPr>
        <w:t xml:space="preserve"> (2015), Policy Statement 10/15:The implementation of ring-fencing: consultation on legal structure, governance and the continuity of services and facilities, available at </w:t>
      </w:r>
      <w:hyperlink r:id="rId117" w:history="1">
        <w:r w:rsidRPr="00E9349C">
          <w:rPr>
            <w:rStyle w:val="Hyperlink"/>
            <w:sz w:val="24"/>
            <w:szCs w:val="24"/>
          </w:rPr>
          <w:t>http://www.bankofengland.co.uk/pra/Pages/publications/ps/2015/ps1015.aspx</w:t>
        </w:r>
      </w:hyperlink>
      <w:r>
        <w:rPr>
          <w:sz w:val="24"/>
          <w:szCs w:val="24"/>
        </w:rPr>
        <w:t xml:space="preserve"> (last accessed 9th July 2015)</w:t>
      </w:r>
      <w:r w:rsidR="00697A09">
        <w:rPr>
          <w:sz w:val="24"/>
          <w:szCs w:val="24"/>
        </w:rPr>
        <w:t>.</w:t>
      </w:r>
    </w:p>
    <w:p w:rsidR="0059377D" w:rsidRDefault="0059377D" w:rsidP="0059377D">
      <w:pPr>
        <w:jc w:val="both"/>
        <w:rPr>
          <w:b/>
          <w:sz w:val="24"/>
          <w:szCs w:val="24"/>
        </w:rPr>
      </w:pPr>
    </w:p>
    <w:p w:rsidR="00B823B5" w:rsidRPr="00B823B5" w:rsidRDefault="0059377D" w:rsidP="00B823B5">
      <w:pPr>
        <w:jc w:val="both"/>
        <w:rPr>
          <w:rFonts w:ascii="Verdana" w:hAnsi="Verdana" w:cs="Arial"/>
          <w:color w:val="404041"/>
          <w:sz w:val="16"/>
          <w:szCs w:val="16"/>
          <w:lang w:eastAsia="en-GB"/>
        </w:rPr>
      </w:pPr>
      <w:r w:rsidRPr="0059377D">
        <w:rPr>
          <w:b/>
          <w:sz w:val="24"/>
          <w:szCs w:val="24"/>
        </w:rPr>
        <w:t>Prudential Regulat</w:t>
      </w:r>
      <w:r w:rsidR="009423CC">
        <w:rPr>
          <w:b/>
          <w:sz w:val="24"/>
          <w:szCs w:val="24"/>
        </w:rPr>
        <w:t>i</w:t>
      </w:r>
      <w:r w:rsidRPr="0059377D">
        <w:rPr>
          <w:b/>
          <w:sz w:val="24"/>
          <w:szCs w:val="24"/>
        </w:rPr>
        <w:t>o</w:t>
      </w:r>
      <w:r w:rsidR="009423CC">
        <w:rPr>
          <w:b/>
          <w:sz w:val="24"/>
          <w:szCs w:val="24"/>
        </w:rPr>
        <w:t>n</w:t>
      </w:r>
      <w:r w:rsidRPr="0059377D">
        <w:rPr>
          <w:b/>
          <w:sz w:val="24"/>
          <w:szCs w:val="24"/>
        </w:rPr>
        <w:t xml:space="preserve"> Authority</w:t>
      </w:r>
      <w:r w:rsidRPr="0059377D">
        <w:rPr>
          <w:sz w:val="24"/>
          <w:szCs w:val="24"/>
        </w:rPr>
        <w:t xml:space="preserve"> (2015), Consultation Paper</w:t>
      </w:r>
      <w:r>
        <w:rPr>
          <w:sz w:val="24"/>
          <w:szCs w:val="24"/>
        </w:rPr>
        <w:t xml:space="preserve"> 7/15</w:t>
      </w:r>
      <w:r w:rsidR="00B823B5">
        <w:rPr>
          <w:sz w:val="24"/>
          <w:szCs w:val="24"/>
        </w:rPr>
        <w:t xml:space="preserve">, Approach to non-executive directors in banking and Solvency II firms &amp; Application of the presumption of responsibility to Senior Managers in banking firms, February 2015, available at </w:t>
      </w:r>
      <w:r w:rsidR="00F42284">
        <w:rPr>
          <w:rFonts w:ascii="Verdana" w:hAnsi="Verdana" w:cs="Arial"/>
          <w:noProof/>
          <w:color w:val="404041"/>
          <w:sz w:val="16"/>
          <w:szCs w:val="16"/>
          <w:lang w:eastAsia="en-GB"/>
        </w:rPr>
        <w:drawing>
          <wp:inline distT="0" distB="0" distL="0" distR="0">
            <wp:extent cx="9525" cy="9525"/>
            <wp:effectExtent l="0" t="0" r="0" b="0"/>
            <wp:docPr id="1" name="Picture 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pic:cNvPicPr>
                      <a:picLocks noChangeAspect="1" noChangeArrowheads="1"/>
                    </pic:cNvPicPr>
                  </pic:nvPicPr>
                  <pic:blipFill>
                    <a:blip r:embed="rId11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823B5" w:rsidRPr="00B823B5" w:rsidRDefault="00674C5C" w:rsidP="00B823B5">
      <w:pPr>
        <w:overflowPunct/>
        <w:autoSpaceDE/>
        <w:autoSpaceDN/>
        <w:adjustRightInd/>
        <w:textAlignment w:val="auto"/>
        <w:rPr>
          <w:sz w:val="24"/>
          <w:szCs w:val="24"/>
        </w:rPr>
      </w:pPr>
      <w:hyperlink r:id="rId119" w:history="1">
        <w:r w:rsidR="00B823B5" w:rsidRPr="00B823B5">
          <w:rPr>
            <w:rStyle w:val="Hyperlink"/>
            <w:sz w:val="24"/>
            <w:szCs w:val="24"/>
            <w:lang w:eastAsia="en-GB"/>
          </w:rPr>
          <w:t>http://www.bankofengland.co.uk/pra/Documents/publications/</w:t>
        </w:r>
        <w:r w:rsidR="00B823B5" w:rsidRPr="00B823B5">
          <w:rPr>
            <w:rStyle w:val="Hyperlink"/>
            <w:b/>
            <w:bCs/>
            <w:sz w:val="24"/>
            <w:szCs w:val="24"/>
            <w:lang w:eastAsia="en-GB"/>
          </w:rPr>
          <w:t>cp</w:t>
        </w:r>
        <w:r w:rsidR="00B823B5" w:rsidRPr="00B823B5">
          <w:rPr>
            <w:rStyle w:val="Hyperlink"/>
            <w:sz w:val="24"/>
            <w:szCs w:val="24"/>
            <w:lang w:eastAsia="en-GB"/>
          </w:rPr>
          <w:t>/2015/cp715.pdf</w:t>
        </w:r>
      </w:hyperlink>
      <w:r w:rsidR="001D752C">
        <w:t xml:space="preserve"> </w:t>
      </w:r>
      <w:r w:rsidR="00B823B5" w:rsidRPr="00B823B5">
        <w:rPr>
          <w:sz w:val="24"/>
          <w:szCs w:val="24"/>
        </w:rPr>
        <w:t>(last accessed on 9th July 2015)</w:t>
      </w:r>
      <w:r w:rsidR="00697A09">
        <w:rPr>
          <w:sz w:val="24"/>
          <w:szCs w:val="24"/>
        </w:rPr>
        <w:t>.</w:t>
      </w:r>
    </w:p>
    <w:p w:rsidR="0059377D" w:rsidRDefault="0059377D" w:rsidP="0059377D">
      <w:pPr>
        <w:jc w:val="both"/>
        <w:rPr>
          <w:sz w:val="24"/>
          <w:szCs w:val="24"/>
        </w:rPr>
      </w:pPr>
    </w:p>
    <w:p w:rsidR="0059377D" w:rsidRPr="0059377D" w:rsidRDefault="0059377D" w:rsidP="0059377D">
      <w:pPr>
        <w:jc w:val="both"/>
        <w:rPr>
          <w:sz w:val="24"/>
          <w:szCs w:val="24"/>
        </w:rPr>
      </w:pPr>
      <w:r>
        <w:rPr>
          <w:b/>
          <w:sz w:val="24"/>
          <w:szCs w:val="24"/>
        </w:rPr>
        <w:t>Prudential Regulat</w:t>
      </w:r>
      <w:r w:rsidR="009423CC">
        <w:rPr>
          <w:b/>
          <w:sz w:val="24"/>
          <w:szCs w:val="24"/>
        </w:rPr>
        <w:t>ion</w:t>
      </w:r>
      <w:r>
        <w:rPr>
          <w:b/>
          <w:sz w:val="24"/>
          <w:szCs w:val="24"/>
        </w:rPr>
        <w:t xml:space="preserve"> Authority </w:t>
      </w:r>
      <w:r>
        <w:rPr>
          <w:sz w:val="24"/>
          <w:szCs w:val="24"/>
        </w:rPr>
        <w:t xml:space="preserve">(2015), Policy Statement 16/15: Strengthening individual accountability in banking: responses to CP14/14, CP28/14, and CP 7/15, July 2015, available at </w:t>
      </w:r>
      <w:hyperlink r:id="rId120" w:history="1">
        <w:r w:rsidRPr="00543B5D">
          <w:rPr>
            <w:rStyle w:val="Hyperlink"/>
            <w:sz w:val="24"/>
            <w:szCs w:val="24"/>
          </w:rPr>
          <w:t>http://www.bankofengland.co.uk/pra/Pages/publications/ps/2015/ps1615.aspx</w:t>
        </w:r>
      </w:hyperlink>
      <w:r>
        <w:rPr>
          <w:sz w:val="24"/>
          <w:szCs w:val="24"/>
        </w:rPr>
        <w:t xml:space="preserve"> (last accessed on 9th July 2015)</w:t>
      </w:r>
      <w:r w:rsidR="00697A09">
        <w:rPr>
          <w:sz w:val="24"/>
          <w:szCs w:val="24"/>
        </w:rPr>
        <w:t>.</w:t>
      </w:r>
    </w:p>
    <w:p w:rsidR="0059377D" w:rsidRDefault="0059377D" w:rsidP="0059377D">
      <w:pPr>
        <w:pStyle w:val="FootnoteText"/>
        <w:jc w:val="both"/>
        <w:rPr>
          <w:sz w:val="24"/>
          <w:szCs w:val="24"/>
        </w:rPr>
      </w:pPr>
      <w:r w:rsidRPr="0059377D">
        <w:rPr>
          <w:b/>
          <w:sz w:val="24"/>
          <w:szCs w:val="24"/>
        </w:rPr>
        <w:t>Prudential Regulat</w:t>
      </w:r>
      <w:r w:rsidR="009423CC">
        <w:rPr>
          <w:b/>
          <w:sz w:val="24"/>
          <w:szCs w:val="24"/>
        </w:rPr>
        <w:t>ion</w:t>
      </w:r>
      <w:r w:rsidRPr="0059377D">
        <w:rPr>
          <w:b/>
          <w:sz w:val="24"/>
          <w:szCs w:val="24"/>
        </w:rPr>
        <w:t xml:space="preserve"> Authority</w:t>
      </w:r>
      <w:r w:rsidRPr="0059377D">
        <w:rPr>
          <w:sz w:val="24"/>
          <w:szCs w:val="24"/>
        </w:rPr>
        <w:t xml:space="preserve"> (2015), Consultation Paper 18/15 Corporate Governance: Board Responsibilities, May 2015, available at </w:t>
      </w:r>
      <w:hyperlink r:id="rId121" w:history="1">
        <w:r w:rsidRPr="00543B5D">
          <w:rPr>
            <w:rStyle w:val="Hyperlink"/>
            <w:sz w:val="24"/>
            <w:szCs w:val="24"/>
          </w:rPr>
          <w:t>http://www.bankofengland.co.uk/pra/Pages/publications/cp/2015/cp1815.aspx</w:t>
        </w:r>
      </w:hyperlink>
      <w:r>
        <w:rPr>
          <w:sz w:val="24"/>
          <w:szCs w:val="24"/>
        </w:rPr>
        <w:t xml:space="preserve"> (last accessed on 9th July 2015)</w:t>
      </w:r>
      <w:r w:rsidRPr="0059377D">
        <w:rPr>
          <w:sz w:val="24"/>
          <w:szCs w:val="24"/>
        </w:rPr>
        <w:t>.</w:t>
      </w:r>
    </w:p>
    <w:p w:rsidR="00AE7B94" w:rsidRPr="0059377D" w:rsidRDefault="00AE7B94" w:rsidP="0059377D">
      <w:pPr>
        <w:pStyle w:val="FootnoteText"/>
        <w:jc w:val="both"/>
        <w:rPr>
          <w:sz w:val="24"/>
          <w:szCs w:val="24"/>
        </w:rPr>
      </w:pPr>
    </w:p>
    <w:p w:rsidR="009423CC" w:rsidRDefault="009423CC" w:rsidP="00CF42AD">
      <w:pPr>
        <w:jc w:val="both"/>
        <w:rPr>
          <w:sz w:val="24"/>
          <w:szCs w:val="24"/>
        </w:rPr>
      </w:pPr>
      <w:r>
        <w:rPr>
          <w:b/>
          <w:sz w:val="24"/>
          <w:szCs w:val="24"/>
        </w:rPr>
        <w:t xml:space="preserve">Prudential Regulation Authority </w:t>
      </w:r>
      <w:r w:rsidRPr="009423CC">
        <w:rPr>
          <w:sz w:val="24"/>
          <w:szCs w:val="24"/>
        </w:rPr>
        <w:t>(2015),</w:t>
      </w:r>
      <w:r>
        <w:rPr>
          <w:sz w:val="24"/>
          <w:szCs w:val="24"/>
        </w:rPr>
        <w:t xml:space="preserve"> Statement of Policy on conditions, time limits, and variations of approval, June 2015, available at </w:t>
      </w:r>
      <w:hyperlink r:id="rId122" w:history="1">
        <w:r w:rsidRPr="00B17872">
          <w:rPr>
            <w:rStyle w:val="Hyperlink"/>
            <w:sz w:val="24"/>
            <w:szCs w:val="24"/>
          </w:rPr>
          <w:t>http://www.bankofengland.co.uk/pra/Documents/publications/sop/2015/conditions.pdf</w:t>
        </w:r>
      </w:hyperlink>
      <w:r>
        <w:rPr>
          <w:sz w:val="24"/>
          <w:szCs w:val="24"/>
        </w:rPr>
        <w:t xml:space="preserve"> (last accessed on 25th July 2015).</w:t>
      </w:r>
    </w:p>
    <w:p w:rsidR="009423CC" w:rsidRDefault="009423CC" w:rsidP="00CF42AD">
      <w:pPr>
        <w:jc w:val="both"/>
        <w:rPr>
          <w:sz w:val="24"/>
          <w:szCs w:val="24"/>
        </w:rPr>
      </w:pPr>
    </w:p>
    <w:p w:rsidR="009423CC" w:rsidRDefault="009423CC" w:rsidP="00CF42AD">
      <w:pPr>
        <w:jc w:val="both"/>
        <w:rPr>
          <w:sz w:val="24"/>
          <w:szCs w:val="24"/>
        </w:rPr>
      </w:pPr>
      <w:r>
        <w:rPr>
          <w:b/>
          <w:sz w:val="24"/>
          <w:szCs w:val="24"/>
        </w:rPr>
        <w:t xml:space="preserve">Prudential Regulation Authority </w:t>
      </w:r>
      <w:r w:rsidRPr="009423CC">
        <w:rPr>
          <w:sz w:val="24"/>
          <w:szCs w:val="24"/>
        </w:rPr>
        <w:t>(2015),</w:t>
      </w:r>
      <w:r>
        <w:rPr>
          <w:sz w:val="24"/>
          <w:szCs w:val="24"/>
        </w:rPr>
        <w:t xml:space="preserve"> Supervisory Statement SS 28/15, Strengthening accountability in banking, July 2015, available at </w:t>
      </w:r>
      <w:hyperlink r:id="rId123" w:history="1">
        <w:r w:rsidRPr="00B17872">
          <w:rPr>
            <w:rStyle w:val="Hyperlink"/>
            <w:sz w:val="24"/>
            <w:szCs w:val="24"/>
          </w:rPr>
          <w:t>http://www.bankofengland.co.uk/pra/Documents/publications/ss/2015/ss2815.pdf</w:t>
        </w:r>
      </w:hyperlink>
      <w:r>
        <w:rPr>
          <w:sz w:val="24"/>
          <w:szCs w:val="24"/>
        </w:rPr>
        <w:t xml:space="preserve"> (last accessed 25th July 2015).</w:t>
      </w:r>
    </w:p>
    <w:p w:rsidR="00DE2CAD" w:rsidRDefault="00DE2CAD" w:rsidP="00CF42AD">
      <w:pPr>
        <w:jc w:val="both"/>
        <w:rPr>
          <w:sz w:val="24"/>
          <w:szCs w:val="24"/>
        </w:rPr>
      </w:pPr>
    </w:p>
    <w:p w:rsidR="00DE2CAD" w:rsidRDefault="00DE2CAD" w:rsidP="00CF42AD">
      <w:pPr>
        <w:jc w:val="both"/>
        <w:rPr>
          <w:sz w:val="24"/>
          <w:szCs w:val="24"/>
        </w:rPr>
      </w:pPr>
      <w:r w:rsidRPr="00DE2CAD">
        <w:rPr>
          <w:b/>
          <w:sz w:val="24"/>
          <w:szCs w:val="24"/>
        </w:rPr>
        <w:t>Prudential Regulation Authority</w:t>
      </w:r>
      <w:r>
        <w:rPr>
          <w:sz w:val="24"/>
          <w:szCs w:val="24"/>
        </w:rPr>
        <w:t xml:space="preserve"> (2015), Implementing a UK Leverage Ratio framework, July 2015, available at </w:t>
      </w:r>
      <w:hyperlink r:id="rId124" w:history="1">
        <w:r w:rsidRPr="006E1381">
          <w:rPr>
            <w:rStyle w:val="Hyperlink"/>
            <w:sz w:val="24"/>
            <w:szCs w:val="24"/>
          </w:rPr>
          <w:t>http://www.bankofengland.co.uk/pra/Documents/publications/cp/2015/cp2415.pdf</w:t>
        </w:r>
      </w:hyperlink>
      <w:r>
        <w:rPr>
          <w:sz w:val="24"/>
          <w:szCs w:val="24"/>
        </w:rPr>
        <w:t xml:space="preserve"> (last accessed on 29th August 2015).</w:t>
      </w:r>
    </w:p>
    <w:p w:rsidR="00AE7B94" w:rsidRDefault="00AE7B94" w:rsidP="00CF42AD">
      <w:pPr>
        <w:jc w:val="both"/>
        <w:rPr>
          <w:sz w:val="24"/>
          <w:szCs w:val="24"/>
        </w:rPr>
      </w:pPr>
    </w:p>
    <w:p w:rsidR="00AE7B94" w:rsidRPr="00AE7B94" w:rsidRDefault="00AE7B94" w:rsidP="00CF42AD">
      <w:pPr>
        <w:jc w:val="both"/>
        <w:rPr>
          <w:sz w:val="24"/>
          <w:szCs w:val="24"/>
        </w:rPr>
      </w:pPr>
      <w:r w:rsidRPr="001B13A5">
        <w:rPr>
          <w:b/>
          <w:sz w:val="24"/>
          <w:szCs w:val="24"/>
        </w:rPr>
        <w:t>P</w:t>
      </w:r>
      <w:r w:rsidR="001B13A5" w:rsidRPr="001B13A5">
        <w:rPr>
          <w:b/>
          <w:sz w:val="24"/>
          <w:szCs w:val="24"/>
        </w:rPr>
        <w:t xml:space="preserve">rudential </w:t>
      </w:r>
      <w:r w:rsidRPr="001B13A5">
        <w:rPr>
          <w:b/>
          <w:sz w:val="24"/>
          <w:szCs w:val="24"/>
        </w:rPr>
        <w:t>R</w:t>
      </w:r>
      <w:r w:rsidR="001B13A5" w:rsidRPr="001B13A5">
        <w:rPr>
          <w:b/>
          <w:sz w:val="24"/>
          <w:szCs w:val="24"/>
        </w:rPr>
        <w:t xml:space="preserve">egulation </w:t>
      </w:r>
      <w:r w:rsidRPr="001B13A5">
        <w:rPr>
          <w:b/>
          <w:sz w:val="24"/>
          <w:szCs w:val="24"/>
        </w:rPr>
        <w:t>A</w:t>
      </w:r>
      <w:r w:rsidR="001B13A5" w:rsidRPr="001B13A5">
        <w:rPr>
          <w:b/>
          <w:sz w:val="24"/>
          <w:szCs w:val="24"/>
        </w:rPr>
        <w:t>uthority</w:t>
      </w:r>
      <w:r w:rsidR="001B13A5">
        <w:rPr>
          <w:sz w:val="24"/>
          <w:szCs w:val="24"/>
        </w:rPr>
        <w:t xml:space="preserve"> (2015),</w:t>
      </w:r>
      <w:r w:rsidRPr="00AE7B94">
        <w:rPr>
          <w:sz w:val="24"/>
          <w:szCs w:val="24"/>
        </w:rPr>
        <w:t xml:space="preserve"> Final Notice - Co-operative Bank plc, 10</w:t>
      </w:r>
      <w:r w:rsidRPr="00AE7B94">
        <w:rPr>
          <w:sz w:val="24"/>
          <w:szCs w:val="24"/>
          <w:vertAlign w:val="superscript"/>
        </w:rPr>
        <w:t>th</w:t>
      </w:r>
      <w:r w:rsidRPr="00AE7B94">
        <w:rPr>
          <w:sz w:val="24"/>
          <w:szCs w:val="24"/>
        </w:rPr>
        <w:t xml:space="preserve"> August 2015</w:t>
      </w:r>
      <w:r w:rsidR="001B13A5">
        <w:rPr>
          <w:sz w:val="24"/>
          <w:szCs w:val="24"/>
        </w:rPr>
        <w:t xml:space="preserve">, available at </w:t>
      </w:r>
      <w:hyperlink r:id="rId125" w:history="1">
        <w:r w:rsidR="00A10DF4" w:rsidRPr="00913F37">
          <w:rPr>
            <w:rStyle w:val="Hyperlink"/>
            <w:sz w:val="24"/>
            <w:szCs w:val="24"/>
          </w:rPr>
          <w:t>http://www.bankofengland.co.uk/pra/Documents/supervision/enforcementnotices/en110815.pdf</w:t>
        </w:r>
      </w:hyperlink>
      <w:r w:rsidR="001B13A5">
        <w:rPr>
          <w:sz w:val="24"/>
          <w:szCs w:val="24"/>
        </w:rPr>
        <w:t xml:space="preserve"> (last accessed on 27</w:t>
      </w:r>
      <w:r w:rsidR="001B13A5" w:rsidRPr="001B13A5">
        <w:rPr>
          <w:sz w:val="24"/>
          <w:szCs w:val="24"/>
          <w:vertAlign w:val="superscript"/>
        </w:rPr>
        <w:t>th</w:t>
      </w:r>
      <w:r w:rsidR="001B13A5">
        <w:rPr>
          <w:sz w:val="24"/>
          <w:szCs w:val="24"/>
        </w:rPr>
        <w:t xml:space="preserve"> August 2015)</w:t>
      </w:r>
      <w:r w:rsidRPr="00AE7B94">
        <w:rPr>
          <w:sz w:val="24"/>
          <w:szCs w:val="24"/>
        </w:rPr>
        <w:t>.</w:t>
      </w:r>
    </w:p>
    <w:p w:rsidR="009423CC" w:rsidRDefault="009423CC" w:rsidP="00CF42AD">
      <w:pPr>
        <w:jc w:val="both"/>
        <w:rPr>
          <w:b/>
          <w:sz w:val="24"/>
          <w:szCs w:val="24"/>
        </w:rPr>
      </w:pPr>
    </w:p>
    <w:p w:rsidR="00B7508D" w:rsidRPr="005F54D5" w:rsidRDefault="00B7508D" w:rsidP="00B7508D">
      <w:pPr>
        <w:pStyle w:val="EndnoteText"/>
        <w:spacing w:line="240" w:lineRule="auto"/>
        <w:jc w:val="both"/>
        <w:rPr>
          <w:sz w:val="24"/>
          <w:szCs w:val="24"/>
        </w:rPr>
      </w:pPr>
      <w:r>
        <w:rPr>
          <w:b/>
          <w:sz w:val="24"/>
          <w:szCs w:val="24"/>
        </w:rPr>
        <w:t>Reid M</w:t>
      </w:r>
      <w:r w:rsidR="008E79F8">
        <w:rPr>
          <w:b/>
          <w:sz w:val="24"/>
          <w:szCs w:val="24"/>
        </w:rPr>
        <w:t>.</w:t>
      </w:r>
      <w:r w:rsidRPr="005F54D5">
        <w:rPr>
          <w:sz w:val="24"/>
          <w:szCs w:val="24"/>
        </w:rPr>
        <w:t>(2003),</w:t>
      </w:r>
      <w:r>
        <w:rPr>
          <w:sz w:val="24"/>
          <w:szCs w:val="24"/>
        </w:rPr>
        <w:t xml:space="preserve"> The secondary banking crisis 1973-75: its causes and course, 2</w:t>
      </w:r>
      <w:r w:rsidRPr="005F54D5">
        <w:rPr>
          <w:sz w:val="24"/>
          <w:szCs w:val="24"/>
          <w:vertAlign w:val="superscript"/>
        </w:rPr>
        <w:t>nd</w:t>
      </w:r>
      <w:r>
        <w:rPr>
          <w:sz w:val="24"/>
          <w:szCs w:val="24"/>
        </w:rPr>
        <w:t xml:space="preserve"> edition, Hindsight Books: Bristol, UK.</w:t>
      </w:r>
    </w:p>
    <w:p w:rsidR="00A1385C" w:rsidRDefault="00CF42AD" w:rsidP="00A1385C">
      <w:pPr>
        <w:jc w:val="both"/>
        <w:rPr>
          <w:b/>
          <w:sz w:val="24"/>
          <w:szCs w:val="24"/>
        </w:rPr>
      </w:pPr>
      <w:r w:rsidRPr="00DB65AB">
        <w:rPr>
          <w:b/>
          <w:sz w:val="24"/>
          <w:szCs w:val="24"/>
        </w:rPr>
        <w:t xml:space="preserve">Salz, A. </w:t>
      </w:r>
      <w:r w:rsidRPr="00DB65AB">
        <w:rPr>
          <w:sz w:val="24"/>
          <w:szCs w:val="24"/>
        </w:rPr>
        <w:t xml:space="preserve">(2013), Salz Review: An independent review of Barclays’ business practices, available at </w:t>
      </w:r>
      <w:hyperlink r:id="rId126" w:history="1">
        <w:r w:rsidRPr="00DB65AB">
          <w:rPr>
            <w:rStyle w:val="Hyperlink"/>
            <w:sz w:val="24"/>
            <w:szCs w:val="24"/>
          </w:rPr>
          <w:t>http://www.barclays.com/content/dam/barclayspublic/documents/news/875-269-salz-review-04-2013.pdf</w:t>
        </w:r>
      </w:hyperlink>
      <w:r w:rsidRPr="00DB65AB">
        <w:rPr>
          <w:sz w:val="24"/>
          <w:szCs w:val="24"/>
        </w:rPr>
        <w:t xml:space="preserve"> (last accessed on 27 March 2015).</w:t>
      </w:r>
    </w:p>
    <w:p w:rsidR="00A1385C" w:rsidRDefault="00A1385C" w:rsidP="00534803">
      <w:pPr>
        <w:pStyle w:val="FootnoteText"/>
        <w:rPr>
          <w:b/>
          <w:sz w:val="24"/>
          <w:szCs w:val="24"/>
        </w:rPr>
      </w:pPr>
      <w:r>
        <w:rPr>
          <w:b/>
          <w:sz w:val="24"/>
          <w:szCs w:val="24"/>
        </w:rPr>
        <w:t xml:space="preserve">Schwarcz, S. L. </w:t>
      </w:r>
      <w:r w:rsidRPr="00A1385C">
        <w:rPr>
          <w:sz w:val="24"/>
          <w:szCs w:val="24"/>
        </w:rPr>
        <w:t>(2014)</w:t>
      </w:r>
      <w:r>
        <w:rPr>
          <w:sz w:val="24"/>
          <w:szCs w:val="24"/>
        </w:rPr>
        <w:t>, Ring-fencing, Southern California Law Review, 87, pp 69-110.</w:t>
      </w:r>
    </w:p>
    <w:p w:rsidR="00534803" w:rsidRDefault="00534803" w:rsidP="00534803">
      <w:pPr>
        <w:pStyle w:val="FootnoteText"/>
        <w:rPr>
          <w:sz w:val="24"/>
          <w:szCs w:val="24"/>
        </w:rPr>
      </w:pPr>
      <w:r w:rsidRPr="00534803">
        <w:rPr>
          <w:b/>
          <w:sz w:val="24"/>
          <w:szCs w:val="24"/>
        </w:rPr>
        <w:t>Silber, W.</w:t>
      </w:r>
      <w:r>
        <w:rPr>
          <w:sz w:val="24"/>
          <w:szCs w:val="24"/>
        </w:rPr>
        <w:t xml:space="preserve"> (2009),</w:t>
      </w:r>
      <w:r w:rsidRPr="00534803">
        <w:rPr>
          <w:sz w:val="24"/>
          <w:szCs w:val="24"/>
        </w:rPr>
        <w:t xml:space="preserve"> Why did FDR’s Bank Holiday Succeed</w:t>
      </w:r>
      <w:r>
        <w:rPr>
          <w:sz w:val="24"/>
          <w:szCs w:val="24"/>
        </w:rPr>
        <w:t>,</w:t>
      </w:r>
      <w:r w:rsidRPr="00534803">
        <w:rPr>
          <w:sz w:val="24"/>
          <w:szCs w:val="24"/>
        </w:rPr>
        <w:t xml:space="preserve"> Federal Reserve Bank of New York Economic Policy Review</w:t>
      </w:r>
      <w:r>
        <w:rPr>
          <w:sz w:val="24"/>
          <w:szCs w:val="24"/>
        </w:rPr>
        <w:t>.</w:t>
      </w:r>
    </w:p>
    <w:p w:rsidR="004F3420" w:rsidRDefault="004F3420" w:rsidP="004F3420">
      <w:pPr>
        <w:pStyle w:val="FootnoteText"/>
        <w:jc w:val="both"/>
        <w:rPr>
          <w:b/>
          <w:sz w:val="24"/>
          <w:szCs w:val="24"/>
        </w:rPr>
      </w:pPr>
      <w:r>
        <w:rPr>
          <w:b/>
          <w:sz w:val="24"/>
          <w:szCs w:val="24"/>
        </w:rPr>
        <w:t xml:space="preserve">Sinn, H-W. </w:t>
      </w:r>
      <w:r w:rsidRPr="004F3420">
        <w:rPr>
          <w:sz w:val="24"/>
          <w:szCs w:val="24"/>
        </w:rPr>
        <w:t>(2010),</w:t>
      </w:r>
      <w:r w:rsidR="001D752C">
        <w:rPr>
          <w:sz w:val="24"/>
          <w:szCs w:val="24"/>
        </w:rPr>
        <w:t xml:space="preserve"> </w:t>
      </w:r>
      <w:r w:rsidRPr="004F3420">
        <w:rPr>
          <w:sz w:val="24"/>
          <w:szCs w:val="24"/>
        </w:rPr>
        <w:t>A new Glass-Steagall Act</w:t>
      </w:r>
      <w:r>
        <w:rPr>
          <w:sz w:val="24"/>
          <w:szCs w:val="24"/>
        </w:rPr>
        <w:t>, 4</w:t>
      </w:r>
      <w:r w:rsidRPr="004F3420">
        <w:rPr>
          <w:sz w:val="24"/>
          <w:szCs w:val="24"/>
          <w:vertAlign w:val="superscript"/>
        </w:rPr>
        <w:t>th</w:t>
      </w:r>
      <w:r>
        <w:rPr>
          <w:sz w:val="24"/>
          <w:szCs w:val="24"/>
        </w:rPr>
        <w:t xml:space="preserve"> March 2010, available at </w:t>
      </w:r>
      <w:hyperlink r:id="rId127" w:history="1">
        <w:r w:rsidRPr="00B17872">
          <w:rPr>
            <w:rStyle w:val="Hyperlink"/>
            <w:sz w:val="24"/>
            <w:szCs w:val="24"/>
          </w:rPr>
          <w:t>http://ec.europa.eu/internal_market/bank/docs/high-level_expert_group/report_en.pdf</w:t>
        </w:r>
      </w:hyperlink>
      <w:r>
        <w:rPr>
          <w:sz w:val="24"/>
          <w:szCs w:val="24"/>
        </w:rPr>
        <w:t xml:space="preserve"> (last accessed 25th July 2015).</w:t>
      </w:r>
    </w:p>
    <w:p w:rsidR="00617BB6" w:rsidRPr="00534803" w:rsidRDefault="00617BB6" w:rsidP="00534803">
      <w:pPr>
        <w:pStyle w:val="FootnoteText"/>
        <w:rPr>
          <w:sz w:val="24"/>
          <w:szCs w:val="24"/>
        </w:rPr>
      </w:pPr>
      <w:r w:rsidRPr="00617BB6">
        <w:rPr>
          <w:b/>
          <w:sz w:val="24"/>
          <w:szCs w:val="24"/>
        </w:rPr>
        <w:t>Sorkin, A. R.</w:t>
      </w:r>
      <w:r>
        <w:rPr>
          <w:sz w:val="24"/>
          <w:szCs w:val="24"/>
        </w:rPr>
        <w:t xml:space="preserve"> (2010), Too Big to Fail, Penguin Books: London</w:t>
      </w:r>
      <w:r w:rsidR="008E79F8">
        <w:rPr>
          <w:sz w:val="24"/>
          <w:szCs w:val="24"/>
        </w:rPr>
        <w:t>.</w:t>
      </w:r>
    </w:p>
    <w:p w:rsidR="00577D07" w:rsidRDefault="00743165" w:rsidP="00A26849">
      <w:pPr>
        <w:pStyle w:val="FootnoteText"/>
        <w:rPr>
          <w:sz w:val="24"/>
          <w:szCs w:val="24"/>
        </w:rPr>
      </w:pPr>
      <w:r w:rsidRPr="00A96C64">
        <w:rPr>
          <w:b/>
          <w:sz w:val="24"/>
          <w:szCs w:val="24"/>
        </w:rPr>
        <w:t>Stiglitz, J</w:t>
      </w:r>
      <w:r w:rsidR="008E79F8">
        <w:rPr>
          <w:b/>
          <w:sz w:val="24"/>
          <w:szCs w:val="24"/>
        </w:rPr>
        <w:t xml:space="preserve">. </w:t>
      </w:r>
      <w:r w:rsidRPr="00617BB6">
        <w:rPr>
          <w:sz w:val="24"/>
          <w:szCs w:val="24"/>
        </w:rPr>
        <w:t>(2011),</w:t>
      </w:r>
      <w:r w:rsidR="001D752C">
        <w:rPr>
          <w:sz w:val="24"/>
          <w:szCs w:val="24"/>
        </w:rPr>
        <w:t xml:space="preserve"> </w:t>
      </w:r>
      <w:r w:rsidRPr="00743165">
        <w:rPr>
          <w:sz w:val="24"/>
          <w:szCs w:val="24"/>
        </w:rPr>
        <w:t>Capitalist Fools,Vanity Fair, 51,1</w:t>
      </w:r>
      <w:r>
        <w:rPr>
          <w:sz w:val="24"/>
          <w:szCs w:val="24"/>
        </w:rPr>
        <w:t>,</w:t>
      </w:r>
      <w:r w:rsidRPr="00743165">
        <w:rPr>
          <w:sz w:val="24"/>
          <w:szCs w:val="24"/>
        </w:rPr>
        <w:t xml:space="preserve"> p48.</w:t>
      </w:r>
    </w:p>
    <w:p w:rsidR="00911166" w:rsidRDefault="00911166" w:rsidP="00911166">
      <w:pPr>
        <w:jc w:val="both"/>
        <w:rPr>
          <w:b/>
          <w:sz w:val="24"/>
          <w:szCs w:val="24"/>
        </w:rPr>
      </w:pPr>
    </w:p>
    <w:p w:rsidR="00911166" w:rsidRDefault="00911166" w:rsidP="00911166">
      <w:pPr>
        <w:jc w:val="both"/>
        <w:rPr>
          <w:sz w:val="24"/>
          <w:szCs w:val="24"/>
        </w:rPr>
      </w:pPr>
      <w:r>
        <w:rPr>
          <w:b/>
          <w:sz w:val="24"/>
          <w:szCs w:val="24"/>
        </w:rPr>
        <w:t>Taylor, M.</w:t>
      </w:r>
      <w:r>
        <w:rPr>
          <w:sz w:val="24"/>
          <w:szCs w:val="24"/>
        </w:rPr>
        <w:t xml:space="preserve"> (1995), Twin Peaks: A regulatory structure for the new century – a proposal to reform UK financial regulation by splitting systemic concerns from those involving consumer protection, Centre for the Study of Financial Innovation.</w:t>
      </w:r>
    </w:p>
    <w:p w:rsidR="00911166" w:rsidRDefault="00911166" w:rsidP="00911166">
      <w:pPr>
        <w:jc w:val="both"/>
        <w:rPr>
          <w:b/>
          <w:sz w:val="24"/>
          <w:szCs w:val="24"/>
        </w:rPr>
      </w:pPr>
    </w:p>
    <w:p w:rsidR="00911166" w:rsidRDefault="00911166" w:rsidP="00911166">
      <w:pPr>
        <w:jc w:val="both"/>
        <w:rPr>
          <w:sz w:val="24"/>
          <w:szCs w:val="24"/>
        </w:rPr>
      </w:pPr>
      <w:r>
        <w:rPr>
          <w:b/>
          <w:sz w:val="24"/>
          <w:szCs w:val="24"/>
        </w:rPr>
        <w:t>Taylor, M.</w:t>
      </w:r>
      <w:r>
        <w:rPr>
          <w:sz w:val="24"/>
          <w:szCs w:val="24"/>
        </w:rPr>
        <w:t xml:space="preserve"> (1996), Peak Practice, How to reform the UK’s regulatory structure – implementing twin peaks, Centre for the Study of Financial Innovation.</w:t>
      </w:r>
    </w:p>
    <w:p w:rsidR="00577D07" w:rsidRDefault="00577D07" w:rsidP="00A96C64">
      <w:pPr>
        <w:pStyle w:val="FootnoteText"/>
        <w:rPr>
          <w:sz w:val="24"/>
          <w:szCs w:val="24"/>
        </w:rPr>
      </w:pPr>
      <w:r w:rsidRPr="00A96C64">
        <w:rPr>
          <w:b/>
          <w:sz w:val="24"/>
          <w:szCs w:val="24"/>
        </w:rPr>
        <w:t xml:space="preserve">Turner, </w:t>
      </w:r>
      <w:r w:rsidR="008E79F8">
        <w:rPr>
          <w:b/>
          <w:sz w:val="24"/>
          <w:szCs w:val="24"/>
        </w:rPr>
        <w:t xml:space="preserve">Lord </w:t>
      </w:r>
      <w:r w:rsidRPr="00A96C64">
        <w:rPr>
          <w:b/>
          <w:sz w:val="24"/>
          <w:szCs w:val="24"/>
        </w:rPr>
        <w:t>A</w:t>
      </w:r>
      <w:r w:rsidR="008E79F8">
        <w:rPr>
          <w:b/>
          <w:sz w:val="24"/>
          <w:szCs w:val="24"/>
        </w:rPr>
        <w:t>dair</w:t>
      </w:r>
      <w:r w:rsidRPr="00CB775A">
        <w:rPr>
          <w:sz w:val="24"/>
          <w:szCs w:val="24"/>
        </w:rPr>
        <w:t xml:space="preserve"> (2009), The Turner Review: A regulatory response to the global banking crisis, March 2009, available at </w:t>
      </w:r>
      <w:hyperlink r:id="rId128" w:history="1">
        <w:r w:rsidRPr="00CB775A">
          <w:rPr>
            <w:rStyle w:val="Hyperlink"/>
            <w:sz w:val="24"/>
            <w:szCs w:val="24"/>
          </w:rPr>
          <w:t>http://www.fsa.gov.uk/pubs/other/turner_review.pdf</w:t>
        </w:r>
      </w:hyperlink>
      <w:r w:rsidRPr="00CB775A">
        <w:rPr>
          <w:sz w:val="24"/>
          <w:szCs w:val="24"/>
        </w:rPr>
        <w:t>. (last accessed on 14</w:t>
      </w:r>
      <w:r w:rsidRPr="00CB775A">
        <w:rPr>
          <w:sz w:val="24"/>
          <w:szCs w:val="24"/>
          <w:vertAlign w:val="superscript"/>
        </w:rPr>
        <w:t>th</w:t>
      </w:r>
      <w:r w:rsidRPr="00CB775A">
        <w:rPr>
          <w:sz w:val="24"/>
          <w:szCs w:val="24"/>
        </w:rPr>
        <w:t xml:space="preserve"> May 201</w:t>
      </w:r>
      <w:r w:rsidR="008E79F8">
        <w:rPr>
          <w:sz w:val="24"/>
          <w:szCs w:val="24"/>
        </w:rPr>
        <w:t>5</w:t>
      </w:r>
      <w:r w:rsidRPr="00CB775A">
        <w:rPr>
          <w:sz w:val="24"/>
          <w:szCs w:val="24"/>
        </w:rPr>
        <w:t>).</w:t>
      </w:r>
    </w:p>
    <w:p w:rsidR="00A96C64" w:rsidRDefault="00A96C64" w:rsidP="00967D04">
      <w:pPr>
        <w:overflowPunct/>
        <w:autoSpaceDE/>
        <w:autoSpaceDN/>
        <w:adjustRightInd/>
        <w:jc w:val="both"/>
        <w:textAlignment w:val="auto"/>
        <w:rPr>
          <w:b/>
          <w:sz w:val="24"/>
          <w:szCs w:val="24"/>
        </w:rPr>
      </w:pPr>
    </w:p>
    <w:p w:rsidR="00837C1D" w:rsidRDefault="00837C1D" w:rsidP="00967D04">
      <w:pPr>
        <w:overflowPunct/>
        <w:autoSpaceDE/>
        <w:autoSpaceDN/>
        <w:adjustRightInd/>
        <w:jc w:val="both"/>
        <w:textAlignment w:val="auto"/>
        <w:rPr>
          <w:b/>
          <w:sz w:val="24"/>
          <w:szCs w:val="24"/>
        </w:rPr>
      </w:pPr>
      <w:r>
        <w:rPr>
          <w:b/>
          <w:sz w:val="24"/>
          <w:szCs w:val="24"/>
        </w:rPr>
        <w:t xml:space="preserve">Vickers, Sir John </w:t>
      </w:r>
      <w:r w:rsidRPr="00837C1D">
        <w:rPr>
          <w:sz w:val="24"/>
          <w:szCs w:val="24"/>
        </w:rPr>
        <w:t>(2012), Some economics of banking reform,</w:t>
      </w:r>
      <w:r>
        <w:rPr>
          <w:sz w:val="24"/>
          <w:szCs w:val="24"/>
        </w:rPr>
        <w:t xml:space="preserve"> paper prepared for the Angelo Costa Lecture in Economics, Rome, 11</w:t>
      </w:r>
      <w:r w:rsidRPr="00837C1D">
        <w:rPr>
          <w:sz w:val="24"/>
          <w:szCs w:val="24"/>
          <w:vertAlign w:val="superscript"/>
        </w:rPr>
        <w:t>th</w:t>
      </w:r>
      <w:r>
        <w:rPr>
          <w:sz w:val="24"/>
          <w:szCs w:val="24"/>
        </w:rPr>
        <w:t xml:space="preserve"> December 2012, University of Oxford, Department of Economics</w:t>
      </w:r>
      <w:r w:rsidRPr="00837C1D">
        <w:rPr>
          <w:sz w:val="24"/>
          <w:szCs w:val="24"/>
        </w:rPr>
        <w:t>Discussion paperNo. 632</w:t>
      </w:r>
      <w:r>
        <w:rPr>
          <w:sz w:val="24"/>
          <w:szCs w:val="24"/>
        </w:rPr>
        <w:t xml:space="preserve">, available at </w:t>
      </w:r>
      <w:hyperlink r:id="rId129" w:history="1">
        <w:r w:rsidRPr="004A1ECA">
          <w:rPr>
            <w:rStyle w:val="Hyperlink"/>
            <w:sz w:val="24"/>
            <w:szCs w:val="24"/>
          </w:rPr>
          <w:t>http://www.economics.ox.ac.uk/materials/papers/12467/paper632.pdf</w:t>
        </w:r>
      </w:hyperlink>
      <w:r>
        <w:rPr>
          <w:sz w:val="24"/>
          <w:szCs w:val="24"/>
        </w:rPr>
        <w:t xml:space="preserve"> (last accessed 25th July 2015).</w:t>
      </w:r>
    </w:p>
    <w:p w:rsidR="00837C1D" w:rsidRDefault="00837C1D" w:rsidP="00967D04">
      <w:pPr>
        <w:overflowPunct/>
        <w:autoSpaceDE/>
        <w:autoSpaceDN/>
        <w:adjustRightInd/>
        <w:jc w:val="both"/>
        <w:textAlignment w:val="auto"/>
        <w:rPr>
          <w:b/>
          <w:sz w:val="24"/>
          <w:szCs w:val="24"/>
        </w:rPr>
      </w:pPr>
    </w:p>
    <w:p w:rsidR="00967D04" w:rsidRPr="00967D04" w:rsidRDefault="00A26849" w:rsidP="00967D04">
      <w:pPr>
        <w:overflowPunct/>
        <w:autoSpaceDE/>
        <w:autoSpaceDN/>
        <w:adjustRightInd/>
        <w:jc w:val="both"/>
        <w:textAlignment w:val="auto"/>
        <w:rPr>
          <w:rFonts w:ascii="Arial" w:hAnsi="Arial" w:cs="Arial"/>
          <w:color w:val="222222"/>
          <w:sz w:val="24"/>
          <w:szCs w:val="24"/>
          <w:lang w:eastAsia="en-GB"/>
        </w:rPr>
      </w:pPr>
      <w:r w:rsidRPr="00A26849">
        <w:rPr>
          <w:b/>
          <w:sz w:val="24"/>
          <w:szCs w:val="24"/>
        </w:rPr>
        <w:t>Vinals, J., Pazarbasioglu, C., Surti, J., Narain, A., Erbenova, M., and Chow, J.</w:t>
      </w:r>
      <w:r w:rsidRPr="00A26849">
        <w:rPr>
          <w:sz w:val="24"/>
          <w:szCs w:val="24"/>
        </w:rPr>
        <w:t xml:space="preserve"> (2013) Creating a safer financial system: Will the Volcker, Vickers, and Liikanen structural measures help, IMF Staff Discussion Note</w:t>
      </w:r>
      <w:r w:rsidR="00967D04">
        <w:rPr>
          <w:sz w:val="24"/>
          <w:szCs w:val="24"/>
        </w:rPr>
        <w:t xml:space="preserve">, available at </w:t>
      </w:r>
      <w:hyperlink r:id="rId130" w:history="1">
        <w:r w:rsidR="00967D04" w:rsidRPr="00E9349C">
          <w:rPr>
            <w:rStyle w:val="Hyperlink"/>
            <w:sz w:val="24"/>
            <w:szCs w:val="24"/>
          </w:rPr>
          <w:t>https://www.imf.org/external/pubs/ft/sdn/2013/sdn1304.pdf</w:t>
        </w:r>
      </w:hyperlink>
      <w:r w:rsidR="00967D04">
        <w:rPr>
          <w:sz w:val="24"/>
          <w:szCs w:val="24"/>
        </w:rPr>
        <w:t xml:space="preserve"> (last accessed on 9th July 2015).</w:t>
      </w:r>
    </w:p>
    <w:p w:rsidR="00A26849" w:rsidRDefault="00A26849" w:rsidP="00A26849">
      <w:pPr>
        <w:jc w:val="both"/>
        <w:rPr>
          <w:sz w:val="24"/>
          <w:szCs w:val="24"/>
        </w:rPr>
      </w:pPr>
    </w:p>
    <w:p w:rsidR="00A26849" w:rsidRDefault="00CB775A" w:rsidP="00A26849">
      <w:pPr>
        <w:pStyle w:val="EndnoteText"/>
        <w:spacing w:line="240" w:lineRule="auto"/>
        <w:jc w:val="both"/>
        <w:rPr>
          <w:sz w:val="24"/>
          <w:szCs w:val="24"/>
        </w:rPr>
      </w:pPr>
      <w:r w:rsidRPr="00CB775A">
        <w:rPr>
          <w:b/>
          <w:sz w:val="24"/>
          <w:szCs w:val="24"/>
        </w:rPr>
        <w:t>Walker, D.</w:t>
      </w:r>
      <w:r w:rsidRPr="00CB775A">
        <w:rPr>
          <w:sz w:val="24"/>
          <w:szCs w:val="24"/>
        </w:rPr>
        <w:t xml:space="preserve"> (2009), Walker Review - A review of corporate governance in UK banks and other financial industry entities, 26 November 2009. Her Majesty’s Treasury: London, available at </w:t>
      </w:r>
      <w:hyperlink r:id="rId131" w:history="1">
        <w:r w:rsidRPr="00CB775A">
          <w:rPr>
            <w:rStyle w:val="Hyperlink"/>
            <w:sz w:val="24"/>
            <w:szCs w:val="24"/>
          </w:rPr>
          <w:t>http://www.hm-treasury.gov.uk/d/walker_review_261109.pdf</w:t>
        </w:r>
      </w:hyperlink>
      <w:r w:rsidRPr="00CB775A">
        <w:rPr>
          <w:sz w:val="24"/>
          <w:szCs w:val="24"/>
        </w:rPr>
        <w:t>. (last accessed on 14</w:t>
      </w:r>
      <w:r w:rsidRPr="00CB775A">
        <w:rPr>
          <w:sz w:val="24"/>
          <w:szCs w:val="24"/>
          <w:vertAlign w:val="superscript"/>
        </w:rPr>
        <w:t>th</w:t>
      </w:r>
      <w:r w:rsidRPr="00CB775A">
        <w:rPr>
          <w:sz w:val="24"/>
          <w:szCs w:val="24"/>
        </w:rPr>
        <w:t xml:space="preserve"> May 201</w:t>
      </w:r>
      <w:r w:rsidR="008E79F8">
        <w:rPr>
          <w:sz w:val="24"/>
          <w:szCs w:val="24"/>
        </w:rPr>
        <w:t>5</w:t>
      </w:r>
      <w:r w:rsidRPr="00CB775A">
        <w:rPr>
          <w:sz w:val="24"/>
          <w:szCs w:val="24"/>
        </w:rPr>
        <w:t>).</w:t>
      </w:r>
    </w:p>
    <w:p w:rsidR="00967D04" w:rsidRPr="00967D04" w:rsidRDefault="00534803" w:rsidP="00967D04">
      <w:pPr>
        <w:overflowPunct/>
        <w:autoSpaceDE/>
        <w:autoSpaceDN/>
        <w:adjustRightInd/>
        <w:textAlignment w:val="auto"/>
        <w:rPr>
          <w:rFonts w:ascii="Arial" w:hAnsi="Arial" w:cs="Arial"/>
          <w:color w:val="222222"/>
          <w:sz w:val="24"/>
          <w:szCs w:val="24"/>
          <w:lang w:eastAsia="en-GB"/>
        </w:rPr>
      </w:pPr>
      <w:r w:rsidRPr="00534803">
        <w:rPr>
          <w:b/>
          <w:sz w:val="24"/>
          <w:szCs w:val="24"/>
        </w:rPr>
        <w:lastRenderedPageBreak/>
        <w:t>White, L. J.</w:t>
      </w:r>
      <w:r>
        <w:rPr>
          <w:sz w:val="24"/>
          <w:szCs w:val="24"/>
        </w:rPr>
        <w:t xml:space="preserve"> (2008), </w:t>
      </w:r>
      <w:r w:rsidRPr="00534803">
        <w:rPr>
          <w:sz w:val="24"/>
          <w:szCs w:val="24"/>
        </w:rPr>
        <w:t>Lessons from the Debacle of ’07-08’ for Financial Regulation and its overhaul</w:t>
      </w:r>
      <w:r>
        <w:rPr>
          <w:sz w:val="24"/>
          <w:szCs w:val="24"/>
        </w:rPr>
        <w:t xml:space="preserve">, </w:t>
      </w:r>
      <w:r w:rsidRPr="00534803">
        <w:rPr>
          <w:sz w:val="24"/>
          <w:szCs w:val="24"/>
        </w:rPr>
        <w:t>unpublished paper</w:t>
      </w:r>
      <w:r w:rsidR="00967D04">
        <w:rPr>
          <w:sz w:val="24"/>
          <w:szCs w:val="24"/>
        </w:rPr>
        <w:t xml:space="preserve">, available at </w:t>
      </w:r>
      <w:hyperlink r:id="rId132" w:tgtFrame="_blank" w:history="1">
        <w:r w:rsidR="00967D04" w:rsidRPr="00967D04">
          <w:rPr>
            <w:rStyle w:val="Hyperlink"/>
            <w:sz w:val="24"/>
            <w:szCs w:val="24"/>
          </w:rPr>
          <w:t>http://ssrn.com/abstract=1434680</w:t>
        </w:r>
      </w:hyperlink>
      <w:r w:rsidR="00967D04" w:rsidRPr="00967D04">
        <w:rPr>
          <w:sz w:val="24"/>
          <w:szCs w:val="24"/>
        </w:rPr>
        <w:t>(last accessed 9</w:t>
      </w:r>
      <w:r w:rsidR="00967D04" w:rsidRPr="00967D04">
        <w:rPr>
          <w:sz w:val="24"/>
          <w:szCs w:val="24"/>
          <w:vertAlign w:val="superscript"/>
        </w:rPr>
        <w:t>th</w:t>
      </w:r>
      <w:r w:rsidR="00967D04" w:rsidRPr="00967D04">
        <w:rPr>
          <w:sz w:val="24"/>
          <w:szCs w:val="24"/>
        </w:rPr>
        <w:t xml:space="preserve"> July 2015)</w:t>
      </w:r>
      <w:r w:rsidRPr="00967D04">
        <w:rPr>
          <w:sz w:val="24"/>
          <w:szCs w:val="24"/>
        </w:rPr>
        <w:t>.</w:t>
      </w:r>
    </w:p>
    <w:p w:rsidR="00967D04" w:rsidRDefault="00967D04" w:rsidP="00534803">
      <w:pPr>
        <w:jc w:val="both"/>
        <w:rPr>
          <w:b/>
          <w:sz w:val="24"/>
          <w:szCs w:val="24"/>
        </w:rPr>
      </w:pPr>
    </w:p>
    <w:p w:rsidR="00167D7D" w:rsidRDefault="00534803" w:rsidP="00534803">
      <w:pPr>
        <w:jc w:val="both"/>
        <w:rPr>
          <w:sz w:val="24"/>
          <w:szCs w:val="24"/>
        </w:rPr>
      </w:pPr>
      <w:r w:rsidRPr="00534803">
        <w:rPr>
          <w:b/>
          <w:sz w:val="24"/>
          <w:szCs w:val="24"/>
        </w:rPr>
        <w:t>White, L. J.</w:t>
      </w:r>
      <w:r>
        <w:rPr>
          <w:sz w:val="24"/>
          <w:szCs w:val="24"/>
        </w:rPr>
        <w:t xml:space="preserve"> (2010) </w:t>
      </w:r>
      <w:r w:rsidRPr="00534803">
        <w:rPr>
          <w:sz w:val="24"/>
          <w:szCs w:val="24"/>
        </w:rPr>
        <w:t>The Gramm-Leach-Bliley Act of 1999: A Bridge too far, Or not far enough</w:t>
      </w:r>
      <w:r>
        <w:rPr>
          <w:sz w:val="24"/>
          <w:szCs w:val="24"/>
        </w:rPr>
        <w:t xml:space="preserve">, </w:t>
      </w:r>
      <w:r w:rsidRPr="00534803">
        <w:rPr>
          <w:sz w:val="24"/>
          <w:szCs w:val="24"/>
        </w:rPr>
        <w:t>Suffolk University Law Review</w:t>
      </w:r>
      <w:r>
        <w:rPr>
          <w:sz w:val="24"/>
          <w:szCs w:val="24"/>
        </w:rPr>
        <w:t>,</w:t>
      </w:r>
      <w:r w:rsidRPr="00534803">
        <w:rPr>
          <w:sz w:val="24"/>
          <w:szCs w:val="24"/>
        </w:rPr>
        <w:t xml:space="preserve"> 43</w:t>
      </w:r>
      <w:r>
        <w:rPr>
          <w:sz w:val="24"/>
          <w:szCs w:val="24"/>
        </w:rPr>
        <w:t>,</w:t>
      </w:r>
      <w:r w:rsidRPr="00534803">
        <w:rPr>
          <w:sz w:val="24"/>
          <w:szCs w:val="24"/>
        </w:rPr>
        <w:t xml:space="preserve"> 4</w:t>
      </w:r>
      <w:r>
        <w:rPr>
          <w:sz w:val="24"/>
          <w:szCs w:val="24"/>
        </w:rPr>
        <w:t>, pp</w:t>
      </w:r>
      <w:r w:rsidR="001F350E">
        <w:rPr>
          <w:sz w:val="24"/>
          <w:szCs w:val="24"/>
        </w:rPr>
        <w:t xml:space="preserve"> 937 – 956.</w:t>
      </w:r>
    </w:p>
    <w:p w:rsidR="00FC10F7" w:rsidRDefault="00FC10F7" w:rsidP="00534803">
      <w:pPr>
        <w:jc w:val="both"/>
        <w:rPr>
          <w:sz w:val="24"/>
          <w:szCs w:val="24"/>
        </w:rPr>
      </w:pPr>
    </w:p>
    <w:p w:rsidR="00CB304C" w:rsidRPr="00602AA3" w:rsidRDefault="00FC10F7" w:rsidP="00602AA3">
      <w:pPr>
        <w:jc w:val="both"/>
        <w:rPr>
          <w:sz w:val="24"/>
          <w:szCs w:val="24"/>
        </w:rPr>
      </w:pPr>
      <w:r w:rsidRPr="00FC10F7">
        <w:rPr>
          <w:b/>
          <w:sz w:val="24"/>
          <w:szCs w:val="24"/>
        </w:rPr>
        <w:t>Whitehead, C. K.</w:t>
      </w:r>
      <w:r>
        <w:rPr>
          <w:sz w:val="24"/>
          <w:szCs w:val="24"/>
        </w:rPr>
        <w:t xml:space="preserve"> (2011), The Volcker Rule and Evolving Financial Markets, Harvard Business Law Review, pp 40-72.</w:t>
      </w:r>
    </w:p>
    <w:p w:rsidR="00BF6ADB" w:rsidRPr="00BF6ADB" w:rsidRDefault="00BF6ADB" w:rsidP="00602AA3">
      <w:pPr>
        <w:jc w:val="both"/>
        <w:rPr>
          <w:sz w:val="24"/>
          <w:szCs w:val="24"/>
        </w:rPr>
      </w:pPr>
    </w:p>
    <w:p w:rsidR="00BF6ADB" w:rsidRPr="00BF6ADB" w:rsidRDefault="00BF6ADB" w:rsidP="00602AA3">
      <w:pPr>
        <w:jc w:val="both"/>
        <w:rPr>
          <w:sz w:val="24"/>
          <w:szCs w:val="24"/>
        </w:rPr>
      </w:pPr>
    </w:p>
    <w:p w:rsidR="00BF6ADB" w:rsidRPr="00602AA3" w:rsidRDefault="00BF6ADB" w:rsidP="00602AA3">
      <w:pPr>
        <w:jc w:val="both"/>
        <w:rPr>
          <w:sz w:val="24"/>
          <w:szCs w:val="24"/>
        </w:rPr>
      </w:pPr>
    </w:p>
    <w:sectPr w:rsidR="00BF6ADB" w:rsidRPr="00602AA3" w:rsidSect="00EF3B29">
      <w:headerReference w:type="default" r:id="rId133"/>
      <w:footerReference w:type="even" r:id="rId134"/>
      <w:footerReference w:type="default" r:id="rId135"/>
      <w:endnotePr>
        <w:numFmt w:val="decimal"/>
      </w:endnotePr>
      <w:pgSz w:w="11906" w:h="16838"/>
      <w:pgMar w:top="1440" w:right="1416"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B49" w:rsidRDefault="00F74B49">
      <w:r>
        <w:separator/>
      </w:r>
    </w:p>
  </w:endnote>
  <w:endnote w:type="continuationSeparator" w:id="0">
    <w:p w:rsidR="00F74B49" w:rsidRDefault="00F7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A8" w:rsidRDefault="000C1495" w:rsidP="004C652A">
    <w:pPr>
      <w:pStyle w:val="Footer"/>
      <w:framePr w:wrap="around" w:vAnchor="text" w:hAnchor="margin" w:xAlign="center" w:y="1"/>
      <w:rPr>
        <w:rStyle w:val="PageNumber"/>
      </w:rPr>
    </w:pPr>
    <w:r>
      <w:rPr>
        <w:rStyle w:val="PageNumber"/>
      </w:rPr>
      <w:fldChar w:fldCharType="begin"/>
    </w:r>
    <w:r w:rsidR="00D85CA8">
      <w:rPr>
        <w:rStyle w:val="PageNumber"/>
      </w:rPr>
      <w:instrText xml:space="preserve">PAGE  </w:instrText>
    </w:r>
    <w:r>
      <w:rPr>
        <w:rStyle w:val="PageNumber"/>
      </w:rPr>
      <w:fldChar w:fldCharType="end"/>
    </w:r>
  </w:p>
  <w:p w:rsidR="00D85CA8" w:rsidRDefault="00D85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A8" w:rsidRDefault="000C1495" w:rsidP="004C652A">
    <w:pPr>
      <w:pStyle w:val="Footer"/>
      <w:framePr w:wrap="around" w:vAnchor="text" w:hAnchor="margin" w:xAlign="center" w:y="1"/>
      <w:rPr>
        <w:rStyle w:val="PageNumber"/>
      </w:rPr>
    </w:pPr>
    <w:r>
      <w:rPr>
        <w:rStyle w:val="PageNumber"/>
      </w:rPr>
      <w:fldChar w:fldCharType="begin"/>
    </w:r>
    <w:r w:rsidR="00D85CA8">
      <w:rPr>
        <w:rStyle w:val="PageNumber"/>
      </w:rPr>
      <w:instrText xml:space="preserve">PAGE  </w:instrText>
    </w:r>
    <w:r>
      <w:rPr>
        <w:rStyle w:val="PageNumber"/>
      </w:rPr>
      <w:fldChar w:fldCharType="separate"/>
    </w:r>
    <w:r w:rsidR="00674C5C">
      <w:rPr>
        <w:rStyle w:val="PageNumber"/>
        <w:noProof/>
      </w:rPr>
      <w:t>2</w:t>
    </w:r>
    <w:r>
      <w:rPr>
        <w:rStyle w:val="PageNumber"/>
      </w:rPr>
      <w:fldChar w:fldCharType="end"/>
    </w:r>
  </w:p>
  <w:p w:rsidR="00D85CA8" w:rsidRDefault="00D85CA8" w:rsidP="009B27D8">
    <w:pPr>
      <w:pStyle w:val="Header"/>
    </w:pPr>
    <w:r>
      <w:tab/>
    </w:r>
    <w:r>
      <w:tab/>
    </w:r>
  </w:p>
  <w:p w:rsidR="00D85CA8" w:rsidRDefault="00D85CA8">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B49" w:rsidRDefault="00F74B49">
      <w:r>
        <w:separator/>
      </w:r>
    </w:p>
  </w:footnote>
  <w:footnote w:type="continuationSeparator" w:id="0">
    <w:p w:rsidR="00F74B49" w:rsidRDefault="00F74B49">
      <w:r>
        <w:continuationSeparator/>
      </w:r>
    </w:p>
  </w:footnote>
  <w:footnote w:id="1">
    <w:p w:rsidR="00D85CA8" w:rsidRDefault="00D85CA8" w:rsidP="00912DFD">
      <w:pPr>
        <w:pStyle w:val="FootnoteText"/>
        <w:ind w:left="142" w:hanging="142"/>
      </w:pPr>
      <w:r>
        <w:rPr>
          <w:rStyle w:val="FootnoteReference"/>
        </w:rPr>
        <w:footnoteRef/>
      </w:r>
      <w:r>
        <w:t xml:space="preserve"> H Davies ‘</w:t>
      </w:r>
      <w:r w:rsidRPr="00A90C87">
        <w:t>The Financial Crisis: Who is to blame?’ (2010) Polity Press: Cambridge.</w:t>
      </w:r>
    </w:p>
  </w:footnote>
  <w:footnote w:id="2">
    <w:p w:rsidR="00D85CA8" w:rsidRDefault="00D85CA8" w:rsidP="00912DFD">
      <w:pPr>
        <w:pStyle w:val="FootnoteText"/>
        <w:ind w:left="142" w:hanging="142"/>
      </w:pPr>
      <w:r w:rsidRPr="00912DFD">
        <w:footnoteRef/>
      </w:r>
      <w:r>
        <w:t xml:space="preserve"> Former Barclays chairman: Bank ring-fence is redundant and should be scrapped – </w:t>
      </w:r>
      <w:hyperlink r:id="rId1" w:history="1">
        <w:r w:rsidRPr="00B17872">
          <w:rPr>
            <w:rStyle w:val="Hyperlink"/>
          </w:rPr>
          <w:t>http://www.telegraph.co.uk/finance/newsbysector/banksandfinance/11646546/Former-Barclays-chairman-Bank-ring-fence-is-redundant-and-should-be-scrapped.html</w:t>
        </w:r>
      </w:hyperlink>
      <w:r>
        <w:t>, 2 June 2015 (last accessed 25</w:t>
      </w:r>
      <w:r w:rsidRPr="00D46B73">
        <w:rPr>
          <w:vertAlign w:val="superscript"/>
        </w:rPr>
        <w:t>th</w:t>
      </w:r>
      <w:r>
        <w:t xml:space="preserve"> July 2015). </w:t>
      </w:r>
    </w:p>
    <w:p w:rsidR="00D85CA8" w:rsidRDefault="00D85CA8" w:rsidP="00033281">
      <w:pPr>
        <w:jc w:val="both"/>
      </w:pPr>
    </w:p>
  </w:footnote>
  <w:footnote w:id="3">
    <w:p w:rsidR="00D85CA8" w:rsidRDefault="00D85CA8" w:rsidP="002C349F">
      <w:pPr>
        <w:ind w:left="142" w:hanging="142"/>
        <w:jc w:val="both"/>
      </w:pPr>
      <w:r w:rsidRPr="00033281">
        <w:rPr>
          <w:rStyle w:val="FootnoteReference"/>
        </w:rPr>
        <w:footnoteRef/>
      </w:r>
      <w:r>
        <w:t>House of Lords ‘Unrevised transcript of evidence taken before The Select Committee on Economic Affairs: Inquiry on Bank Ring-Fencing, 30</w:t>
      </w:r>
      <w:r w:rsidRPr="00A30930">
        <w:t>th</w:t>
      </w:r>
      <w:r>
        <w:t xml:space="preserve"> June 2015.</w:t>
      </w:r>
    </w:p>
    <w:p w:rsidR="00D85CA8" w:rsidRDefault="00D85CA8" w:rsidP="002C349F">
      <w:pPr>
        <w:ind w:left="142" w:hanging="142"/>
        <w:jc w:val="both"/>
      </w:pPr>
    </w:p>
  </w:footnote>
  <w:footnote w:id="4">
    <w:p w:rsidR="00D85CA8" w:rsidRDefault="00D85CA8" w:rsidP="00340B3A">
      <w:pPr>
        <w:ind w:left="142" w:hanging="142"/>
        <w:jc w:val="both"/>
      </w:pPr>
      <w:r>
        <w:rPr>
          <w:rStyle w:val="FootnoteReference"/>
        </w:rPr>
        <w:footnoteRef/>
      </w:r>
      <w:r>
        <w:t xml:space="preserve"> Ibid – answer to a question form the Committee Chairman, Lord Hollick.</w:t>
      </w:r>
    </w:p>
    <w:p w:rsidR="00D85CA8" w:rsidRDefault="00D85CA8" w:rsidP="00340B3A">
      <w:pPr>
        <w:ind w:left="142" w:hanging="142"/>
        <w:jc w:val="both"/>
      </w:pPr>
    </w:p>
  </w:footnote>
  <w:footnote w:id="5">
    <w:p w:rsidR="00D85CA8" w:rsidRDefault="00D85CA8" w:rsidP="00340B3A">
      <w:pPr>
        <w:ind w:left="142" w:hanging="142"/>
        <w:jc w:val="both"/>
      </w:pPr>
      <w:r w:rsidRPr="00340B3A">
        <w:rPr>
          <w:rStyle w:val="FootnoteReference"/>
        </w:rPr>
        <w:footnoteRef/>
      </w:r>
      <w:r>
        <w:t>Ibid – answer to a question from Lord May of Oxford.</w:t>
      </w:r>
    </w:p>
    <w:p w:rsidR="00D85CA8" w:rsidRDefault="00D85CA8" w:rsidP="005A7BA8">
      <w:pPr>
        <w:ind w:left="142" w:hanging="142"/>
      </w:pPr>
    </w:p>
  </w:footnote>
  <w:footnote w:id="6">
    <w:p w:rsidR="00D85CA8" w:rsidRDefault="00D85CA8" w:rsidP="005A7BA8">
      <w:pPr>
        <w:ind w:left="142" w:hanging="142"/>
      </w:pPr>
      <w:r w:rsidRPr="005A7BA8">
        <w:rPr>
          <w:rStyle w:val="FootnoteReference"/>
        </w:rPr>
        <w:footnoteRef/>
      </w:r>
      <w:r>
        <w:t>Ibid – answer to a question from Lord Forsyth of Drumlean.</w:t>
      </w:r>
    </w:p>
  </w:footnote>
  <w:footnote w:id="7">
    <w:p w:rsidR="00D85CA8" w:rsidRDefault="00D85CA8" w:rsidP="0028219F">
      <w:pPr>
        <w:pStyle w:val="FootnoteText"/>
        <w:ind w:left="142" w:hanging="142"/>
      </w:pPr>
      <w:r w:rsidRPr="005A7BA8">
        <w:rPr>
          <w:rStyle w:val="FootnoteReference"/>
        </w:rPr>
        <w:footnoteRef/>
      </w:r>
      <w:r>
        <w:t xml:space="preserve">Independent Commission on Banking Terms of Reference available at </w:t>
      </w:r>
      <w:hyperlink r:id="rId2" w:history="1">
        <w:r w:rsidRPr="00E9349C">
          <w:rPr>
            <w:rStyle w:val="Hyperlink"/>
          </w:rPr>
          <w:t>http://www.hm-treasury.gov.uk/d/banking_commission_terms_of_reference</w:t>
        </w:r>
      </w:hyperlink>
      <w:r>
        <w:t>.; S L Schwarcz ‘Ring-fencing’ Southern California Law Review, 87, 69-110.</w:t>
      </w:r>
    </w:p>
    <w:p w:rsidR="00D85CA8" w:rsidRDefault="00D85CA8" w:rsidP="00A60C1B">
      <w:pPr>
        <w:ind w:left="142" w:hanging="142"/>
      </w:pPr>
    </w:p>
  </w:footnote>
  <w:footnote w:id="8">
    <w:p w:rsidR="00D85CA8" w:rsidRDefault="00D85CA8" w:rsidP="00A60C1B">
      <w:pPr>
        <w:ind w:left="142" w:hanging="142"/>
      </w:pPr>
      <w:r w:rsidRPr="00A60C1B">
        <w:rPr>
          <w:rStyle w:val="FootnoteReference"/>
        </w:rPr>
        <w:footnoteRef/>
      </w:r>
      <w:r>
        <w:t xml:space="preserve"> Independent Commission  on Banking ‘Independent Commission on Banking, final report and recommendations’, September 2011.</w:t>
      </w:r>
    </w:p>
    <w:p w:rsidR="00D85CA8" w:rsidRDefault="00D85CA8" w:rsidP="00A60C1B">
      <w:pPr>
        <w:ind w:left="142" w:hanging="142"/>
      </w:pPr>
    </w:p>
  </w:footnote>
  <w:footnote w:id="9">
    <w:p w:rsidR="00D85CA8" w:rsidRDefault="00D85CA8" w:rsidP="00A0578D">
      <w:pPr>
        <w:ind w:left="142" w:hanging="142"/>
      </w:pPr>
      <w:r>
        <w:rPr>
          <w:rStyle w:val="FootnoteReference"/>
        </w:rPr>
        <w:footnoteRef/>
      </w:r>
      <w:r>
        <w:t xml:space="preserve"> Financial Services Authority ‘The failure of the Royal Bank of Scotland’ December 2011; A review of the failure of HBOS has been commissioned and is due for publication in the very near future – it has been reviewed and is currently going through a re-maxwellisation process (allowing those that have been criticised a right of reply before publication).</w:t>
      </w:r>
    </w:p>
    <w:p w:rsidR="00D85CA8" w:rsidRDefault="00D85CA8" w:rsidP="00A0578D">
      <w:pPr>
        <w:ind w:left="142" w:hanging="142"/>
      </w:pPr>
    </w:p>
  </w:footnote>
  <w:footnote w:id="10">
    <w:p w:rsidR="00D85CA8" w:rsidRDefault="00D85CA8" w:rsidP="00A60C1B">
      <w:pPr>
        <w:ind w:left="142" w:hanging="142"/>
      </w:pPr>
      <w:r w:rsidRPr="00A0578D">
        <w:rPr>
          <w:rStyle w:val="FootnoteReference"/>
        </w:rPr>
        <w:footnoteRef/>
      </w:r>
      <w:hyperlink r:id="rId3" w:history="1">
        <w:r w:rsidRPr="004A1ECA">
          <w:rPr>
            <w:rStyle w:val="Hyperlink"/>
          </w:rPr>
          <w:t>http://uk.businessinsider.com/ex-barclays-sir-david-walker-warns-bank-ringfencing-will-cause-irrevocable-damage-to-britains-economy-2015-6</w:t>
        </w:r>
      </w:hyperlink>
    </w:p>
    <w:p w:rsidR="00D85CA8" w:rsidRDefault="00D85CA8" w:rsidP="00A60C1B">
      <w:pPr>
        <w:ind w:left="142" w:hanging="142"/>
      </w:pPr>
    </w:p>
  </w:footnote>
  <w:footnote w:id="11">
    <w:p w:rsidR="00D85CA8" w:rsidRDefault="00D85CA8" w:rsidP="00A60C1B">
      <w:pPr>
        <w:ind w:left="142" w:hanging="142"/>
      </w:pPr>
      <w:r w:rsidRPr="00A60C1B">
        <w:rPr>
          <w:rStyle w:val="FootnoteReference"/>
        </w:rPr>
        <w:footnoteRef/>
      </w:r>
      <w:hyperlink r:id="rId4" w:history="1">
        <w:r w:rsidRPr="004A1ECA">
          <w:rPr>
            <w:rStyle w:val="Hyperlink"/>
          </w:rPr>
          <w:t>http://www.ibtimes.co.uk/hsbc-may-cut-run-thanks-bank-levies-ring-fencing-1505205</w:t>
        </w:r>
      </w:hyperlink>
    </w:p>
  </w:footnote>
  <w:footnote w:id="12">
    <w:p w:rsidR="00D85CA8" w:rsidRDefault="00D85CA8" w:rsidP="00A80946">
      <w:pPr>
        <w:pStyle w:val="FootnoteText"/>
        <w:ind w:left="142" w:hanging="142"/>
      </w:pPr>
      <w:r>
        <w:rPr>
          <w:rStyle w:val="FootnoteReference"/>
        </w:rPr>
        <w:footnoteRef/>
      </w:r>
      <w:r>
        <w:t xml:space="preserve"> The Rt Hon George Osborne giving evidence to the Treasury Select Committee, 22</w:t>
      </w:r>
      <w:r w:rsidRPr="00F030B3">
        <w:rPr>
          <w:vertAlign w:val="superscript"/>
        </w:rPr>
        <w:t>nd</w:t>
      </w:r>
      <w:r>
        <w:t xml:space="preserve"> July 2015, </w:t>
      </w:r>
      <w:hyperlink r:id="rId5" w:history="1">
        <w:r w:rsidRPr="001115C1">
          <w:rPr>
            <w:rStyle w:val="Hyperlink"/>
          </w:rPr>
          <w:t>http://www.telegraph.co.uk/finance/newsbysector/banksandfinance/11754271/George-Osborne-we-will-not-backtrack-on-ring-fence-rules.html</w:t>
        </w:r>
      </w:hyperlink>
    </w:p>
    <w:p w:rsidR="00D85CA8" w:rsidRDefault="00D85CA8">
      <w:pPr>
        <w:pStyle w:val="FootnoteText"/>
      </w:pPr>
      <w:r>
        <w:t xml:space="preserve">. </w:t>
      </w:r>
    </w:p>
  </w:footnote>
  <w:footnote w:id="13">
    <w:p w:rsidR="00D85CA8" w:rsidRDefault="00D85CA8" w:rsidP="00F12B7F">
      <w:pPr>
        <w:ind w:left="142" w:hanging="142"/>
      </w:pPr>
      <w:r w:rsidRPr="00A60C1B">
        <w:rPr>
          <w:rStyle w:val="FootnoteReference"/>
        </w:rPr>
        <w:footnoteRef/>
      </w:r>
      <w:r>
        <w:t>D Llewellyn ‘The Economic Rationale of Financial Regulation’ (2000) Occasional Paper No 1 Financial Services Authority.</w:t>
      </w:r>
    </w:p>
    <w:p w:rsidR="00D85CA8" w:rsidRDefault="00D85CA8" w:rsidP="00F12B7F">
      <w:pPr>
        <w:ind w:left="142" w:hanging="142"/>
      </w:pPr>
    </w:p>
  </w:footnote>
  <w:footnote w:id="14">
    <w:p w:rsidR="00D85CA8" w:rsidRDefault="00D85CA8" w:rsidP="00F12B7F">
      <w:pPr>
        <w:ind w:left="142" w:hanging="142"/>
      </w:pPr>
      <w:r>
        <w:rPr>
          <w:rStyle w:val="FootnoteReference"/>
        </w:rPr>
        <w:footnoteRef/>
      </w:r>
      <w:r>
        <w:t xml:space="preserve"> The Financial Services Authority Internal Audit Division ‘The supervision of Northern Rock: a lessons learned review’ Report, March 2008.</w:t>
      </w:r>
    </w:p>
    <w:p w:rsidR="00D85CA8" w:rsidRDefault="00D85CA8" w:rsidP="00F12B7F">
      <w:pPr>
        <w:ind w:left="142" w:hanging="142"/>
      </w:pPr>
    </w:p>
  </w:footnote>
  <w:footnote w:id="15">
    <w:p w:rsidR="00D85CA8" w:rsidRDefault="00D85CA8" w:rsidP="00217488">
      <w:pPr>
        <w:ind w:left="142" w:hanging="142"/>
      </w:pPr>
      <w:r w:rsidRPr="00F12B7F">
        <w:rPr>
          <w:rStyle w:val="FootnoteReference"/>
        </w:rPr>
        <w:footnoteRef/>
      </w:r>
      <w:r>
        <w:t xml:space="preserve"> J Crotty ‘Structural causes of the global financial crisis: a critical assessment of the ‘new financial architecture’’ (2009) Cambridge Journal of Economics 33 563-580.</w:t>
      </w:r>
    </w:p>
    <w:p w:rsidR="00D85CA8" w:rsidRDefault="00D85CA8" w:rsidP="000C2DA4"/>
  </w:footnote>
  <w:footnote w:id="16">
    <w:p w:rsidR="00D85CA8" w:rsidRDefault="00D85CA8" w:rsidP="00217488">
      <w:pPr>
        <w:ind w:left="142" w:hanging="142"/>
      </w:pPr>
      <w:r w:rsidRPr="000C2DA4">
        <w:rPr>
          <w:rStyle w:val="FootnoteReference"/>
        </w:rPr>
        <w:footnoteRef/>
      </w:r>
      <w:r>
        <w:t xml:space="preserve"> E P Ellinger ‘The bank as a fiduciary and as a constructive trustee’ (1994), Banking and Finance Law Review 9 111 – 172. </w:t>
      </w:r>
    </w:p>
    <w:p w:rsidR="00D85CA8" w:rsidRDefault="00D85CA8" w:rsidP="00217488">
      <w:pPr>
        <w:ind w:left="142" w:hanging="142"/>
      </w:pPr>
    </w:p>
  </w:footnote>
  <w:footnote w:id="17">
    <w:p w:rsidR="00D85CA8" w:rsidRPr="00EF3B29" w:rsidRDefault="00D85CA8" w:rsidP="00EF3B29">
      <w:pPr>
        <w:ind w:left="142" w:hanging="142"/>
        <w:jc w:val="both"/>
        <w:rPr>
          <w:bCs/>
        </w:rPr>
      </w:pPr>
      <w:r>
        <w:rPr>
          <w:rStyle w:val="FootnoteReference"/>
        </w:rPr>
        <w:footnoteRef/>
      </w:r>
      <w:r>
        <w:t xml:space="preserve"> L C B </w:t>
      </w:r>
      <w:r w:rsidRPr="003B4E4A">
        <w:rPr>
          <w:rFonts w:eastAsia="SimSun"/>
          <w:bCs/>
          <w:lang w:eastAsia="zh-CN"/>
        </w:rPr>
        <w:t>Gower</w:t>
      </w:r>
      <w:r>
        <w:rPr>
          <w:rFonts w:eastAsia="SimSun"/>
          <w:b/>
          <w:bCs/>
          <w:lang w:eastAsia="zh-CN"/>
        </w:rPr>
        <w:t xml:space="preserve"> ‘</w:t>
      </w:r>
      <w:r>
        <w:rPr>
          <w:rFonts w:eastAsia="SimSun"/>
          <w:lang w:eastAsia="zh-CN"/>
        </w:rPr>
        <w:t xml:space="preserve">Review of Investor Protection’, Report: Part 1, Cmnd 9125, HMSO, 1984, Department of Trade and </w:t>
      </w:r>
      <w:r w:rsidRPr="00EF3B29">
        <w:rPr>
          <w:bCs/>
        </w:rPr>
        <w:t>Industry: London.</w:t>
      </w:r>
    </w:p>
    <w:p w:rsidR="00D85CA8" w:rsidRPr="00EF3B29" w:rsidRDefault="00D85CA8" w:rsidP="00EF3B29">
      <w:pPr>
        <w:ind w:left="142" w:hanging="142"/>
        <w:jc w:val="both"/>
        <w:rPr>
          <w:bCs/>
        </w:rPr>
      </w:pPr>
    </w:p>
  </w:footnote>
  <w:footnote w:id="18">
    <w:p w:rsidR="00D85CA8" w:rsidRDefault="00D85CA8" w:rsidP="00217488">
      <w:pPr>
        <w:ind w:left="142" w:hanging="142"/>
        <w:jc w:val="both"/>
        <w:rPr>
          <w:bCs/>
        </w:rPr>
      </w:pPr>
      <w:r w:rsidRPr="00EF3B29">
        <w:rPr>
          <w:rStyle w:val="FootnoteReference"/>
        </w:rPr>
        <w:footnoteRef/>
      </w:r>
      <w:r w:rsidRPr="00EF3B29">
        <w:rPr>
          <w:bCs/>
        </w:rPr>
        <w:t xml:space="preserve"> T C </w:t>
      </w:r>
      <w:r w:rsidRPr="002E4960">
        <w:rPr>
          <w:bCs/>
        </w:rPr>
        <w:t>Baxter Jr ‘Breaking the billion dollar barrier – learning the lessons of BNL, Daiwa,</w:t>
      </w:r>
      <w:r>
        <w:rPr>
          <w:bCs/>
        </w:rPr>
        <w:t xml:space="preserve"> </w:t>
      </w:r>
      <w:r w:rsidRPr="002E4960">
        <w:rPr>
          <w:bCs/>
        </w:rPr>
        <w:t>Barings, and BCCI’ (1997) Journal of Money Laundering Control, 1 1, 15 - 25.</w:t>
      </w:r>
    </w:p>
    <w:p w:rsidR="00D85CA8" w:rsidRDefault="00D85CA8" w:rsidP="005F6735">
      <w:pPr>
        <w:ind w:left="227" w:hanging="227"/>
        <w:jc w:val="both"/>
      </w:pPr>
    </w:p>
  </w:footnote>
  <w:footnote w:id="19">
    <w:p w:rsidR="00D85CA8" w:rsidRDefault="00D85CA8" w:rsidP="00217488">
      <w:pPr>
        <w:ind w:left="142" w:hanging="142"/>
        <w:jc w:val="both"/>
      </w:pPr>
      <w:r>
        <w:rPr>
          <w:rStyle w:val="FootnoteReference"/>
        </w:rPr>
        <w:footnoteRef/>
      </w:r>
      <w:r>
        <w:t xml:space="preserve"> Lord Justice Bingham ‘Inquiry into the supervision of the Bank of Credit Commerce and International, October 1992; </w:t>
      </w:r>
      <w:r w:rsidRPr="005F6735">
        <w:t xml:space="preserve">M B Hemraj ‘The regulatory failure: the saga of BCCI’ (2005) </w:t>
      </w:r>
      <w:r w:rsidRPr="00EF3B29">
        <w:t>Journal of Money Laundering Control</w:t>
      </w:r>
      <w:r w:rsidRPr="005F6735">
        <w:t>, 8, 4, 346-353.</w:t>
      </w:r>
    </w:p>
    <w:p w:rsidR="00D85CA8" w:rsidRDefault="00D85CA8" w:rsidP="005F6735">
      <w:pPr>
        <w:jc w:val="both"/>
      </w:pPr>
    </w:p>
  </w:footnote>
  <w:footnote w:id="20">
    <w:p w:rsidR="00D85CA8" w:rsidRDefault="00D85CA8" w:rsidP="00EF3B29">
      <w:pPr>
        <w:ind w:left="142" w:hanging="142"/>
        <w:jc w:val="both"/>
      </w:pPr>
      <w:r>
        <w:rPr>
          <w:rStyle w:val="FootnoteReference"/>
        </w:rPr>
        <w:footnoteRef/>
      </w:r>
      <w:r>
        <w:t xml:space="preserve"> Board of Banking Supervision ‘Report of the Board of Banking Supervision inquiry into the circumstances of the collapse of Barings, July 1995; </w:t>
      </w:r>
      <w:r w:rsidRPr="005F6735">
        <w:t xml:space="preserve">A D </w:t>
      </w:r>
      <w:r w:rsidRPr="005F6735">
        <w:rPr>
          <w:bCs/>
        </w:rPr>
        <w:t>Brown</w:t>
      </w:r>
      <w:r w:rsidRPr="005F6735">
        <w:t xml:space="preserve"> ‘Making sense of the collapse of Barings bank’ (2005) </w:t>
      </w:r>
      <w:r w:rsidRPr="00EF3B29">
        <w:t>Human Relations</w:t>
      </w:r>
      <w:r w:rsidRPr="005F6735">
        <w:t>, 58, 12, 1579-1604.</w:t>
      </w:r>
    </w:p>
    <w:p w:rsidR="00D85CA8" w:rsidRDefault="00D85CA8" w:rsidP="005F6735">
      <w:pPr>
        <w:jc w:val="both"/>
      </w:pPr>
    </w:p>
  </w:footnote>
  <w:footnote w:id="21">
    <w:p w:rsidR="00D85CA8" w:rsidRDefault="00D85CA8" w:rsidP="00217488">
      <w:pPr>
        <w:ind w:left="142" w:hanging="142"/>
        <w:jc w:val="both"/>
      </w:pPr>
      <w:r>
        <w:rPr>
          <w:rStyle w:val="FootnoteReference"/>
        </w:rPr>
        <w:footnoteRef/>
      </w:r>
      <w:r w:rsidRPr="005F6735">
        <w:t xml:space="preserve">C </w:t>
      </w:r>
      <w:r w:rsidRPr="005F6735">
        <w:rPr>
          <w:bCs/>
        </w:rPr>
        <w:t>Briault</w:t>
      </w:r>
      <w:r w:rsidRPr="005F6735">
        <w:t xml:space="preserve"> ‘The rationale for a single financial services regulator’ (1999), FSA Occasional Paper 2, May 1999.; C </w:t>
      </w:r>
      <w:r w:rsidRPr="005F6735">
        <w:rPr>
          <w:bCs/>
        </w:rPr>
        <w:t>Briault ‘</w:t>
      </w:r>
      <w:r w:rsidRPr="005F6735">
        <w:t xml:space="preserve">Revisiting the rationale for a single financial services regulator’ (2002), FSA Occasional Paper 16, February 2002. </w:t>
      </w:r>
    </w:p>
    <w:p w:rsidR="00D85CA8" w:rsidRDefault="00D85CA8" w:rsidP="00217488">
      <w:pPr>
        <w:jc w:val="both"/>
      </w:pPr>
    </w:p>
  </w:footnote>
  <w:footnote w:id="22">
    <w:p w:rsidR="00D85CA8" w:rsidRDefault="00D85CA8" w:rsidP="00217488">
      <w:pPr>
        <w:ind w:left="142" w:hanging="142"/>
        <w:jc w:val="both"/>
      </w:pPr>
      <w:r>
        <w:rPr>
          <w:rStyle w:val="FootnoteReference"/>
        </w:rPr>
        <w:footnoteRef/>
      </w:r>
      <w:r w:rsidRPr="00352DFC">
        <w:rPr>
          <w:bCs/>
        </w:rPr>
        <w:t>FSA</w:t>
      </w:r>
      <w:r>
        <w:t>‘An ethical framework for financial services’ (2002) Discussion Paper 18, Financial Services Authority: London</w:t>
      </w:r>
      <w:r w:rsidRPr="00295F93">
        <w:t>.</w:t>
      </w:r>
    </w:p>
    <w:p w:rsidR="00D85CA8" w:rsidRDefault="00D85CA8" w:rsidP="00352DFC">
      <w:pPr>
        <w:jc w:val="both"/>
      </w:pPr>
    </w:p>
  </w:footnote>
  <w:footnote w:id="23">
    <w:p w:rsidR="00D85CA8" w:rsidRDefault="00D85CA8" w:rsidP="00217488">
      <w:pPr>
        <w:ind w:left="142" w:hanging="142"/>
        <w:jc w:val="both"/>
      </w:pPr>
      <w:r w:rsidRPr="00C1615F">
        <w:rPr>
          <w:rStyle w:val="FootnoteReference"/>
        </w:rPr>
        <w:footnoteRef/>
      </w:r>
      <w:r w:rsidRPr="008367A7">
        <w:t>FSA</w:t>
      </w:r>
      <w:r>
        <w:t>‘</w:t>
      </w:r>
      <w:r w:rsidRPr="00295F93">
        <w:t>Treating Customers Fairly</w:t>
      </w:r>
      <w:r>
        <w:t xml:space="preserve"> After the Point of Sale’ June 2001, Financial Services Authority: London</w:t>
      </w:r>
      <w:r w:rsidRPr="00295F93">
        <w:t>.</w:t>
      </w:r>
    </w:p>
    <w:p w:rsidR="00D85CA8" w:rsidRDefault="00D85CA8" w:rsidP="008367A7">
      <w:pPr>
        <w:jc w:val="both"/>
      </w:pPr>
    </w:p>
  </w:footnote>
  <w:footnote w:id="24">
    <w:p w:rsidR="00D85CA8" w:rsidRDefault="00D85CA8" w:rsidP="00217488">
      <w:pPr>
        <w:ind w:left="142" w:hanging="142"/>
        <w:jc w:val="both"/>
      </w:pPr>
      <w:r w:rsidRPr="00C1615F">
        <w:rPr>
          <w:rStyle w:val="FootnoteReference"/>
        </w:rPr>
        <w:footnoteRef/>
      </w:r>
      <w:r w:rsidRPr="008367A7">
        <w:t xml:space="preserve">FSA ‘Treating Customers Fairly: Progress Report’ (2002), Financial Services Authority: London; </w:t>
      </w:r>
      <w:r w:rsidRPr="008367A7">
        <w:rPr>
          <w:bCs/>
        </w:rPr>
        <w:t>FSA</w:t>
      </w:r>
      <w:r w:rsidRPr="008367A7">
        <w:t xml:space="preserve"> ‘Treating Customers Fairly – progress and next steps’ (2004), Financial Services Authority: London; </w:t>
      </w:r>
      <w:r w:rsidRPr="008367A7">
        <w:rPr>
          <w:bCs/>
        </w:rPr>
        <w:t>FSA</w:t>
      </w:r>
      <w:r w:rsidRPr="008367A7">
        <w:t xml:space="preserve"> ‘Treating customers fairly – Building on Progress’ (2005), Financial Services Authority: London; </w:t>
      </w:r>
      <w:r w:rsidRPr="008367A7">
        <w:rPr>
          <w:bCs/>
        </w:rPr>
        <w:t>FSA</w:t>
      </w:r>
      <w:r w:rsidRPr="008367A7">
        <w:t xml:space="preserve"> ‘Treating customers fairly – Towards fair outcomes for consumers’ (2006), Financial Services Authority: London; </w:t>
      </w:r>
      <w:r w:rsidRPr="008367A7">
        <w:rPr>
          <w:bCs/>
        </w:rPr>
        <w:t>FSA</w:t>
      </w:r>
      <w:r w:rsidRPr="008367A7">
        <w:t xml:space="preserve"> ‘Treating customers fairly initiative: progress report’, </w:t>
      </w:r>
      <w:r>
        <w:t>(</w:t>
      </w:r>
      <w:r w:rsidRPr="008367A7">
        <w:t>2007</w:t>
      </w:r>
      <w:r>
        <w:t>)</w:t>
      </w:r>
      <w:r w:rsidRPr="008367A7">
        <w:t>, Financial Services Authority: London</w:t>
      </w:r>
      <w:r>
        <w:t>.</w:t>
      </w:r>
    </w:p>
    <w:p w:rsidR="00D85CA8" w:rsidRDefault="00D85CA8" w:rsidP="00E03D11">
      <w:pPr>
        <w:jc w:val="both"/>
      </w:pPr>
    </w:p>
  </w:footnote>
  <w:footnote w:id="25">
    <w:p w:rsidR="00D85CA8" w:rsidRDefault="00D85CA8" w:rsidP="00750E84">
      <w:pPr>
        <w:ind w:left="142" w:hanging="142"/>
        <w:jc w:val="both"/>
      </w:pPr>
      <w:r>
        <w:rPr>
          <w:rStyle w:val="FootnoteReference"/>
        </w:rPr>
        <w:footnoteRef/>
      </w:r>
      <w:r w:rsidRPr="00A2791B">
        <w:rPr>
          <w:bCs/>
        </w:rPr>
        <w:t>FSA</w:t>
      </w:r>
      <w:r w:rsidRPr="00A2791B">
        <w:t xml:space="preserve"> ‘Principles-based regulation: focussing on the outcomes that matter’, </w:t>
      </w:r>
      <w:r>
        <w:t>(</w:t>
      </w:r>
      <w:r w:rsidRPr="00A2791B">
        <w:t>2007</w:t>
      </w:r>
      <w:r>
        <w:t>)</w:t>
      </w:r>
      <w:r w:rsidRPr="00A2791B">
        <w:t xml:space="preserve">. Financial Services Authority: </w:t>
      </w:r>
      <w:r w:rsidRPr="00BD4FC3">
        <w:t xml:space="preserve">London; J </w:t>
      </w:r>
      <w:r w:rsidRPr="00BD4FC3">
        <w:rPr>
          <w:bCs/>
        </w:rPr>
        <w:t>Black, M Hopper, and C Band ‘Making a success of Principles-based regulation’ (2007) Law and Financial Markets Review 1 3, 191- 204; J Black ‘Forms and paradoxes of principles based regulation’ (2008) Capital Markets Law Journal, 3, 4 425 – 457; J Black ‘The Rise, Fall, and Fate of Principles-Based Regulation’ (2010) LSE Law, Society</w:t>
      </w:r>
      <w:r w:rsidRPr="00A2791B">
        <w:rPr>
          <w:bCs/>
        </w:rPr>
        <w:t xml:space="preserve"> and Economy Working Papers 17/2010.</w:t>
      </w:r>
    </w:p>
  </w:footnote>
  <w:footnote w:id="26">
    <w:p w:rsidR="00D85CA8" w:rsidRDefault="00D85CA8" w:rsidP="00217488">
      <w:pPr>
        <w:pStyle w:val="FootnoteText"/>
        <w:ind w:left="142" w:hanging="142"/>
        <w:jc w:val="both"/>
      </w:pPr>
      <w:r>
        <w:rPr>
          <w:rStyle w:val="FootnoteReference"/>
        </w:rPr>
        <w:footnoteRef/>
      </w:r>
      <w:r w:rsidRPr="00486398">
        <w:t>Parliamentary Commission on Banking Standards ‘Changing banking for good, Report of the Parliamentary Commission on Banking Standards, summary, and conclusions and recommendations’ (2013).</w:t>
      </w:r>
    </w:p>
  </w:footnote>
  <w:footnote w:id="27">
    <w:p w:rsidR="00D85CA8" w:rsidRDefault="00D85CA8">
      <w:pPr>
        <w:pStyle w:val="FootnoteText"/>
      </w:pPr>
      <w:r>
        <w:rPr>
          <w:rStyle w:val="FootnoteReference"/>
        </w:rPr>
        <w:footnoteRef/>
      </w:r>
      <w:r w:rsidRPr="00486398">
        <w:rPr>
          <w:bCs/>
        </w:rPr>
        <w:t>Banking Standards Board ‘Banking Standards Review’ May 2014</w:t>
      </w:r>
      <w:r>
        <w:rPr>
          <w:bCs/>
        </w:rPr>
        <w:t>.</w:t>
      </w:r>
    </w:p>
  </w:footnote>
  <w:footnote w:id="28">
    <w:p w:rsidR="00D85CA8" w:rsidRDefault="00D85CA8" w:rsidP="00217488">
      <w:pPr>
        <w:pStyle w:val="FootnoteText"/>
        <w:ind w:left="142" w:hanging="142"/>
      </w:pPr>
      <w:r>
        <w:rPr>
          <w:rStyle w:val="FootnoteReference"/>
        </w:rPr>
        <w:footnoteRef/>
      </w:r>
      <w:r w:rsidRPr="00486398">
        <w:rPr>
          <w:rStyle w:val="Strong"/>
          <w:b w:val="0"/>
        </w:rPr>
        <w:t>Fair and Efficient Markets Review</w:t>
      </w:r>
      <w:r w:rsidRPr="00486398">
        <w:t xml:space="preserve"> ‘How fair and efficient are the fixed income, foreign exchange and commodities markets?’ Consultation Document October 2014</w:t>
      </w:r>
      <w:r>
        <w:t>; Final Report June 2015.</w:t>
      </w:r>
    </w:p>
  </w:footnote>
  <w:footnote w:id="29">
    <w:p w:rsidR="00D85CA8" w:rsidRDefault="00D85CA8" w:rsidP="00217488">
      <w:pPr>
        <w:pStyle w:val="FootnoteText"/>
        <w:ind w:left="142" w:hanging="142"/>
      </w:pPr>
      <w:r>
        <w:rPr>
          <w:rStyle w:val="FootnoteReference"/>
        </w:rPr>
        <w:footnoteRef/>
      </w:r>
      <w:r>
        <w:t xml:space="preserve"> A Goldgar ‘Tulipmania: money, honor, and knowledge in the Ducth golden age’ (2008) University of Chicago Press: Chicago; H Paul ‘The South Sea Bubble: An economic history of its origins and consequences’ (2013) Routledge Explorations in Economic History:Abingdon, Oxon.</w:t>
      </w:r>
    </w:p>
  </w:footnote>
  <w:footnote w:id="30">
    <w:p w:rsidR="00D85CA8" w:rsidRDefault="00D85CA8">
      <w:pPr>
        <w:pStyle w:val="FootnoteText"/>
      </w:pPr>
      <w:r>
        <w:rPr>
          <w:rStyle w:val="FootnoteReference"/>
        </w:rPr>
        <w:footnoteRef/>
      </w:r>
      <w:r>
        <w:t xml:space="preserve"> Speech by Sir John Cunliffe ‘Macro-prudential policy: from Tiberius to Crockett and beyond’ 28 July 2015.</w:t>
      </w:r>
    </w:p>
  </w:footnote>
  <w:footnote w:id="31">
    <w:p w:rsidR="00D85CA8" w:rsidRDefault="00D85CA8" w:rsidP="00B7508D">
      <w:pPr>
        <w:pStyle w:val="FootnoteText"/>
        <w:ind w:left="142" w:hanging="142"/>
      </w:pPr>
      <w:r w:rsidRPr="00B7508D">
        <w:rPr>
          <w:rStyle w:val="FootnoteReference"/>
        </w:rPr>
        <w:footnoteRef/>
      </w:r>
      <w:r>
        <w:t xml:space="preserve"> M </w:t>
      </w:r>
      <w:r w:rsidRPr="00B7508D">
        <w:t xml:space="preserve">Reid </w:t>
      </w:r>
      <w:r>
        <w:t>‘</w:t>
      </w:r>
      <w:r w:rsidRPr="00B7508D">
        <w:t>The secondary banking crisis 1973-75: its causes and course</w:t>
      </w:r>
      <w:r>
        <w:t>’ (2003)</w:t>
      </w:r>
      <w:r w:rsidRPr="00B7508D">
        <w:t>, 2nd edition, Hindsight Books: Bristol, UK.</w:t>
      </w:r>
    </w:p>
  </w:footnote>
  <w:footnote w:id="32">
    <w:p w:rsidR="00D85CA8" w:rsidRDefault="00D85CA8">
      <w:pPr>
        <w:pStyle w:val="FootnoteText"/>
      </w:pPr>
      <w:r>
        <w:rPr>
          <w:rStyle w:val="FootnoteReference"/>
        </w:rPr>
        <w:footnoteRef/>
      </w:r>
      <w:r>
        <w:t xml:space="preserve"> A </w:t>
      </w:r>
      <w:r w:rsidRPr="00CB775A">
        <w:t>Turner</w:t>
      </w:r>
      <w:r>
        <w:t xml:space="preserve"> ‘</w:t>
      </w:r>
      <w:r w:rsidRPr="00CB775A">
        <w:t>The Turner Review: A regulatory response to the global banking crisis</w:t>
      </w:r>
      <w:r>
        <w:t xml:space="preserve">’ </w:t>
      </w:r>
      <w:r w:rsidRPr="00CB775A">
        <w:t>March 2009</w:t>
      </w:r>
      <w:r>
        <w:t>.</w:t>
      </w:r>
    </w:p>
  </w:footnote>
  <w:footnote w:id="33">
    <w:p w:rsidR="00D85CA8" w:rsidRDefault="00D85CA8" w:rsidP="00217488">
      <w:pPr>
        <w:pStyle w:val="FootnoteText"/>
        <w:ind w:left="142" w:hanging="142"/>
      </w:pPr>
      <w:r>
        <w:rPr>
          <w:rStyle w:val="FootnoteReference"/>
        </w:rPr>
        <w:footnoteRef/>
      </w:r>
      <w:r>
        <w:t xml:space="preserve"> D </w:t>
      </w:r>
      <w:r w:rsidRPr="00CB775A">
        <w:t xml:space="preserve">Walker </w:t>
      </w:r>
      <w:r>
        <w:t>‘</w:t>
      </w:r>
      <w:r w:rsidRPr="00CB775A">
        <w:t>Walker Review - A review of corporate governance in UK banks and other financial industry entities</w:t>
      </w:r>
      <w:r>
        <w:t>’</w:t>
      </w:r>
      <w:r w:rsidRPr="00CB775A">
        <w:t xml:space="preserve"> 26 November 2009 Her Majesty’s Treasury: London</w:t>
      </w:r>
      <w:r>
        <w:t>.</w:t>
      </w:r>
    </w:p>
  </w:footnote>
  <w:footnote w:id="34">
    <w:p w:rsidR="00D85CA8" w:rsidRDefault="00D85CA8" w:rsidP="005F1532">
      <w:pPr>
        <w:pStyle w:val="FootnoteText"/>
        <w:ind w:left="142" w:hanging="142"/>
      </w:pPr>
      <w:r>
        <w:rPr>
          <w:rStyle w:val="FootnoteReference"/>
        </w:rPr>
        <w:footnoteRef/>
      </w:r>
      <w:r>
        <w:t xml:space="preserve"> Amendments made to the Financial Services and Markets Act by the </w:t>
      </w:r>
      <w:r w:rsidRPr="00CB775A">
        <w:t>Financial Services Act 2012</w:t>
      </w:r>
      <w:r>
        <w:t>.</w:t>
      </w:r>
    </w:p>
  </w:footnote>
  <w:footnote w:id="35">
    <w:p w:rsidR="00D85CA8" w:rsidRPr="005F1532" w:rsidRDefault="00D85CA8" w:rsidP="005F1532">
      <w:pPr>
        <w:pStyle w:val="FootnoteText"/>
        <w:ind w:left="142" w:hanging="142"/>
      </w:pPr>
      <w:r w:rsidRPr="005F1532">
        <w:rPr>
          <w:rStyle w:val="FootnoteReference"/>
        </w:rPr>
        <w:footnoteRef/>
      </w:r>
      <w:r>
        <w:t>The twin-peaks approach was available to the Labour Government when they were setting up the Financial Services Authority in the late 1990s – M Taylor ‘</w:t>
      </w:r>
      <w:r w:rsidRPr="005F1532">
        <w:t>Twin Peaks: A regulatory structure for the new century – a proposal to reform UK financial regulation by splitting systemic concerns from those involving consumer protection</w:t>
      </w:r>
      <w:r>
        <w:t>’ (1995)</w:t>
      </w:r>
      <w:r w:rsidRPr="005F1532">
        <w:t xml:space="preserve"> Centre for the Study of Financial Innovation.</w:t>
      </w:r>
      <w:r>
        <w:t xml:space="preserve"> M Taylor</w:t>
      </w:r>
      <w:r>
        <w:rPr>
          <w:sz w:val="24"/>
          <w:szCs w:val="24"/>
        </w:rPr>
        <w:t xml:space="preserve"> ‘</w:t>
      </w:r>
      <w:r w:rsidRPr="005F1532">
        <w:t>Peak Practice, How to reform the UK’s regulatory structure – implementing twin peaks’ (1996) Centre for the Study of Financial Innovation.</w:t>
      </w:r>
    </w:p>
    <w:p w:rsidR="00D85CA8" w:rsidRDefault="00D85CA8" w:rsidP="005F1532">
      <w:pPr>
        <w:pStyle w:val="FootnoteText"/>
        <w:ind w:left="142" w:hanging="142"/>
      </w:pPr>
    </w:p>
  </w:footnote>
  <w:footnote w:id="36">
    <w:p w:rsidR="00D85CA8" w:rsidRDefault="00D85CA8" w:rsidP="001A2DF9">
      <w:pPr>
        <w:pStyle w:val="FootnoteText"/>
        <w:ind w:left="142" w:hanging="142"/>
      </w:pPr>
      <w:r>
        <w:rPr>
          <w:rStyle w:val="FootnoteReference"/>
        </w:rPr>
        <w:footnoteRef/>
      </w:r>
      <w:r>
        <w:t xml:space="preserve"> E Ferran ‘The break-up of the Financial Services Authority’ Oxford Journal of Legal Studies (2011) 31 3 455-480.</w:t>
      </w:r>
    </w:p>
  </w:footnote>
  <w:footnote w:id="37">
    <w:p w:rsidR="00D85CA8" w:rsidRDefault="00D85CA8" w:rsidP="00AE7B94">
      <w:pPr>
        <w:pStyle w:val="FootnoteText"/>
        <w:ind w:left="142" w:hanging="142"/>
      </w:pPr>
      <w:r>
        <w:rPr>
          <w:rStyle w:val="FootnoteReference"/>
        </w:rPr>
        <w:footnoteRef/>
      </w:r>
      <w:r>
        <w:t xml:space="preserve"> HM Treasury: Bank of England Bill (2015) Proposals to integrate the PRA as a division of the Bank of England but keeping the name the PRA.</w:t>
      </w:r>
    </w:p>
  </w:footnote>
  <w:footnote w:id="38">
    <w:p w:rsidR="00D85CA8" w:rsidRDefault="00D85CA8" w:rsidP="00217488">
      <w:pPr>
        <w:pStyle w:val="FootnoteText"/>
        <w:ind w:left="142" w:hanging="142"/>
      </w:pPr>
      <w:r>
        <w:rPr>
          <w:rStyle w:val="FootnoteReference"/>
        </w:rPr>
        <w:footnoteRef/>
      </w:r>
      <w:r w:rsidRPr="00577D07">
        <w:t>A</w:t>
      </w:r>
      <w:r>
        <w:t xml:space="preserve"> </w:t>
      </w:r>
      <w:r w:rsidRPr="00577D07">
        <w:rPr>
          <w:rStyle w:val="Strong"/>
          <w:b w:val="0"/>
        </w:rPr>
        <w:t>Bailey, S Breeden, G Stevens</w:t>
      </w:r>
      <w:r w:rsidRPr="00577D07">
        <w:t xml:space="preserve"> ‘The Prudential Regulation Authority’ (2012), Bank of England Quarterly Bulletin Q4.</w:t>
      </w:r>
    </w:p>
  </w:footnote>
  <w:footnote w:id="39">
    <w:p w:rsidR="00D85CA8" w:rsidRDefault="00D85CA8" w:rsidP="00217488">
      <w:pPr>
        <w:pStyle w:val="FootnoteText"/>
        <w:ind w:left="142" w:hanging="142"/>
      </w:pPr>
      <w:r>
        <w:rPr>
          <w:rStyle w:val="FootnoteReference"/>
        </w:rPr>
        <w:footnoteRef/>
      </w:r>
      <w:r w:rsidRPr="00577D07">
        <w:t xml:space="preserve">Institute of International Finance </w:t>
      </w:r>
      <w:r>
        <w:t>‘</w:t>
      </w:r>
      <w:r w:rsidRPr="00577D07">
        <w:t>Reform in the Financial Services Industry: Strengthening Practices for a More Stable System, The Report of the IIF Steering Committee on Implementation (SCI), December 2009. Washington DC: Institute of International Finance</w:t>
      </w:r>
      <w:r>
        <w:t>.</w:t>
      </w:r>
    </w:p>
  </w:footnote>
  <w:footnote w:id="40">
    <w:p w:rsidR="00D85CA8" w:rsidRDefault="00D85CA8" w:rsidP="002962B2">
      <w:pPr>
        <w:pStyle w:val="FootnoteText"/>
        <w:ind w:left="142" w:hanging="142"/>
      </w:pPr>
      <w:r>
        <w:rPr>
          <w:rStyle w:val="FootnoteReference"/>
        </w:rPr>
        <w:footnoteRef/>
      </w:r>
      <w:r>
        <w:t xml:space="preserve"> Financial Stability Board ‘Key Attributes of Effective Resolution Regimes for Financial Institutions, October 2014 (a revision of an earlier 2011 paper of the same name).</w:t>
      </w:r>
    </w:p>
  </w:footnote>
  <w:footnote w:id="41">
    <w:p w:rsidR="00D85CA8" w:rsidRDefault="00D85CA8" w:rsidP="0028076D">
      <w:pPr>
        <w:pStyle w:val="FootnoteText"/>
        <w:ind w:left="142" w:hanging="142"/>
      </w:pPr>
      <w:r>
        <w:rPr>
          <w:rStyle w:val="FootnoteReference"/>
        </w:rPr>
        <w:footnoteRef/>
      </w:r>
      <w:r>
        <w:t xml:space="preserve"> Basel Committee on Banking Supervision ‘Basel III: A global framework for more resilient banks and banking systems, December 2010 (revised June 2011). </w:t>
      </w:r>
    </w:p>
  </w:footnote>
  <w:footnote w:id="42">
    <w:p w:rsidR="00D85CA8" w:rsidRDefault="00D85CA8" w:rsidP="001A2DF9">
      <w:pPr>
        <w:pStyle w:val="FootnoteText"/>
        <w:ind w:left="142" w:hanging="142"/>
      </w:pPr>
      <w:r>
        <w:rPr>
          <w:rStyle w:val="FootnoteReference"/>
        </w:rPr>
        <w:footnoteRef/>
      </w:r>
      <w:r>
        <w:t xml:space="preserve"> Basel Committee on Banking Supervision, ‘Consultative Document: Revisions to the Standardised Approach for Credit Risk’, December 2014.</w:t>
      </w:r>
    </w:p>
  </w:footnote>
  <w:footnote w:id="43">
    <w:p w:rsidR="00D85CA8" w:rsidRDefault="00D85CA8" w:rsidP="00742A18">
      <w:pPr>
        <w:pStyle w:val="FootnoteText"/>
        <w:ind w:left="142" w:hanging="142"/>
      </w:pPr>
      <w:r>
        <w:rPr>
          <w:rStyle w:val="FootnoteReference"/>
        </w:rPr>
        <w:footnoteRef/>
      </w:r>
      <w:r>
        <w:t xml:space="preserve"> Basel Committee on Banking Supervision ‘Consultative Document: Operational Risk – Revisions to the simpler approaches’, October 2014.</w:t>
      </w:r>
    </w:p>
  </w:footnote>
  <w:footnote w:id="44">
    <w:p w:rsidR="00D85CA8" w:rsidRDefault="00D85CA8" w:rsidP="00742A18">
      <w:pPr>
        <w:pStyle w:val="FootnoteText"/>
        <w:ind w:left="142" w:hanging="142"/>
      </w:pPr>
      <w:r>
        <w:rPr>
          <w:rStyle w:val="FootnoteReference"/>
        </w:rPr>
        <w:footnoteRef/>
      </w:r>
      <w:r>
        <w:t xml:space="preserve"> Basel Committee on Banking Supervision ‘Consultative Document: interest rate risk in the banking book’ June 2015.</w:t>
      </w:r>
    </w:p>
  </w:footnote>
  <w:footnote w:id="45">
    <w:p w:rsidR="00D85CA8" w:rsidRDefault="00D85CA8" w:rsidP="00217488">
      <w:pPr>
        <w:pStyle w:val="FootnoteText"/>
        <w:ind w:left="142" w:hanging="142"/>
      </w:pPr>
      <w:r>
        <w:rPr>
          <w:rStyle w:val="FootnoteReference"/>
        </w:rPr>
        <w:footnoteRef/>
      </w:r>
      <w:r w:rsidRPr="004E6A58">
        <w:t>European Commission ‘Review of the Lamfalussy Process – Strengthening Super</w:t>
      </w:r>
      <w:r>
        <w:t>visory Convergence’, COM (2007).</w:t>
      </w:r>
    </w:p>
  </w:footnote>
  <w:footnote w:id="46">
    <w:p w:rsidR="00D85CA8" w:rsidRDefault="00D85CA8">
      <w:pPr>
        <w:pStyle w:val="FootnoteText"/>
      </w:pPr>
      <w:r>
        <w:rPr>
          <w:rStyle w:val="FootnoteReference"/>
        </w:rPr>
        <w:footnoteRef/>
      </w:r>
      <w:r>
        <w:t xml:space="preserve"> Capital Requirement </w:t>
      </w:r>
      <w:r w:rsidRPr="006F7F5D">
        <w:rPr>
          <w:rFonts w:eastAsia="Arial Unicode MS"/>
        </w:rPr>
        <w:t>Regulation</w:t>
      </w:r>
      <w:r>
        <w:rPr>
          <w:rFonts w:eastAsia="Arial Unicode MS"/>
        </w:rPr>
        <w:t xml:space="preserve"> - Regulation</w:t>
      </w:r>
      <w:r w:rsidRPr="006F7F5D">
        <w:rPr>
          <w:rFonts w:eastAsia="Arial Unicode MS"/>
        </w:rPr>
        <w:t xml:space="preserve"> (EU) No 575/2013</w:t>
      </w:r>
      <w:r>
        <w:rPr>
          <w:rFonts w:eastAsia="Arial Unicode MS"/>
        </w:rPr>
        <w:t>.</w:t>
      </w:r>
    </w:p>
  </w:footnote>
  <w:footnote w:id="47">
    <w:p w:rsidR="00D85CA8" w:rsidRDefault="00D85CA8">
      <w:pPr>
        <w:pStyle w:val="FootnoteText"/>
      </w:pPr>
      <w:r>
        <w:rPr>
          <w:rStyle w:val="FootnoteReference"/>
        </w:rPr>
        <w:footnoteRef/>
      </w:r>
      <w:r>
        <w:t xml:space="preserve"> Capital Requirements </w:t>
      </w:r>
      <w:r w:rsidRPr="006F7F5D">
        <w:rPr>
          <w:rFonts w:eastAsia="Arial Unicode MS"/>
        </w:rPr>
        <w:t>Directive</w:t>
      </w:r>
      <w:r>
        <w:rPr>
          <w:rFonts w:eastAsia="Arial Unicode MS"/>
        </w:rPr>
        <w:t xml:space="preserve"> IV - Directive</w:t>
      </w:r>
      <w:r w:rsidRPr="006F7F5D">
        <w:rPr>
          <w:rFonts w:eastAsia="Arial Unicode MS"/>
        </w:rPr>
        <w:t xml:space="preserve"> 2013/36/EU</w:t>
      </w:r>
      <w:r>
        <w:rPr>
          <w:rFonts w:eastAsia="Arial Unicode MS"/>
        </w:rPr>
        <w:t>.</w:t>
      </w:r>
    </w:p>
  </w:footnote>
  <w:footnote w:id="48">
    <w:p w:rsidR="00D85CA8" w:rsidRDefault="00D85CA8">
      <w:pPr>
        <w:pStyle w:val="FootnoteText"/>
      </w:pPr>
      <w:r>
        <w:rPr>
          <w:rStyle w:val="FootnoteReference"/>
        </w:rPr>
        <w:footnoteRef/>
      </w:r>
      <w:r w:rsidRPr="00626E81">
        <w:t>de Larosière, J. ‘The High-Level Group on Financial Supervision in the EU’ (2009)</w:t>
      </w:r>
      <w:r>
        <w:t>.</w:t>
      </w:r>
    </w:p>
  </w:footnote>
  <w:footnote w:id="49">
    <w:p w:rsidR="00D85CA8" w:rsidRDefault="00D85CA8">
      <w:pPr>
        <w:pStyle w:val="FootnoteText"/>
      </w:pPr>
      <w:r>
        <w:rPr>
          <w:rStyle w:val="FootnoteReference"/>
        </w:rPr>
        <w:footnoteRef/>
      </w:r>
      <w:r>
        <w:t xml:space="preserve"> Article 16 of Regulation (EU) No 1093/2010.</w:t>
      </w:r>
    </w:p>
  </w:footnote>
  <w:footnote w:id="50">
    <w:p w:rsidR="00D85CA8" w:rsidRDefault="00D85CA8">
      <w:pPr>
        <w:pStyle w:val="FootnoteText"/>
      </w:pPr>
      <w:r>
        <w:rPr>
          <w:rStyle w:val="FootnoteReference"/>
        </w:rPr>
        <w:footnoteRef/>
      </w:r>
      <w:r>
        <w:t xml:space="preserve"> Article 16(3) of  Regulation (EU) No 1093/2010.</w:t>
      </w:r>
    </w:p>
  </w:footnote>
  <w:footnote w:id="51">
    <w:p w:rsidR="00D85CA8" w:rsidRDefault="00D85CA8">
      <w:pPr>
        <w:pStyle w:val="FootnoteText"/>
      </w:pPr>
      <w:r>
        <w:rPr>
          <w:rStyle w:val="FootnoteReference"/>
        </w:rPr>
        <w:footnoteRef/>
      </w:r>
      <w:r>
        <w:t xml:space="preserve"> J T S Chow and J Surti ‘Making banks safer: can Volcker and Vickers do it (2011) IMF Working Paper.  </w:t>
      </w:r>
    </w:p>
  </w:footnote>
  <w:footnote w:id="52">
    <w:p w:rsidR="00D85CA8" w:rsidRDefault="00D85CA8" w:rsidP="00217488">
      <w:pPr>
        <w:pStyle w:val="FootnoteText"/>
        <w:ind w:left="142" w:hanging="142"/>
      </w:pPr>
      <w:r>
        <w:rPr>
          <w:rStyle w:val="FootnoteReference"/>
        </w:rPr>
        <w:footnoteRef/>
      </w:r>
      <w:r>
        <w:t xml:space="preserve"> J Vinals, C Pazarbasioglu, J Surti, A Narain, M Erbenova, and J Chow ‘Creating a safer financial system: Will the Volcker, Vickers, and Liikanen structural measures help (2013) IMF Staff Discussion Note; Mayer Brown ‘Does Volcker +Vickers = Liikanen?; EU proposal for a regulation on structural measures improving the resilience of EU credit institutions’, Legal Update, February 2014.  </w:t>
      </w:r>
    </w:p>
  </w:footnote>
  <w:footnote w:id="53">
    <w:p w:rsidR="00D85CA8" w:rsidRDefault="00D85CA8" w:rsidP="004327C6">
      <w:pPr>
        <w:pStyle w:val="FootnoteText"/>
      </w:pPr>
      <w:r>
        <w:rPr>
          <w:rStyle w:val="FootnoteReference"/>
        </w:rPr>
        <w:footnoteRef/>
      </w:r>
      <w:r>
        <w:t xml:space="preserve"> J K </w:t>
      </w:r>
      <w:r w:rsidRPr="007846AC">
        <w:t>Galbraith</w:t>
      </w:r>
      <w:r>
        <w:t xml:space="preserve"> ‘</w:t>
      </w:r>
      <w:r w:rsidRPr="007846AC">
        <w:t>The Great Crash 1929</w:t>
      </w:r>
      <w:r>
        <w:t>’ (1954)</w:t>
      </w:r>
      <w:r w:rsidRPr="007846AC">
        <w:t xml:space="preserve"> Penguin Books: New York.</w:t>
      </w:r>
    </w:p>
  </w:footnote>
  <w:footnote w:id="54">
    <w:p w:rsidR="00D85CA8" w:rsidRDefault="00D85CA8">
      <w:pPr>
        <w:pStyle w:val="FootnoteText"/>
      </w:pPr>
      <w:r>
        <w:rPr>
          <w:rStyle w:val="FootnoteReference"/>
        </w:rPr>
        <w:footnoteRef/>
      </w:r>
      <w:r>
        <w:t xml:space="preserve"> Sections 20 and 32 of the 1933 Banking Act.</w:t>
      </w:r>
    </w:p>
  </w:footnote>
  <w:footnote w:id="55">
    <w:p w:rsidR="00D85CA8" w:rsidRDefault="00D85CA8">
      <w:pPr>
        <w:pStyle w:val="FootnoteText"/>
      </w:pPr>
      <w:r>
        <w:rPr>
          <w:rStyle w:val="FootnoteReference"/>
        </w:rPr>
        <w:footnoteRef/>
      </w:r>
      <w:r>
        <w:t xml:space="preserve"> H H Preston ‘The Banking Act of 1933’ (1933) The American Economic Review 23 4 585-607.</w:t>
      </w:r>
    </w:p>
  </w:footnote>
  <w:footnote w:id="56">
    <w:p w:rsidR="00D85CA8" w:rsidRDefault="00D85CA8" w:rsidP="00217488">
      <w:pPr>
        <w:pStyle w:val="FootnoteText"/>
        <w:ind w:left="142" w:hanging="142"/>
      </w:pPr>
      <w:r>
        <w:rPr>
          <w:rStyle w:val="FootnoteReference"/>
        </w:rPr>
        <w:footnoteRef/>
      </w:r>
      <w:r>
        <w:t xml:space="preserve"> R Kroszner and R Rajan ‘Is the Glass-Steagall Act justified: A study of the US experience with universal banking before 1933’ (1994) American Economic Review, Vol. 84,  pp 810-832.  </w:t>
      </w:r>
    </w:p>
  </w:footnote>
  <w:footnote w:id="57">
    <w:p w:rsidR="00D85CA8" w:rsidRDefault="00D85CA8" w:rsidP="00275B66">
      <w:pPr>
        <w:pStyle w:val="FootnoteText"/>
        <w:ind w:left="142" w:hanging="142"/>
      </w:pPr>
      <w:r>
        <w:rPr>
          <w:rStyle w:val="FootnoteReference"/>
        </w:rPr>
        <w:footnoteRef/>
      </w:r>
      <w:r>
        <w:t xml:space="preserve"> G Bentson ‘The Separation of Commercial and Investment Banking’ (1990) Oxford University Press: Oxford, UK.</w:t>
      </w:r>
    </w:p>
  </w:footnote>
  <w:footnote w:id="58">
    <w:p w:rsidR="00D85CA8" w:rsidRDefault="00D85CA8" w:rsidP="00167D7D">
      <w:pPr>
        <w:pStyle w:val="FootnoteText"/>
        <w:ind w:left="142" w:hanging="142"/>
      </w:pPr>
      <w:r>
        <w:rPr>
          <w:rStyle w:val="FootnoteReference"/>
        </w:rPr>
        <w:footnoteRef/>
      </w:r>
      <w:r>
        <w:t xml:space="preserve"> W Silber ‘Why did FDR’s Bank Holiday Succeed’ (2009) Federal Reserve Bank of New York Economic Policy Review</w:t>
      </w:r>
    </w:p>
  </w:footnote>
  <w:footnote w:id="59">
    <w:p w:rsidR="00D85CA8" w:rsidRDefault="00D85CA8">
      <w:pPr>
        <w:pStyle w:val="FootnoteText"/>
      </w:pPr>
      <w:r>
        <w:rPr>
          <w:rStyle w:val="FootnoteReference"/>
        </w:rPr>
        <w:footnoteRef/>
      </w:r>
      <w:hyperlink r:id="rId6" w:history="1">
        <w:r w:rsidRPr="00E9349C">
          <w:rPr>
            <w:rStyle w:val="Hyperlink"/>
          </w:rPr>
          <w:t>https://www.fdic.gov/</w:t>
        </w:r>
      </w:hyperlink>
    </w:p>
  </w:footnote>
  <w:footnote w:id="60">
    <w:p w:rsidR="00D85CA8" w:rsidRDefault="00D85CA8">
      <w:pPr>
        <w:pStyle w:val="FootnoteText"/>
      </w:pPr>
      <w:r>
        <w:rPr>
          <w:rStyle w:val="FootnoteReference"/>
        </w:rPr>
        <w:footnoteRef/>
      </w:r>
      <w:r>
        <w:t xml:space="preserve"> Deposit Guarantee Schemes  - Directive 2014/49/EU.</w:t>
      </w:r>
    </w:p>
  </w:footnote>
  <w:footnote w:id="61">
    <w:p w:rsidR="00D85CA8" w:rsidRDefault="00D85CA8">
      <w:pPr>
        <w:pStyle w:val="FootnoteText"/>
      </w:pPr>
      <w:r>
        <w:rPr>
          <w:rStyle w:val="FootnoteReference"/>
        </w:rPr>
        <w:footnoteRef/>
      </w:r>
      <w:r>
        <w:t xml:space="preserve"> See footnote 1 at p79.</w:t>
      </w:r>
    </w:p>
  </w:footnote>
  <w:footnote w:id="62">
    <w:p w:rsidR="00D85CA8" w:rsidRDefault="00D85CA8">
      <w:pPr>
        <w:pStyle w:val="FootnoteText"/>
      </w:pPr>
      <w:r>
        <w:rPr>
          <w:rStyle w:val="FootnoteReference"/>
        </w:rPr>
        <w:footnoteRef/>
      </w:r>
      <w:r>
        <w:t xml:space="preserve"> M </w:t>
      </w:r>
      <w:r w:rsidRPr="00E95ED4">
        <w:t xml:space="preserve">Friedman </w:t>
      </w:r>
      <w:r>
        <w:t>‘</w:t>
      </w:r>
      <w:r w:rsidRPr="00E95ED4">
        <w:t>Capitalism and Freedom</w:t>
      </w:r>
      <w:r>
        <w:t>’ (1962)</w:t>
      </w:r>
      <w:r w:rsidRPr="00E95ED4">
        <w:t>, University of Chicago Press: Chicago</w:t>
      </w:r>
      <w:r>
        <w:t xml:space="preserve">. </w:t>
      </w:r>
    </w:p>
  </w:footnote>
  <w:footnote w:id="63">
    <w:p w:rsidR="00D85CA8" w:rsidRDefault="00D85CA8">
      <w:pPr>
        <w:pStyle w:val="FootnoteText"/>
      </w:pPr>
      <w:r>
        <w:rPr>
          <w:rStyle w:val="FootnoteReference"/>
        </w:rPr>
        <w:footnoteRef/>
      </w:r>
      <w:r>
        <w:t xml:space="preserve"> Sections 16 and 21 of the 1933 Banking Act.</w:t>
      </w:r>
    </w:p>
  </w:footnote>
  <w:footnote w:id="64">
    <w:p w:rsidR="00D85CA8" w:rsidRDefault="00D85CA8">
      <w:pPr>
        <w:pStyle w:val="FootnoteText"/>
      </w:pPr>
      <w:r>
        <w:rPr>
          <w:rStyle w:val="FootnoteReference"/>
        </w:rPr>
        <w:footnoteRef/>
      </w:r>
      <w:r>
        <w:t xml:space="preserve"> The implementation of Sections 23A and 23B of the Federal Reserve Act 1933. </w:t>
      </w:r>
    </w:p>
  </w:footnote>
  <w:footnote w:id="65">
    <w:p w:rsidR="00D85CA8" w:rsidRDefault="00D85CA8">
      <w:pPr>
        <w:pStyle w:val="FootnoteText"/>
      </w:pPr>
      <w:r>
        <w:rPr>
          <w:rStyle w:val="FootnoteReference"/>
        </w:rPr>
        <w:footnoteRef/>
      </w:r>
      <w:r>
        <w:t xml:space="preserve"> Section 608 of the Dodd-Frank Wall Street Reform and Consumer Protection Act 2010.</w:t>
      </w:r>
    </w:p>
  </w:footnote>
  <w:footnote w:id="66">
    <w:p w:rsidR="00D85CA8" w:rsidRDefault="00D85CA8">
      <w:pPr>
        <w:pStyle w:val="FootnoteText"/>
      </w:pPr>
      <w:r>
        <w:rPr>
          <w:rStyle w:val="FootnoteReference"/>
        </w:rPr>
        <w:footnoteRef/>
      </w:r>
      <w:r>
        <w:t xml:space="preserve"> Group of Thirty ‘Financial Reform – A Framework for Financial Stability’ wwwgroup30.org.</w:t>
      </w:r>
    </w:p>
  </w:footnote>
  <w:footnote w:id="67">
    <w:p w:rsidR="00D85CA8" w:rsidRDefault="00D85CA8" w:rsidP="00217488">
      <w:pPr>
        <w:pStyle w:val="FootnoteText"/>
        <w:ind w:left="142" w:hanging="142"/>
      </w:pPr>
      <w:r>
        <w:rPr>
          <w:rStyle w:val="FootnoteReference"/>
        </w:rPr>
        <w:footnoteRef/>
      </w:r>
      <w:r>
        <w:t xml:space="preserve"> L J White ‘Lessons from the Debacle of ’07-08’ for Financial Regulation and its overhaul (2008) unpublished paper. </w:t>
      </w:r>
    </w:p>
  </w:footnote>
  <w:footnote w:id="68">
    <w:p w:rsidR="00D85CA8" w:rsidRDefault="00D85CA8">
      <w:pPr>
        <w:pStyle w:val="FootnoteText"/>
      </w:pPr>
      <w:r>
        <w:rPr>
          <w:rStyle w:val="FootnoteReference"/>
        </w:rPr>
        <w:footnoteRef/>
      </w:r>
      <w:r>
        <w:t xml:space="preserve"> H-W Sinn ‘A new Glass Steagall Act’ 4</w:t>
      </w:r>
      <w:r w:rsidRPr="00E52EF9">
        <w:rPr>
          <w:vertAlign w:val="superscript"/>
        </w:rPr>
        <w:t>th</w:t>
      </w:r>
      <w:r>
        <w:t xml:space="preserve"> March 2010 wwwvoxeu.org.</w:t>
      </w:r>
    </w:p>
  </w:footnote>
  <w:footnote w:id="69">
    <w:p w:rsidR="00D85CA8" w:rsidRDefault="00D85CA8" w:rsidP="00217488">
      <w:pPr>
        <w:pStyle w:val="FootnoteText"/>
        <w:ind w:left="142" w:hanging="142"/>
      </w:pPr>
      <w:r>
        <w:rPr>
          <w:rStyle w:val="FootnoteReference"/>
        </w:rPr>
        <w:footnoteRef/>
      </w:r>
      <w:r>
        <w:t xml:space="preserve"> LJ White ‘The Gramm-Leach-Bliley Act of 1999: A Bridge too far, Or not far enough’ (2010) Suffolk University Law Review 43 4.</w:t>
      </w:r>
    </w:p>
  </w:footnote>
  <w:footnote w:id="70">
    <w:p w:rsidR="00D85CA8" w:rsidRDefault="00D85CA8">
      <w:pPr>
        <w:pStyle w:val="FootnoteText"/>
      </w:pPr>
      <w:r>
        <w:rPr>
          <w:rStyle w:val="FootnoteReference"/>
        </w:rPr>
        <w:footnoteRef/>
      </w:r>
      <w:r>
        <w:t xml:space="preserve"> French law no. 2013-672 of 26</w:t>
      </w:r>
      <w:r w:rsidRPr="00A116C6">
        <w:rPr>
          <w:vertAlign w:val="superscript"/>
        </w:rPr>
        <w:t>th</w:t>
      </w:r>
      <w:r>
        <w:t xml:space="preserve"> July 2013 on the separation and regulation of banking activities.</w:t>
      </w:r>
    </w:p>
  </w:footnote>
  <w:footnote w:id="71">
    <w:p w:rsidR="00D85CA8" w:rsidRDefault="00D85CA8" w:rsidP="00940247">
      <w:pPr>
        <w:pStyle w:val="FootnoteText"/>
        <w:ind w:left="142" w:hanging="142"/>
      </w:pPr>
      <w:r>
        <w:rPr>
          <w:rStyle w:val="FootnoteReference"/>
        </w:rPr>
        <w:footnoteRef/>
      </w:r>
      <w:r>
        <w:t xml:space="preserve"> Trennbankengesetz (German Bank separation Law) in Article 2 of the Gesetz zur Abschirmung von Risiken und zur Planung der Sanierung und Abwicklung von Kreditinstituten und Finanzgruppen (Law concerning Separation of Risks and Restructuring and Winding-up of Credit Institutions and Financial Groups), BGBI, 2013 I Nr 47,3090. </w:t>
      </w:r>
    </w:p>
  </w:footnote>
  <w:footnote w:id="72">
    <w:p w:rsidR="00D85CA8" w:rsidRDefault="00D85CA8">
      <w:pPr>
        <w:pStyle w:val="FootnoteText"/>
      </w:pPr>
      <w:r>
        <w:rPr>
          <w:rStyle w:val="FootnoteReference"/>
        </w:rPr>
        <w:footnoteRef/>
      </w:r>
      <w:r>
        <w:t xml:space="preserve"> International Monetary Fund ‘Global Financial Stability Report’ October 2012, Washington DC.</w:t>
      </w:r>
    </w:p>
  </w:footnote>
  <w:footnote w:id="73">
    <w:p w:rsidR="00D85CA8" w:rsidRDefault="00D85CA8" w:rsidP="00217488">
      <w:pPr>
        <w:pStyle w:val="FootnoteText"/>
        <w:ind w:left="142" w:hanging="142"/>
      </w:pPr>
      <w:r>
        <w:rPr>
          <w:rStyle w:val="FootnoteReference"/>
        </w:rPr>
        <w:footnoteRef/>
      </w:r>
      <w:r>
        <w:t xml:space="preserve"> D Duffie ‘Drawing boundaries around and through the banking system’ (2012), in World Economic Forum (ed), The Financial Development Report 39-46; See also IMF 2011 ref.</w:t>
      </w:r>
    </w:p>
  </w:footnote>
  <w:footnote w:id="74">
    <w:p w:rsidR="00D85CA8" w:rsidRDefault="00D85CA8" w:rsidP="0039317E">
      <w:pPr>
        <w:pStyle w:val="FootnoteText"/>
        <w:ind w:left="142" w:hanging="142"/>
      </w:pPr>
      <w:r>
        <w:rPr>
          <w:rStyle w:val="FootnoteReference"/>
        </w:rPr>
        <w:footnoteRef/>
      </w:r>
      <w:r>
        <w:t xml:space="preserve"> R Litan ‘What should banks do? (1987) The Brookings Institution: Washington DC; J Pierce ‘The Future of Banking’ (1991) Yale University Press: New Haven, CT.</w:t>
      </w:r>
    </w:p>
  </w:footnote>
  <w:footnote w:id="75">
    <w:p w:rsidR="00D85CA8" w:rsidRDefault="00D85CA8" w:rsidP="005D2A5A">
      <w:pPr>
        <w:pStyle w:val="FootnoteText"/>
        <w:ind w:left="142" w:hanging="142"/>
      </w:pPr>
      <w:r>
        <w:rPr>
          <w:rStyle w:val="FootnoteReference"/>
        </w:rPr>
        <w:footnoteRef/>
      </w:r>
      <w:r>
        <w:t xml:space="preserve"> J Vickers ‘Some economics of banking reform’ paper prepared for the Angelo Costa Lecture in Economics, Rome 11</w:t>
      </w:r>
      <w:r w:rsidRPr="005D2A5A">
        <w:rPr>
          <w:vertAlign w:val="superscript"/>
        </w:rPr>
        <w:t>th</w:t>
      </w:r>
      <w:r>
        <w:t xml:space="preserve"> December 2012. </w:t>
      </w:r>
    </w:p>
  </w:footnote>
  <w:footnote w:id="76">
    <w:p w:rsidR="00D85CA8" w:rsidRDefault="00D85CA8" w:rsidP="0039317E">
      <w:pPr>
        <w:pStyle w:val="FootnoteText"/>
        <w:ind w:left="142" w:hanging="142"/>
      </w:pPr>
      <w:r>
        <w:rPr>
          <w:rStyle w:val="FootnoteReference"/>
        </w:rPr>
        <w:footnoteRef/>
      </w:r>
      <w:r>
        <w:t xml:space="preserve"> L Bryan ‘Core Banking’ (1991) McKinsey Quarterly; J Kay ‘Narrow banking: the reform of banking regulation’ (2009), unpublished.</w:t>
      </w:r>
    </w:p>
  </w:footnote>
  <w:footnote w:id="77">
    <w:p w:rsidR="00D85CA8" w:rsidRDefault="00D85CA8" w:rsidP="00281427">
      <w:pPr>
        <w:pStyle w:val="FootnoteText"/>
        <w:ind w:left="142" w:hanging="142"/>
      </w:pPr>
      <w:r>
        <w:rPr>
          <w:rStyle w:val="FootnoteReference"/>
        </w:rPr>
        <w:footnoteRef/>
      </w:r>
      <w:r>
        <w:t xml:space="preserve"> J Noss and R Sowerbutts ‘The implicit subsidy of banks’ Bank of England Financial Stability Paper No, 15, May 2012.</w:t>
      </w:r>
    </w:p>
  </w:footnote>
  <w:footnote w:id="78">
    <w:p w:rsidR="00D85CA8" w:rsidRDefault="00D85CA8" w:rsidP="0039317E">
      <w:pPr>
        <w:pStyle w:val="FootnoteText"/>
        <w:ind w:left="142" w:hanging="142"/>
      </w:pPr>
      <w:r>
        <w:rPr>
          <w:rStyle w:val="FootnoteReference"/>
        </w:rPr>
        <w:footnoteRef/>
      </w:r>
      <w:r>
        <w:t xml:space="preserve"> CK Whitehead ‘The Volcker Rule and Evolving Financial Markets’ (2011) Harvard Business Law Review 40-72.</w:t>
      </w:r>
    </w:p>
  </w:footnote>
  <w:footnote w:id="79">
    <w:p w:rsidR="00D85CA8" w:rsidRDefault="00D85CA8" w:rsidP="00743165">
      <w:pPr>
        <w:pStyle w:val="FootnoteText"/>
      </w:pPr>
      <w:r>
        <w:rPr>
          <w:rStyle w:val="FootnoteReference"/>
        </w:rPr>
        <w:footnoteRef/>
      </w:r>
      <w:r>
        <w:t xml:space="preserve"> J Stiglitz ‘Capitalist Fools’ (2009) Vanity Fair 51 1 48.</w:t>
      </w:r>
    </w:p>
  </w:footnote>
  <w:footnote w:id="80">
    <w:p w:rsidR="00D85CA8" w:rsidRDefault="00D85CA8">
      <w:pPr>
        <w:pStyle w:val="FootnoteText"/>
      </w:pPr>
      <w:r>
        <w:rPr>
          <w:rStyle w:val="FootnoteReference"/>
        </w:rPr>
        <w:footnoteRef/>
      </w:r>
      <w:r>
        <w:t xml:space="preserve"> A Greenspan ‘The Age of Turbulence’ (2008) Penguin Books: London.</w:t>
      </w:r>
    </w:p>
  </w:footnote>
  <w:footnote w:id="81">
    <w:p w:rsidR="00D85CA8" w:rsidRDefault="00D85CA8">
      <w:pPr>
        <w:pStyle w:val="FootnoteText"/>
      </w:pPr>
      <w:r>
        <w:rPr>
          <w:rStyle w:val="FootnoteReference"/>
        </w:rPr>
        <w:footnoteRef/>
      </w:r>
      <w:r>
        <w:t xml:space="preserve"> Section 619 of the Dodd-Frank Wall Street Reform and Consumer Protection Act of 2010.</w:t>
      </w:r>
    </w:p>
  </w:footnote>
  <w:footnote w:id="82">
    <w:p w:rsidR="00D85CA8" w:rsidRDefault="00D85CA8">
      <w:pPr>
        <w:pStyle w:val="FootnoteText"/>
      </w:pPr>
      <w:r>
        <w:rPr>
          <w:rStyle w:val="FootnoteReference"/>
        </w:rPr>
        <w:footnoteRef/>
      </w:r>
      <w:r>
        <w:t xml:space="preserve"> See footnote 75.</w:t>
      </w:r>
    </w:p>
  </w:footnote>
  <w:footnote w:id="83">
    <w:p w:rsidR="00D85CA8" w:rsidRDefault="00D85CA8" w:rsidP="001F350E">
      <w:pPr>
        <w:pStyle w:val="FootnoteText"/>
        <w:ind w:left="142" w:hanging="142"/>
      </w:pPr>
      <w:r>
        <w:rPr>
          <w:rStyle w:val="FootnoteReference"/>
        </w:rPr>
        <w:footnoteRef/>
      </w:r>
      <w:r w:rsidRPr="001F350E">
        <w:rPr>
          <w:bCs/>
        </w:rPr>
        <w:t>High</w:t>
      </w:r>
      <w:r w:rsidRPr="001F350E">
        <w:t>-</w:t>
      </w:r>
      <w:r w:rsidRPr="001F350E">
        <w:rPr>
          <w:bCs/>
        </w:rPr>
        <w:t>level Expert Group</w:t>
      </w:r>
      <w:r w:rsidRPr="001F350E">
        <w:t xml:space="preserve"> on reforming the structure of the EU banking sector</w:t>
      </w:r>
      <w:r>
        <w:t xml:space="preserve">, final report, 2 October 2012 - the Liikanen Report. </w:t>
      </w:r>
    </w:p>
  </w:footnote>
  <w:footnote w:id="84">
    <w:p w:rsidR="00D85CA8" w:rsidRDefault="00D85CA8" w:rsidP="0039317E">
      <w:pPr>
        <w:pStyle w:val="FootnoteText"/>
        <w:ind w:left="142" w:hanging="142"/>
      </w:pPr>
      <w:r>
        <w:rPr>
          <w:rStyle w:val="FootnoteReference"/>
        </w:rPr>
        <w:footnoteRef/>
      </w:r>
      <w:r>
        <w:t xml:space="preserve"> Council of the European Union ‘Proposal for a Regulation of the European Parliament and of the Council on Structural measures improving the resilience of EU credit institutions, Recital 4 12 June 2015.</w:t>
      </w:r>
    </w:p>
  </w:footnote>
  <w:footnote w:id="85">
    <w:p w:rsidR="00D85CA8" w:rsidRDefault="00D85CA8" w:rsidP="002B0637">
      <w:pPr>
        <w:pStyle w:val="FootnoteText"/>
        <w:ind w:left="284" w:hanging="284"/>
      </w:pPr>
      <w:r>
        <w:rPr>
          <w:rStyle w:val="FootnoteReference"/>
        </w:rPr>
        <w:footnoteRef/>
      </w:r>
      <w:r>
        <w:t xml:space="preserve"> Reuters ‘Britain set to win exemption from EU too big to fail banks reform, 15</w:t>
      </w:r>
      <w:r w:rsidRPr="003D5EF2">
        <w:rPr>
          <w:vertAlign w:val="superscript"/>
        </w:rPr>
        <w:t>th</w:t>
      </w:r>
      <w:r>
        <w:t xml:space="preserve"> June 2015, available at </w:t>
      </w:r>
      <w:hyperlink r:id="rId7" w:history="1">
        <w:r w:rsidRPr="006E1381">
          <w:rPr>
            <w:rStyle w:val="Hyperlink"/>
          </w:rPr>
          <w:t>http://www.reuters.com/article/2015/06/15/eu-banks-regulations-idUSL5N0Z13LF20150615</w:t>
        </w:r>
      </w:hyperlink>
      <w:r>
        <w:t xml:space="preserve"> (last accessed on 29th August 2015).</w:t>
      </w:r>
    </w:p>
  </w:footnote>
  <w:footnote w:id="86">
    <w:p w:rsidR="00D85CA8" w:rsidRDefault="00D85CA8">
      <w:pPr>
        <w:pStyle w:val="FootnoteText"/>
      </w:pPr>
      <w:r>
        <w:rPr>
          <w:rStyle w:val="FootnoteReference"/>
        </w:rPr>
        <w:footnoteRef/>
      </w:r>
      <w:r>
        <w:t xml:space="preserve"> See footnote 84.</w:t>
      </w:r>
    </w:p>
  </w:footnote>
  <w:footnote w:id="87">
    <w:p w:rsidR="00D85CA8" w:rsidRDefault="00D85CA8" w:rsidP="004270D2">
      <w:pPr>
        <w:pStyle w:val="FootnoteText"/>
        <w:ind w:left="142" w:hanging="142"/>
      </w:pPr>
      <w:r>
        <w:rPr>
          <w:rStyle w:val="FootnoteReference"/>
        </w:rPr>
        <w:footnoteRef/>
      </w:r>
      <w:r>
        <w:t xml:space="preserve"> See footnote 7. </w:t>
      </w:r>
    </w:p>
  </w:footnote>
  <w:footnote w:id="88">
    <w:p w:rsidR="00D85CA8" w:rsidRDefault="00D85CA8" w:rsidP="00281427">
      <w:pPr>
        <w:pStyle w:val="FootnoteText"/>
        <w:ind w:left="142" w:hanging="142"/>
      </w:pPr>
      <w:r>
        <w:rPr>
          <w:rStyle w:val="FootnoteReference"/>
        </w:rPr>
        <w:footnoteRef/>
      </w:r>
      <w:r w:rsidRPr="009D1C80">
        <w:t>A R Sorkin ‘Too Big to Fail’ (2010) Penguin Books: London; I Moosa ‘The myth of too big to fail’ (2010) Journal of Banking Regulation 11, 4 319-333.</w:t>
      </w:r>
    </w:p>
  </w:footnote>
  <w:footnote w:id="89">
    <w:p w:rsidR="00D85CA8" w:rsidRDefault="00D85CA8" w:rsidP="008B42F6">
      <w:pPr>
        <w:pStyle w:val="FootnoteText"/>
        <w:tabs>
          <w:tab w:val="left" w:pos="284"/>
        </w:tabs>
        <w:ind w:left="142" w:hanging="142"/>
      </w:pPr>
      <w:r>
        <w:rPr>
          <w:rStyle w:val="FootnoteReference"/>
        </w:rPr>
        <w:footnoteRef/>
      </w:r>
      <w:r>
        <w:t xml:space="preserve"> See footnote 8.   </w:t>
      </w:r>
    </w:p>
  </w:footnote>
  <w:footnote w:id="90">
    <w:p w:rsidR="00D85CA8" w:rsidRDefault="00D85CA8" w:rsidP="00D3738A">
      <w:pPr>
        <w:pStyle w:val="FootnoteText"/>
        <w:ind w:left="142" w:hanging="142"/>
      </w:pPr>
      <w:r>
        <w:rPr>
          <w:rStyle w:val="FootnoteReference"/>
        </w:rPr>
        <w:footnoteRef/>
      </w:r>
      <w:r>
        <w:t xml:space="preserve"> HM Treasury / Department for Business Innovation and Skills ‘The government response to the Independent Commission on Banking’ December 2011.</w:t>
      </w:r>
    </w:p>
  </w:footnote>
  <w:footnote w:id="91">
    <w:p w:rsidR="00D85CA8" w:rsidRDefault="00D85CA8" w:rsidP="0039317E">
      <w:pPr>
        <w:pStyle w:val="FootnoteText"/>
        <w:ind w:left="142" w:hanging="142"/>
      </w:pPr>
      <w:r>
        <w:rPr>
          <w:rStyle w:val="FootnoteReference"/>
        </w:rPr>
        <w:footnoteRef/>
      </w:r>
      <w:r>
        <w:t xml:space="preserve"> HM Treasury / Department for Business Innovation and Skills ‘Banking Reform: delivering stability and supporting a sustainable economy’ June 2012.</w:t>
      </w:r>
    </w:p>
  </w:footnote>
  <w:footnote w:id="92">
    <w:p w:rsidR="00D85CA8" w:rsidRDefault="00D85CA8" w:rsidP="0039317E">
      <w:pPr>
        <w:pStyle w:val="FootnoteText"/>
        <w:ind w:left="142" w:hanging="142"/>
      </w:pPr>
      <w:r>
        <w:rPr>
          <w:rStyle w:val="FootnoteReference"/>
        </w:rPr>
        <w:footnoteRef/>
      </w:r>
      <w:r>
        <w:t xml:space="preserve"> HM Treasury / Department for Business Innovation and Skills ‘Banking Reform: a new structure for stability and growth’ February 2013.</w:t>
      </w:r>
    </w:p>
  </w:footnote>
  <w:footnote w:id="93">
    <w:p w:rsidR="00D85CA8" w:rsidRDefault="00D85CA8" w:rsidP="00033DAE">
      <w:pPr>
        <w:pStyle w:val="FootnoteText"/>
        <w:ind w:left="142" w:hanging="142"/>
      </w:pPr>
      <w:r>
        <w:rPr>
          <w:rStyle w:val="FootnoteReference"/>
        </w:rPr>
        <w:footnoteRef/>
      </w:r>
      <w:r>
        <w:t xml:space="preserve"> PRA Consultation Paper 19/14 ‘</w:t>
      </w:r>
      <w:r w:rsidRPr="00033DAE">
        <w:t>The implementation of ring-fencing: consultation on legal structure, governance and the continuity of services and facilities</w:t>
      </w:r>
      <w:r>
        <w:t>’ and corresponding PRA Policy Statement 10/15.</w:t>
      </w:r>
    </w:p>
  </w:footnote>
  <w:footnote w:id="94">
    <w:p w:rsidR="00D85CA8" w:rsidRDefault="00D85CA8" w:rsidP="0039317E">
      <w:pPr>
        <w:pStyle w:val="FootnoteText"/>
        <w:ind w:left="142" w:hanging="142"/>
      </w:pPr>
      <w:r>
        <w:rPr>
          <w:rStyle w:val="FootnoteReference"/>
        </w:rPr>
        <w:footnoteRef/>
      </w:r>
      <w:r>
        <w:t xml:space="preserve"> SI 2014/1960 - The Financial Services and Markets Act 2000 (Ring-fenced Bodies and Core Activities) Order, available at </w:t>
      </w:r>
      <w:hyperlink r:id="rId8" w:history="1">
        <w:r w:rsidRPr="00B17872">
          <w:rPr>
            <w:rStyle w:val="Hyperlink"/>
          </w:rPr>
          <w:t>http://www.legislation.gov.uk/uksi/2014/1960/pdfs/uksi_20141960_en.pdf</w:t>
        </w:r>
      </w:hyperlink>
      <w:r>
        <w:t xml:space="preserve"> (last accessed 27th July 2015).</w:t>
      </w:r>
    </w:p>
  </w:footnote>
  <w:footnote w:id="95">
    <w:p w:rsidR="00D85CA8" w:rsidRDefault="00D85CA8" w:rsidP="0039317E">
      <w:pPr>
        <w:pStyle w:val="FootnoteText"/>
        <w:ind w:left="142" w:hanging="142"/>
      </w:pPr>
      <w:r>
        <w:rPr>
          <w:rStyle w:val="FootnoteReference"/>
        </w:rPr>
        <w:footnoteRef/>
      </w:r>
      <w:r>
        <w:t xml:space="preserve"> SI 2014/2080 – The Financial Services and Markets Act 2000 (Excluded Activities and Prohibitions Order, available at </w:t>
      </w:r>
      <w:hyperlink r:id="rId9" w:history="1">
        <w:r w:rsidRPr="00B17872">
          <w:rPr>
            <w:rStyle w:val="Hyperlink"/>
          </w:rPr>
          <w:t>http://www.legislation.gov.uk/uksi/2014/2080/pdfs/uksi_20142080_en.pdf</w:t>
        </w:r>
      </w:hyperlink>
      <w:r>
        <w:t xml:space="preserve"> (last accessed 25th July 2015). </w:t>
      </w:r>
    </w:p>
  </w:footnote>
  <w:footnote w:id="96">
    <w:p w:rsidR="00D85CA8" w:rsidRDefault="00D85CA8" w:rsidP="0039317E">
      <w:pPr>
        <w:pStyle w:val="FootnoteText"/>
        <w:ind w:left="142" w:hanging="142"/>
      </w:pPr>
      <w:r>
        <w:rPr>
          <w:rStyle w:val="FootnoteReference"/>
        </w:rPr>
        <w:footnoteRef/>
      </w:r>
      <w:r>
        <w:t xml:space="preserve"> Financial Services and Markets Act 2000, as amended by the Financial Services (Banking Reform) Act 2013.</w:t>
      </w:r>
    </w:p>
  </w:footnote>
  <w:footnote w:id="97">
    <w:p w:rsidR="00D85CA8" w:rsidRPr="0074539B" w:rsidRDefault="00D85CA8">
      <w:pPr>
        <w:pStyle w:val="FootnoteText"/>
        <w:rPr>
          <w:lang w:val="fr-FR"/>
        </w:rPr>
      </w:pPr>
      <w:r>
        <w:rPr>
          <w:rStyle w:val="FootnoteReference"/>
        </w:rPr>
        <w:footnoteRef/>
      </w:r>
      <w:r w:rsidRPr="0074539B">
        <w:rPr>
          <w:lang w:val="fr-FR"/>
        </w:rPr>
        <w:t xml:space="preserve"> Section 142A(1) FSMA 2000</w:t>
      </w:r>
      <w:r>
        <w:rPr>
          <w:lang w:val="fr-FR"/>
        </w:rPr>
        <w:t>.</w:t>
      </w:r>
    </w:p>
  </w:footnote>
  <w:footnote w:id="98">
    <w:p w:rsidR="00D85CA8" w:rsidRPr="0074539B" w:rsidRDefault="00D85CA8">
      <w:pPr>
        <w:pStyle w:val="FootnoteText"/>
        <w:rPr>
          <w:lang w:val="fr-FR"/>
        </w:rPr>
      </w:pPr>
      <w:r>
        <w:rPr>
          <w:rStyle w:val="FootnoteReference"/>
        </w:rPr>
        <w:footnoteRef/>
      </w:r>
      <w:r w:rsidRPr="0074539B">
        <w:rPr>
          <w:lang w:val="fr-FR"/>
        </w:rPr>
        <w:t xml:space="preserve"> Section 142B(2) FSMA 2000</w:t>
      </w:r>
      <w:r>
        <w:rPr>
          <w:lang w:val="fr-FR"/>
        </w:rPr>
        <w:t>.</w:t>
      </w:r>
    </w:p>
  </w:footnote>
  <w:footnote w:id="99">
    <w:p w:rsidR="00D85CA8" w:rsidRPr="0074539B" w:rsidRDefault="00D85CA8">
      <w:pPr>
        <w:pStyle w:val="FootnoteText"/>
        <w:rPr>
          <w:lang w:val="fr-FR"/>
        </w:rPr>
      </w:pPr>
      <w:r>
        <w:rPr>
          <w:rStyle w:val="FootnoteReference"/>
        </w:rPr>
        <w:footnoteRef/>
      </w:r>
      <w:r w:rsidRPr="0074539B">
        <w:rPr>
          <w:lang w:val="fr-FR"/>
        </w:rPr>
        <w:t xml:space="preserve"> Article 12(1) (a) SI 2014/1960</w:t>
      </w:r>
      <w:r>
        <w:rPr>
          <w:lang w:val="fr-FR"/>
        </w:rPr>
        <w:t>.</w:t>
      </w:r>
    </w:p>
  </w:footnote>
  <w:footnote w:id="100">
    <w:p w:rsidR="00D85CA8" w:rsidRPr="0074539B" w:rsidRDefault="00D85CA8">
      <w:pPr>
        <w:pStyle w:val="FootnoteText"/>
        <w:rPr>
          <w:lang w:val="fr-FR"/>
        </w:rPr>
      </w:pPr>
      <w:r>
        <w:rPr>
          <w:rStyle w:val="FootnoteReference"/>
        </w:rPr>
        <w:footnoteRef/>
      </w:r>
      <w:r w:rsidRPr="0074539B">
        <w:rPr>
          <w:lang w:val="fr-FR"/>
        </w:rPr>
        <w:t xml:space="preserve"> Article 12(1) (b) SI 2014/1960</w:t>
      </w:r>
      <w:r>
        <w:rPr>
          <w:lang w:val="fr-FR"/>
        </w:rPr>
        <w:t>.</w:t>
      </w:r>
    </w:p>
  </w:footnote>
  <w:footnote w:id="101">
    <w:p w:rsidR="00D85CA8" w:rsidRDefault="00D85CA8">
      <w:pPr>
        <w:pStyle w:val="FootnoteText"/>
      </w:pPr>
      <w:r>
        <w:rPr>
          <w:rStyle w:val="FootnoteReference"/>
        </w:rPr>
        <w:footnoteRef/>
      </w:r>
      <w:r>
        <w:t xml:space="preserve"> Section 142C FSMA 2000. </w:t>
      </w:r>
    </w:p>
  </w:footnote>
  <w:footnote w:id="102">
    <w:p w:rsidR="00D85CA8" w:rsidRDefault="00D85CA8">
      <w:pPr>
        <w:pStyle w:val="FootnoteText"/>
      </w:pPr>
      <w:r>
        <w:rPr>
          <w:rStyle w:val="FootnoteReference"/>
        </w:rPr>
        <w:footnoteRef/>
      </w:r>
      <w:r>
        <w:t xml:space="preserve"> Section 2B FSMA 2000, as amended by the Financial Services (Banking Reform) Act 2013.</w:t>
      </w:r>
    </w:p>
  </w:footnote>
  <w:footnote w:id="103">
    <w:p w:rsidR="00D85CA8" w:rsidRDefault="00D85CA8">
      <w:pPr>
        <w:pStyle w:val="FootnoteText"/>
      </w:pPr>
      <w:r>
        <w:rPr>
          <w:rStyle w:val="FootnoteReference"/>
        </w:rPr>
        <w:footnoteRef/>
      </w:r>
      <w:r>
        <w:t xml:space="preserve"> The PRA’s approach to banking supervision, June 2014.</w:t>
      </w:r>
    </w:p>
  </w:footnote>
  <w:footnote w:id="104">
    <w:p w:rsidR="00D85CA8" w:rsidRDefault="00D85CA8">
      <w:pPr>
        <w:pStyle w:val="FootnoteText"/>
      </w:pPr>
      <w:r>
        <w:rPr>
          <w:rStyle w:val="FootnoteReference"/>
        </w:rPr>
        <w:footnoteRef/>
      </w:r>
      <w:r>
        <w:t xml:space="preserve"> See footnote 93.</w:t>
      </w:r>
    </w:p>
  </w:footnote>
  <w:footnote w:id="105">
    <w:p w:rsidR="00D85CA8" w:rsidRDefault="00D85CA8">
      <w:pPr>
        <w:pStyle w:val="FootnoteText"/>
      </w:pPr>
      <w:r>
        <w:rPr>
          <w:rStyle w:val="FootnoteReference"/>
        </w:rPr>
        <w:footnoteRef/>
      </w:r>
      <w:r>
        <w:t xml:space="preserve"> See footnote 93.</w:t>
      </w:r>
    </w:p>
  </w:footnote>
  <w:footnote w:id="106">
    <w:p w:rsidR="00D85CA8" w:rsidRDefault="00D85CA8" w:rsidP="003F7035">
      <w:pPr>
        <w:pStyle w:val="FootnoteText"/>
        <w:ind w:left="284" w:hanging="284"/>
      </w:pPr>
      <w:r>
        <w:rPr>
          <w:rStyle w:val="FootnoteReference"/>
        </w:rPr>
        <w:footnoteRef/>
      </w:r>
      <w:r>
        <w:t xml:space="preserve"> Governance is currently the subject of a general consultation – PRA Consultation Paper 18/15 ‘Corporate Governance: Board Responsibilities, May 2015.</w:t>
      </w:r>
    </w:p>
  </w:footnote>
  <w:footnote w:id="107">
    <w:p w:rsidR="00D85CA8" w:rsidRDefault="00D85CA8" w:rsidP="003F7035">
      <w:pPr>
        <w:pStyle w:val="FootnoteText"/>
        <w:ind w:left="284" w:hanging="284"/>
      </w:pPr>
      <w:r>
        <w:rPr>
          <w:rStyle w:val="FootnoteReference"/>
        </w:rPr>
        <w:footnoteRef/>
      </w:r>
      <w:r>
        <w:t xml:space="preserve"> PRA Consultation Paper CP 20/14 ‘Depositor Protection’, October 2014. Interestingly, on the 1</w:t>
      </w:r>
      <w:r w:rsidRPr="00CA663E">
        <w:rPr>
          <w:vertAlign w:val="superscript"/>
        </w:rPr>
        <w:t>st</w:t>
      </w:r>
      <w:r>
        <w:t xml:space="preserve"> July 2015, the UK depositor protection limit was reduced to £75,000 from £85,000, in line with the UK’s obligation to review the limit relative to the sterling-euro exchange rate every five years.</w:t>
      </w:r>
    </w:p>
  </w:footnote>
  <w:footnote w:id="108">
    <w:p w:rsidR="00D85CA8" w:rsidRDefault="00D85CA8">
      <w:pPr>
        <w:pStyle w:val="FootnoteText"/>
      </w:pPr>
      <w:r>
        <w:rPr>
          <w:rStyle w:val="FootnoteReference"/>
        </w:rPr>
        <w:footnoteRef/>
      </w:r>
      <w:r>
        <w:t xml:space="preserve"> PRA Discussion Paper DP/14 ‘Ensuring operational continuity in resolution’, October 2014.</w:t>
      </w:r>
    </w:p>
  </w:footnote>
  <w:footnote w:id="109">
    <w:p w:rsidR="00D85CA8" w:rsidRDefault="00D85CA8" w:rsidP="003F7035">
      <w:pPr>
        <w:pStyle w:val="FootnoteText"/>
        <w:ind w:left="284" w:hanging="284"/>
      </w:pPr>
      <w:r>
        <w:rPr>
          <w:rStyle w:val="FootnoteReference"/>
        </w:rPr>
        <w:footnoteRef/>
      </w:r>
      <w:r>
        <w:t xml:space="preserve"> House of Lords, Select Committee Economic Affairs ‘Final Report of the Independent Commission on Banking: Report with evidence, December 2011.</w:t>
      </w:r>
    </w:p>
  </w:footnote>
  <w:footnote w:id="110">
    <w:p w:rsidR="00D85CA8" w:rsidRDefault="00D85CA8" w:rsidP="001A61D0">
      <w:pPr>
        <w:pStyle w:val="FootnoteText"/>
        <w:ind w:left="142" w:hanging="142"/>
      </w:pPr>
      <w:r>
        <w:rPr>
          <w:rStyle w:val="FootnoteReference"/>
        </w:rPr>
        <w:footnoteRef/>
      </w:r>
      <w:r>
        <w:t xml:space="preserve"> See footnote 2.  </w:t>
      </w:r>
    </w:p>
  </w:footnote>
  <w:footnote w:id="111">
    <w:p w:rsidR="00D85CA8" w:rsidRDefault="00D85CA8" w:rsidP="001A61D0">
      <w:pPr>
        <w:pStyle w:val="FootnoteText"/>
        <w:ind w:left="142" w:hanging="142"/>
      </w:pPr>
      <w:r>
        <w:rPr>
          <w:rStyle w:val="FootnoteReference"/>
        </w:rPr>
        <w:footnoteRef/>
      </w:r>
      <w:r>
        <w:t xml:space="preserve"> HSBC - </w:t>
      </w:r>
      <w:hyperlink r:id="rId10" w:history="1">
        <w:r w:rsidRPr="00B17872">
          <w:rPr>
            <w:rStyle w:val="Hyperlink"/>
          </w:rPr>
          <w:t>http://www.telegraph.co.uk/finance/newsbysector/banksandfinance/11708964/We-have-better-things-to-do-than-implement-the-ring-fence-says-HSBC.html</w:t>
        </w:r>
      </w:hyperlink>
      <w:r>
        <w:t>, 30</w:t>
      </w:r>
      <w:r w:rsidRPr="00D46B73">
        <w:rPr>
          <w:vertAlign w:val="superscript"/>
        </w:rPr>
        <w:t>th</w:t>
      </w:r>
      <w:r>
        <w:t xml:space="preserve"> June 2015 (last accessed 25</w:t>
      </w:r>
      <w:r w:rsidRPr="00D46B73">
        <w:rPr>
          <w:vertAlign w:val="superscript"/>
        </w:rPr>
        <w:t>th</w:t>
      </w:r>
      <w:r>
        <w:t xml:space="preserve"> July 2015).</w:t>
      </w:r>
    </w:p>
  </w:footnote>
  <w:footnote w:id="112">
    <w:p w:rsidR="00D85CA8" w:rsidRDefault="00D85CA8" w:rsidP="001A61D0">
      <w:pPr>
        <w:pStyle w:val="FootnoteText"/>
        <w:ind w:left="142" w:hanging="142"/>
      </w:pPr>
      <w:r>
        <w:rPr>
          <w:rStyle w:val="FootnoteReference"/>
        </w:rPr>
        <w:footnoteRef/>
      </w:r>
      <w:r>
        <w:t xml:space="preserve"> Lloyds Banking Group - </w:t>
      </w:r>
      <w:hyperlink r:id="rId11" w:history="1">
        <w:r w:rsidRPr="00B17872">
          <w:rPr>
            <w:rStyle w:val="Hyperlink"/>
          </w:rPr>
          <w:t>http://www.telegraph.co.uk/finance/newsbysector/epic/lloy/11678621/Lloyds-boss-to-support-bank-ring-fence.html</w:t>
        </w:r>
      </w:hyperlink>
      <w:r>
        <w:t>, 16</w:t>
      </w:r>
      <w:r w:rsidRPr="00D46B73">
        <w:rPr>
          <w:vertAlign w:val="superscript"/>
        </w:rPr>
        <w:t>th</w:t>
      </w:r>
      <w:r>
        <w:t xml:space="preserve"> June 2015 (last accessed 25</w:t>
      </w:r>
      <w:r w:rsidRPr="00D46B73">
        <w:rPr>
          <w:vertAlign w:val="superscript"/>
        </w:rPr>
        <w:t>th</w:t>
      </w:r>
      <w:r>
        <w:t xml:space="preserve"> July 2015).</w:t>
      </w:r>
    </w:p>
  </w:footnote>
  <w:footnote w:id="113">
    <w:p w:rsidR="00D85CA8" w:rsidRDefault="00D85CA8" w:rsidP="001A61D0">
      <w:pPr>
        <w:pStyle w:val="FootnoteText"/>
        <w:ind w:left="142" w:hanging="142"/>
      </w:pPr>
      <w:r>
        <w:rPr>
          <w:rStyle w:val="FootnoteReference"/>
        </w:rPr>
        <w:footnoteRef/>
      </w:r>
      <w:r>
        <w:t xml:space="preserve"> Santander – ‘Santander unveils plans for ring-fenced UK business’ FT, 30 June 2015, available at </w:t>
      </w:r>
      <w:hyperlink r:id="rId12" w:anchor="axzz3guVu7owc" w:history="1">
        <w:r w:rsidRPr="00B17872">
          <w:rPr>
            <w:rStyle w:val="Hyperlink"/>
          </w:rPr>
          <w:t>http://www.ft.com/cms/s/0/29f03582-1f3c-11e5-aa5a-398b2169cf79.html#axzz3guVu7owc</w:t>
        </w:r>
      </w:hyperlink>
      <w:r>
        <w:t xml:space="preserve"> (last accessed 25</w:t>
      </w:r>
      <w:r w:rsidRPr="000D33AB">
        <w:rPr>
          <w:vertAlign w:val="superscript"/>
        </w:rPr>
        <w:t>th</w:t>
      </w:r>
      <w:r>
        <w:t xml:space="preserve"> July 2015).  </w:t>
      </w:r>
    </w:p>
  </w:footnote>
  <w:footnote w:id="114">
    <w:p w:rsidR="00D85CA8" w:rsidRDefault="00D85CA8">
      <w:pPr>
        <w:pStyle w:val="FootnoteText"/>
      </w:pPr>
      <w:r>
        <w:rPr>
          <w:rStyle w:val="FootnoteReference"/>
        </w:rPr>
        <w:footnoteRef/>
      </w:r>
      <w:r>
        <w:t xml:space="preserve"> A bank re-structuring and /or transfer that requires approval of the High Court.</w:t>
      </w:r>
    </w:p>
  </w:footnote>
  <w:footnote w:id="115">
    <w:p w:rsidR="00D85CA8" w:rsidRDefault="00D85CA8" w:rsidP="00026BDB">
      <w:pPr>
        <w:pStyle w:val="FootnoteText"/>
        <w:ind w:left="284" w:hanging="284"/>
      </w:pPr>
      <w:r>
        <w:rPr>
          <w:rStyle w:val="FootnoteReference"/>
        </w:rPr>
        <w:footnoteRef/>
      </w:r>
      <w:r>
        <w:t xml:space="preserve"> HM Treasury ‘Financial Services (Banking Reform) Bill, Government Amendments: Group Restructuring Powers (‘Electrification’)’; Sections 142K – N FSMA 2000.</w:t>
      </w:r>
    </w:p>
  </w:footnote>
  <w:footnote w:id="116">
    <w:p w:rsidR="00D85CA8" w:rsidRDefault="00D85CA8">
      <w:pPr>
        <w:pStyle w:val="FootnoteText"/>
      </w:pPr>
      <w:r>
        <w:rPr>
          <w:rStyle w:val="FootnoteReference"/>
        </w:rPr>
        <w:footnoteRef/>
      </w:r>
      <w:r>
        <w:t xml:space="preserve"> FSMA 2000, Schedule 6; FCA Handbook Cond. </w:t>
      </w:r>
    </w:p>
  </w:footnote>
  <w:footnote w:id="117">
    <w:p w:rsidR="00D85CA8" w:rsidRDefault="00D85CA8" w:rsidP="001A61D0">
      <w:pPr>
        <w:pStyle w:val="FootnoteText"/>
        <w:ind w:left="284" w:hanging="284"/>
      </w:pPr>
      <w:r>
        <w:rPr>
          <w:rStyle w:val="FootnoteReference"/>
        </w:rPr>
        <w:footnoteRef/>
      </w:r>
      <w:r>
        <w:t xml:space="preserve"> Application form for banks (and guidance notes), available at </w:t>
      </w:r>
      <w:hyperlink r:id="rId13" w:history="1">
        <w:r w:rsidRPr="00B17872">
          <w:rPr>
            <w:rStyle w:val="Hyperlink"/>
          </w:rPr>
          <w:t>http://www.bankofengland.co.uk/pra/Pages/authorisations/newfirm/default.aspx</w:t>
        </w:r>
      </w:hyperlink>
      <w:r>
        <w:t xml:space="preserve"> (last accessed 25th July 2015.</w:t>
      </w:r>
    </w:p>
  </w:footnote>
  <w:footnote w:id="118">
    <w:p w:rsidR="00D85CA8" w:rsidRDefault="00D85CA8">
      <w:pPr>
        <w:pStyle w:val="FootnoteText"/>
      </w:pPr>
      <w:r>
        <w:rPr>
          <w:rStyle w:val="FootnoteReference"/>
        </w:rPr>
        <w:footnoteRef/>
      </w:r>
      <w:r>
        <w:t xml:space="preserve"> See footnote 93.</w:t>
      </w:r>
    </w:p>
  </w:footnote>
  <w:footnote w:id="119">
    <w:p w:rsidR="00D85CA8" w:rsidRDefault="00D85CA8" w:rsidP="001A61D0">
      <w:pPr>
        <w:pStyle w:val="FootnoteText"/>
        <w:ind w:left="284" w:hanging="284"/>
      </w:pPr>
      <w:r>
        <w:rPr>
          <w:rStyle w:val="FootnoteReference"/>
        </w:rPr>
        <w:footnoteRef/>
      </w:r>
      <w:r>
        <w:t xml:space="preserve"> House of Lords Official Report (Hansard) (session 2013-14) Debate on Financial Services (Banking Reform) Bill, Committee Stage, 8 October 2013, cc35.</w:t>
      </w:r>
    </w:p>
  </w:footnote>
  <w:footnote w:id="120">
    <w:p w:rsidR="00D85CA8" w:rsidRDefault="00D85CA8">
      <w:pPr>
        <w:pStyle w:val="FootnoteText"/>
      </w:pPr>
      <w:r>
        <w:rPr>
          <w:rStyle w:val="FootnoteReference"/>
        </w:rPr>
        <w:footnoteRef/>
      </w:r>
      <w:r>
        <w:t xml:space="preserve"> See footnote 93.</w:t>
      </w:r>
    </w:p>
  </w:footnote>
  <w:footnote w:id="121">
    <w:p w:rsidR="00D85CA8" w:rsidRDefault="00D85CA8" w:rsidP="001A61D0">
      <w:pPr>
        <w:pStyle w:val="FootnoteText"/>
        <w:ind w:left="284" w:hanging="284"/>
      </w:pPr>
      <w:r>
        <w:rPr>
          <w:rStyle w:val="FootnoteReference"/>
        </w:rPr>
        <w:footnoteRef/>
      </w:r>
      <w:r>
        <w:t xml:space="preserve"> See footnote 95.</w:t>
      </w:r>
    </w:p>
  </w:footnote>
  <w:footnote w:id="122">
    <w:p w:rsidR="00D85CA8" w:rsidRPr="00FC4B23" w:rsidRDefault="00D85CA8" w:rsidP="001A61D0">
      <w:pPr>
        <w:pStyle w:val="FootnoteText"/>
        <w:ind w:left="284" w:hanging="284"/>
      </w:pPr>
      <w:r w:rsidRPr="00FC4B23">
        <w:rPr>
          <w:rStyle w:val="FootnoteReference"/>
        </w:rPr>
        <w:footnoteRef/>
      </w:r>
      <w:r w:rsidRPr="00FC4B23">
        <w:t>Commission</w:t>
      </w:r>
      <w:r w:rsidRPr="00FC4B23">
        <w:rPr>
          <w:lang w:eastAsia="en-GB"/>
        </w:rPr>
        <w:t xml:space="preserve"> interpretative Communication — Freedom to provide services and the</w:t>
      </w:r>
      <w:r>
        <w:rPr>
          <w:lang w:eastAsia="en-GB"/>
        </w:rPr>
        <w:t xml:space="preserve"> </w:t>
      </w:r>
      <w:r w:rsidRPr="00FC4B23">
        <w:rPr>
          <w:lang w:eastAsia="en-GB"/>
        </w:rPr>
        <w:t>interest of the general good in the Second Banking Directive</w:t>
      </w:r>
      <w:r w:rsidRPr="00FC4B23">
        <w:t xml:space="preserve"> 97C</w:t>
      </w:r>
      <w:r w:rsidRPr="00FC4B23">
        <w:rPr>
          <w:lang w:eastAsia="en-GB"/>
        </w:rPr>
        <w:t xml:space="preserve"> 97/C 209/04</w:t>
      </w:r>
      <w:r>
        <w:rPr>
          <w:lang w:eastAsia="en-GB"/>
        </w:rPr>
        <w:t>.</w:t>
      </w:r>
    </w:p>
  </w:footnote>
  <w:footnote w:id="123">
    <w:p w:rsidR="00D85CA8" w:rsidRDefault="00D85CA8">
      <w:pPr>
        <w:pStyle w:val="FootnoteText"/>
      </w:pPr>
      <w:r>
        <w:rPr>
          <w:rStyle w:val="FootnoteReference"/>
        </w:rPr>
        <w:footnoteRef/>
      </w:r>
      <w:r>
        <w:t xml:space="preserve"> CRD IV Articles 88 and 91</w:t>
      </w:r>
    </w:p>
  </w:footnote>
  <w:footnote w:id="124">
    <w:p w:rsidR="00D85CA8" w:rsidRDefault="00D85CA8">
      <w:pPr>
        <w:pStyle w:val="FootnoteText"/>
      </w:pPr>
      <w:r>
        <w:rPr>
          <w:rStyle w:val="FootnoteReference"/>
        </w:rPr>
        <w:footnoteRef/>
      </w:r>
      <w:r>
        <w:t xml:space="preserve"> Section 142H (5) (d) FSMA 2000, as amended by the FSBRA 2013. </w:t>
      </w:r>
    </w:p>
  </w:footnote>
  <w:footnote w:id="125">
    <w:p w:rsidR="00D85CA8" w:rsidRDefault="00D85CA8">
      <w:pPr>
        <w:pStyle w:val="FootnoteText"/>
      </w:pPr>
      <w:r>
        <w:rPr>
          <w:rStyle w:val="FootnoteReference"/>
        </w:rPr>
        <w:footnoteRef/>
      </w:r>
      <w:r>
        <w:t xml:space="preserve"> See footnote 93.</w:t>
      </w:r>
    </w:p>
  </w:footnote>
  <w:footnote w:id="126">
    <w:p w:rsidR="00D85CA8" w:rsidRDefault="00D85CA8">
      <w:pPr>
        <w:pStyle w:val="FootnoteText"/>
      </w:pPr>
      <w:r>
        <w:rPr>
          <w:rStyle w:val="FootnoteReference"/>
        </w:rPr>
        <w:footnoteRef/>
      </w:r>
      <w:r>
        <w:t xml:space="preserve"> Sections 59 and  60 of FSMA 2000.</w:t>
      </w:r>
    </w:p>
  </w:footnote>
  <w:footnote w:id="127">
    <w:p w:rsidR="00D85CA8" w:rsidRDefault="00D85CA8">
      <w:pPr>
        <w:pStyle w:val="FootnoteText"/>
      </w:pPr>
      <w:r>
        <w:rPr>
          <w:rStyle w:val="FootnoteReference"/>
        </w:rPr>
        <w:footnoteRef/>
      </w:r>
      <w:r>
        <w:t xml:space="preserve"> Section 61 FSMA 2000.</w:t>
      </w:r>
    </w:p>
  </w:footnote>
  <w:footnote w:id="128">
    <w:p w:rsidR="00D85CA8" w:rsidRDefault="00D85CA8">
      <w:pPr>
        <w:pStyle w:val="FootnoteText"/>
      </w:pPr>
      <w:r>
        <w:rPr>
          <w:rStyle w:val="FootnoteReference"/>
        </w:rPr>
        <w:footnoteRef/>
      </w:r>
      <w:r>
        <w:t xml:space="preserve"> PRA Final Notice - Co-operative Bank plc, 10</w:t>
      </w:r>
      <w:r w:rsidRPr="00893D40">
        <w:rPr>
          <w:vertAlign w:val="superscript"/>
        </w:rPr>
        <w:t>th</w:t>
      </w:r>
      <w:r>
        <w:t xml:space="preserve"> August 2015.</w:t>
      </w:r>
    </w:p>
  </w:footnote>
  <w:footnote w:id="129">
    <w:p w:rsidR="00D85CA8" w:rsidRDefault="00D85CA8">
      <w:pPr>
        <w:pStyle w:val="FootnoteText"/>
      </w:pPr>
      <w:r>
        <w:rPr>
          <w:rStyle w:val="FootnoteReference"/>
        </w:rPr>
        <w:footnoteRef/>
      </w:r>
      <w:r>
        <w:t xml:space="preserve"> FSBRA 2013,  Part 4.</w:t>
      </w:r>
    </w:p>
  </w:footnote>
  <w:footnote w:id="130">
    <w:p w:rsidR="00D85CA8" w:rsidRDefault="00D85CA8" w:rsidP="006F7596">
      <w:pPr>
        <w:pStyle w:val="FootnoteText"/>
        <w:ind w:left="284" w:hanging="284"/>
      </w:pPr>
      <w:r>
        <w:rPr>
          <w:rStyle w:val="FootnoteReference"/>
        </w:rPr>
        <w:footnoteRef/>
      </w:r>
      <w:r>
        <w:t xml:space="preserve"> PRA Consultation Paper 14/14 and FCA Consultation Paper 14/3 ‘Strengthening accountability in banking: a new regulatory framework for individuals’, July 2014.</w:t>
      </w:r>
    </w:p>
  </w:footnote>
  <w:footnote w:id="131">
    <w:p w:rsidR="00D85CA8" w:rsidRPr="002636AE" w:rsidRDefault="00D85CA8" w:rsidP="006F7596">
      <w:pPr>
        <w:pStyle w:val="FootnoteText"/>
        <w:ind w:left="284" w:hanging="284"/>
      </w:pPr>
      <w:r>
        <w:rPr>
          <w:rStyle w:val="FootnoteReference"/>
        </w:rPr>
        <w:footnoteRef/>
      </w:r>
      <w:r>
        <w:t xml:space="preserve"> PRA Policy Statement </w:t>
      </w:r>
      <w:r w:rsidRPr="002636AE">
        <w:t>16/15: Strengthening individual accountability in banking: responses to CP14/14, CP28/14, and CP 7/15, July 2015</w:t>
      </w:r>
      <w:r>
        <w:t>.</w:t>
      </w:r>
    </w:p>
  </w:footnote>
  <w:footnote w:id="132">
    <w:p w:rsidR="00D85CA8" w:rsidRDefault="00D85CA8">
      <w:pPr>
        <w:pStyle w:val="FootnoteText"/>
      </w:pPr>
      <w:r>
        <w:rPr>
          <w:rStyle w:val="FootnoteReference"/>
        </w:rPr>
        <w:footnoteRef/>
      </w:r>
      <w:r>
        <w:t xml:space="preserve">  SMF 1 – Chief Executive.</w:t>
      </w:r>
    </w:p>
  </w:footnote>
  <w:footnote w:id="133">
    <w:p w:rsidR="00D85CA8" w:rsidRDefault="00D85CA8">
      <w:pPr>
        <w:pStyle w:val="FootnoteText"/>
      </w:pPr>
      <w:r>
        <w:rPr>
          <w:rStyle w:val="FootnoteReference"/>
        </w:rPr>
        <w:footnoteRef/>
      </w:r>
      <w:r>
        <w:t xml:space="preserve">  SMF 2 – Chief Finance.</w:t>
      </w:r>
    </w:p>
  </w:footnote>
  <w:footnote w:id="134">
    <w:p w:rsidR="00D85CA8" w:rsidRDefault="00D85CA8">
      <w:pPr>
        <w:pStyle w:val="FootnoteText"/>
      </w:pPr>
      <w:r>
        <w:rPr>
          <w:rStyle w:val="FootnoteReference"/>
        </w:rPr>
        <w:footnoteRef/>
      </w:r>
      <w:r>
        <w:t xml:space="preserve">  SMF 4 – Chief Risk; CRD IV Article 76(5); PRA Risk Control 3.1. </w:t>
      </w:r>
    </w:p>
  </w:footnote>
  <w:footnote w:id="135">
    <w:p w:rsidR="00D85CA8" w:rsidRDefault="00D85CA8">
      <w:pPr>
        <w:pStyle w:val="FootnoteText"/>
      </w:pPr>
      <w:r>
        <w:rPr>
          <w:rStyle w:val="FootnoteReference"/>
        </w:rPr>
        <w:footnoteRef/>
      </w:r>
      <w:r>
        <w:t xml:space="preserve">  SMF 3 – Executive Director.</w:t>
      </w:r>
    </w:p>
  </w:footnote>
  <w:footnote w:id="136">
    <w:p w:rsidR="00D85CA8" w:rsidRDefault="00D85CA8" w:rsidP="0048004B">
      <w:pPr>
        <w:pStyle w:val="FootnoteText"/>
        <w:ind w:left="284" w:hanging="284"/>
      </w:pPr>
      <w:r>
        <w:rPr>
          <w:rStyle w:val="FootnoteReference"/>
        </w:rPr>
        <w:footnoteRef/>
      </w:r>
      <w:r>
        <w:t xml:space="preserve">  SMF 6 – Head of a Key Business Area - key business area is an area with assets equal or greater than £10bn and accounts for more than 20% of gross revenue SMF 3.6(I)(a).</w:t>
      </w:r>
    </w:p>
  </w:footnote>
  <w:footnote w:id="137">
    <w:p w:rsidR="00D85CA8" w:rsidRDefault="00D85CA8">
      <w:pPr>
        <w:pStyle w:val="FootnoteText"/>
      </w:pPr>
      <w:r>
        <w:rPr>
          <w:rStyle w:val="FootnoteReference"/>
        </w:rPr>
        <w:footnoteRef/>
      </w:r>
      <w:r>
        <w:t xml:space="preserve">  SMF 9 – Chairman of the Board.</w:t>
      </w:r>
    </w:p>
  </w:footnote>
  <w:footnote w:id="138">
    <w:p w:rsidR="00D85CA8" w:rsidRDefault="00D85CA8">
      <w:pPr>
        <w:pStyle w:val="FootnoteText"/>
      </w:pPr>
      <w:r>
        <w:rPr>
          <w:rStyle w:val="FootnoteReference"/>
        </w:rPr>
        <w:footnoteRef/>
      </w:r>
      <w:r>
        <w:t xml:space="preserve">  SMF 10 – Chair of the Risk Committee; CRD IV Article 76(3); PRA Risk Control 3.1.</w:t>
      </w:r>
    </w:p>
  </w:footnote>
  <w:footnote w:id="139">
    <w:p w:rsidR="00D85CA8" w:rsidRDefault="00D85CA8">
      <w:pPr>
        <w:pStyle w:val="FootnoteText"/>
      </w:pPr>
      <w:r>
        <w:rPr>
          <w:rStyle w:val="FootnoteReference"/>
        </w:rPr>
        <w:footnoteRef/>
      </w:r>
      <w:r>
        <w:t xml:space="preserve">  SMF 11 – Chair of the Audit Committee; FCA Disclosure and Transparency Rules, Rule 7.1.</w:t>
      </w:r>
    </w:p>
  </w:footnote>
  <w:footnote w:id="140">
    <w:p w:rsidR="00D85CA8" w:rsidRDefault="00D85CA8">
      <w:pPr>
        <w:pStyle w:val="FootnoteText"/>
      </w:pPr>
      <w:r>
        <w:rPr>
          <w:rStyle w:val="FootnoteReference"/>
        </w:rPr>
        <w:footnoteRef/>
      </w:r>
      <w:r>
        <w:t xml:space="preserve">  SMF 12 – Chair of the Remuneration Committee; CRD IV Article 95(1); PRA Remuneration 7.4.</w:t>
      </w:r>
    </w:p>
  </w:footnote>
  <w:footnote w:id="141">
    <w:p w:rsidR="00D85CA8" w:rsidRDefault="00D85CA8">
      <w:pPr>
        <w:pStyle w:val="FootnoteText"/>
      </w:pPr>
      <w:r>
        <w:rPr>
          <w:rStyle w:val="FootnoteReference"/>
        </w:rPr>
        <w:footnoteRef/>
      </w:r>
      <w:r>
        <w:t xml:space="preserve">  SMF 13 – Chair of the Nomination Committee.</w:t>
      </w:r>
    </w:p>
  </w:footnote>
  <w:footnote w:id="142">
    <w:p w:rsidR="00D85CA8" w:rsidRDefault="00D85CA8" w:rsidP="00904B81">
      <w:pPr>
        <w:pStyle w:val="FootnoteText"/>
        <w:ind w:left="284" w:hanging="284"/>
      </w:pPr>
      <w:r>
        <w:rPr>
          <w:rStyle w:val="FootnoteReference"/>
        </w:rPr>
        <w:footnoteRef/>
      </w:r>
      <w:r>
        <w:t xml:space="preserve">  SMF 14 – Senior Independent Director; Financial Reporting Council UK Corporate Governance Code A.4.1.</w:t>
      </w:r>
    </w:p>
  </w:footnote>
  <w:footnote w:id="143">
    <w:p w:rsidR="00D85CA8" w:rsidRDefault="00D85CA8">
      <w:pPr>
        <w:pStyle w:val="FootnoteText"/>
      </w:pPr>
      <w:r>
        <w:rPr>
          <w:rStyle w:val="FootnoteReference"/>
        </w:rPr>
        <w:footnoteRef/>
      </w:r>
      <w:r>
        <w:t xml:space="preserve">  Financial Reporting Council ‘UK Corporate Governance Code’, September 2014.</w:t>
      </w:r>
    </w:p>
  </w:footnote>
  <w:footnote w:id="144">
    <w:p w:rsidR="00D85CA8" w:rsidRDefault="00D85CA8">
      <w:pPr>
        <w:pStyle w:val="FootnoteText"/>
      </w:pPr>
      <w:r>
        <w:rPr>
          <w:rStyle w:val="FootnoteReference"/>
        </w:rPr>
        <w:footnoteRef/>
      </w:r>
      <w:r>
        <w:t xml:space="preserve">  CRD IV Article 88(1)(e); PRA Senior Management Functions 7.2.</w:t>
      </w:r>
    </w:p>
  </w:footnote>
  <w:footnote w:id="145">
    <w:p w:rsidR="00D85CA8" w:rsidRDefault="00D85CA8" w:rsidP="000D37E8">
      <w:pPr>
        <w:pStyle w:val="FootnoteText"/>
        <w:ind w:left="284" w:hanging="284"/>
      </w:pPr>
      <w:r>
        <w:rPr>
          <w:rStyle w:val="FootnoteReference"/>
        </w:rPr>
        <w:footnoteRef/>
      </w:r>
      <w:r>
        <w:t xml:space="preserve">  PRA Policy Statement 7/13 ‘Strengthening capital standards: implementing CRD IV feedback and final rules, December 2013.</w:t>
      </w:r>
    </w:p>
  </w:footnote>
  <w:footnote w:id="146">
    <w:p w:rsidR="00D85CA8" w:rsidRDefault="00D85CA8">
      <w:pPr>
        <w:pStyle w:val="FootnoteText"/>
      </w:pPr>
      <w:r>
        <w:rPr>
          <w:rStyle w:val="FootnoteReference"/>
        </w:rPr>
        <w:footnoteRef/>
      </w:r>
      <w:r>
        <w:t xml:space="preserve"> Section 66B (4) FSMA 2000. </w:t>
      </w:r>
    </w:p>
  </w:footnote>
  <w:footnote w:id="147">
    <w:p w:rsidR="00D85CA8" w:rsidRDefault="00D85CA8" w:rsidP="007D199F">
      <w:pPr>
        <w:pStyle w:val="FootnoteText"/>
        <w:ind w:left="284" w:hanging="284"/>
      </w:pPr>
      <w:r>
        <w:rPr>
          <w:rStyle w:val="FootnoteReference"/>
        </w:rPr>
        <w:footnoteRef/>
      </w:r>
      <w:r>
        <w:t xml:space="preserve"> Section 66B (5) FSMA 2000 the Reasonable Steps defence; and Section 66B (6) FSMA 2000 – the regulatory assessment.</w:t>
      </w:r>
    </w:p>
  </w:footnote>
  <w:footnote w:id="148">
    <w:p w:rsidR="00D85CA8" w:rsidRPr="00340B3A" w:rsidRDefault="00D85CA8">
      <w:pPr>
        <w:pStyle w:val="FootnoteText"/>
        <w:rPr>
          <w:lang w:val="fr-FR"/>
        </w:rPr>
      </w:pPr>
      <w:r>
        <w:rPr>
          <w:rStyle w:val="FootnoteReference"/>
        </w:rPr>
        <w:footnoteRef/>
      </w:r>
      <w:r w:rsidRPr="00340B3A">
        <w:rPr>
          <w:lang w:val="fr-FR"/>
        </w:rPr>
        <w:t xml:space="preserve"> Section 66B (2) FSMA 2000.</w:t>
      </w:r>
    </w:p>
  </w:footnote>
  <w:footnote w:id="149">
    <w:p w:rsidR="00D85CA8" w:rsidRPr="00340B3A" w:rsidRDefault="00D85CA8">
      <w:pPr>
        <w:pStyle w:val="FootnoteText"/>
        <w:rPr>
          <w:lang w:val="fr-FR"/>
        </w:rPr>
      </w:pPr>
      <w:r>
        <w:rPr>
          <w:rStyle w:val="FootnoteReference"/>
        </w:rPr>
        <w:footnoteRef/>
      </w:r>
      <w:r w:rsidRPr="00340B3A">
        <w:rPr>
          <w:lang w:val="fr-FR"/>
        </w:rPr>
        <w:t xml:space="preserve"> Section 66B (3) FSMA 2000.</w:t>
      </w:r>
    </w:p>
  </w:footnote>
  <w:footnote w:id="150">
    <w:p w:rsidR="00D85CA8" w:rsidRPr="00340B3A" w:rsidRDefault="00D85CA8">
      <w:pPr>
        <w:pStyle w:val="FootnoteText"/>
        <w:rPr>
          <w:lang w:val="fr-FR"/>
        </w:rPr>
      </w:pPr>
      <w:r>
        <w:rPr>
          <w:rStyle w:val="FootnoteReference"/>
        </w:rPr>
        <w:footnoteRef/>
      </w:r>
      <w:r w:rsidRPr="00340B3A">
        <w:rPr>
          <w:lang w:val="fr-FR"/>
        </w:rPr>
        <w:t xml:space="preserve"> CRD IV Article 91.</w:t>
      </w:r>
    </w:p>
  </w:footnote>
  <w:footnote w:id="151">
    <w:p w:rsidR="00D85CA8" w:rsidRPr="00340B3A" w:rsidRDefault="00D85CA8">
      <w:pPr>
        <w:pStyle w:val="FootnoteText"/>
        <w:rPr>
          <w:lang w:val="fr-FR"/>
        </w:rPr>
      </w:pPr>
      <w:r>
        <w:rPr>
          <w:rStyle w:val="FootnoteReference"/>
        </w:rPr>
        <w:footnoteRef/>
      </w:r>
      <w:r w:rsidRPr="00340B3A">
        <w:rPr>
          <w:lang w:val="fr-FR"/>
        </w:rPr>
        <w:t xml:space="preserve"> CRD IV Article 91(6).</w:t>
      </w:r>
    </w:p>
  </w:footnote>
  <w:footnote w:id="152">
    <w:p w:rsidR="00D85CA8" w:rsidRDefault="00D85CA8">
      <w:pPr>
        <w:pStyle w:val="FootnoteText"/>
      </w:pPr>
      <w:r>
        <w:rPr>
          <w:rStyle w:val="FootnoteReference"/>
        </w:rPr>
        <w:footnoteRef/>
      </w:r>
      <w:r>
        <w:t xml:space="preserve"> CRD IV Article 91(4) (a).</w:t>
      </w:r>
    </w:p>
  </w:footnote>
  <w:footnote w:id="153">
    <w:p w:rsidR="00D85CA8" w:rsidRDefault="00D85CA8" w:rsidP="00EE6631">
      <w:pPr>
        <w:pStyle w:val="FootnoteText"/>
        <w:ind w:left="284" w:hanging="284"/>
      </w:pPr>
      <w:r>
        <w:rPr>
          <w:rStyle w:val="FootnoteReference"/>
        </w:rPr>
        <w:footnoteRef/>
      </w:r>
      <w:r>
        <w:t xml:space="preserve"> PRA Statement of Policy ‘The Prudential Regulation Authority’s policy on conditions, time limits, and variations of approval’, June 2015. </w:t>
      </w:r>
    </w:p>
  </w:footnote>
  <w:footnote w:id="154">
    <w:p w:rsidR="00D85CA8" w:rsidRDefault="00D85CA8" w:rsidP="00E81510">
      <w:pPr>
        <w:pStyle w:val="FootnoteText"/>
        <w:ind w:left="284" w:hanging="284"/>
      </w:pPr>
      <w:r>
        <w:rPr>
          <w:rStyle w:val="FootnoteReference"/>
        </w:rPr>
        <w:footnoteRef/>
      </w:r>
      <w:r>
        <w:t xml:space="preserve"> PRA Supervisory Statement SS 28/15 ‘Strengthening accountability in banking’, paras 2.40 and 2.41, July 2015; See footnote 103, para 69. </w:t>
      </w:r>
    </w:p>
  </w:footnote>
  <w:footnote w:id="155">
    <w:p w:rsidR="00D85CA8" w:rsidRDefault="00D85CA8">
      <w:pPr>
        <w:pStyle w:val="FootnoteText"/>
      </w:pPr>
      <w:r>
        <w:rPr>
          <w:rStyle w:val="FootnoteReference"/>
        </w:rPr>
        <w:footnoteRef/>
      </w:r>
      <w:r>
        <w:t xml:space="preserve"> Section 62A FSMA 2000.</w:t>
      </w:r>
    </w:p>
  </w:footnote>
  <w:footnote w:id="156">
    <w:p w:rsidR="00D85CA8" w:rsidRDefault="00D85CA8" w:rsidP="006914D2">
      <w:pPr>
        <w:pStyle w:val="FootnoteText"/>
        <w:ind w:left="284" w:hanging="284"/>
      </w:pPr>
      <w:r>
        <w:rPr>
          <w:rStyle w:val="FootnoteReference"/>
        </w:rPr>
        <w:footnoteRef/>
      </w:r>
      <w:r>
        <w:t xml:space="preserve"> Commission Delegated Regulation (EU) No 604/2014 of 4</w:t>
      </w:r>
      <w:r w:rsidRPr="006914D2">
        <w:rPr>
          <w:vertAlign w:val="superscript"/>
        </w:rPr>
        <w:t>th</w:t>
      </w:r>
      <w:r>
        <w:t xml:space="preserve"> March 2014, supplementing Directive 2013/36/EU. </w:t>
      </w:r>
    </w:p>
  </w:footnote>
  <w:footnote w:id="157">
    <w:p w:rsidR="00D85CA8" w:rsidRDefault="00D85CA8">
      <w:pPr>
        <w:pStyle w:val="FootnoteText"/>
      </w:pPr>
      <w:r>
        <w:rPr>
          <w:rStyle w:val="FootnoteReference"/>
        </w:rPr>
        <w:footnoteRef/>
      </w:r>
      <w:r>
        <w:t xml:space="preserve"> Section 63E FSMA 2000 – Certification of employees by Relevant Authorised Persons. </w:t>
      </w:r>
    </w:p>
  </w:footnote>
  <w:footnote w:id="158">
    <w:p w:rsidR="00D85CA8" w:rsidRDefault="00D85CA8">
      <w:pPr>
        <w:pStyle w:val="FootnoteText"/>
      </w:pPr>
      <w:r>
        <w:rPr>
          <w:rStyle w:val="FootnoteReference"/>
        </w:rPr>
        <w:footnoteRef/>
      </w:r>
      <w:r>
        <w:t xml:space="preserve"> Section 63F FSMA 2000 – Issuing of certificates.</w:t>
      </w:r>
    </w:p>
  </w:footnote>
  <w:footnote w:id="159">
    <w:p w:rsidR="00D85CA8" w:rsidRDefault="00D85CA8" w:rsidP="00904B81">
      <w:pPr>
        <w:pStyle w:val="FootnoteText"/>
        <w:ind w:left="284" w:hanging="284"/>
      </w:pPr>
      <w:r w:rsidRPr="0068213E">
        <w:rPr>
          <w:rStyle w:val="FootnoteReference"/>
        </w:rPr>
        <w:footnoteRef/>
      </w:r>
      <w:r w:rsidRPr="0068213E">
        <w:t xml:space="preserve">Committee of the Sponsoring Organisations of the Treadway Commission </w:t>
      </w:r>
      <w:r>
        <w:t>‘</w:t>
      </w:r>
      <w:r w:rsidRPr="0068213E">
        <w:t>Internal Control  - Integrated Framework</w:t>
      </w:r>
      <w:r>
        <w:t>’ (1992).</w:t>
      </w:r>
    </w:p>
  </w:footnote>
  <w:footnote w:id="160">
    <w:p w:rsidR="00D85CA8" w:rsidRDefault="00D85CA8" w:rsidP="00331A0D">
      <w:pPr>
        <w:pStyle w:val="FootnoteText"/>
        <w:ind w:left="284" w:hanging="284"/>
      </w:pPr>
      <w:r>
        <w:rPr>
          <w:rStyle w:val="FootnoteReference"/>
        </w:rPr>
        <w:footnoteRef/>
      </w:r>
      <w:r w:rsidRPr="004E724D">
        <w:t>Committee of the Sponsoring Organisations of the Treadway Commission</w:t>
      </w:r>
      <w:r>
        <w:t xml:space="preserve"> ‘</w:t>
      </w:r>
      <w:r w:rsidRPr="004E724D">
        <w:t>Enterprise Risk Management - Integrated Framework</w:t>
      </w:r>
      <w:r>
        <w:t>’ (2004).</w:t>
      </w:r>
    </w:p>
  </w:footnote>
  <w:footnote w:id="161">
    <w:p w:rsidR="00D85CA8" w:rsidRDefault="00D85CA8">
      <w:pPr>
        <w:pStyle w:val="FootnoteText"/>
      </w:pPr>
      <w:r>
        <w:rPr>
          <w:rStyle w:val="FootnoteReference"/>
        </w:rPr>
        <w:footnoteRef/>
      </w:r>
      <w:r w:rsidRPr="004E724D">
        <w:t xml:space="preserve">Financial Stability Board </w:t>
      </w:r>
      <w:r>
        <w:t>‘</w:t>
      </w:r>
      <w:r w:rsidRPr="004E724D">
        <w:t>Thematic Review on Risk Governance, Peer Review Report</w:t>
      </w:r>
      <w:r>
        <w:t>’</w:t>
      </w:r>
      <w:r w:rsidRPr="004E724D">
        <w:t>, February 2013</w:t>
      </w:r>
      <w:r>
        <w:t>.</w:t>
      </w:r>
    </w:p>
  </w:footnote>
  <w:footnote w:id="162">
    <w:p w:rsidR="00D85CA8" w:rsidRDefault="00D85CA8" w:rsidP="00017667">
      <w:pPr>
        <w:pStyle w:val="FootnoteText"/>
        <w:ind w:left="142" w:hanging="142"/>
      </w:pPr>
      <w:r>
        <w:rPr>
          <w:rStyle w:val="FootnoteReference"/>
        </w:rPr>
        <w:footnoteRef/>
      </w:r>
      <w:r w:rsidRPr="00017667">
        <w:t>Financial Stability Board</w:t>
      </w:r>
      <w:r>
        <w:t xml:space="preserve">  ‘Principles for an Effective Risk Appetite Framework, Consultative Document’, July 2013</w:t>
      </w:r>
    </w:p>
  </w:footnote>
  <w:footnote w:id="163">
    <w:p w:rsidR="00D85CA8" w:rsidRDefault="00D85CA8">
      <w:pPr>
        <w:pStyle w:val="FootnoteText"/>
      </w:pPr>
      <w:r>
        <w:rPr>
          <w:rStyle w:val="FootnoteReference"/>
        </w:rPr>
        <w:footnoteRef/>
      </w:r>
      <w:r w:rsidRPr="00BF6ADB">
        <w:t xml:space="preserve">Deloitte </w:t>
      </w:r>
      <w:r>
        <w:t>‘Risk Appetite Frameworks: How to Spot the Genuine Article’ July 2013</w:t>
      </w:r>
    </w:p>
  </w:footnote>
  <w:footnote w:id="164">
    <w:p w:rsidR="00D85CA8" w:rsidRDefault="00D85CA8">
      <w:pPr>
        <w:pStyle w:val="FootnoteText"/>
      </w:pPr>
      <w:r>
        <w:rPr>
          <w:rStyle w:val="FootnoteReference"/>
        </w:rPr>
        <w:footnoteRef/>
      </w:r>
      <w:r>
        <w:t xml:space="preserve"> Regulation (EU) No 575/2013 – Article 501.</w:t>
      </w:r>
    </w:p>
  </w:footnote>
  <w:footnote w:id="165">
    <w:p w:rsidR="00D85CA8" w:rsidRDefault="00D85CA8">
      <w:pPr>
        <w:pStyle w:val="FootnoteText"/>
      </w:pPr>
      <w:r>
        <w:rPr>
          <w:rStyle w:val="FootnoteReference"/>
        </w:rPr>
        <w:footnoteRef/>
      </w:r>
      <w:r>
        <w:t xml:space="preserve"> See footnotes 18, 19, and 20.</w:t>
      </w:r>
    </w:p>
  </w:footnote>
  <w:footnote w:id="166">
    <w:p w:rsidR="00D85CA8" w:rsidRDefault="00D85CA8" w:rsidP="00331A0D">
      <w:pPr>
        <w:pStyle w:val="FootnoteText"/>
        <w:ind w:left="284" w:hanging="284"/>
      </w:pPr>
      <w:r>
        <w:rPr>
          <w:rStyle w:val="FootnoteReference"/>
        </w:rPr>
        <w:footnoteRef/>
      </w:r>
      <w:r w:rsidRPr="00602AA3">
        <w:rPr>
          <w:bCs/>
        </w:rPr>
        <w:t>Basel Committee on Banking Supervision</w:t>
      </w:r>
      <w:r w:rsidRPr="00602AA3">
        <w:t xml:space="preserve"> ‘Framework for Internal Control Systems in Banking Organisations’ September 1998; Basel Committee on Banking Supervision ‘Operational Risk Management’, September 1998; </w:t>
      </w:r>
      <w:r w:rsidRPr="00602AA3">
        <w:rPr>
          <w:bCs/>
        </w:rPr>
        <w:t>Basel Committee on Banking Supervision ‘</w:t>
      </w:r>
      <w:r w:rsidRPr="00602AA3">
        <w:t>Sound Practices for the Management and Supervision of Operational Risk’, February 2003.</w:t>
      </w:r>
    </w:p>
  </w:footnote>
  <w:footnote w:id="167">
    <w:p w:rsidR="00D85CA8" w:rsidRDefault="00D85CA8" w:rsidP="00331A0D">
      <w:pPr>
        <w:pStyle w:val="FootnoteText"/>
        <w:ind w:left="284" w:hanging="284"/>
      </w:pPr>
      <w:r>
        <w:rPr>
          <w:rStyle w:val="FootnoteReference"/>
        </w:rPr>
        <w:footnoteRef/>
      </w:r>
      <w:r w:rsidRPr="000C09B2">
        <w:rPr>
          <w:bCs/>
        </w:rPr>
        <w:t>Basel Committee on Banking Supervision</w:t>
      </w:r>
      <w:r>
        <w:rPr>
          <w:bCs/>
        </w:rPr>
        <w:t xml:space="preserve"> </w:t>
      </w:r>
      <w:r>
        <w:rPr>
          <w:b/>
          <w:bCs/>
        </w:rPr>
        <w:t>‘</w:t>
      </w:r>
      <w:r w:rsidRPr="001F4344">
        <w:rPr>
          <w:bCs/>
        </w:rPr>
        <w:t>Basel II: International Convergence of Capital Measurement and Capital Standards: A Revised Framework - Comprehensive Version</w:t>
      </w:r>
      <w:r>
        <w:rPr>
          <w:bCs/>
        </w:rPr>
        <w:t xml:space="preserve">’ </w:t>
      </w:r>
      <w:r w:rsidRPr="00391CC7">
        <w:rPr>
          <w:bCs/>
        </w:rPr>
        <w:t>June 200</w:t>
      </w:r>
      <w:r>
        <w:rPr>
          <w:bCs/>
        </w:rPr>
        <w:t>6.</w:t>
      </w:r>
    </w:p>
  </w:footnote>
  <w:footnote w:id="168">
    <w:p w:rsidR="00D85CA8" w:rsidRDefault="00D85CA8" w:rsidP="000C09B2">
      <w:pPr>
        <w:pStyle w:val="FootnoteText"/>
        <w:ind w:left="284" w:hanging="284"/>
      </w:pPr>
      <w:r>
        <w:rPr>
          <w:rStyle w:val="FootnoteReference"/>
        </w:rPr>
        <w:footnoteRef/>
      </w:r>
      <w:r w:rsidRPr="000C09B2">
        <w:rPr>
          <w:bCs/>
        </w:rPr>
        <w:t>Basel Committee on Banking Supervision</w:t>
      </w:r>
      <w:r>
        <w:rPr>
          <w:bCs/>
        </w:rPr>
        <w:t xml:space="preserve"> </w:t>
      </w:r>
      <w:r>
        <w:rPr>
          <w:b/>
          <w:bCs/>
        </w:rPr>
        <w:t>‘</w:t>
      </w:r>
      <w:r>
        <w:t>Principles for the Sound</w:t>
      </w:r>
      <w:r w:rsidRPr="00391CC7">
        <w:t xml:space="preserve"> Management of Operational Risk</w:t>
      </w:r>
      <w:r>
        <w:t>’ June 2011</w:t>
      </w:r>
    </w:p>
  </w:footnote>
  <w:footnote w:id="169">
    <w:p w:rsidR="00D85CA8" w:rsidRPr="000C09B2" w:rsidRDefault="00D85CA8" w:rsidP="007F4BA6">
      <w:pPr>
        <w:pStyle w:val="FootnoteText"/>
        <w:ind w:left="284" w:hanging="284"/>
        <w:rPr>
          <w:bCs/>
        </w:rPr>
      </w:pPr>
      <w:r>
        <w:rPr>
          <w:rStyle w:val="FootnoteReference"/>
        </w:rPr>
        <w:footnoteRef/>
      </w:r>
      <w:r>
        <w:t xml:space="preserve"> Basel Committee on Banking Supervision ‘Review of the Principles for the Sound Management of Operational Risk, October 2014</w:t>
      </w:r>
    </w:p>
  </w:footnote>
  <w:footnote w:id="170">
    <w:p w:rsidR="00D85CA8" w:rsidRDefault="00D85CA8" w:rsidP="0020505D">
      <w:pPr>
        <w:pStyle w:val="FootnoteText"/>
        <w:ind w:left="284" w:hanging="284"/>
      </w:pPr>
      <w:r w:rsidRPr="000C09B2">
        <w:rPr>
          <w:rStyle w:val="FootnoteReference"/>
        </w:rPr>
        <w:footnoteRef/>
      </w:r>
      <w:r w:rsidRPr="000C09B2">
        <w:rPr>
          <w:bCs/>
        </w:rPr>
        <w:t>Basel Committee on Banking Supervision</w:t>
      </w:r>
      <w:r>
        <w:rPr>
          <w:b/>
          <w:bCs/>
        </w:rPr>
        <w:t xml:space="preserve">‘ </w:t>
      </w:r>
      <w:r w:rsidRPr="000C09B2">
        <w:rPr>
          <w:bCs/>
        </w:rPr>
        <w:t>International Convergence of Capital Measurement and Capital Standards: A Revised Framework</w:t>
      </w:r>
      <w:r>
        <w:rPr>
          <w:bCs/>
        </w:rPr>
        <w:t>’</w:t>
      </w:r>
      <w:r w:rsidRPr="000C09B2">
        <w:rPr>
          <w:bCs/>
        </w:rPr>
        <w:t>, June 2004, para 644</w:t>
      </w:r>
      <w:r>
        <w:rPr>
          <w:bCs/>
        </w:rPr>
        <w:t>.</w:t>
      </w:r>
    </w:p>
  </w:footnote>
  <w:footnote w:id="171">
    <w:p w:rsidR="00D85CA8" w:rsidRDefault="00D85CA8" w:rsidP="0020505D">
      <w:pPr>
        <w:pStyle w:val="FootnoteText"/>
        <w:ind w:left="284" w:hanging="284"/>
      </w:pPr>
      <w:r>
        <w:rPr>
          <w:rStyle w:val="FootnoteReference"/>
        </w:rPr>
        <w:footnoteRef/>
      </w:r>
      <w:r>
        <w:t xml:space="preserve"> P </w:t>
      </w:r>
      <w:r w:rsidRPr="0020505D">
        <w:rPr>
          <w:bCs/>
        </w:rPr>
        <w:t>McCormack</w:t>
      </w:r>
      <w:r>
        <w:rPr>
          <w:bCs/>
        </w:rPr>
        <w:t xml:space="preserve"> and A</w:t>
      </w:r>
      <w:r w:rsidRPr="0020505D">
        <w:rPr>
          <w:bCs/>
        </w:rPr>
        <w:t xml:space="preserve"> Sheen</w:t>
      </w:r>
      <w:r>
        <w:rPr>
          <w:bCs/>
        </w:rPr>
        <w:t xml:space="preserve"> ‘</w:t>
      </w:r>
      <w:r w:rsidRPr="0020505D">
        <w:rPr>
          <w:bCs/>
        </w:rPr>
        <w:t>Operational Risk: Back on the Agenda</w:t>
      </w:r>
      <w:r>
        <w:rPr>
          <w:bCs/>
        </w:rPr>
        <w:t>’ (2013)</w:t>
      </w:r>
      <w:r w:rsidRPr="0020505D">
        <w:rPr>
          <w:bCs/>
        </w:rPr>
        <w:t xml:space="preserve"> Journal of Risk Management in Financial Institutions, 6, 4, 366 – 386; </w:t>
      </w:r>
      <w:r>
        <w:rPr>
          <w:bCs/>
        </w:rPr>
        <w:t xml:space="preserve">P </w:t>
      </w:r>
      <w:r w:rsidRPr="0020505D">
        <w:rPr>
          <w:bCs/>
        </w:rPr>
        <w:t>McCormack</w:t>
      </w:r>
      <w:r>
        <w:rPr>
          <w:bCs/>
        </w:rPr>
        <w:t>, A</w:t>
      </w:r>
      <w:r w:rsidRPr="0020505D">
        <w:rPr>
          <w:bCs/>
        </w:rPr>
        <w:t xml:space="preserve"> Sheen, and</w:t>
      </w:r>
      <w:r>
        <w:rPr>
          <w:bCs/>
        </w:rPr>
        <w:t xml:space="preserve"> P </w:t>
      </w:r>
      <w:r w:rsidRPr="0020505D">
        <w:rPr>
          <w:bCs/>
        </w:rPr>
        <w:t xml:space="preserve"> Umande</w:t>
      </w:r>
      <w:r>
        <w:rPr>
          <w:bCs/>
        </w:rPr>
        <w:t xml:space="preserve"> ‘</w:t>
      </w:r>
      <w:r w:rsidRPr="0020505D">
        <w:rPr>
          <w:bCs/>
        </w:rPr>
        <w:t>Managing Operational Risk: Moving towards the Advanced Measurement Approach</w:t>
      </w:r>
      <w:r>
        <w:rPr>
          <w:bCs/>
        </w:rPr>
        <w:t xml:space="preserve">’ (2014) </w:t>
      </w:r>
      <w:r w:rsidRPr="0020505D">
        <w:rPr>
          <w:bCs/>
        </w:rPr>
        <w:t xml:space="preserve"> Journal of Risk Management in Financial Institutions, 7,3, 239 - 256.</w:t>
      </w:r>
    </w:p>
  </w:footnote>
  <w:footnote w:id="172">
    <w:p w:rsidR="00D85CA8" w:rsidRPr="005F5C3D" w:rsidRDefault="00D85CA8" w:rsidP="005F5C3D">
      <w:pPr>
        <w:pStyle w:val="FootnoteText"/>
        <w:ind w:left="284" w:hanging="284"/>
      </w:pPr>
      <w:r>
        <w:rPr>
          <w:rStyle w:val="FootnoteReference"/>
        </w:rPr>
        <w:footnoteRef/>
      </w:r>
      <w:r>
        <w:t xml:space="preserve"> S </w:t>
      </w:r>
      <w:r w:rsidRPr="005F5C3D">
        <w:t xml:space="preserve">Ashby, </w:t>
      </w:r>
      <w:r>
        <w:t>T</w:t>
      </w:r>
      <w:r w:rsidRPr="005F5C3D">
        <w:t xml:space="preserve"> Palermo</w:t>
      </w:r>
      <w:r>
        <w:t xml:space="preserve"> </w:t>
      </w:r>
      <w:r w:rsidRPr="005F5C3D">
        <w:t xml:space="preserve">and </w:t>
      </w:r>
      <w:r>
        <w:t xml:space="preserve">M </w:t>
      </w:r>
      <w:r w:rsidRPr="005F5C3D">
        <w:t xml:space="preserve">Power </w:t>
      </w:r>
      <w:r>
        <w:t>‘</w:t>
      </w:r>
      <w:r w:rsidRPr="005F5C3D">
        <w:t>Risk culture in financial organisations: An interim report</w:t>
      </w:r>
      <w:r>
        <w:t>’ (2012)</w:t>
      </w:r>
      <w:r w:rsidRPr="005F5C3D">
        <w:t xml:space="preserve"> November 2012</w:t>
      </w:r>
      <w:r>
        <w:t xml:space="preserve">; </w:t>
      </w:r>
      <w:r w:rsidRPr="00AB0E8C">
        <w:t>M Power, S Ashby and T Palermo</w:t>
      </w:r>
      <w:r>
        <w:t xml:space="preserve"> </w:t>
      </w:r>
      <w:r>
        <w:rPr>
          <w:b/>
        </w:rPr>
        <w:t>‘</w:t>
      </w:r>
      <w:r w:rsidRPr="00AB0E8C">
        <w:t>Risk Culture in Financial Organisations: A Research Report</w:t>
      </w:r>
      <w:r>
        <w:t>’ (2013)</w:t>
      </w:r>
      <w:r w:rsidRPr="00AB0E8C">
        <w:t>.</w:t>
      </w:r>
    </w:p>
  </w:footnote>
  <w:footnote w:id="173">
    <w:p w:rsidR="00D85CA8" w:rsidRDefault="00D85CA8" w:rsidP="003976A5">
      <w:pPr>
        <w:pStyle w:val="FootnoteText"/>
        <w:ind w:left="284" w:hanging="284"/>
      </w:pPr>
      <w:r>
        <w:rPr>
          <w:rStyle w:val="FootnoteReference"/>
        </w:rPr>
        <w:footnoteRef/>
      </w:r>
      <w:r>
        <w:t xml:space="preserve"> P </w:t>
      </w:r>
      <w:r w:rsidRPr="003976A5">
        <w:t>McCormack</w:t>
      </w:r>
      <w:r>
        <w:t xml:space="preserve"> ‘</w:t>
      </w:r>
      <w:r w:rsidRPr="003976A5">
        <w:t>The FSA Approach to the Supervision of Outsourcing</w:t>
      </w:r>
      <w:r>
        <w:t>’ (2003)</w:t>
      </w:r>
      <w:r w:rsidRPr="003976A5">
        <w:t xml:space="preserve"> Journal of Financial Regulation and Compliance, 11, 2, 113 – 120.</w:t>
      </w:r>
    </w:p>
  </w:footnote>
  <w:footnote w:id="174">
    <w:p w:rsidR="00D85CA8" w:rsidRDefault="00D85CA8" w:rsidP="00961123">
      <w:pPr>
        <w:pStyle w:val="FootnoteText"/>
      </w:pPr>
      <w:r>
        <w:rPr>
          <w:rStyle w:val="FootnoteReference"/>
        </w:rPr>
        <w:footnoteRef/>
      </w:r>
      <w:r>
        <w:t xml:space="preserve"> See footnote 31.</w:t>
      </w:r>
    </w:p>
  </w:footnote>
  <w:footnote w:id="175">
    <w:p w:rsidR="00D85CA8" w:rsidRDefault="00D85CA8" w:rsidP="00331A0D">
      <w:pPr>
        <w:pStyle w:val="FootnoteText"/>
        <w:ind w:left="284" w:hanging="284"/>
      </w:pPr>
      <w:r>
        <w:rPr>
          <w:rStyle w:val="FootnoteReference"/>
        </w:rPr>
        <w:footnoteRef/>
      </w:r>
      <w:r>
        <w:t xml:space="preserve"> Basle Committee on Banking Supervision ‘History of the Basle Committee and its Membership’, March 2001. Shortly after this paper it was agreed that the Committee would be known as the Basel Committee (as opposed to Basle).  </w:t>
      </w:r>
    </w:p>
  </w:footnote>
  <w:footnote w:id="176">
    <w:p w:rsidR="00D85CA8" w:rsidRDefault="00D85CA8" w:rsidP="00961123">
      <w:pPr>
        <w:pStyle w:val="FootnoteText"/>
      </w:pPr>
      <w:r>
        <w:rPr>
          <w:rStyle w:val="FootnoteReference"/>
        </w:rPr>
        <w:footnoteRef/>
      </w:r>
      <w:r>
        <w:t xml:space="preserve"> P </w:t>
      </w:r>
      <w:r w:rsidRPr="00931B3C">
        <w:t xml:space="preserve">Parker </w:t>
      </w:r>
      <w:r>
        <w:t>‘</w:t>
      </w:r>
      <w:r w:rsidRPr="00931B3C">
        <w:t>The Johnson Matthey Affair</w:t>
      </w:r>
      <w:r>
        <w:t>’</w:t>
      </w:r>
      <w:r w:rsidRPr="00931B3C">
        <w:t xml:space="preserve"> Marxism Today, September 1985, pp 5-6</w:t>
      </w:r>
      <w:r>
        <w:t>.</w:t>
      </w:r>
    </w:p>
  </w:footnote>
  <w:footnote w:id="177">
    <w:p w:rsidR="00D85CA8" w:rsidRDefault="00D85CA8" w:rsidP="000C09B2">
      <w:pPr>
        <w:pStyle w:val="FootnoteText"/>
        <w:ind w:left="284" w:hanging="284"/>
      </w:pPr>
      <w:r>
        <w:rPr>
          <w:rStyle w:val="FootnoteReference"/>
        </w:rPr>
        <w:footnoteRef/>
      </w:r>
      <w:r>
        <w:t xml:space="preserve"> Basle Committee on Banking Supervision ‘International Convergence of Capital Measurement and Capital Standards’ July 1988.</w:t>
      </w:r>
    </w:p>
  </w:footnote>
  <w:footnote w:id="178">
    <w:p w:rsidR="00D85CA8" w:rsidRDefault="00D85CA8" w:rsidP="00961123">
      <w:pPr>
        <w:pStyle w:val="FootnoteText"/>
      </w:pPr>
      <w:r>
        <w:rPr>
          <w:rStyle w:val="FootnoteReference"/>
        </w:rPr>
        <w:footnoteRef/>
      </w:r>
      <w:r>
        <w:t xml:space="preserve"> Basle Committee on Banking Supervision ‘Asset Transfers and Securitisation’ September 1992.</w:t>
      </w:r>
    </w:p>
  </w:footnote>
  <w:footnote w:id="179">
    <w:p w:rsidR="00D85CA8" w:rsidRDefault="00D85CA8" w:rsidP="00E56015">
      <w:pPr>
        <w:pStyle w:val="FootnoteText"/>
        <w:ind w:left="284" w:hanging="284"/>
      </w:pPr>
      <w:r>
        <w:rPr>
          <w:rStyle w:val="FootnoteReference"/>
        </w:rPr>
        <w:footnoteRef/>
      </w:r>
      <w:r>
        <w:t xml:space="preserve"> Basel Committee on Banking Supervisions ‘Amendment to the Capital Accord to incorporate market risks, January 1996 (updated in November 2005).</w:t>
      </w:r>
    </w:p>
  </w:footnote>
  <w:footnote w:id="180">
    <w:p w:rsidR="00D85CA8" w:rsidRDefault="00D85CA8" w:rsidP="000C09B2">
      <w:pPr>
        <w:pStyle w:val="FootnoteText"/>
        <w:ind w:left="284" w:hanging="284"/>
      </w:pPr>
      <w:r>
        <w:rPr>
          <w:rStyle w:val="FootnoteReference"/>
        </w:rPr>
        <w:footnoteRef/>
      </w:r>
      <w:r>
        <w:t xml:space="preserve"> These models have a number of inherent flaws (e.g. assumption of lognormal distribution) but more importantly in their use – the output of a model should not be treated as an answer but as an input into a decision making process where commercial common  sense is brought to bear. In addition to VaR, regulators now also required firms to calculate stressed VaR. </w:t>
      </w:r>
    </w:p>
  </w:footnote>
  <w:footnote w:id="181">
    <w:p w:rsidR="00D85CA8" w:rsidRDefault="00D85CA8" w:rsidP="00331A0D">
      <w:pPr>
        <w:pStyle w:val="FootnoteText"/>
        <w:ind w:left="284" w:hanging="284"/>
      </w:pPr>
      <w:r>
        <w:rPr>
          <w:rStyle w:val="FootnoteReference"/>
        </w:rPr>
        <w:footnoteRef/>
      </w:r>
      <w:r>
        <w:t xml:space="preserve"> I A Moosa ‘Basel II as a casualty of the global financial crisis’ (2010) Journal of Banking Regulation, 11, 95-114.</w:t>
      </w:r>
    </w:p>
  </w:footnote>
  <w:footnote w:id="182">
    <w:p w:rsidR="00D85CA8" w:rsidRDefault="00D85CA8" w:rsidP="005A4559">
      <w:pPr>
        <w:pStyle w:val="FootnoteText"/>
        <w:ind w:left="284" w:hanging="284"/>
      </w:pPr>
      <w:r>
        <w:rPr>
          <w:rStyle w:val="FootnoteReference"/>
        </w:rPr>
        <w:footnoteRef/>
      </w:r>
      <w:r>
        <w:t xml:space="preserve"> European Banking Authority ‘Guidelines on common procedures and methodologies for the supervisory review and evaluation process (SREP), December 2014. This Guideline covers both the SREP for the ICAAP and the L-SREP for the ILAAP.</w:t>
      </w:r>
    </w:p>
  </w:footnote>
  <w:footnote w:id="183">
    <w:p w:rsidR="00D85CA8" w:rsidRDefault="00D85CA8" w:rsidP="00325EB9">
      <w:pPr>
        <w:pStyle w:val="FootnoteText"/>
      </w:pPr>
      <w:r>
        <w:rPr>
          <w:rStyle w:val="FootnoteReference"/>
        </w:rPr>
        <w:footnoteRef/>
      </w:r>
      <w:r>
        <w:t xml:space="preserve"> PRA Policy Statement PS 3/14 ‘Implementing CRD IV: capital buffers’, April 2014.</w:t>
      </w:r>
    </w:p>
  </w:footnote>
  <w:footnote w:id="184">
    <w:p w:rsidR="00D85CA8" w:rsidRDefault="00D85CA8">
      <w:pPr>
        <w:pStyle w:val="FootnoteText"/>
      </w:pPr>
      <w:r>
        <w:rPr>
          <w:rStyle w:val="FootnoteReference"/>
        </w:rPr>
        <w:footnoteRef/>
      </w:r>
      <w:r>
        <w:t xml:space="preserve"> Bank of England Financial Stability Report, Issue No. 35, June 2014.</w:t>
      </w:r>
    </w:p>
  </w:footnote>
  <w:footnote w:id="185">
    <w:p w:rsidR="00D85CA8" w:rsidRDefault="00D85CA8">
      <w:pPr>
        <w:pStyle w:val="FootnoteText"/>
      </w:pPr>
      <w:r>
        <w:rPr>
          <w:rStyle w:val="FootnoteReference"/>
        </w:rPr>
        <w:footnoteRef/>
      </w:r>
      <w:r>
        <w:t xml:space="preserve"> PRA Supervisory Statement SS 6/13, Stress testing, scenario analysis and capital planning, December 2013.</w:t>
      </w:r>
    </w:p>
  </w:footnote>
  <w:footnote w:id="186">
    <w:p w:rsidR="00D85CA8" w:rsidRDefault="00D85CA8">
      <w:pPr>
        <w:pStyle w:val="FootnoteText"/>
      </w:pPr>
      <w:r>
        <w:rPr>
          <w:rStyle w:val="FootnoteReference"/>
        </w:rPr>
        <w:footnoteRef/>
      </w:r>
      <w:r>
        <w:t xml:space="preserve"> BoE ‘A framework for stress testing the UK banking system: A discussion paper’ (2013).</w:t>
      </w:r>
    </w:p>
  </w:footnote>
  <w:footnote w:id="187">
    <w:p w:rsidR="00D85CA8" w:rsidRDefault="00D85CA8">
      <w:pPr>
        <w:pStyle w:val="FootnoteText"/>
      </w:pPr>
      <w:r>
        <w:rPr>
          <w:rStyle w:val="FootnoteReference"/>
        </w:rPr>
        <w:footnoteRef/>
      </w:r>
      <w:r>
        <w:t xml:space="preserve"> BoE ‘Stress testing the UK banking system: key elements of the 2014 stress test’ (2014).</w:t>
      </w:r>
    </w:p>
  </w:footnote>
  <w:footnote w:id="188">
    <w:p w:rsidR="00D85CA8" w:rsidRDefault="00D85CA8">
      <w:pPr>
        <w:pStyle w:val="FootnoteText"/>
      </w:pPr>
      <w:r>
        <w:rPr>
          <w:rStyle w:val="FootnoteReference"/>
        </w:rPr>
        <w:footnoteRef/>
      </w:r>
      <w:r>
        <w:t xml:space="preserve"> SYSC 20; ICAA 15.</w:t>
      </w:r>
    </w:p>
  </w:footnote>
  <w:footnote w:id="189">
    <w:p w:rsidR="00D85CA8" w:rsidRDefault="00D85CA8">
      <w:pPr>
        <w:pStyle w:val="FootnoteText"/>
      </w:pPr>
      <w:r>
        <w:rPr>
          <w:rStyle w:val="FootnoteReference"/>
        </w:rPr>
        <w:footnoteRef/>
      </w:r>
      <w:r>
        <w:t xml:space="preserve"> CEBS ‘Guidelines on Stress Testing (GL32), 26</w:t>
      </w:r>
      <w:r w:rsidRPr="00DE2CAD">
        <w:rPr>
          <w:vertAlign w:val="superscript"/>
        </w:rPr>
        <w:t>th</w:t>
      </w:r>
      <w:r>
        <w:t xml:space="preserve"> August 2010.</w:t>
      </w:r>
    </w:p>
  </w:footnote>
  <w:footnote w:id="190">
    <w:p w:rsidR="00D85CA8" w:rsidRDefault="00D85CA8" w:rsidP="004847CD">
      <w:pPr>
        <w:pStyle w:val="FootnoteText"/>
        <w:ind w:left="284" w:hanging="284"/>
      </w:pPr>
      <w:r>
        <w:rPr>
          <w:rStyle w:val="FootnoteReference"/>
        </w:rPr>
        <w:footnoteRef/>
      </w:r>
      <w:r>
        <w:t xml:space="preserve"> Basel Committee on Banking Supervision ‘Principles for Sound Stress Testing Practices and Supervision, May 2009. </w:t>
      </w:r>
    </w:p>
  </w:footnote>
  <w:footnote w:id="191">
    <w:p w:rsidR="00D85CA8" w:rsidRDefault="00D85CA8">
      <w:pPr>
        <w:pStyle w:val="FootnoteText"/>
        <w:rPr>
          <w:rFonts w:eastAsia="Arial Unicode MS"/>
        </w:rPr>
      </w:pPr>
      <w:r>
        <w:rPr>
          <w:rStyle w:val="FootnoteReference"/>
        </w:rPr>
        <w:footnoteRef/>
      </w:r>
      <w:r>
        <w:rPr>
          <w:rFonts w:eastAsia="Arial Unicode MS"/>
        </w:rPr>
        <w:t>Regulation</w:t>
      </w:r>
      <w:r w:rsidRPr="006F7F5D">
        <w:rPr>
          <w:rFonts w:eastAsia="Arial Unicode MS"/>
        </w:rPr>
        <w:t xml:space="preserve"> (EU) No 575/2013</w:t>
      </w:r>
      <w:r>
        <w:rPr>
          <w:rFonts w:eastAsia="Arial Unicode MS"/>
        </w:rPr>
        <w:t xml:space="preserve"> – Recital 70, Article 290(8), and Article 368(g).</w:t>
      </w:r>
    </w:p>
    <w:p w:rsidR="00D85CA8" w:rsidRDefault="00D85CA8">
      <w:pPr>
        <w:pStyle w:val="FootnoteText"/>
      </w:pPr>
    </w:p>
  </w:footnote>
  <w:footnote w:id="192">
    <w:p w:rsidR="00D85CA8" w:rsidRDefault="00D85CA8" w:rsidP="00A72AD6">
      <w:pPr>
        <w:pStyle w:val="EndnoteText"/>
        <w:spacing w:line="240" w:lineRule="auto"/>
        <w:jc w:val="both"/>
      </w:pPr>
      <w:r>
        <w:rPr>
          <w:rStyle w:val="FootnoteReference"/>
        </w:rPr>
        <w:footnoteRef/>
      </w:r>
      <w:r w:rsidRPr="00290B5B">
        <w:t xml:space="preserve">Financial Policy Committee </w:t>
      </w:r>
      <w:r>
        <w:t>‘</w:t>
      </w:r>
      <w:r w:rsidRPr="00290B5B">
        <w:t>The Financial Policy Committees review of the leverage ratio</w:t>
      </w:r>
      <w:r>
        <w:t>’ (2014)</w:t>
      </w:r>
      <w:r w:rsidRPr="00290B5B">
        <w:t>.</w:t>
      </w:r>
    </w:p>
  </w:footnote>
  <w:footnote w:id="193">
    <w:p w:rsidR="00D85CA8" w:rsidRDefault="00D85CA8">
      <w:pPr>
        <w:pStyle w:val="FootnoteText"/>
      </w:pPr>
      <w:r>
        <w:rPr>
          <w:rStyle w:val="FootnoteReference"/>
        </w:rPr>
        <w:footnoteRef/>
      </w:r>
      <w:r>
        <w:t xml:space="preserve"> PRA Consultation Paper 24/15 ‘Implementing a UK leverage ratio framework, July 2015.</w:t>
      </w:r>
    </w:p>
  </w:footnote>
  <w:footnote w:id="194">
    <w:p w:rsidR="00D85CA8" w:rsidRDefault="00D85CA8">
      <w:pPr>
        <w:pStyle w:val="FootnoteText"/>
      </w:pPr>
      <w:r>
        <w:rPr>
          <w:rStyle w:val="FootnoteReference"/>
        </w:rPr>
        <w:footnoteRef/>
      </w:r>
      <w:r>
        <w:t xml:space="preserve"> PRA Policy Statement PS 3/14, Implementing CRD IV: capital buffers, April 2014.</w:t>
      </w:r>
    </w:p>
  </w:footnote>
  <w:footnote w:id="195">
    <w:p w:rsidR="00D85CA8" w:rsidRDefault="00D85CA8" w:rsidP="002B26E8">
      <w:pPr>
        <w:pStyle w:val="FootnoteText"/>
        <w:ind w:left="284" w:hanging="284"/>
      </w:pPr>
      <w:r>
        <w:rPr>
          <w:rStyle w:val="FootnoteReference"/>
        </w:rPr>
        <w:footnoteRef/>
      </w:r>
      <w:r>
        <w:t xml:space="preserve"> Basel Committee on Banking Supervision ‘Supervisory guidance in dealing with weak banks: Report of the task force on dealing with weak banks’ March 2002.</w:t>
      </w:r>
    </w:p>
  </w:footnote>
  <w:footnote w:id="196">
    <w:p w:rsidR="00D85CA8" w:rsidRDefault="00D85CA8" w:rsidP="001F1065">
      <w:pPr>
        <w:pStyle w:val="FootnoteText"/>
        <w:ind w:left="284" w:hanging="284"/>
      </w:pPr>
      <w:r>
        <w:rPr>
          <w:rStyle w:val="FootnoteReference"/>
        </w:rPr>
        <w:footnoteRef/>
      </w:r>
      <w:r>
        <w:t xml:space="preserve"> Basel Committee on Banking Supervision ‘Guidelines for identifying and dealing with weak banks’, July 2015.</w:t>
      </w:r>
    </w:p>
  </w:footnote>
  <w:footnote w:id="197">
    <w:p w:rsidR="00D85CA8" w:rsidRDefault="00D85CA8" w:rsidP="00104B0D">
      <w:pPr>
        <w:pStyle w:val="FootnoteText"/>
        <w:ind w:left="284" w:hanging="284"/>
      </w:pPr>
      <w:r>
        <w:rPr>
          <w:rStyle w:val="FootnoteReference"/>
        </w:rPr>
        <w:footnoteRef/>
      </w:r>
      <w:r>
        <w:t xml:space="preserve"> Financial Stability Board ‘Thematic review of resolution regimes’, (2013); Financial Stability Board ‘Recovery and resolution planning for systemically important financial institutions: guidance on identification of critical functions and critical shared services’, (2013); and Financial Stability Board ‘Recovery and resolution planning for systemically financial institutions: guidance on developing effective resolution strategies, July 2013.</w:t>
      </w:r>
    </w:p>
  </w:footnote>
  <w:footnote w:id="198">
    <w:p w:rsidR="00D85CA8" w:rsidRDefault="00D85CA8" w:rsidP="00104B0D">
      <w:pPr>
        <w:pStyle w:val="FootnoteText"/>
        <w:ind w:left="284" w:hanging="284"/>
      </w:pPr>
      <w:r>
        <w:rPr>
          <w:rStyle w:val="FootnoteReference"/>
        </w:rPr>
        <w:footnoteRef/>
      </w:r>
      <w:r>
        <w:t xml:space="preserve"> See footnote 40. </w:t>
      </w:r>
    </w:p>
  </w:footnote>
  <w:footnote w:id="199">
    <w:p w:rsidR="00D85CA8" w:rsidRDefault="00D85CA8" w:rsidP="00445F6F">
      <w:pPr>
        <w:pStyle w:val="FootnoteText"/>
        <w:ind w:left="284" w:hanging="284"/>
      </w:pPr>
      <w:r>
        <w:rPr>
          <w:rStyle w:val="FootnoteReference"/>
        </w:rPr>
        <w:footnoteRef/>
      </w:r>
      <w:r>
        <w:t xml:space="preserve"> Banking Recovery and Resolution Directive (BRRD) - Directive 2014/59/EU. </w:t>
      </w:r>
    </w:p>
  </w:footnote>
  <w:footnote w:id="200">
    <w:p w:rsidR="00D85CA8" w:rsidRDefault="00D85CA8" w:rsidP="00321CA1">
      <w:pPr>
        <w:pStyle w:val="FootnoteText"/>
        <w:ind w:left="284" w:hanging="284"/>
      </w:pPr>
      <w:r>
        <w:rPr>
          <w:rStyle w:val="FootnoteReference"/>
        </w:rPr>
        <w:footnoteRef/>
      </w:r>
      <w:r>
        <w:t xml:space="preserve"> BRRD Press release, 20 December 2013,  available at </w:t>
      </w:r>
      <w:hyperlink r:id="rId14" w:history="1">
        <w:r w:rsidRPr="00B17872">
          <w:rPr>
            <w:rStyle w:val="Hyperlink"/>
          </w:rPr>
          <w:t>http://www.consilium.europa.eu/uedocs/cms_data/docs/pressdata/en/ecofin/140277.pdf</w:t>
        </w:r>
      </w:hyperlink>
      <w:r>
        <w:t xml:space="preserve">  (last accessed 25th July 2015).</w:t>
      </w:r>
    </w:p>
  </w:footnote>
  <w:footnote w:id="201">
    <w:p w:rsidR="00D85CA8" w:rsidRPr="00340B3A" w:rsidRDefault="00D85CA8">
      <w:pPr>
        <w:pStyle w:val="FootnoteText"/>
        <w:rPr>
          <w:lang w:val="fr-FR"/>
        </w:rPr>
      </w:pPr>
      <w:r>
        <w:rPr>
          <w:rStyle w:val="FootnoteReference"/>
        </w:rPr>
        <w:footnoteRef/>
      </w:r>
      <w:r w:rsidRPr="00340B3A">
        <w:rPr>
          <w:lang w:val="fr-FR"/>
        </w:rPr>
        <w:t xml:space="preserve"> Article 38 BRRD.</w:t>
      </w:r>
    </w:p>
  </w:footnote>
  <w:footnote w:id="202">
    <w:p w:rsidR="00D85CA8" w:rsidRPr="0074539B" w:rsidRDefault="00D85CA8">
      <w:pPr>
        <w:pStyle w:val="FootnoteText"/>
        <w:rPr>
          <w:lang w:val="fr-FR"/>
        </w:rPr>
      </w:pPr>
      <w:r>
        <w:rPr>
          <w:rStyle w:val="FootnoteReference"/>
        </w:rPr>
        <w:footnoteRef/>
      </w:r>
      <w:r w:rsidRPr="0074539B">
        <w:rPr>
          <w:lang w:val="fr-FR"/>
        </w:rPr>
        <w:t xml:space="preserve"> Article 40 BRRD</w:t>
      </w:r>
      <w:r>
        <w:rPr>
          <w:lang w:val="fr-FR"/>
        </w:rPr>
        <w:t>.</w:t>
      </w:r>
    </w:p>
  </w:footnote>
  <w:footnote w:id="203">
    <w:p w:rsidR="00D85CA8" w:rsidRPr="0074539B" w:rsidRDefault="00D85CA8">
      <w:pPr>
        <w:pStyle w:val="FootnoteText"/>
        <w:rPr>
          <w:lang w:val="fr-FR"/>
        </w:rPr>
      </w:pPr>
      <w:r>
        <w:rPr>
          <w:rStyle w:val="FootnoteReference"/>
        </w:rPr>
        <w:footnoteRef/>
      </w:r>
      <w:r w:rsidRPr="0074539B">
        <w:rPr>
          <w:lang w:val="fr-FR"/>
        </w:rPr>
        <w:t xml:space="preserve"> Article 42 BRRD</w:t>
      </w:r>
      <w:r>
        <w:rPr>
          <w:lang w:val="fr-FR"/>
        </w:rPr>
        <w:t>.</w:t>
      </w:r>
    </w:p>
  </w:footnote>
  <w:footnote w:id="204">
    <w:p w:rsidR="00D85CA8" w:rsidRPr="00340B3A" w:rsidRDefault="00D85CA8">
      <w:pPr>
        <w:pStyle w:val="FootnoteText"/>
      </w:pPr>
      <w:r>
        <w:rPr>
          <w:rStyle w:val="FootnoteReference"/>
        </w:rPr>
        <w:footnoteRef/>
      </w:r>
      <w:r w:rsidRPr="00340B3A">
        <w:t xml:space="preserve"> Article 43 BRRD.</w:t>
      </w:r>
    </w:p>
  </w:footnote>
  <w:footnote w:id="205">
    <w:p w:rsidR="00D85CA8" w:rsidRDefault="00D85CA8">
      <w:pPr>
        <w:pStyle w:val="FootnoteText"/>
      </w:pPr>
      <w:r>
        <w:rPr>
          <w:rStyle w:val="FootnoteReference"/>
        </w:rPr>
        <w:footnoteRef/>
      </w:r>
      <w:r>
        <w:t xml:space="preserve"> Article 5 BRRD.</w:t>
      </w:r>
    </w:p>
  </w:footnote>
  <w:footnote w:id="206">
    <w:p w:rsidR="00D85CA8" w:rsidRDefault="00D85CA8" w:rsidP="00445F6F">
      <w:pPr>
        <w:pStyle w:val="FootnoteText"/>
        <w:ind w:left="284" w:hanging="284"/>
      </w:pPr>
      <w:r w:rsidRPr="00445F6F">
        <w:rPr>
          <w:rStyle w:val="FootnoteReference"/>
        </w:rPr>
        <w:footnoteRef/>
      </w:r>
      <w:r w:rsidRPr="00D809C1">
        <w:t>M Blair QC, L Minghella, M Taylor, M Threipland, and G Walker</w:t>
      </w:r>
      <w:r w:rsidRPr="00D809C1">
        <w:rPr>
          <w:bCs/>
        </w:rPr>
        <w:t xml:space="preserve"> ‘Blackstone</w:t>
      </w:r>
      <w:r>
        <w:rPr>
          <w:bCs/>
        </w:rPr>
        <w:t>’</w:t>
      </w:r>
      <w:r w:rsidRPr="00D809C1">
        <w:rPr>
          <w:bCs/>
        </w:rPr>
        <w:t>s guide to the Financial Services and Markets Act 2000’ (2001). Blackstone Press Limited: London.</w:t>
      </w:r>
    </w:p>
  </w:footnote>
  <w:footnote w:id="207">
    <w:p w:rsidR="00D85CA8" w:rsidRDefault="00D85CA8">
      <w:pPr>
        <w:pStyle w:val="FootnoteText"/>
      </w:pPr>
      <w:r>
        <w:rPr>
          <w:rStyle w:val="FootnoteReference"/>
        </w:rPr>
        <w:footnoteRef/>
      </w:r>
      <w:r>
        <w:t xml:space="preserve"> Section 108 FSMA 2000.</w:t>
      </w:r>
    </w:p>
  </w:footnote>
  <w:footnote w:id="208">
    <w:p w:rsidR="00D85CA8" w:rsidRDefault="00D85CA8">
      <w:pPr>
        <w:pStyle w:val="FootnoteText"/>
      </w:pPr>
      <w:r>
        <w:rPr>
          <w:rStyle w:val="FootnoteReference"/>
        </w:rPr>
        <w:footnoteRef/>
      </w:r>
      <w:r>
        <w:t xml:space="preserve"> Section 104 FSMA 2000.</w:t>
      </w:r>
    </w:p>
  </w:footnote>
  <w:footnote w:id="209">
    <w:p w:rsidR="00D85CA8" w:rsidRDefault="00D85CA8">
      <w:pPr>
        <w:pStyle w:val="FootnoteText"/>
      </w:pPr>
      <w:r>
        <w:rPr>
          <w:rStyle w:val="FootnoteReference"/>
        </w:rPr>
        <w:footnoteRef/>
      </w:r>
      <w:r>
        <w:t xml:space="preserve"> Section 111 FSMA 2000.</w:t>
      </w:r>
    </w:p>
  </w:footnote>
  <w:footnote w:id="210">
    <w:p w:rsidR="00D85CA8" w:rsidRDefault="00D85CA8">
      <w:pPr>
        <w:pStyle w:val="FootnoteText"/>
      </w:pPr>
      <w:r>
        <w:rPr>
          <w:rStyle w:val="FootnoteReference"/>
        </w:rPr>
        <w:footnoteRef/>
      </w:r>
      <w:r>
        <w:t xml:space="preserve"> Section 111 FSMA 2000, Schedule 12, Part II, Section 8(1) and 8(2)(a)</w:t>
      </w:r>
    </w:p>
  </w:footnote>
  <w:footnote w:id="211">
    <w:p w:rsidR="00D85CA8" w:rsidRDefault="00D85CA8">
      <w:pPr>
        <w:pStyle w:val="FootnoteText"/>
      </w:pPr>
      <w:r>
        <w:rPr>
          <w:rStyle w:val="FootnoteReference"/>
        </w:rPr>
        <w:footnoteRef/>
      </w:r>
      <w:r>
        <w:t xml:space="preserve"> FSBRA 2013, Schedule 1 – Ring-fencing transfer schemes.</w:t>
      </w:r>
    </w:p>
  </w:footnote>
  <w:footnote w:id="212">
    <w:p w:rsidR="00D85CA8" w:rsidRDefault="00D85CA8">
      <w:pPr>
        <w:pStyle w:val="FootnoteText"/>
      </w:pPr>
      <w:r>
        <w:rPr>
          <w:rStyle w:val="FootnoteReference"/>
        </w:rPr>
        <w:footnoteRef/>
      </w:r>
      <w:r>
        <w:t xml:space="preserve"> A </w:t>
      </w:r>
      <w:r w:rsidRPr="00697A09">
        <w:t>Salz ‘Salz Review: An independent review of Barclays’ business practices’ (2013)</w:t>
      </w:r>
      <w:r>
        <w:t>.</w:t>
      </w:r>
    </w:p>
  </w:footnote>
  <w:footnote w:id="213">
    <w:p w:rsidR="00D85CA8" w:rsidRDefault="00D85CA8" w:rsidP="00980829">
      <w:pPr>
        <w:pStyle w:val="FootnoteText"/>
        <w:ind w:left="284" w:hanging="284"/>
      </w:pPr>
      <w:r>
        <w:rPr>
          <w:rStyle w:val="FootnoteReference"/>
        </w:rPr>
        <w:footnoteRef/>
      </w:r>
      <w:r>
        <w:t xml:space="preserve"> Ed Balls at the 2012 Labour Party conference, available at </w:t>
      </w:r>
      <w:hyperlink r:id="rId15" w:history="1">
        <w:r w:rsidRPr="006E1381">
          <w:rPr>
            <w:rStyle w:val="Hyperlink"/>
          </w:rPr>
          <w:t>http://archive.labour.org.uk/parliamentary-commission-on-banking-standards-report</w:t>
        </w:r>
      </w:hyperlink>
      <w:r>
        <w:t xml:space="preserve"> (last accessed on 29th August 2015).</w:t>
      </w:r>
    </w:p>
  </w:footnote>
  <w:footnote w:id="214">
    <w:p w:rsidR="00D85CA8" w:rsidRDefault="00D85CA8" w:rsidP="00BC1309">
      <w:pPr>
        <w:pStyle w:val="FootnoteText"/>
      </w:pPr>
      <w:r>
        <w:rPr>
          <w:rStyle w:val="FootnoteReference"/>
        </w:rPr>
        <w:footnoteRef/>
      </w:r>
      <w:r>
        <w:t xml:space="preserve"> PRA Rule book ICAA 2.1. </w:t>
      </w:r>
    </w:p>
  </w:footnote>
  <w:footnote w:id="215">
    <w:p w:rsidR="00D85CA8" w:rsidRDefault="00D85CA8" w:rsidP="00B63EFB">
      <w:pPr>
        <w:pStyle w:val="FootnoteText"/>
        <w:ind w:left="284" w:hanging="284"/>
      </w:pPr>
      <w:r>
        <w:rPr>
          <w:rStyle w:val="FootnoteReference"/>
        </w:rPr>
        <w:footnoteRef/>
      </w:r>
      <w:r>
        <w:t xml:space="preserve"> The Threshold Conditions used to be part of the FSA Handbook and now appear to have been withdrawn (as part of the Handbook), however, they remain core legal requirements and are set out in the Financial Services and Markets Act 2000 in Schedule 6.   </w:t>
      </w:r>
    </w:p>
  </w:footnote>
  <w:footnote w:id="216">
    <w:p w:rsidR="00D85CA8" w:rsidRDefault="00D85CA8" w:rsidP="00BC1309">
      <w:pPr>
        <w:pStyle w:val="FootnoteText"/>
      </w:pPr>
      <w:r>
        <w:rPr>
          <w:rStyle w:val="FootnoteReference"/>
        </w:rPr>
        <w:footnoteRef/>
      </w:r>
      <w:r>
        <w:t xml:space="preserve"> See footnote 167.</w:t>
      </w:r>
    </w:p>
  </w:footnote>
  <w:footnote w:id="217">
    <w:p w:rsidR="00D85CA8" w:rsidRDefault="00D85CA8" w:rsidP="00B63EFB">
      <w:pPr>
        <w:pStyle w:val="FootnoteText"/>
        <w:ind w:left="284" w:hanging="284"/>
      </w:pPr>
      <w:r>
        <w:rPr>
          <w:rStyle w:val="FootnoteReference"/>
        </w:rPr>
        <w:footnoteRef/>
      </w:r>
      <w:r>
        <w:t xml:space="preserve"> PRA Rulebook ILAA – note that this section does not come into force until 1</w:t>
      </w:r>
      <w:r w:rsidRPr="004B3721">
        <w:rPr>
          <w:vertAlign w:val="superscript"/>
        </w:rPr>
        <w:t>st</w:t>
      </w:r>
      <w:r>
        <w:t xml:space="preserve"> October 2015.</w:t>
      </w:r>
    </w:p>
  </w:footnote>
  <w:footnote w:id="218">
    <w:p w:rsidR="00D85CA8" w:rsidRDefault="00D85CA8" w:rsidP="00BC1309">
      <w:pPr>
        <w:pStyle w:val="FootnoteText"/>
      </w:pPr>
      <w:r>
        <w:rPr>
          <w:rStyle w:val="FootnoteReference"/>
        </w:rPr>
        <w:footnoteRef/>
      </w:r>
      <w:r>
        <w:t xml:space="preserve"> PRA Rulebook ICAA.</w:t>
      </w:r>
    </w:p>
  </w:footnote>
  <w:footnote w:id="219">
    <w:p w:rsidR="00D85CA8" w:rsidRPr="008C1271" w:rsidRDefault="00D85CA8" w:rsidP="00B63EFB">
      <w:pPr>
        <w:pStyle w:val="FootnoteText"/>
        <w:ind w:left="284" w:hanging="284"/>
      </w:pPr>
      <w:r>
        <w:rPr>
          <w:rStyle w:val="FootnoteReference"/>
        </w:rPr>
        <w:footnoteRef/>
      </w:r>
      <w:r w:rsidRPr="008C1271">
        <w:t xml:space="preserve"> See footnote 182. </w:t>
      </w:r>
    </w:p>
  </w:footnote>
  <w:footnote w:id="220">
    <w:p w:rsidR="00D85CA8" w:rsidRPr="00892D8E" w:rsidRDefault="00D85CA8" w:rsidP="00BC1309">
      <w:pPr>
        <w:pStyle w:val="FootnoteText"/>
        <w:rPr>
          <w:lang w:val="fr-FR"/>
        </w:rPr>
      </w:pPr>
      <w:r>
        <w:rPr>
          <w:rStyle w:val="FootnoteReference"/>
        </w:rPr>
        <w:footnoteRef/>
      </w:r>
      <w:r w:rsidRPr="00892D8E">
        <w:rPr>
          <w:lang w:val="fr-FR"/>
        </w:rPr>
        <w:t xml:space="preserve"> Directive 2013 /36 / EU.</w:t>
      </w:r>
    </w:p>
  </w:footnote>
  <w:footnote w:id="221">
    <w:p w:rsidR="00D85CA8" w:rsidRPr="00892D8E" w:rsidRDefault="00D85CA8" w:rsidP="00BC1309">
      <w:pPr>
        <w:pStyle w:val="FootnoteText"/>
        <w:rPr>
          <w:lang w:val="fr-FR"/>
        </w:rPr>
      </w:pPr>
      <w:r>
        <w:rPr>
          <w:rStyle w:val="FootnoteReference"/>
        </w:rPr>
        <w:footnoteRef/>
      </w:r>
      <w:r w:rsidRPr="00892D8E">
        <w:rPr>
          <w:lang w:val="fr-FR"/>
        </w:rPr>
        <w:t xml:space="preserve"> Regulation (EU) 575 / 2013 /EU.</w:t>
      </w:r>
    </w:p>
  </w:footnote>
  <w:footnote w:id="222">
    <w:p w:rsidR="00D85CA8" w:rsidRPr="00340B3A" w:rsidRDefault="00D85CA8" w:rsidP="00BC1309">
      <w:pPr>
        <w:pStyle w:val="FootnoteText"/>
      </w:pPr>
      <w:r>
        <w:rPr>
          <w:rStyle w:val="FootnoteReference"/>
        </w:rPr>
        <w:footnoteRef/>
      </w:r>
      <w:r w:rsidRPr="00340B3A">
        <w:t xml:space="preserve"> See </w:t>
      </w:r>
      <w:r>
        <w:t>footnote 167.</w:t>
      </w:r>
    </w:p>
  </w:footnote>
  <w:footnote w:id="223">
    <w:p w:rsidR="00D85CA8" w:rsidRPr="00340B3A" w:rsidRDefault="00D85CA8" w:rsidP="00BC1309">
      <w:pPr>
        <w:pStyle w:val="FootnoteText"/>
      </w:pPr>
      <w:r>
        <w:rPr>
          <w:rStyle w:val="FootnoteReference"/>
        </w:rPr>
        <w:footnoteRef/>
      </w:r>
      <w:r w:rsidRPr="00340B3A">
        <w:t xml:space="preserve"> CRR Articles 111 to 134.</w:t>
      </w:r>
    </w:p>
  </w:footnote>
  <w:footnote w:id="224">
    <w:p w:rsidR="00D85CA8" w:rsidRDefault="00D85CA8" w:rsidP="00BC1309">
      <w:pPr>
        <w:pStyle w:val="FootnoteText"/>
      </w:pPr>
      <w:r>
        <w:rPr>
          <w:rStyle w:val="FootnoteReference"/>
        </w:rPr>
        <w:footnoteRef/>
      </w:r>
      <w:r>
        <w:t xml:space="preserve"> CRR Article 452 </w:t>
      </w:r>
    </w:p>
  </w:footnote>
  <w:footnote w:id="225">
    <w:p w:rsidR="00D85CA8" w:rsidRDefault="00D85CA8" w:rsidP="00BC1309">
      <w:pPr>
        <w:pStyle w:val="FootnoteText"/>
      </w:pPr>
      <w:r>
        <w:rPr>
          <w:rStyle w:val="FootnoteReference"/>
        </w:rPr>
        <w:footnoteRef/>
      </w:r>
      <w:r>
        <w:t xml:space="preserve"> See footnotes 42 and 43.</w:t>
      </w:r>
    </w:p>
  </w:footnote>
  <w:footnote w:id="226">
    <w:p w:rsidR="00D85CA8" w:rsidRDefault="00D85CA8" w:rsidP="00BC1309">
      <w:pPr>
        <w:pStyle w:val="FootnoteText"/>
      </w:pPr>
      <w:r>
        <w:rPr>
          <w:rStyle w:val="FootnoteReference"/>
        </w:rPr>
        <w:footnoteRef/>
      </w:r>
      <w:r>
        <w:t xml:space="preserve"> Regulation (EU) 575/2013 - Title II – Capital Requirements for Credit Risk</w:t>
      </w:r>
    </w:p>
  </w:footnote>
  <w:footnote w:id="227">
    <w:p w:rsidR="00D85CA8" w:rsidRDefault="00D85CA8" w:rsidP="005D5A6B">
      <w:pPr>
        <w:pStyle w:val="FootnoteText"/>
        <w:ind w:left="284" w:hanging="284"/>
      </w:pPr>
      <w:r>
        <w:rPr>
          <w:rStyle w:val="FootnoteReference"/>
        </w:rPr>
        <w:footnoteRef/>
      </w:r>
      <w:r>
        <w:t xml:space="preserve"> PRA ‘Waiver and modifications of Rules, available at </w:t>
      </w:r>
      <w:hyperlink r:id="rId16" w:history="1">
        <w:r w:rsidRPr="006E1381">
          <w:rPr>
            <w:rStyle w:val="Hyperlink"/>
          </w:rPr>
          <w:t>http://www.bankofengland.co.uk/pra/Pages/authorisations/waivers/default.aspx</w:t>
        </w:r>
      </w:hyperlink>
      <w:r>
        <w:t xml:space="preserve"> (last accessed on 29 the August 2015).</w:t>
      </w:r>
    </w:p>
  </w:footnote>
  <w:footnote w:id="228">
    <w:p w:rsidR="00D85CA8" w:rsidRDefault="00D85CA8" w:rsidP="005D5293">
      <w:pPr>
        <w:pStyle w:val="FootnoteText"/>
        <w:ind w:left="284" w:hanging="284"/>
      </w:pPr>
      <w:r>
        <w:rPr>
          <w:rStyle w:val="FootnoteReference"/>
        </w:rPr>
        <w:footnoteRef/>
      </w:r>
      <w:r>
        <w:t xml:space="preserve"> EBA ‘Discussion Paper on the Future of IRB’ (March 2015); EBA ‘Final Report: Final Draft Regulatory Technical Standards on the specification of the assessment methodology under which competent authorities permit institutions to use Advanced Measurement Approaches (AMA) for operational risk in accordance with Article 312 of Regulation (EU) 575/2013, June 2015.</w:t>
      </w:r>
    </w:p>
  </w:footnote>
  <w:footnote w:id="229">
    <w:p w:rsidR="00D85CA8" w:rsidRDefault="00D85CA8">
      <w:pPr>
        <w:pStyle w:val="FootnoteText"/>
      </w:pPr>
      <w:r>
        <w:rPr>
          <w:rStyle w:val="FootnoteReference"/>
        </w:rPr>
        <w:footnoteRef/>
      </w:r>
      <w:r>
        <w:t xml:space="preserve"> CRR Article 501 (although this is currently being reviewed by the EBA).</w:t>
      </w:r>
    </w:p>
  </w:footnote>
  <w:footnote w:id="230">
    <w:p w:rsidR="00D85CA8" w:rsidRPr="0053391D" w:rsidRDefault="00D85CA8" w:rsidP="00325EC8">
      <w:pPr>
        <w:pStyle w:val="FootnoteText"/>
        <w:ind w:left="284" w:hanging="284"/>
      </w:pPr>
      <w:r>
        <w:rPr>
          <w:rStyle w:val="FootnoteReference"/>
        </w:rPr>
        <w:footnoteRef/>
      </w:r>
      <w:r w:rsidRPr="0053391D">
        <w:t xml:space="preserve"> EBA</w:t>
      </w:r>
      <w:r>
        <w:t>, ESMA , EIOPA Joint Consultation Paper ‘Draft Implementing Technical Standards on the allocation of credit assessments of ECAIs to an objective scale of credit quality steps under Article 109(a) of Directive 2009/138/EC, March 2015.</w:t>
      </w:r>
    </w:p>
  </w:footnote>
  <w:footnote w:id="231">
    <w:p w:rsidR="00D85CA8" w:rsidRPr="008C1271" w:rsidRDefault="00D85CA8" w:rsidP="00BC1309">
      <w:pPr>
        <w:pStyle w:val="FootnoteText"/>
      </w:pPr>
      <w:r>
        <w:rPr>
          <w:rStyle w:val="FootnoteReference"/>
        </w:rPr>
        <w:footnoteRef/>
      </w:r>
      <w:r w:rsidRPr="008C1271">
        <w:t xml:space="preserve"> CRR Article 134.</w:t>
      </w:r>
    </w:p>
  </w:footnote>
  <w:footnote w:id="232">
    <w:p w:rsidR="00D85CA8" w:rsidRPr="008C1271" w:rsidRDefault="00D85CA8" w:rsidP="00BC1309">
      <w:pPr>
        <w:pStyle w:val="FootnoteText"/>
      </w:pPr>
      <w:r>
        <w:rPr>
          <w:rStyle w:val="FootnoteReference"/>
        </w:rPr>
        <w:footnoteRef/>
      </w:r>
      <w:r w:rsidRPr="008C1271">
        <w:t xml:space="preserve"> See footnote 179.</w:t>
      </w:r>
    </w:p>
  </w:footnote>
  <w:footnote w:id="233">
    <w:p w:rsidR="00D85CA8" w:rsidRPr="0074539B" w:rsidRDefault="00D85CA8" w:rsidP="00BC1309">
      <w:pPr>
        <w:pStyle w:val="FootnoteText"/>
        <w:rPr>
          <w:lang w:val="fr-FR"/>
        </w:rPr>
      </w:pPr>
      <w:r>
        <w:rPr>
          <w:rStyle w:val="FootnoteReference"/>
        </w:rPr>
        <w:footnoteRef/>
      </w:r>
      <w:r w:rsidRPr="0074539B">
        <w:rPr>
          <w:lang w:val="fr-FR"/>
        </w:rPr>
        <w:t xml:space="preserve"> CRR Article 315.</w:t>
      </w:r>
    </w:p>
  </w:footnote>
  <w:footnote w:id="234">
    <w:p w:rsidR="00D85CA8" w:rsidRPr="0074539B" w:rsidRDefault="00D85CA8" w:rsidP="00BC1309">
      <w:pPr>
        <w:pStyle w:val="FootnoteText"/>
        <w:rPr>
          <w:lang w:val="fr-FR"/>
        </w:rPr>
      </w:pPr>
      <w:r>
        <w:rPr>
          <w:rStyle w:val="FootnoteReference"/>
        </w:rPr>
        <w:footnoteRef/>
      </w:r>
      <w:r w:rsidRPr="0074539B">
        <w:rPr>
          <w:lang w:val="fr-FR"/>
        </w:rPr>
        <w:t xml:space="preserve"> CRR Article 320.</w:t>
      </w:r>
    </w:p>
  </w:footnote>
  <w:footnote w:id="235">
    <w:p w:rsidR="00D85CA8" w:rsidRPr="0074539B" w:rsidRDefault="00D85CA8" w:rsidP="00BC1309">
      <w:pPr>
        <w:pStyle w:val="FootnoteText"/>
        <w:rPr>
          <w:lang w:val="fr-FR"/>
        </w:rPr>
      </w:pPr>
      <w:r>
        <w:rPr>
          <w:rStyle w:val="FootnoteReference"/>
        </w:rPr>
        <w:footnoteRef/>
      </w:r>
      <w:r w:rsidRPr="0074539B">
        <w:rPr>
          <w:lang w:val="fr-FR"/>
        </w:rPr>
        <w:t xml:space="preserve"> CRR Article 321 and 322.</w:t>
      </w:r>
    </w:p>
  </w:footnote>
  <w:footnote w:id="236">
    <w:p w:rsidR="00D85CA8" w:rsidRPr="008C1271" w:rsidRDefault="00D85CA8" w:rsidP="00BC1309">
      <w:pPr>
        <w:pStyle w:val="FootnoteText"/>
      </w:pPr>
      <w:r>
        <w:rPr>
          <w:rStyle w:val="FootnoteReference"/>
        </w:rPr>
        <w:footnoteRef/>
      </w:r>
      <w:r w:rsidRPr="008C1271">
        <w:t xml:space="preserve"> CRR Article 323.</w:t>
      </w:r>
    </w:p>
  </w:footnote>
  <w:footnote w:id="237">
    <w:p w:rsidR="00D85CA8" w:rsidRDefault="00D85CA8">
      <w:pPr>
        <w:pStyle w:val="FootnoteText"/>
      </w:pPr>
      <w:r>
        <w:rPr>
          <w:rStyle w:val="FootnoteReference"/>
        </w:rPr>
        <w:footnoteRef/>
      </w:r>
      <w:r>
        <w:t xml:space="preserve"> See footnote 228.</w:t>
      </w:r>
    </w:p>
  </w:footnote>
  <w:footnote w:id="238">
    <w:p w:rsidR="00D85CA8" w:rsidRPr="008C1271" w:rsidRDefault="00D85CA8" w:rsidP="00BC1309">
      <w:pPr>
        <w:pStyle w:val="FootnoteText"/>
      </w:pPr>
      <w:r>
        <w:rPr>
          <w:rStyle w:val="FootnoteReference"/>
        </w:rPr>
        <w:footnoteRef/>
      </w:r>
      <w:r w:rsidRPr="008C1271">
        <w:t xml:space="preserve"> CRR Article 317.</w:t>
      </w:r>
    </w:p>
  </w:footnote>
  <w:footnote w:id="239">
    <w:p w:rsidR="00D85CA8" w:rsidRPr="008C1271" w:rsidRDefault="00D85CA8" w:rsidP="00BC1309">
      <w:pPr>
        <w:pStyle w:val="FootnoteText"/>
      </w:pPr>
      <w:r>
        <w:rPr>
          <w:rStyle w:val="FootnoteReference"/>
        </w:rPr>
        <w:footnoteRef/>
      </w:r>
      <w:r w:rsidRPr="008C1271">
        <w:t xml:space="preserve"> Ibid.</w:t>
      </w:r>
    </w:p>
  </w:footnote>
  <w:footnote w:id="240">
    <w:p w:rsidR="00D85CA8" w:rsidRPr="0053391D" w:rsidRDefault="00D85CA8" w:rsidP="00BC1309">
      <w:pPr>
        <w:pStyle w:val="FootnoteText"/>
      </w:pPr>
      <w:r>
        <w:rPr>
          <w:rStyle w:val="FootnoteReference"/>
        </w:rPr>
        <w:footnoteRef/>
      </w:r>
      <w:r w:rsidRPr="0053391D">
        <w:t xml:space="preserve"> PRA CP 1/15 ‘Assessing capital adequacy under Pillar 2’.  </w:t>
      </w:r>
    </w:p>
  </w:footnote>
  <w:footnote w:id="241">
    <w:p w:rsidR="00D85CA8" w:rsidRPr="008C1271" w:rsidRDefault="00D85CA8" w:rsidP="00BC1309">
      <w:pPr>
        <w:pStyle w:val="FootnoteText"/>
      </w:pPr>
      <w:r>
        <w:rPr>
          <w:rStyle w:val="FootnoteReference"/>
        </w:rPr>
        <w:footnoteRef/>
      </w:r>
      <w:r w:rsidRPr="008C1271">
        <w:t xml:space="preserve"> See footnote 182.</w:t>
      </w:r>
    </w:p>
  </w:footnote>
  <w:footnote w:id="242">
    <w:p w:rsidR="00D85CA8" w:rsidRPr="008C1271" w:rsidRDefault="00D85CA8" w:rsidP="00BC1309">
      <w:pPr>
        <w:pStyle w:val="FootnoteText"/>
      </w:pPr>
      <w:r>
        <w:rPr>
          <w:rStyle w:val="FootnoteReference"/>
        </w:rPr>
        <w:footnoteRef/>
      </w:r>
      <w:r w:rsidRPr="008C1271">
        <w:t xml:space="preserve"> PRA</w:t>
      </w:r>
      <w:r>
        <w:t xml:space="preserve">, available at </w:t>
      </w:r>
      <w:hyperlink r:id="rId17" w:history="1">
        <w:r w:rsidRPr="00913F37">
          <w:rPr>
            <w:rStyle w:val="Hyperlink"/>
          </w:rPr>
          <w:t>http://www.prarulebook.co.uk/</w:t>
        </w:r>
      </w:hyperlink>
    </w:p>
  </w:footnote>
  <w:footnote w:id="243">
    <w:p w:rsidR="00D85CA8" w:rsidRPr="008C1271" w:rsidRDefault="00D85CA8" w:rsidP="00BC1309">
      <w:pPr>
        <w:pStyle w:val="FootnoteText"/>
      </w:pPr>
      <w:r>
        <w:rPr>
          <w:rStyle w:val="FootnoteReference"/>
        </w:rPr>
        <w:footnoteRef/>
      </w:r>
      <w:r w:rsidRPr="008C1271">
        <w:t xml:space="preserve"> CRD IV – Article 79</w:t>
      </w:r>
    </w:p>
  </w:footnote>
  <w:footnote w:id="244">
    <w:p w:rsidR="00D85CA8" w:rsidRPr="0074539B" w:rsidRDefault="00D85CA8" w:rsidP="00BC1309">
      <w:pPr>
        <w:pStyle w:val="FootnoteText"/>
        <w:rPr>
          <w:lang w:val="fr-FR"/>
        </w:rPr>
      </w:pPr>
      <w:r>
        <w:rPr>
          <w:rStyle w:val="FootnoteReference"/>
        </w:rPr>
        <w:footnoteRef/>
      </w:r>
      <w:r w:rsidRPr="0074539B">
        <w:rPr>
          <w:lang w:val="fr-FR"/>
        </w:rPr>
        <w:t xml:space="preserve"> CRD IV – Article 83</w:t>
      </w:r>
    </w:p>
  </w:footnote>
  <w:footnote w:id="245">
    <w:p w:rsidR="00D85CA8" w:rsidRPr="0074539B" w:rsidRDefault="00D85CA8" w:rsidP="00BC1309">
      <w:pPr>
        <w:pStyle w:val="FootnoteText"/>
        <w:rPr>
          <w:lang w:val="fr-FR"/>
        </w:rPr>
      </w:pPr>
      <w:r>
        <w:rPr>
          <w:rStyle w:val="FootnoteReference"/>
        </w:rPr>
        <w:footnoteRef/>
      </w:r>
      <w:r w:rsidRPr="0074539B">
        <w:rPr>
          <w:lang w:val="fr-FR"/>
        </w:rPr>
        <w:t xml:space="preserve"> CRD IV – Article 86</w:t>
      </w:r>
    </w:p>
  </w:footnote>
  <w:footnote w:id="246">
    <w:p w:rsidR="00D85CA8" w:rsidRPr="0074539B" w:rsidRDefault="00D85CA8" w:rsidP="00BC1309">
      <w:pPr>
        <w:pStyle w:val="FootnoteText"/>
        <w:rPr>
          <w:lang w:val="fr-FR"/>
        </w:rPr>
      </w:pPr>
      <w:r>
        <w:rPr>
          <w:rStyle w:val="FootnoteReference"/>
        </w:rPr>
        <w:footnoteRef/>
      </w:r>
      <w:r w:rsidRPr="0074539B">
        <w:rPr>
          <w:lang w:val="fr-FR"/>
        </w:rPr>
        <w:t xml:space="preserve"> CRD IV – Article 85</w:t>
      </w:r>
    </w:p>
  </w:footnote>
  <w:footnote w:id="247">
    <w:p w:rsidR="00D85CA8" w:rsidRPr="0074539B" w:rsidRDefault="00D85CA8" w:rsidP="00BC1309">
      <w:pPr>
        <w:pStyle w:val="FootnoteText"/>
        <w:rPr>
          <w:lang w:val="fr-FR"/>
        </w:rPr>
      </w:pPr>
      <w:r>
        <w:rPr>
          <w:rStyle w:val="FootnoteReference"/>
        </w:rPr>
        <w:footnoteRef/>
      </w:r>
      <w:r w:rsidRPr="0074539B">
        <w:rPr>
          <w:lang w:val="fr-FR"/>
        </w:rPr>
        <w:t xml:space="preserve"> CRD IV – Article 81</w:t>
      </w:r>
    </w:p>
  </w:footnote>
  <w:footnote w:id="248">
    <w:p w:rsidR="00D85CA8" w:rsidRPr="0074539B" w:rsidRDefault="00D85CA8" w:rsidP="00BC1309">
      <w:pPr>
        <w:pStyle w:val="FootnoteText"/>
        <w:rPr>
          <w:lang w:val="fr-FR"/>
        </w:rPr>
      </w:pPr>
      <w:r>
        <w:rPr>
          <w:rStyle w:val="FootnoteReference"/>
        </w:rPr>
        <w:footnoteRef/>
      </w:r>
      <w:r w:rsidRPr="0074539B">
        <w:rPr>
          <w:lang w:val="fr-FR"/>
        </w:rPr>
        <w:t xml:space="preserve"> CRD IV – Article 80</w:t>
      </w:r>
    </w:p>
  </w:footnote>
  <w:footnote w:id="249">
    <w:p w:rsidR="00D85CA8" w:rsidRPr="0074539B" w:rsidRDefault="00D85CA8" w:rsidP="00BC1309">
      <w:pPr>
        <w:pStyle w:val="FootnoteText"/>
        <w:rPr>
          <w:lang w:val="fr-FR"/>
        </w:rPr>
      </w:pPr>
      <w:r>
        <w:rPr>
          <w:rStyle w:val="FootnoteReference"/>
        </w:rPr>
        <w:footnoteRef/>
      </w:r>
      <w:r w:rsidRPr="0074539B">
        <w:rPr>
          <w:lang w:val="fr-FR"/>
        </w:rPr>
        <w:t xml:space="preserve"> CRD IV – Article 82</w:t>
      </w:r>
    </w:p>
  </w:footnote>
  <w:footnote w:id="250">
    <w:p w:rsidR="00D85CA8" w:rsidRPr="0074539B" w:rsidRDefault="00D85CA8" w:rsidP="00BC1309">
      <w:pPr>
        <w:pStyle w:val="FootnoteText"/>
        <w:rPr>
          <w:lang w:val="fr-FR"/>
        </w:rPr>
      </w:pPr>
      <w:r>
        <w:rPr>
          <w:rStyle w:val="FootnoteReference"/>
        </w:rPr>
        <w:footnoteRef/>
      </w:r>
      <w:r w:rsidRPr="0074539B">
        <w:rPr>
          <w:lang w:val="fr-FR"/>
        </w:rPr>
        <w:t xml:space="preserve"> CRD IV – Article 84</w:t>
      </w:r>
    </w:p>
  </w:footnote>
  <w:footnote w:id="251">
    <w:p w:rsidR="00D85CA8" w:rsidRPr="008C1271" w:rsidRDefault="00D85CA8" w:rsidP="00BC1309">
      <w:pPr>
        <w:pStyle w:val="FootnoteText"/>
        <w:rPr>
          <w:lang w:val="fr-FR"/>
        </w:rPr>
      </w:pPr>
      <w:r>
        <w:rPr>
          <w:rStyle w:val="FootnoteReference"/>
        </w:rPr>
        <w:footnoteRef/>
      </w:r>
      <w:r w:rsidRPr="008C1271">
        <w:rPr>
          <w:lang w:val="fr-FR"/>
        </w:rPr>
        <w:t xml:space="preserve"> CRD IV – Article 87</w:t>
      </w:r>
    </w:p>
  </w:footnote>
  <w:footnote w:id="252">
    <w:p w:rsidR="00D85CA8" w:rsidRPr="002625EC" w:rsidRDefault="00D85CA8" w:rsidP="002625EC">
      <w:pPr>
        <w:pStyle w:val="FootnoteText"/>
        <w:ind w:left="284" w:hanging="284"/>
      </w:pPr>
      <w:r>
        <w:rPr>
          <w:rStyle w:val="FootnoteReference"/>
        </w:rPr>
        <w:footnoteRef/>
      </w:r>
      <w:r>
        <w:t xml:space="preserve"> Hirschman-Herfindahl Index; </w:t>
      </w:r>
      <w:r w:rsidRPr="002625EC">
        <w:rPr>
          <w:rStyle w:val="citation"/>
        </w:rPr>
        <w:t xml:space="preserve">Hirschman, Albert O. (1964). "The Paternity of an Index". </w:t>
      </w:r>
      <w:r w:rsidRPr="002625EC">
        <w:rPr>
          <w:rStyle w:val="citation"/>
          <w:iCs/>
        </w:rPr>
        <w:t>The American Economic Review</w:t>
      </w:r>
      <w:r w:rsidRPr="002625EC">
        <w:rPr>
          <w:rStyle w:val="citation"/>
        </w:rPr>
        <w:t xml:space="preserve"> (American Economic Association) </w:t>
      </w:r>
      <w:r w:rsidRPr="002625EC">
        <w:rPr>
          <w:rStyle w:val="citation"/>
          <w:bCs/>
        </w:rPr>
        <w:t>54</w:t>
      </w:r>
      <w:r w:rsidRPr="002625EC">
        <w:rPr>
          <w:rStyle w:val="citation"/>
        </w:rPr>
        <w:t xml:space="preserve"> (5): 761</w:t>
      </w:r>
      <w:r>
        <w:rPr>
          <w:rStyle w:val="citation"/>
        </w:rPr>
        <w:t>.</w:t>
      </w:r>
    </w:p>
    <w:p w:rsidR="00D85CA8" w:rsidRDefault="00D85CA8" w:rsidP="00BC1309">
      <w:pPr>
        <w:pStyle w:val="FootnoteText"/>
      </w:pPr>
    </w:p>
  </w:footnote>
  <w:footnote w:id="253">
    <w:p w:rsidR="00D85CA8" w:rsidRDefault="00D85CA8" w:rsidP="00BC1309">
      <w:pPr>
        <w:overflowPunct/>
        <w:ind w:left="284" w:hanging="284"/>
        <w:textAlignment w:val="auto"/>
      </w:pPr>
      <w:r>
        <w:rPr>
          <w:rStyle w:val="FootnoteReference"/>
        </w:rPr>
        <w:footnoteRef/>
      </w:r>
      <w:r>
        <w:t xml:space="preserve">M </w:t>
      </w:r>
      <w:r w:rsidRPr="00321CA1">
        <w:t xml:space="preserve">Gordyand </w:t>
      </w:r>
      <w:r>
        <w:t xml:space="preserve">E </w:t>
      </w:r>
      <w:r w:rsidRPr="00321CA1">
        <w:t>Lütkebohmert</w:t>
      </w:r>
      <w:r>
        <w:t xml:space="preserve"> </w:t>
      </w:r>
      <w:r w:rsidRPr="00321CA1">
        <w:t>‘Granularity adjustment for Basel II’</w:t>
      </w:r>
      <w:r>
        <w:t xml:space="preserve"> (2007)</w:t>
      </w:r>
      <w:r w:rsidRPr="00321CA1">
        <w:t>,Discussion Paper 01/2007, Deutsche Bundesbank.</w:t>
      </w:r>
    </w:p>
    <w:p w:rsidR="00D85CA8" w:rsidRDefault="00D85CA8" w:rsidP="00BC1309">
      <w:pPr>
        <w:overflowPunct/>
        <w:ind w:left="284" w:hanging="284"/>
        <w:textAlignment w:val="auto"/>
      </w:pPr>
    </w:p>
  </w:footnote>
  <w:footnote w:id="254">
    <w:p w:rsidR="00D85CA8" w:rsidRDefault="00D85CA8" w:rsidP="00BC1309">
      <w:pPr>
        <w:overflowPunct/>
        <w:ind w:left="284" w:hanging="284"/>
        <w:textAlignment w:val="auto"/>
      </w:pPr>
      <w:r>
        <w:rPr>
          <w:rStyle w:val="FootnoteReference"/>
        </w:rPr>
        <w:footnoteRef/>
      </w:r>
      <w:r>
        <w:t xml:space="preserve">K </w:t>
      </w:r>
      <w:r w:rsidRPr="00321CA1">
        <w:t xml:space="preserve">Düllmann, and </w:t>
      </w:r>
      <w:r>
        <w:t xml:space="preserve">N </w:t>
      </w:r>
      <w:r w:rsidRPr="00321CA1">
        <w:t>Masschelein</w:t>
      </w:r>
      <w:r>
        <w:t xml:space="preserve"> </w:t>
      </w:r>
      <w:r w:rsidRPr="00321CA1">
        <w:t>‘A tractable model to measure sector</w:t>
      </w:r>
      <w:r>
        <w:t xml:space="preserve"> </w:t>
      </w:r>
      <w:r w:rsidRPr="00321CA1">
        <w:t>concentration risk in credit portfolios’</w:t>
      </w:r>
      <w:r>
        <w:t xml:space="preserve"> (2007)</w:t>
      </w:r>
      <w:r w:rsidRPr="00321CA1">
        <w:t xml:space="preserve"> Journal of Financial Services Research32,55–79.</w:t>
      </w:r>
    </w:p>
  </w:footnote>
  <w:footnote w:id="255">
    <w:p w:rsidR="00D85CA8" w:rsidRDefault="00D85CA8">
      <w:pPr>
        <w:pStyle w:val="FootnoteText"/>
      </w:pPr>
      <w:r>
        <w:rPr>
          <w:rStyle w:val="FootnoteReference"/>
        </w:rPr>
        <w:footnoteRef/>
      </w:r>
      <w:r>
        <w:t xml:space="preserve"> CRR Articles 321 and 322.</w:t>
      </w:r>
    </w:p>
  </w:footnote>
  <w:footnote w:id="256">
    <w:p w:rsidR="00D85CA8" w:rsidRDefault="00D85CA8">
      <w:pPr>
        <w:pStyle w:val="FootnoteText"/>
      </w:pPr>
      <w:r>
        <w:rPr>
          <w:rStyle w:val="FootnoteReference"/>
        </w:rPr>
        <w:footnoteRef/>
      </w:r>
      <w:r>
        <w:t xml:space="preserve"> See footnote 186.</w:t>
      </w:r>
    </w:p>
  </w:footnote>
  <w:footnote w:id="257">
    <w:p w:rsidR="00D85CA8" w:rsidRDefault="00D85CA8" w:rsidP="00B82153">
      <w:pPr>
        <w:pStyle w:val="FootnoteText"/>
        <w:ind w:left="284" w:hanging="284"/>
      </w:pPr>
      <w:r>
        <w:rPr>
          <w:rStyle w:val="FootnoteReference"/>
        </w:rPr>
        <w:footnoteRef/>
      </w:r>
      <w:r>
        <w:t xml:space="preserve"> It should be noted that although banks will still be required to run these scenarios and stress tests, the system of buffers is changing with the introduction of the Systemic Buffer and the Capital Conservation Buffer.  When the CPB exceeds these buffers in the future it will be known as the PRA Buffer.</w:t>
      </w:r>
    </w:p>
  </w:footnote>
  <w:footnote w:id="258">
    <w:p w:rsidR="00D85CA8" w:rsidRDefault="00D85CA8">
      <w:pPr>
        <w:pStyle w:val="FootnoteText"/>
      </w:pPr>
      <w:r>
        <w:rPr>
          <w:rStyle w:val="FootnoteReference"/>
        </w:rPr>
        <w:footnoteRef/>
      </w:r>
      <w:r>
        <w:t xml:space="preserve"> CRR Article 429.</w:t>
      </w:r>
    </w:p>
  </w:footnote>
  <w:footnote w:id="259">
    <w:p w:rsidR="00D85CA8" w:rsidRDefault="00D85CA8" w:rsidP="00DE7838">
      <w:pPr>
        <w:pStyle w:val="FootnoteText"/>
      </w:pPr>
      <w:r>
        <w:rPr>
          <w:rStyle w:val="FootnoteReference"/>
        </w:rPr>
        <w:footnoteRef/>
      </w:r>
      <w:r>
        <w:t xml:space="preserve"> PRA Rulebook ILAA 2.1</w:t>
      </w:r>
    </w:p>
  </w:footnote>
  <w:footnote w:id="260">
    <w:p w:rsidR="00D85CA8" w:rsidRDefault="00D85CA8" w:rsidP="00DE7838">
      <w:pPr>
        <w:pStyle w:val="FootnoteText"/>
      </w:pPr>
      <w:r>
        <w:rPr>
          <w:rStyle w:val="FootnoteReference"/>
        </w:rPr>
        <w:footnoteRef/>
      </w:r>
      <w:r>
        <w:t xml:space="preserve"> PRA Rulebook - ILAA 2.2(1)</w:t>
      </w:r>
    </w:p>
  </w:footnote>
  <w:footnote w:id="261">
    <w:p w:rsidR="00D85CA8" w:rsidRDefault="00D85CA8" w:rsidP="00DE7838">
      <w:pPr>
        <w:pStyle w:val="FootnoteText"/>
      </w:pPr>
      <w:r>
        <w:rPr>
          <w:rStyle w:val="FootnoteReference"/>
        </w:rPr>
        <w:footnoteRef/>
      </w:r>
      <w:r>
        <w:t xml:space="preserve"> PRA Rulebook - ILAA 2.2(2)</w:t>
      </w:r>
    </w:p>
  </w:footnote>
  <w:footnote w:id="262">
    <w:p w:rsidR="00D85CA8" w:rsidRDefault="00D85CA8">
      <w:pPr>
        <w:pStyle w:val="FootnoteText"/>
      </w:pPr>
      <w:r>
        <w:rPr>
          <w:rStyle w:val="FootnoteReference"/>
        </w:rPr>
        <w:footnoteRef/>
      </w:r>
      <w:r>
        <w:t xml:space="preserve"> See footnote 14.</w:t>
      </w:r>
    </w:p>
  </w:footnote>
  <w:footnote w:id="263">
    <w:p w:rsidR="00D85CA8" w:rsidRDefault="00D85CA8">
      <w:pPr>
        <w:pStyle w:val="FootnoteText"/>
      </w:pPr>
      <w:r>
        <w:rPr>
          <w:rStyle w:val="FootnoteReference"/>
        </w:rPr>
        <w:footnoteRef/>
      </w:r>
      <w:r>
        <w:t xml:space="preserve"> FSA Policy Statement 9/16 ‘Strengthening Liquidity Standards, October 2009.</w:t>
      </w:r>
    </w:p>
  </w:footnote>
  <w:footnote w:id="264">
    <w:p w:rsidR="00D85CA8" w:rsidRDefault="00D85CA8" w:rsidP="00321CA1">
      <w:pPr>
        <w:pStyle w:val="FootnoteText"/>
        <w:ind w:left="284" w:hanging="284"/>
      </w:pPr>
      <w:r>
        <w:rPr>
          <w:rStyle w:val="FootnoteReference"/>
        </w:rPr>
        <w:footnoteRef/>
      </w:r>
      <w:r>
        <w:t xml:space="preserve"> BIPRU 12.2 (Note: BIPRU 12 will be withdrawn on 1</w:t>
      </w:r>
      <w:r w:rsidRPr="00321CA1">
        <w:rPr>
          <w:vertAlign w:val="superscript"/>
        </w:rPr>
        <w:t>st</w:t>
      </w:r>
      <w:r>
        <w:t xml:space="preserve"> October 2015 and replaced by the liquidity risk requirements of the CRR and the PRA Rulebook). </w:t>
      </w:r>
    </w:p>
  </w:footnote>
  <w:footnote w:id="265">
    <w:p w:rsidR="00D85CA8" w:rsidRPr="00340B3A" w:rsidRDefault="00D85CA8" w:rsidP="00DE7838">
      <w:pPr>
        <w:pStyle w:val="FootnoteText"/>
        <w:rPr>
          <w:lang w:val="fr-FR"/>
        </w:rPr>
      </w:pPr>
      <w:r>
        <w:rPr>
          <w:rStyle w:val="FootnoteReference"/>
        </w:rPr>
        <w:footnoteRef/>
      </w:r>
      <w:r w:rsidRPr="00340B3A">
        <w:rPr>
          <w:lang w:val="fr-FR"/>
        </w:rPr>
        <w:t xml:space="preserve"> BIPRU 12.3</w:t>
      </w:r>
    </w:p>
  </w:footnote>
  <w:footnote w:id="266">
    <w:p w:rsidR="00D85CA8" w:rsidRPr="0074539B" w:rsidRDefault="00D85CA8" w:rsidP="00DE7838">
      <w:pPr>
        <w:pStyle w:val="FootnoteText"/>
        <w:rPr>
          <w:lang w:val="fr-FR"/>
        </w:rPr>
      </w:pPr>
      <w:r>
        <w:rPr>
          <w:rStyle w:val="FootnoteReference"/>
        </w:rPr>
        <w:footnoteRef/>
      </w:r>
      <w:r w:rsidRPr="0074539B">
        <w:rPr>
          <w:lang w:val="fr-FR"/>
        </w:rPr>
        <w:t xml:space="preserve"> BIPRU 12.4</w:t>
      </w:r>
    </w:p>
  </w:footnote>
  <w:footnote w:id="267">
    <w:p w:rsidR="00D85CA8" w:rsidRPr="0074539B" w:rsidRDefault="00D85CA8" w:rsidP="00DE7838">
      <w:pPr>
        <w:pStyle w:val="FootnoteText"/>
        <w:rPr>
          <w:lang w:val="fr-FR"/>
        </w:rPr>
      </w:pPr>
      <w:r>
        <w:rPr>
          <w:rStyle w:val="FootnoteReference"/>
        </w:rPr>
        <w:footnoteRef/>
      </w:r>
      <w:r w:rsidRPr="0074539B">
        <w:rPr>
          <w:lang w:val="fr-FR"/>
        </w:rPr>
        <w:t xml:space="preserve"> BIPRU 12.7</w:t>
      </w:r>
    </w:p>
  </w:footnote>
  <w:footnote w:id="268">
    <w:p w:rsidR="00D85CA8" w:rsidRPr="0074539B" w:rsidRDefault="00D85CA8" w:rsidP="00DE7838">
      <w:pPr>
        <w:pStyle w:val="FootnoteText"/>
        <w:rPr>
          <w:lang w:val="fr-FR"/>
        </w:rPr>
      </w:pPr>
      <w:r>
        <w:rPr>
          <w:rStyle w:val="FootnoteReference"/>
        </w:rPr>
        <w:footnoteRef/>
      </w:r>
      <w:r w:rsidRPr="0074539B">
        <w:rPr>
          <w:lang w:val="fr-FR"/>
        </w:rPr>
        <w:t xml:space="preserve"> PRA Rulebook – ILAA 11.5</w:t>
      </w:r>
    </w:p>
  </w:footnote>
  <w:footnote w:id="269">
    <w:p w:rsidR="00D85CA8" w:rsidRPr="00340B3A" w:rsidRDefault="00D85CA8">
      <w:pPr>
        <w:pStyle w:val="FootnoteText"/>
        <w:rPr>
          <w:lang w:val="fr-FR"/>
        </w:rPr>
      </w:pPr>
      <w:r>
        <w:rPr>
          <w:rStyle w:val="FootnoteReference"/>
        </w:rPr>
        <w:footnoteRef/>
      </w:r>
      <w:r w:rsidRPr="00340B3A">
        <w:rPr>
          <w:lang w:val="fr-FR"/>
        </w:rPr>
        <w:t xml:space="preserve"> PRA ‘Consultation Paper 27/14, CRD IV: Liquidity’ (2014).</w:t>
      </w:r>
    </w:p>
  </w:footnote>
  <w:footnote w:id="270">
    <w:p w:rsidR="00D85CA8" w:rsidRDefault="00D85CA8">
      <w:pPr>
        <w:pStyle w:val="FootnoteText"/>
      </w:pPr>
      <w:r>
        <w:rPr>
          <w:rStyle w:val="FootnoteReference"/>
        </w:rPr>
        <w:footnoteRef/>
      </w:r>
      <w:r>
        <w:t xml:space="preserve"> BCBS</w:t>
      </w:r>
      <w:r w:rsidRPr="00DE0EF8">
        <w:t>‘</w:t>
      </w:r>
      <w:r>
        <w:t xml:space="preserve"> </w:t>
      </w:r>
      <w:r w:rsidRPr="00DE0EF8">
        <w:t xml:space="preserve">Basel III: International framework for liquidity risk management standards and monitoring’ </w:t>
      </w:r>
      <w:r>
        <w:t>(</w:t>
      </w:r>
      <w:r w:rsidRPr="00DE0EF8">
        <w:t>2010</w:t>
      </w:r>
      <w:r>
        <w:t>).</w:t>
      </w:r>
    </w:p>
  </w:footnote>
  <w:footnote w:id="271">
    <w:p w:rsidR="00D85CA8" w:rsidRDefault="00D85CA8">
      <w:pPr>
        <w:pStyle w:val="FootnoteText"/>
      </w:pPr>
      <w:r>
        <w:rPr>
          <w:rStyle w:val="FootnoteReference"/>
        </w:rPr>
        <w:footnoteRef/>
      </w:r>
      <w:r>
        <w:t xml:space="preserve"> Recently reduced to £75,000 based on a prescribed review of the GBP / EUR exchange rate.  </w:t>
      </w:r>
    </w:p>
  </w:footnote>
  <w:footnote w:id="272">
    <w:p w:rsidR="00D85CA8" w:rsidRDefault="00D85CA8">
      <w:pPr>
        <w:pStyle w:val="FootnoteText"/>
      </w:pPr>
      <w:r>
        <w:rPr>
          <w:rStyle w:val="FootnoteReference"/>
        </w:rPr>
        <w:footnoteRef/>
      </w:r>
      <w:r>
        <w:t xml:space="preserve"> See footnote 270.</w:t>
      </w:r>
    </w:p>
  </w:footnote>
  <w:footnote w:id="273">
    <w:p w:rsidR="00D85CA8" w:rsidRPr="00340B3A" w:rsidRDefault="00D85CA8" w:rsidP="00DE0EF8">
      <w:pPr>
        <w:pStyle w:val="FootnoteText"/>
        <w:ind w:left="284" w:hanging="284"/>
      </w:pPr>
      <w:r>
        <w:rPr>
          <w:rStyle w:val="FootnoteReference"/>
        </w:rPr>
        <w:footnoteRef/>
      </w:r>
      <w:r>
        <w:t xml:space="preserve">See footnote 270, p3; </w:t>
      </w:r>
      <w:r w:rsidRPr="00340B3A">
        <w:t>CRR Article 412</w:t>
      </w:r>
      <w:r>
        <w:t>.</w:t>
      </w:r>
    </w:p>
  </w:footnote>
  <w:footnote w:id="274">
    <w:p w:rsidR="00D85CA8" w:rsidRDefault="00D85CA8" w:rsidP="00DE7838">
      <w:pPr>
        <w:pStyle w:val="FootnoteText"/>
      </w:pPr>
      <w:r>
        <w:rPr>
          <w:rStyle w:val="FootnoteReference"/>
        </w:rPr>
        <w:footnoteRef/>
      </w:r>
      <w:r>
        <w:t xml:space="preserve"> CRR Article 412(5) </w:t>
      </w:r>
    </w:p>
  </w:footnote>
  <w:footnote w:id="275">
    <w:p w:rsidR="00D85CA8" w:rsidRDefault="00D85CA8" w:rsidP="00DE7838">
      <w:pPr>
        <w:pStyle w:val="FootnoteText"/>
      </w:pPr>
      <w:r>
        <w:rPr>
          <w:rStyle w:val="FootnoteReference"/>
        </w:rPr>
        <w:footnoteRef/>
      </w:r>
      <w:r>
        <w:t xml:space="preserve"> Bank of England, Record of the Financial Policy Meeting, 18 June 2013, page 2. </w:t>
      </w:r>
    </w:p>
  </w:footnote>
  <w:footnote w:id="276">
    <w:p w:rsidR="00D85CA8" w:rsidRDefault="00D85CA8" w:rsidP="00DE0EF8">
      <w:pPr>
        <w:pStyle w:val="FootnoteText"/>
        <w:ind w:left="284" w:hanging="284"/>
      </w:pPr>
      <w:r>
        <w:rPr>
          <w:rStyle w:val="FootnoteReference"/>
        </w:rPr>
        <w:footnoteRef/>
      </w:r>
      <w:r>
        <w:t xml:space="preserve"> See footnote 270, p25; CRR Article 510.</w:t>
      </w:r>
    </w:p>
  </w:footnote>
  <w:footnote w:id="277">
    <w:p w:rsidR="00D85CA8" w:rsidRDefault="00D85CA8" w:rsidP="00DE7838">
      <w:pPr>
        <w:pStyle w:val="FootnoteText"/>
      </w:pPr>
      <w:r>
        <w:rPr>
          <w:rStyle w:val="FootnoteReference"/>
        </w:rPr>
        <w:footnoteRef/>
      </w:r>
      <w:r>
        <w:t xml:space="preserve"> CRR Article 414</w:t>
      </w:r>
    </w:p>
  </w:footnote>
  <w:footnote w:id="278">
    <w:p w:rsidR="00D85CA8" w:rsidRDefault="00D85CA8" w:rsidP="00DE7838">
      <w:pPr>
        <w:pStyle w:val="FootnoteText"/>
      </w:pPr>
      <w:r>
        <w:rPr>
          <w:rStyle w:val="FootnoteReference"/>
        </w:rPr>
        <w:footnoteRef/>
      </w:r>
      <w:r>
        <w:t xml:space="preserve"> For Wholesale - BIPRU 12.5.16(4), and for Retail – BIPRU 12.5.21(3).</w:t>
      </w:r>
    </w:p>
  </w:footnote>
  <w:footnote w:id="279">
    <w:p w:rsidR="00D85CA8" w:rsidRDefault="00D85CA8">
      <w:pPr>
        <w:pStyle w:val="FootnoteText"/>
      </w:pPr>
      <w:r>
        <w:rPr>
          <w:rStyle w:val="FootnoteReference"/>
        </w:rPr>
        <w:footnoteRef/>
      </w:r>
      <w:r w:rsidRPr="00DE0EF8">
        <w:t>FSA ‘Consultation Paper 08/22</w:t>
      </w:r>
      <w:r>
        <w:t xml:space="preserve"> ‘Strengthening Liquidity Standards, December 2008.</w:t>
      </w:r>
    </w:p>
  </w:footnote>
  <w:footnote w:id="280">
    <w:p w:rsidR="00D85CA8" w:rsidRDefault="00D85CA8">
      <w:pPr>
        <w:pStyle w:val="FootnoteText"/>
      </w:pPr>
      <w:r>
        <w:rPr>
          <w:rStyle w:val="FootnoteReference"/>
        </w:rPr>
        <w:footnoteRef/>
      </w:r>
      <w:r w:rsidRPr="00DE0EF8">
        <w:t>FSA ‘Policy Statement 09/16, Strengthening liquidity standards’, October 2009.</w:t>
      </w:r>
    </w:p>
  </w:footnote>
  <w:footnote w:id="281">
    <w:p w:rsidR="00D85CA8" w:rsidRDefault="00D85CA8" w:rsidP="00DE7838">
      <w:pPr>
        <w:pStyle w:val="FootnoteText"/>
      </w:pPr>
      <w:r>
        <w:rPr>
          <w:rStyle w:val="FootnoteReference"/>
        </w:rPr>
        <w:footnoteRef/>
      </w:r>
      <w:r>
        <w:t xml:space="preserve"> PRA Rulebook – ILAA 11.4</w:t>
      </w:r>
    </w:p>
  </w:footnote>
  <w:footnote w:id="282">
    <w:p w:rsidR="00D85CA8" w:rsidRDefault="00D85CA8" w:rsidP="00DE7838">
      <w:pPr>
        <w:pStyle w:val="FootnoteText"/>
      </w:pPr>
      <w:r>
        <w:rPr>
          <w:rStyle w:val="FootnoteReference"/>
        </w:rPr>
        <w:footnoteRef/>
      </w:r>
      <w:r>
        <w:t xml:space="preserve"> PRA Rulebook – ILAA 12.1</w:t>
      </w:r>
      <w:r w:rsidR="0059552A">
        <w:t xml:space="preserve"> (replaces the BIPRU Contingency Funding Plan).</w:t>
      </w:r>
    </w:p>
  </w:footnote>
  <w:footnote w:id="283">
    <w:p w:rsidR="00D85CA8" w:rsidRDefault="00D85CA8">
      <w:pPr>
        <w:pStyle w:val="FootnoteText"/>
      </w:pPr>
      <w:r>
        <w:rPr>
          <w:rStyle w:val="FootnoteReference"/>
        </w:rPr>
        <w:footnoteRef/>
      </w:r>
      <w:r>
        <w:t xml:space="preserve"> See footnote 188.</w:t>
      </w:r>
    </w:p>
  </w:footnote>
  <w:footnote w:id="284">
    <w:p w:rsidR="00D85CA8" w:rsidRDefault="00D85CA8" w:rsidP="00DE7838">
      <w:pPr>
        <w:pStyle w:val="FootnoteText"/>
      </w:pPr>
      <w:r>
        <w:rPr>
          <w:rStyle w:val="FootnoteReference"/>
        </w:rPr>
        <w:footnoteRef/>
      </w:r>
      <w:r>
        <w:t xml:space="preserve"> PRA Rulebook – ILAA 6.1 </w:t>
      </w:r>
    </w:p>
  </w:footnote>
  <w:footnote w:id="285">
    <w:p w:rsidR="00D85CA8" w:rsidRDefault="00D85CA8" w:rsidP="00DE7838">
      <w:pPr>
        <w:pStyle w:val="FootnoteText"/>
      </w:pPr>
      <w:r>
        <w:rPr>
          <w:rStyle w:val="FootnoteReference"/>
        </w:rPr>
        <w:footnoteRef/>
      </w:r>
      <w:r>
        <w:t xml:space="preserve"> CRR Article 414</w:t>
      </w:r>
    </w:p>
  </w:footnote>
  <w:footnote w:id="286">
    <w:p w:rsidR="00D85CA8" w:rsidRDefault="00D85CA8" w:rsidP="00DE7838">
      <w:pPr>
        <w:pStyle w:val="FootnoteText"/>
      </w:pPr>
      <w:r>
        <w:rPr>
          <w:rStyle w:val="FootnoteReference"/>
        </w:rPr>
        <w:footnoteRef/>
      </w:r>
      <w:r>
        <w:t xml:space="preserve"> CRR Article 8</w:t>
      </w:r>
    </w:p>
  </w:footnote>
  <w:footnote w:id="287">
    <w:p w:rsidR="00D85CA8" w:rsidRDefault="00D85CA8" w:rsidP="00DE7838">
      <w:pPr>
        <w:pStyle w:val="FootnoteText"/>
      </w:pPr>
      <w:r>
        <w:rPr>
          <w:rStyle w:val="FootnoteReference"/>
        </w:rPr>
        <w:footnoteRef/>
      </w:r>
      <w:r>
        <w:t xml:space="preserve"> See footnote 182.</w:t>
      </w:r>
    </w:p>
  </w:footnote>
  <w:footnote w:id="288">
    <w:p w:rsidR="00D85CA8" w:rsidRDefault="00D85CA8" w:rsidP="00DE7838">
      <w:pPr>
        <w:pStyle w:val="FootnoteText"/>
      </w:pPr>
      <w:r>
        <w:rPr>
          <w:rStyle w:val="FootnoteReference"/>
        </w:rPr>
        <w:footnoteRef/>
      </w:r>
      <w:r>
        <w:t xml:space="preserve"> PRA Rulebook – ILAA 4</w:t>
      </w:r>
    </w:p>
  </w:footnote>
  <w:footnote w:id="289">
    <w:p w:rsidR="00D85CA8" w:rsidRDefault="00D85CA8">
      <w:pPr>
        <w:pStyle w:val="FootnoteText"/>
      </w:pPr>
      <w:r>
        <w:rPr>
          <w:rStyle w:val="FootnoteReference"/>
        </w:rPr>
        <w:footnoteRef/>
      </w:r>
      <w:r>
        <w:t xml:space="preserve"> See footnote 269, para 5.23.</w:t>
      </w:r>
    </w:p>
  </w:footnote>
  <w:footnote w:id="290">
    <w:p w:rsidR="00D85CA8" w:rsidRDefault="00D85CA8">
      <w:pPr>
        <w:pStyle w:val="FootnoteText"/>
      </w:pPr>
      <w:r>
        <w:rPr>
          <w:rStyle w:val="FootnoteReference"/>
        </w:rPr>
        <w:footnoteRef/>
      </w:r>
      <w:r w:rsidRPr="00DE0EF8">
        <w:t>Enhanced Disclosure Taskforce ‘Enhancing the Risk Disclosure of Banks’, 29</w:t>
      </w:r>
      <w:r w:rsidRPr="00DE0EF8">
        <w:rPr>
          <w:vertAlign w:val="superscript"/>
        </w:rPr>
        <w:t>th</w:t>
      </w:r>
      <w:r w:rsidRPr="00DE0EF8">
        <w:t xml:space="preserve"> October 2012</w:t>
      </w:r>
      <w:r>
        <w:t>.</w:t>
      </w:r>
    </w:p>
  </w:footnote>
  <w:footnote w:id="291">
    <w:p w:rsidR="00D85CA8" w:rsidRDefault="00D85CA8">
      <w:pPr>
        <w:pStyle w:val="FootnoteText"/>
      </w:pPr>
      <w:r>
        <w:rPr>
          <w:rStyle w:val="FootnoteReference"/>
        </w:rPr>
        <w:footnoteRef/>
      </w:r>
      <w:r w:rsidRPr="00DE0EF8">
        <w:t>BCBS ‘Liquidity Coverage Ratio disclosure standards’, January 2014.</w:t>
      </w:r>
    </w:p>
  </w:footnote>
  <w:footnote w:id="292">
    <w:p w:rsidR="00D85CA8" w:rsidRDefault="00D85CA8">
      <w:pPr>
        <w:pStyle w:val="FootnoteText"/>
      </w:pPr>
      <w:r>
        <w:rPr>
          <w:rStyle w:val="FootnoteReference"/>
        </w:rPr>
        <w:footnoteRef/>
      </w:r>
      <w:r>
        <w:t xml:space="preserve"> See footnote 197.</w:t>
      </w:r>
    </w:p>
  </w:footnote>
  <w:footnote w:id="293">
    <w:p w:rsidR="00D85CA8" w:rsidRDefault="00D85CA8">
      <w:pPr>
        <w:pStyle w:val="FootnoteText"/>
      </w:pPr>
      <w:r>
        <w:rPr>
          <w:rStyle w:val="FootnoteReference"/>
        </w:rPr>
        <w:footnoteRef/>
      </w:r>
      <w:r>
        <w:t xml:space="preserve"> See footnote 199.</w:t>
      </w:r>
    </w:p>
  </w:footnote>
  <w:footnote w:id="294">
    <w:p w:rsidR="00D85CA8" w:rsidRDefault="00D85CA8">
      <w:pPr>
        <w:pStyle w:val="FootnoteText"/>
      </w:pPr>
      <w:r>
        <w:rPr>
          <w:rStyle w:val="FootnoteReference"/>
        </w:rPr>
        <w:footnoteRef/>
      </w:r>
      <w:r>
        <w:t xml:space="preserve"> EBA ‘Final Draft Regulatory technical standards on criteria for determining the minimum requirement for own funds and eligible liabilities under Directive 2015/59/EU (2015).</w:t>
      </w:r>
    </w:p>
  </w:footnote>
  <w:footnote w:id="295">
    <w:p w:rsidR="00D85CA8" w:rsidRPr="00CD796A" w:rsidRDefault="00D85CA8" w:rsidP="001C328B">
      <w:pPr>
        <w:pStyle w:val="FootnoteText"/>
      </w:pPr>
      <w:r>
        <w:rPr>
          <w:rStyle w:val="FootnoteReference"/>
        </w:rPr>
        <w:footnoteRef/>
      </w:r>
      <w:r w:rsidRPr="00CD796A">
        <w:t xml:space="preserve"> Article 44(2) BBRD</w:t>
      </w:r>
    </w:p>
  </w:footnote>
  <w:footnote w:id="296">
    <w:p w:rsidR="00D85CA8" w:rsidRPr="0074539B" w:rsidRDefault="00D85CA8" w:rsidP="001C328B">
      <w:pPr>
        <w:pStyle w:val="FootnoteText"/>
        <w:rPr>
          <w:lang w:val="fr-FR"/>
        </w:rPr>
      </w:pPr>
      <w:r>
        <w:rPr>
          <w:rStyle w:val="FootnoteReference"/>
        </w:rPr>
        <w:footnoteRef/>
      </w:r>
      <w:r w:rsidRPr="0074539B">
        <w:rPr>
          <w:lang w:val="fr-FR"/>
        </w:rPr>
        <w:t xml:space="preserve"> Article 44(3) BRRD</w:t>
      </w:r>
    </w:p>
  </w:footnote>
  <w:footnote w:id="297">
    <w:p w:rsidR="00D85CA8" w:rsidRPr="0074539B" w:rsidRDefault="00D85CA8" w:rsidP="00493A99">
      <w:pPr>
        <w:pStyle w:val="FootnoteText"/>
        <w:rPr>
          <w:lang w:val="fr-FR"/>
        </w:rPr>
      </w:pPr>
      <w:r>
        <w:rPr>
          <w:rStyle w:val="FootnoteReference"/>
        </w:rPr>
        <w:footnoteRef/>
      </w:r>
      <w:r w:rsidRPr="0074539B">
        <w:rPr>
          <w:lang w:val="fr-FR"/>
        </w:rPr>
        <w:t xml:space="preserve"> Article 109 BRRD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A8" w:rsidRPr="00F42A9D" w:rsidRDefault="00D85CA8" w:rsidP="00D32DEA">
    <w:pPr>
      <w:pStyle w:val="Header"/>
      <w:pBdr>
        <w:bottom w:val="single" w:sz="6" w:space="1" w:color="auto"/>
      </w:pBdr>
      <w:bidi/>
      <w:spacing w:before="0"/>
      <w:jc w:val="right"/>
    </w:pPr>
    <w:r>
      <w:t xml:space="preserve">IALS – LLM - Dissertation                                          </w:t>
    </w:r>
    <w:r w:rsidR="00972F64">
      <w:t xml:space="preserve">                              </w:t>
    </w:r>
    <w:r>
      <w:t xml:space="preserve">    </w:t>
    </w:r>
    <w:r w:rsidR="00972F64">
      <w:t>Student No 1443852</w:t>
    </w:r>
  </w:p>
  <w:p w:rsidR="00D85CA8" w:rsidRPr="0094623B" w:rsidRDefault="00D85CA8" w:rsidP="0094623B">
    <w:pPr>
      <w:pStyle w:val="Heade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05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234A3"/>
    <w:multiLevelType w:val="hybridMultilevel"/>
    <w:tmpl w:val="1820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417"/>
    <w:multiLevelType w:val="multilevel"/>
    <w:tmpl w:val="8BC6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20F95"/>
    <w:multiLevelType w:val="hybridMultilevel"/>
    <w:tmpl w:val="D500F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1D0002"/>
    <w:multiLevelType w:val="hybridMultilevel"/>
    <w:tmpl w:val="0AA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976CA"/>
    <w:multiLevelType w:val="hybridMultilevel"/>
    <w:tmpl w:val="0DAA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4329D"/>
    <w:multiLevelType w:val="hybridMultilevel"/>
    <w:tmpl w:val="C5248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2807D68"/>
    <w:multiLevelType w:val="hybridMultilevel"/>
    <w:tmpl w:val="D87C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D7F3C"/>
    <w:multiLevelType w:val="hybridMultilevel"/>
    <w:tmpl w:val="07BC338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1B08418F"/>
    <w:multiLevelType w:val="hybridMultilevel"/>
    <w:tmpl w:val="B1209C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F942D10"/>
    <w:multiLevelType w:val="hybridMultilevel"/>
    <w:tmpl w:val="D33A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D56AF"/>
    <w:multiLevelType w:val="hybridMultilevel"/>
    <w:tmpl w:val="8370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360EE"/>
    <w:multiLevelType w:val="hybridMultilevel"/>
    <w:tmpl w:val="8084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641D9"/>
    <w:multiLevelType w:val="hybridMultilevel"/>
    <w:tmpl w:val="E4C0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7442A"/>
    <w:multiLevelType w:val="multilevel"/>
    <w:tmpl w:val="7988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70F6D"/>
    <w:multiLevelType w:val="hybridMultilevel"/>
    <w:tmpl w:val="D63C6E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38031A74"/>
    <w:multiLevelType w:val="hybridMultilevel"/>
    <w:tmpl w:val="252E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A056B"/>
    <w:multiLevelType w:val="hybridMultilevel"/>
    <w:tmpl w:val="0F9E7C5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3C01438E"/>
    <w:multiLevelType w:val="hybridMultilevel"/>
    <w:tmpl w:val="C93A4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20520"/>
    <w:multiLevelType w:val="hybridMultilevel"/>
    <w:tmpl w:val="B58E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91632"/>
    <w:multiLevelType w:val="hybridMultilevel"/>
    <w:tmpl w:val="FB3A6CB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462F4104"/>
    <w:multiLevelType w:val="hybridMultilevel"/>
    <w:tmpl w:val="0DBA1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A39AD"/>
    <w:multiLevelType w:val="hybridMultilevel"/>
    <w:tmpl w:val="E0D86E82"/>
    <w:lvl w:ilvl="0" w:tplc="08090001">
      <w:start w:val="1"/>
      <w:numFmt w:val="bullet"/>
      <w:lvlText w:val=""/>
      <w:lvlJc w:val="left"/>
      <w:pPr>
        <w:ind w:left="900" w:hanging="360"/>
      </w:pPr>
      <w:rPr>
        <w:rFonts w:ascii="Symbol" w:hAnsi="Symbol"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47A67460"/>
    <w:multiLevelType w:val="hybridMultilevel"/>
    <w:tmpl w:val="CD70C00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4" w15:restartNumberingAfterBreak="0">
    <w:nsid w:val="51601A67"/>
    <w:multiLevelType w:val="hybridMultilevel"/>
    <w:tmpl w:val="6480EC56"/>
    <w:lvl w:ilvl="0" w:tplc="9F64703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6C4DB5"/>
    <w:multiLevelType w:val="hybridMultilevel"/>
    <w:tmpl w:val="B0483D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57301F8E"/>
    <w:multiLevelType w:val="hybridMultilevel"/>
    <w:tmpl w:val="941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A5790"/>
    <w:multiLevelType w:val="hybridMultilevel"/>
    <w:tmpl w:val="FC82A8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E3696"/>
    <w:multiLevelType w:val="hybridMultilevel"/>
    <w:tmpl w:val="B8D69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C96A05"/>
    <w:multiLevelType w:val="hybridMultilevel"/>
    <w:tmpl w:val="026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41011"/>
    <w:multiLevelType w:val="hybridMultilevel"/>
    <w:tmpl w:val="41BC29A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701B0B89"/>
    <w:multiLevelType w:val="hybridMultilevel"/>
    <w:tmpl w:val="3E3A848E"/>
    <w:lvl w:ilvl="0" w:tplc="08090001">
      <w:start w:val="1"/>
      <w:numFmt w:val="bullet"/>
      <w:lvlText w:val=""/>
      <w:lvlJc w:val="left"/>
      <w:pPr>
        <w:ind w:left="900" w:hanging="360"/>
      </w:pPr>
      <w:rPr>
        <w:rFonts w:ascii="Symbol" w:hAnsi="Symbol"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2" w15:restartNumberingAfterBreak="0">
    <w:nsid w:val="76FC69BB"/>
    <w:multiLevelType w:val="hybridMultilevel"/>
    <w:tmpl w:val="D680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20A62"/>
    <w:multiLevelType w:val="hybridMultilevel"/>
    <w:tmpl w:val="FDA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A615D"/>
    <w:multiLevelType w:val="hybridMultilevel"/>
    <w:tmpl w:val="DF52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2"/>
  </w:num>
  <w:num w:numId="4">
    <w:abstractNumId w:val="31"/>
  </w:num>
  <w:num w:numId="5">
    <w:abstractNumId w:val="25"/>
  </w:num>
  <w:num w:numId="6">
    <w:abstractNumId w:val="10"/>
  </w:num>
  <w:num w:numId="7">
    <w:abstractNumId w:val="26"/>
  </w:num>
  <w:num w:numId="8">
    <w:abstractNumId w:val="33"/>
  </w:num>
  <w:num w:numId="9">
    <w:abstractNumId w:val="3"/>
  </w:num>
  <w:num w:numId="10">
    <w:abstractNumId w:val="12"/>
  </w:num>
  <w:num w:numId="11">
    <w:abstractNumId w:val="23"/>
  </w:num>
  <w:num w:numId="12">
    <w:abstractNumId w:val="29"/>
  </w:num>
  <w:num w:numId="13">
    <w:abstractNumId w:val="32"/>
  </w:num>
  <w:num w:numId="14">
    <w:abstractNumId w:val="19"/>
  </w:num>
  <w:num w:numId="15">
    <w:abstractNumId w:val="27"/>
  </w:num>
  <w:num w:numId="16">
    <w:abstractNumId w:val="16"/>
  </w:num>
  <w:num w:numId="17">
    <w:abstractNumId w:val="14"/>
  </w:num>
  <w:num w:numId="18">
    <w:abstractNumId w:val="2"/>
  </w:num>
  <w:num w:numId="19">
    <w:abstractNumId w:val="1"/>
  </w:num>
  <w:num w:numId="20">
    <w:abstractNumId w:val="24"/>
  </w:num>
  <w:num w:numId="21">
    <w:abstractNumId w:val="15"/>
  </w:num>
  <w:num w:numId="22">
    <w:abstractNumId w:val="13"/>
  </w:num>
  <w:num w:numId="23">
    <w:abstractNumId w:val="4"/>
  </w:num>
  <w:num w:numId="24">
    <w:abstractNumId w:val="21"/>
  </w:num>
  <w:num w:numId="25">
    <w:abstractNumId w:val="11"/>
  </w:num>
  <w:num w:numId="26">
    <w:abstractNumId w:val="18"/>
  </w:num>
  <w:num w:numId="27">
    <w:abstractNumId w:val="20"/>
  </w:num>
  <w:num w:numId="28">
    <w:abstractNumId w:val="7"/>
  </w:num>
  <w:num w:numId="29">
    <w:abstractNumId w:val="9"/>
  </w:num>
  <w:num w:numId="30">
    <w:abstractNumId w:val="17"/>
  </w:num>
  <w:num w:numId="31">
    <w:abstractNumId w:val="8"/>
  </w:num>
  <w:num w:numId="32">
    <w:abstractNumId w:val="34"/>
  </w:num>
  <w:num w:numId="33">
    <w:abstractNumId w:val="30"/>
  </w:num>
  <w:num w:numId="34">
    <w:abstractNumId w:val="6"/>
  </w:num>
  <w:num w:numId="3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wIYY9vkT43FUsc2o79djeA7lkG/q5UZdTElWC/0LkLJRqXRtNepD6aZhR+8U8qjj8h8x0sVd/hrAAVrcr+EYg==" w:salt="nEnmSGNGFI94SlJ+035Y0A=="/>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68"/>
    <w:rsid w:val="0000094B"/>
    <w:rsid w:val="000009E4"/>
    <w:rsid w:val="0000194E"/>
    <w:rsid w:val="00001AB0"/>
    <w:rsid w:val="00002136"/>
    <w:rsid w:val="00005FA1"/>
    <w:rsid w:val="00006D38"/>
    <w:rsid w:val="000075F6"/>
    <w:rsid w:val="00007A5C"/>
    <w:rsid w:val="00011ED0"/>
    <w:rsid w:val="000127A5"/>
    <w:rsid w:val="00013131"/>
    <w:rsid w:val="000146F1"/>
    <w:rsid w:val="0001524F"/>
    <w:rsid w:val="00016FEA"/>
    <w:rsid w:val="00017667"/>
    <w:rsid w:val="000202DB"/>
    <w:rsid w:val="000205AD"/>
    <w:rsid w:val="00026544"/>
    <w:rsid w:val="00026855"/>
    <w:rsid w:val="00026BDB"/>
    <w:rsid w:val="00033281"/>
    <w:rsid w:val="00033978"/>
    <w:rsid w:val="00033DAE"/>
    <w:rsid w:val="00042A12"/>
    <w:rsid w:val="00047A3D"/>
    <w:rsid w:val="0005026A"/>
    <w:rsid w:val="00051157"/>
    <w:rsid w:val="0005243D"/>
    <w:rsid w:val="00055A89"/>
    <w:rsid w:val="00056556"/>
    <w:rsid w:val="00062978"/>
    <w:rsid w:val="00064FAF"/>
    <w:rsid w:val="00065D06"/>
    <w:rsid w:val="000664A1"/>
    <w:rsid w:val="00066D9C"/>
    <w:rsid w:val="00072113"/>
    <w:rsid w:val="00076E1D"/>
    <w:rsid w:val="00077991"/>
    <w:rsid w:val="00080804"/>
    <w:rsid w:val="00081364"/>
    <w:rsid w:val="000832B7"/>
    <w:rsid w:val="00084765"/>
    <w:rsid w:val="00085FD0"/>
    <w:rsid w:val="000959EE"/>
    <w:rsid w:val="000A08C7"/>
    <w:rsid w:val="000A4423"/>
    <w:rsid w:val="000A57A2"/>
    <w:rsid w:val="000A5ECB"/>
    <w:rsid w:val="000A6E36"/>
    <w:rsid w:val="000A7DE4"/>
    <w:rsid w:val="000B346D"/>
    <w:rsid w:val="000B6588"/>
    <w:rsid w:val="000C04F6"/>
    <w:rsid w:val="000C09B2"/>
    <w:rsid w:val="000C1495"/>
    <w:rsid w:val="000C2144"/>
    <w:rsid w:val="000C2DA4"/>
    <w:rsid w:val="000C3145"/>
    <w:rsid w:val="000C428F"/>
    <w:rsid w:val="000D31A8"/>
    <w:rsid w:val="000D33AB"/>
    <w:rsid w:val="000D37E8"/>
    <w:rsid w:val="000D72D1"/>
    <w:rsid w:val="000E2DE2"/>
    <w:rsid w:val="000E44B1"/>
    <w:rsid w:val="000F0B33"/>
    <w:rsid w:val="000F150F"/>
    <w:rsid w:val="000F4EB5"/>
    <w:rsid w:val="000F52E9"/>
    <w:rsid w:val="001040AB"/>
    <w:rsid w:val="00104B0D"/>
    <w:rsid w:val="00106407"/>
    <w:rsid w:val="001066D7"/>
    <w:rsid w:val="00113CA0"/>
    <w:rsid w:val="001149C1"/>
    <w:rsid w:val="001226BC"/>
    <w:rsid w:val="00125614"/>
    <w:rsid w:val="001262D4"/>
    <w:rsid w:val="00126498"/>
    <w:rsid w:val="00126B29"/>
    <w:rsid w:val="0013136C"/>
    <w:rsid w:val="00131E04"/>
    <w:rsid w:val="00137A00"/>
    <w:rsid w:val="00140CFD"/>
    <w:rsid w:val="00142A93"/>
    <w:rsid w:val="00142DD3"/>
    <w:rsid w:val="00144C43"/>
    <w:rsid w:val="00145830"/>
    <w:rsid w:val="0014650F"/>
    <w:rsid w:val="001475DF"/>
    <w:rsid w:val="001520C4"/>
    <w:rsid w:val="001606A8"/>
    <w:rsid w:val="00160AD1"/>
    <w:rsid w:val="00161D27"/>
    <w:rsid w:val="00162A6B"/>
    <w:rsid w:val="00163B4C"/>
    <w:rsid w:val="00167D7D"/>
    <w:rsid w:val="00172B68"/>
    <w:rsid w:val="00174A2C"/>
    <w:rsid w:val="001775D1"/>
    <w:rsid w:val="001814EB"/>
    <w:rsid w:val="0018206D"/>
    <w:rsid w:val="00184C26"/>
    <w:rsid w:val="00184C78"/>
    <w:rsid w:val="00185993"/>
    <w:rsid w:val="0019008F"/>
    <w:rsid w:val="001914D6"/>
    <w:rsid w:val="00195215"/>
    <w:rsid w:val="00195601"/>
    <w:rsid w:val="0019565C"/>
    <w:rsid w:val="001A050C"/>
    <w:rsid w:val="001A171B"/>
    <w:rsid w:val="001A27EE"/>
    <w:rsid w:val="001A2D03"/>
    <w:rsid w:val="001A2DF9"/>
    <w:rsid w:val="001A39A8"/>
    <w:rsid w:val="001A4A2B"/>
    <w:rsid w:val="001A61D0"/>
    <w:rsid w:val="001A79AA"/>
    <w:rsid w:val="001B13A5"/>
    <w:rsid w:val="001B3743"/>
    <w:rsid w:val="001B5656"/>
    <w:rsid w:val="001B6A85"/>
    <w:rsid w:val="001B76D6"/>
    <w:rsid w:val="001C1C43"/>
    <w:rsid w:val="001C2396"/>
    <w:rsid w:val="001C24EF"/>
    <w:rsid w:val="001C30D3"/>
    <w:rsid w:val="001C328B"/>
    <w:rsid w:val="001C4F8A"/>
    <w:rsid w:val="001D15D5"/>
    <w:rsid w:val="001D752C"/>
    <w:rsid w:val="001D7F04"/>
    <w:rsid w:val="001E50B7"/>
    <w:rsid w:val="001E7972"/>
    <w:rsid w:val="001F0170"/>
    <w:rsid w:val="001F1065"/>
    <w:rsid w:val="001F319F"/>
    <w:rsid w:val="001F350E"/>
    <w:rsid w:val="001F4F78"/>
    <w:rsid w:val="001F7D9F"/>
    <w:rsid w:val="00200257"/>
    <w:rsid w:val="0020505D"/>
    <w:rsid w:val="00210545"/>
    <w:rsid w:val="0021102F"/>
    <w:rsid w:val="00213908"/>
    <w:rsid w:val="0021522F"/>
    <w:rsid w:val="00217488"/>
    <w:rsid w:val="002205D6"/>
    <w:rsid w:val="00222B1B"/>
    <w:rsid w:val="00227C51"/>
    <w:rsid w:val="0023316C"/>
    <w:rsid w:val="00235430"/>
    <w:rsid w:val="00235B23"/>
    <w:rsid w:val="002373F1"/>
    <w:rsid w:val="002436CE"/>
    <w:rsid w:val="00245CF4"/>
    <w:rsid w:val="0025034E"/>
    <w:rsid w:val="002625EC"/>
    <w:rsid w:val="00262EDC"/>
    <w:rsid w:val="002636AE"/>
    <w:rsid w:val="00264536"/>
    <w:rsid w:val="0026574F"/>
    <w:rsid w:val="00270B42"/>
    <w:rsid w:val="002746C0"/>
    <w:rsid w:val="00275B66"/>
    <w:rsid w:val="00276B06"/>
    <w:rsid w:val="00276DA0"/>
    <w:rsid w:val="00276EA8"/>
    <w:rsid w:val="00277F3F"/>
    <w:rsid w:val="0028076D"/>
    <w:rsid w:val="00281427"/>
    <w:rsid w:val="00281DC5"/>
    <w:rsid w:val="0028219F"/>
    <w:rsid w:val="0028311D"/>
    <w:rsid w:val="002832BC"/>
    <w:rsid w:val="00283778"/>
    <w:rsid w:val="00284CDC"/>
    <w:rsid w:val="00285EEC"/>
    <w:rsid w:val="00286E57"/>
    <w:rsid w:val="00290B5B"/>
    <w:rsid w:val="00295731"/>
    <w:rsid w:val="00295A9D"/>
    <w:rsid w:val="002962B2"/>
    <w:rsid w:val="002A018C"/>
    <w:rsid w:val="002A087B"/>
    <w:rsid w:val="002A29F1"/>
    <w:rsid w:val="002A30D2"/>
    <w:rsid w:val="002A684B"/>
    <w:rsid w:val="002B0637"/>
    <w:rsid w:val="002B0E0D"/>
    <w:rsid w:val="002B25CA"/>
    <w:rsid w:val="002B26E8"/>
    <w:rsid w:val="002B2B61"/>
    <w:rsid w:val="002B565C"/>
    <w:rsid w:val="002C349F"/>
    <w:rsid w:val="002C6414"/>
    <w:rsid w:val="002C7E9A"/>
    <w:rsid w:val="002D07BF"/>
    <w:rsid w:val="002D11DC"/>
    <w:rsid w:val="002D1E62"/>
    <w:rsid w:val="002D296C"/>
    <w:rsid w:val="002D48C3"/>
    <w:rsid w:val="002D4970"/>
    <w:rsid w:val="002D4DA2"/>
    <w:rsid w:val="002D55BF"/>
    <w:rsid w:val="002D5B3F"/>
    <w:rsid w:val="002D6839"/>
    <w:rsid w:val="002E0E43"/>
    <w:rsid w:val="002E1207"/>
    <w:rsid w:val="002E1986"/>
    <w:rsid w:val="002E2EC3"/>
    <w:rsid w:val="002E4960"/>
    <w:rsid w:val="002F317D"/>
    <w:rsid w:val="002F361C"/>
    <w:rsid w:val="002F39D5"/>
    <w:rsid w:val="00300F43"/>
    <w:rsid w:val="00301406"/>
    <w:rsid w:val="00302FDF"/>
    <w:rsid w:val="0030420B"/>
    <w:rsid w:val="00305D93"/>
    <w:rsid w:val="003125E1"/>
    <w:rsid w:val="00315B04"/>
    <w:rsid w:val="00317022"/>
    <w:rsid w:val="00320664"/>
    <w:rsid w:val="00320A46"/>
    <w:rsid w:val="003215CA"/>
    <w:rsid w:val="00321CA1"/>
    <w:rsid w:val="00321CA3"/>
    <w:rsid w:val="00325EB9"/>
    <w:rsid w:val="00325EC8"/>
    <w:rsid w:val="00327AC0"/>
    <w:rsid w:val="00331A0D"/>
    <w:rsid w:val="00331AF9"/>
    <w:rsid w:val="00333382"/>
    <w:rsid w:val="0033431F"/>
    <w:rsid w:val="00337895"/>
    <w:rsid w:val="003402BE"/>
    <w:rsid w:val="00340B3A"/>
    <w:rsid w:val="00341EEB"/>
    <w:rsid w:val="0034299B"/>
    <w:rsid w:val="003430CE"/>
    <w:rsid w:val="00343B77"/>
    <w:rsid w:val="00343F03"/>
    <w:rsid w:val="00345C93"/>
    <w:rsid w:val="003505CC"/>
    <w:rsid w:val="003506B1"/>
    <w:rsid w:val="00352DFC"/>
    <w:rsid w:val="00353776"/>
    <w:rsid w:val="00353D53"/>
    <w:rsid w:val="00357066"/>
    <w:rsid w:val="00357559"/>
    <w:rsid w:val="0036208B"/>
    <w:rsid w:val="0036227C"/>
    <w:rsid w:val="003641DE"/>
    <w:rsid w:val="00364FC9"/>
    <w:rsid w:val="0036711E"/>
    <w:rsid w:val="003674F0"/>
    <w:rsid w:val="00371086"/>
    <w:rsid w:val="003736CB"/>
    <w:rsid w:val="00374B22"/>
    <w:rsid w:val="00377713"/>
    <w:rsid w:val="00380D86"/>
    <w:rsid w:val="00383D63"/>
    <w:rsid w:val="003866B8"/>
    <w:rsid w:val="00386FDA"/>
    <w:rsid w:val="00387097"/>
    <w:rsid w:val="0039317E"/>
    <w:rsid w:val="00396FFB"/>
    <w:rsid w:val="003976A5"/>
    <w:rsid w:val="00397B79"/>
    <w:rsid w:val="003A03DC"/>
    <w:rsid w:val="003A151D"/>
    <w:rsid w:val="003A365D"/>
    <w:rsid w:val="003A3AAC"/>
    <w:rsid w:val="003A6CA6"/>
    <w:rsid w:val="003B0D84"/>
    <w:rsid w:val="003B3003"/>
    <w:rsid w:val="003B3CDE"/>
    <w:rsid w:val="003B4C4D"/>
    <w:rsid w:val="003B4E4A"/>
    <w:rsid w:val="003C0D55"/>
    <w:rsid w:val="003C2FF8"/>
    <w:rsid w:val="003C7439"/>
    <w:rsid w:val="003D0BC2"/>
    <w:rsid w:val="003D1F1B"/>
    <w:rsid w:val="003D3A2E"/>
    <w:rsid w:val="003D4610"/>
    <w:rsid w:val="003D5EF2"/>
    <w:rsid w:val="003D6DFD"/>
    <w:rsid w:val="003E04F9"/>
    <w:rsid w:val="003E1F80"/>
    <w:rsid w:val="003E6C7A"/>
    <w:rsid w:val="003E6CAC"/>
    <w:rsid w:val="003E7106"/>
    <w:rsid w:val="003E71C5"/>
    <w:rsid w:val="003F15AB"/>
    <w:rsid w:val="003F2D25"/>
    <w:rsid w:val="003F7035"/>
    <w:rsid w:val="003F757C"/>
    <w:rsid w:val="0040178D"/>
    <w:rsid w:val="00402532"/>
    <w:rsid w:val="00402D6D"/>
    <w:rsid w:val="00403D46"/>
    <w:rsid w:val="00404002"/>
    <w:rsid w:val="004051DC"/>
    <w:rsid w:val="0040731F"/>
    <w:rsid w:val="0041184F"/>
    <w:rsid w:val="00413F92"/>
    <w:rsid w:val="00414A76"/>
    <w:rsid w:val="00416526"/>
    <w:rsid w:val="004177D5"/>
    <w:rsid w:val="00420416"/>
    <w:rsid w:val="00420EBE"/>
    <w:rsid w:val="00421283"/>
    <w:rsid w:val="004270D2"/>
    <w:rsid w:val="0043071F"/>
    <w:rsid w:val="0043275A"/>
    <w:rsid w:val="004327C6"/>
    <w:rsid w:val="004337CB"/>
    <w:rsid w:val="00433A5F"/>
    <w:rsid w:val="00434698"/>
    <w:rsid w:val="0043485A"/>
    <w:rsid w:val="00434B1A"/>
    <w:rsid w:val="00435974"/>
    <w:rsid w:val="00436664"/>
    <w:rsid w:val="0043797C"/>
    <w:rsid w:val="0044188B"/>
    <w:rsid w:val="00441C1F"/>
    <w:rsid w:val="00442409"/>
    <w:rsid w:val="00445464"/>
    <w:rsid w:val="00445F6F"/>
    <w:rsid w:val="0045477D"/>
    <w:rsid w:val="00456AC3"/>
    <w:rsid w:val="0046001C"/>
    <w:rsid w:val="004610D7"/>
    <w:rsid w:val="00466E6E"/>
    <w:rsid w:val="00467057"/>
    <w:rsid w:val="00470D3C"/>
    <w:rsid w:val="00470F7C"/>
    <w:rsid w:val="004717F7"/>
    <w:rsid w:val="00474640"/>
    <w:rsid w:val="00477E7A"/>
    <w:rsid w:val="0048004B"/>
    <w:rsid w:val="00480685"/>
    <w:rsid w:val="00482D61"/>
    <w:rsid w:val="004836C3"/>
    <w:rsid w:val="004847CD"/>
    <w:rsid w:val="0048497C"/>
    <w:rsid w:val="00485AEF"/>
    <w:rsid w:val="00486398"/>
    <w:rsid w:val="0048698D"/>
    <w:rsid w:val="00490572"/>
    <w:rsid w:val="00490A04"/>
    <w:rsid w:val="00492060"/>
    <w:rsid w:val="00492ED7"/>
    <w:rsid w:val="004935FE"/>
    <w:rsid w:val="00493A99"/>
    <w:rsid w:val="00493EEB"/>
    <w:rsid w:val="00496EFB"/>
    <w:rsid w:val="004A1318"/>
    <w:rsid w:val="004A59DD"/>
    <w:rsid w:val="004A6D24"/>
    <w:rsid w:val="004A732F"/>
    <w:rsid w:val="004A733F"/>
    <w:rsid w:val="004B0632"/>
    <w:rsid w:val="004B115B"/>
    <w:rsid w:val="004B2D27"/>
    <w:rsid w:val="004B3721"/>
    <w:rsid w:val="004B56E0"/>
    <w:rsid w:val="004B61A6"/>
    <w:rsid w:val="004B6C3C"/>
    <w:rsid w:val="004B794A"/>
    <w:rsid w:val="004C0A42"/>
    <w:rsid w:val="004C1F6F"/>
    <w:rsid w:val="004C33C7"/>
    <w:rsid w:val="004C4336"/>
    <w:rsid w:val="004C652A"/>
    <w:rsid w:val="004C7C8C"/>
    <w:rsid w:val="004D061B"/>
    <w:rsid w:val="004D11DC"/>
    <w:rsid w:val="004D2320"/>
    <w:rsid w:val="004D4991"/>
    <w:rsid w:val="004D4BAE"/>
    <w:rsid w:val="004D6E0A"/>
    <w:rsid w:val="004E0F7D"/>
    <w:rsid w:val="004E35EB"/>
    <w:rsid w:val="004E38A0"/>
    <w:rsid w:val="004E417D"/>
    <w:rsid w:val="004E5D1E"/>
    <w:rsid w:val="004E6A58"/>
    <w:rsid w:val="004E724D"/>
    <w:rsid w:val="004E72CB"/>
    <w:rsid w:val="004F0322"/>
    <w:rsid w:val="004F0B0A"/>
    <w:rsid w:val="004F324A"/>
    <w:rsid w:val="004F3420"/>
    <w:rsid w:val="004F4E94"/>
    <w:rsid w:val="004F77BF"/>
    <w:rsid w:val="0050020C"/>
    <w:rsid w:val="00500B20"/>
    <w:rsid w:val="005036CB"/>
    <w:rsid w:val="00504447"/>
    <w:rsid w:val="005049FA"/>
    <w:rsid w:val="00504B29"/>
    <w:rsid w:val="00511550"/>
    <w:rsid w:val="00513A1A"/>
    <w:rsid w:val="00513F86"/>
    <w:rsid w:val="00514131"/>
    <w:rsid w:val="0051456D"/>
    <w:rsid w:val="005154B4"/>
    <w:rsid w:val="00516123"/>
    <w:rsid w:val="00516A36"/>
    <w:rsid w:val="00520440"/>
    <w:rsid w:val="005214BC"/>
    <w:rsid w:val="0052243F"/>
    <w:rsid w:val="0052302B"/>
    <w:rsid w:val="00524CC2"/>
    <w:rsid w:val="00525051"/>
    <w:rsid w:val="005263F0"/>
    <w:rsid w:val="00527380"/>
    <w:rsid w:val="00530EDF"/>
    <w:rsid w:val="00531591"/>
    <w:rsid w:val="005337A5"/>
    <w:rsid w:val="0053391D"/>
    <w:rsid w:val="00534803"/>
    <w:rsid w:val="00535A4C"/>
    <w:rsid w:val="005433DC"/>
    <w:rsid w:val="00544DD7"/>
    <w:rsid w:val="005501FB"/>
    <w:rsid w:val="00551660"/>
    <w:rsid w:val="0055364C"/>
    <w:rsid w:val="005554FC"/>
    <w:rsid w:val="00555853"/>
    <w:rsid w:val="00555F0F"/>
    <w:rsid w:val="00556870"/>
    <w:rsid w:val="00560341"/>
    <w:rsid w:val="00563B17"/>
    <w:rsid w:val="00564848"/>
    <w:rsid w:val="00564D97"/>
    <w:rsid w:val="005656C2"/>
    <w:rsid w:val="00565A15"/>
    <w:rsid w:val="00566406"/>
    <w:rsid w:val="00566AA6"/>
    <w:rsid w:val="00567106"/>
    <w:rsid w:val="00567391"/>
    <w:rsid w:val="00567D6E"/>
    <w:rsid w:val="005702F4"/>
    <w:rsid w:val="00570790"/>
    <w:rsid w:val="00573FB3"/>
    <w:rsid w:val="00576BA0"/>
    <w:rsid w:val="00577D07"/>
    <w:rsid w:val="00577F3D"/>
    <w:rsid w:val="0059154D"/>
    <w:rsid w:val="00592AA5"/>
    <w:rsid w:val="00592FB4"/>
    <w:rsid w:val="0059377D"/>
    <w:rsid w:val="0059552A"/>
    <w:rsid w:val="005963FE"/>
    <w:rsid w:val="005A18BA"/>
    <w:rsid w:val="005A1B9B"/>
    <w:rsid w:val="005A2C91"/>
    <w:rsid w:val="005A35CD"/>
    <w:rsid w:val="005A43A5"/>
    <w:rsid w:val="005A44C3"/>
    <w:rsid w:val="005A4559"/>
    <w:rsid w:val="005A4E30"/>
    <w:rsid w:val="005A7ABA"/>
    <w:rsid w:val="005A7BA8"/>
    <w:rsid w:val="005B0899"/>
    <w:rsid w:val="005B0C0C"/>
    <w:rsid w:val="005B176F"/>
    <w:rsid w:val="005B203D"/>
    <w:rsid w:val="005B320B"/>
    <w:rsid w:val="005B36A3"/>
    <w:rsid w:val="005B4843"/>
    <w:rsid w:val="005B4BF4"/>
    <w:rsid w:val="005B6BBF"/>
    <w:rsid w:val="005B724B"/>
    <w:rsid w:val="005C20AA"/>
    <w:rsid w:val="005C231A"/>
    <w:rsid w:val="005C24BD"/>
    <w:rsid w:val="005C2A83"/>
    <w:rsid w:val="005C48CC"/>
    <w:rsid w:val="005C7155"/>
    <w:rsid w:val="005D2A5A"/>
    <w:rsid w:val="005D2B7E"/>
    <w:rsid w:val="005D5293"/>
    <w:rsid w:val="005D5A23"/>
    <w:rsid w:val="005D5A6B"/>
    <w:rsid w:val="005D65A3"/>
    <w:rsid w:val="005D7302"/>
    <w:rsid w:val="005E0B14"/>
    <w:rsid w:val="005E11EC"/>
    <w:rsid w:val="005E2AF8"/>
    <w:rsid w:val="005E4CA0"/>
    <w:rsid w:val="005E7B7A"/>
    <w:rsid w:val="005E7E98"/>
    <w:rsid w:val="005F1532"/>
    <w:rsid w:val="005F1FE4"/>
    <w:rsid w:val="005F4785"/>
    <w:rsid w:val="005F47D6"/>
    <w:rsid w:val="005F5C3D"/>
    <w:rsid w:val="005F6735"/>
    <w:rsid w:val="005F68DB"/>
    <w:rsid w:val="005F6E3E"/>
    <w:rsid w:val="005F7056"/>
    <w:rsid w:val="005F7E5E"/>
    <w:rsid w:val="006023B1"/>
    <w:rsid w:val="00602AA3"/>
    <w:rsid w:val="00603935"/>
    <w:rsid w:val="00603B50"/>
    <w:rsid w:val="00604EE9"/>
    <w:rsid w:val="00606BF8"/>
    <w:rsid w:val="00613556"/>
    <w:rsid w:val="00615A37"/>
    <w:rsid w:val="00615DC7"/>
    <w:rsid w:val="00615E45"/>
    <w:rsid w:val="00617BB6"/>
    <w:rsid w:val="00620750"/>
    <w:rsid w:val="00620C47"/>
    <w:rsid w:val="00621134"/>
    <w:rsid w:val="00623F91"/>
    <w:rsid w:val="00626E81"/>
    <w:rsid w:val="00630D82"/>
    <w:rsid w:val="0063108F"/>
    <w:rsid w:val="00632D67"/>
    <w:rsid w:val="00634A9A"/>
    <w:rsid w:val="006404C3"/>
    <w:rsid w:val="00645736"/>
    <w:rsid w:val="0064727C"/>
    <w:rsid w:val="006507ED"/>
    <w:rsid w:val="00654074"/>
    <w:rsid w:val="006572B3"/>
    <w:rsid w:val="0066163D"/>
    <w:rsid w:val="00662F35"/>
    <w:rsid w:val="006643B1"/>
    <w:rsid w:val="00667887"/>
    <w:rsid w:val="006739D1"/>
    <w:rsid w:val="00673BD8"/>
    <w:rsid w:val="00674C5C"/>
    <w:rsid w:val="00676B92"/>
    <w:rsid w:val="00680CA0"/>
    <w:rsid w:val="00680F3B"/>
    <w:rsid w:val="00681094"/>
    <w:rsid w:val="0068213E"/>
    <w:rsid w:val="00683379"/>
    <w:rsid w:val="00687E89"/>
    <w:rsid w:val="006914D2"/>
    <w:rsid w:val="006933D2"/>
    <w:rsid w:val="00693400"/>
    <w:rsid w:val="00693A82"/>
    <w:rsid w:val="006972EC"/>
    <w:rsid w:val="00697A09"/>
    <w:rsid w:val="00697A42"/>
    <w:rsid w:val="006A0EBA"/>
    <w:rsid w:val="006A2D5E"/>
    <w:rsid w:val="006A7D39"/>
    <w:rsid w:val="006B0253"/>
    <w:rsid w:val="006B3E95"/>
    <w:rsid w:val="006B7589"/>
    <w:rsid w:val="006B7FC6"/>
    <w:rsid w:val="006C256D"/>
    <w:rsid w:val="006C2AE3"/>
    <w:rsid w:val="006C4DBD"/>
    <w:rsid w:val="006C5B49"/>
    <w:rsid w:val="006C725C"/>
    <w:rsid w:val="006D22A1"/>
    <w:rsid w:val="006D3F55"/>
    <w:rsid w:val="006D4051"/>
    <w:rsid w:val="006D433A"/>
    <w:rsid w:val="006D61A0"/>
    <w:rsid w:val="006D6953"/>
    <w:rsid w:val="006D73F6"/>
    <w:rsid w:val="006D7825"/>
    <w:rsid w:val="006E1324"/>
    <w:rsid w:val="006E45BB"/>
    <w:rsid w:val="006E4DCB"/>
    <w:rsid w:val="006E57BA"/>
    <w:rsid w:val="006E5D76"/>
    <w:rsid w:val="006E7051"/>
    <w:rsid w:val="006F309B"/>
    <w:rsid w:val="006F4DDF"/>
    <w:rsid w:val="006F7596"/>
    <w:rsid w:val="00701E59"/>
    <w:rsid w:val="00702BC5"/>
    <w:rsid w:val="00703A0A"/>
    <w:rsid w:val="00704313"/>
    <w:rsid w:val="00705DEB"/>
    <w:rsid w:val="007060B1"/>
    <w:rsid w:val="00710015"/>
    <w:rsid w:val="00711013"/>
    <w:rsid w:val="00717BB1"/>
    <w:rsid w:val="00721FC5"/>
    <w:rsid w:val="00730ED5"/>
    <w:rsid w:val="007329E8"/>
    <w:rsid w:val="00736536"/>
    <w:rsid w:val="007403E7"/>
    <w:rsid w:val="00741D2E"/>
    <w:rsid w:val="00742A18"/>
    <w:rsid w:val="00743165"/>
    <w:rsid w:val="0074539B"/>
    <w:rsid w:val="00750E84"/>
    <w:rsid w:val="0075392C"/>
    <w:rsid w:val="0075405D"/>
    <w:rsid w:val="007544AF"/>
    <w:rsid w:val="00754C5B"/>
    <w:rsid w:val="007557D6"/>
    <w:rsid w:val="00762C6F"/>
    <w:rsid w:val="00766C95"/>
    <w:rsid w:val="00767A3F"/>
    <w:rsid w:val="00771449"/>
    <w:rsid w:val="007730DC"/>
    <w:rsid w:val="00774D75"/>
    <w:rsid w:val="00776134"/>
    <w:rsid w:val="00787757"/>
    <w:rsid w:val="00792D72"/>
    <w:rsid w:val="007958D7"/>
    <w:rsid w:val="007959D1"/>
    <w:rsid w:val="007960E7"/>
    <w:rsid w:val="00796EE9"/>
    <w:rsid w:val="00797AB5"/>
    <w:rsid w:val="007A0F09"/>
    <w:rsid w:val="007A3C74"/>
    <w:rsid w:val="007A45B1"/>
    <w:rsid w:val="007A4785"/>
    <w:rsid w:val="007A753E"/>
    <w:rsid w:val="007B1048"/>
    <w:rsid w:val="007B3458"/>
    <w:rsid w:val="007B50F6"/>
    <w:rsid w:val="007B740B"/>
    <w:rsid w:val="007B76E4"/>
    <w:rsid w:val="007B7DD1"/>
    <w:rsid w:val="007C30BE"/>
    <w:rsid w:val="007C35D8"/>
    <w:rsid w:val="007D199F"/>
    <w:rsid w:val="007D49A0"/>
    <w:rsid w:val="007D4E06"/>
    <w:rsid w:val="007D7678"/>
    <w:rsid w:val="007E24F4"/>
    <w:rsid w:val="007E2BC4"/>
    <w:rsid w:val="007E3389"/>
    <w:rsid w:val="007E4370"/>
    <w:rsid w:val="007E50D9"/>
    <w:rsid w:val="007E62B4"/>
    <w:rsid w:val="007E7395"/>
    <w:rsid w:val="007E76F9"/>
    <w:rsid w:val="007F362C"/>
    <w:rsid w:val="007F3BFE"/>
    <w:rsid w:val="007F454C"/>
    <w:rsid w:val="007F4BA6"/>
    <w:rsid w:val="007F732C"/>
    <w:rsid w:val="00801FC4"/>
    <w:rsid w:val="0080299A"/>
    <w:rsid w:val="00802D4F"/>
    <w:rsid w:val="0080382C"/>
    <w:rsid w:val="00803A95"/>
    <w:rsid w:val="008042C9"/>
    <w:rsid w:val="00806A9E"/>
    <w:rsid w:val="008112B1"/>
    <w:rsid w:val="00817D29"/>
    <w:rsid w:val="00820CE1"/>
    <w:rsid w:val="00821143"/>
    <w:rsid w:val="0082212C"/>
    <w:rsid w:val="00822877"/>
    <w:rsid w:val="008230AA"/>
    <w:rsid w:val="00824ED5"/>
    <w:rsid w:val="00825E5C"/>
    <w:rsid w:val="008333B5"/>
    <w:rsid w:val="00834A0A"/>
    <w:rsid w:val="008367A7"/>
    <w:rsid w:val="00837C1D"/>
    <w:rsid w:val="00837C98"/>
    <w:rsid w:val="0084206D"/>
    <w:rsid w:val="008420E4"/>
    <w:rsid w:val="0084230A"/>
    <w:rsid w:val="00843DBD"/>
    <w:rsid w:val="00844B3C"/>
    <w:rsid w:val="00846003"/>
    <w:rsid w:val="00847A63"/>
    <w:rsid w:val="00853B27"/>
    <w:rsid w:val="00856553"/>
    <w:rsid w:val="00857538"/>
    <w:rsid w:val="00863CB7"/>
    <w:rsid w:val="00863D8E"/>
    <w:rsid w:val="00872F2D"/>
    <w:rsid w:val="00873B0B"/>
    <w:rsid w:val="00874F19"/>
    <w:rsid w:val="008753A2"/>
    <w:rsid w:val="0087645B"/>
    <w:rsid w:val="00880FB7"/>
    <w:rsid w:val="00881302"/>
    <w:rsid w:val="0088181E"/>
    <w:rsid w:val="00882C68"/>
    <w:rsid w:val="008863A5"/>
    <w:rsid w:val="0088701A"/>
    <w:rsid w:val="00892920"/>
    <w:rsid w:val="00892D8E"/>
    <w:rsid w:val="008933FA"/>
    <w:rsid w:val="00893D40"/>
    <w:rsid w:val="00894C50"/>
    <w:rsid w:val="00894F42"/>
    <w:rsid w:val="008969FB"/>
    <w:rsid w:val="008A22D0"/>
    <w:rsid w:val="008A2C06"/>
    <w:rsid w:val="008A5EA8"/>
    <w:rsid w:val="008A7609"/>
    <w:rsid w:val="008B0189"/>
    <w:rsid w:val="008B2164"/>
    <w:rsid w:val="008B2B75"/>
    <w:rsid w:val="008B3E43"/>
    <w:rsid w:val="008B42F6"/>
    <w:rsid w:val="008B7A0F"/>
    <w:rsid w:val="008C013D"/>
    <w:rsid w:val="008C0907"/>
    <w:rsid w:val="008C1271"/>
    <w:rsid w:val="008C14E1"/>
    <w:rsid w:val="008C26C9"/>
    <w:rsid w:val="008C2C51"/>
    <w:rsid w:val="008C5EB0"/>
    <w:rsid w:val="008C63ED"/>
    <w:rsid w:val="008C70E1"/>
    <w:rsid w:val="008C7107"/>
    <w:rsid w:val="008D05B4"/>
    <w:rsid w:val="008D0E18"/>
    <w:rsid w:val="008D0F91"/>
    <w:rsid w:val="008D1557"/>
    <w:rsid w:val="008D16A7"/>
    <w:rsid w:val="008D3539"/>
    <w:rsid w:val="008D6181"/>
    <w:rsid w:val="008D677C"/>
    <w:rsid w:val="008D71F9"/>
    <w:rsid w:val="008E2439"/>
    <w:rsid w:val="008E2E45"/>
    <w:rsid w:val="008E3228"/>
    <w:rsid w:val="008E342F"/>
    <w:rsid w:val="008E3585"/>
    <w:rsid w:val="008E43C1"/>
    <w:rsid w:val="008E4983"/>
    <w:rsid w:val="008E79F8"/>
    <w:rsid w:val="008F067A"/>
    <w:rsid w:val="008F0689"/>
    <w:rsid w:val="008F13B2"/>
    <w:rsid w:val="008F14F5"/>
    <w:rsid w:val="008F36D2"/>
    <w:rsid w:val="008F3EB9"/>
    <w:rsid w:val="008F3EEE"/>
    <w:rsid w:val="008F51D4"/>
    <w:rsid w:val="008F5682"/>
    <w:rsid w:val="008F568C"/>
    <w:rsid w:val="008F7932"/>
    <w:rsid w:val="0090023D"/>
    <w:rsid w:val="0090115F"/>
    <w:rsid w:val="00904B81"/>
    <w:rsid w:val="009100AA"/>
    <w:rsid w:val="00911166"/>
    <w:rsid w:val="009123E0"/>
    <w:rsid w:val="00912DFD"/>
    <w:rsid w:val="0091353A"/>
    <w:rsid w:val="00914068"/>
    <w:rsid w:val="0091442F"/>
    <w:rsid w:val="00914B2E"/>
    <w:rsid w:val="0091529E"/>
    <w:rsid w:val="00916FD8"/>
    <w:rsid w:val="00922810"/>
    <w:rsid w:val="009230B0"/>
    <w:rsid w:val="009248B6"/>
    <w:rsid w:val="00924D1E"/>
    <w:rsid w:val="009265B5"/>
    <w:rsid w:val="00926E52"/>
    <w:rsid w:val="00926E97"/>
    <w:rsid w:val="009277DD"/>
    <w:rsid w:val="00930DBA"/>
    <w:rsid w:val="00931294"/>
    <w:rsid w:val="00931B3C"/>
    <w:rsid w:val="00931FEB"/>
    <w:rsid w:val="00932DE5"/>
    <w:rsid w:val="009347DC"/>
    <w:rsid w:val="00940247"/>
    <w:rsid w:val="00940915"/>
    <w:rsid w:val="009423CC"/>
    <w:rsid w:val="00944267"/>
    <w:rsid w:val="00945EB7"/>
    <w:rsid w:val="0094623B"/>
    <w:rsid w:val="0094796B"/>
    <w:rsid w:val="00955774"/>
    <w:rsid w:val="00955F04"/>
    <w:rsid w:val="00955FBC"/>
    <w:rsid w:val="009574AE"/>
    <w:rsid w:val="00957A83"/>
    <w:rsid w:val="00961123"/>
    <w:rsid w:val="00964097"/>
    <w:rsid w:val="00964C8C"/>
    <w:rsid w:val="00965C83"/>
    <w:rsid w:val="0096625A"/>
    <w:rsid w:val="00966B22"/>
    <w:rsid w:val="00967D04"/>
    <w:rsid w:val="00972F64"/>
    <w:rsid w:val="009734BC"/>
    <w:rsid w:val="00980829"/>
    <w:rsid w:val="00981386"/>
    <w:rsid w:val="00985258"/>
    <w:rsid w:val="00987841"/>
    <w:rsid w:val="00990004"/>
    <w:rsid w:val="00995230"/>
    <w:rsid w:val="00995DC2"/>
    <w:rsid w:val="00996D85"/>
    <w:rsid w:val="00997A6F"/>
    <w:rsid w:val="009A049B"/>
    <w:rsid w:val="009A3A91"/>
    <w:rsid w:val="009A3E26"/>
    <w:rsid w:val="009A5FBD"/>
    <w:rsid w:val="009B13A0"/>
    <w:rsid w:val="009B13D2"/>
    <w:rsid w:val="009B27D8"/>
    <w:rsid w:val="009B5F4B"/>
    <w:rsid w:val="009B62A7"/>
    <w:rsid w:val="009C1755"/>
    <w:rsid w:val="009C2079"/>
    <w:rsid w:val="009C4B4A"/>
    <w:rsid w:val="009C4C1E"/>
    <w:rsid w:val="009C521D"/>
    <w:rsid w:val="009C69A8"/>
    <w:rsid w:val="009C6A8B"/>
    <w:rsid w:val="009C7524"/>
    <w:rsid w:val="009D04B5"/>
    <w:rsid w:val="009D10E8"/>
    <w:rsid w:val="009D1C80"/>
    <w:rsid w:val="009D3654"/>
    <w:rsid w:val="009D4DFF"/>
    <w:rsid w:val="009D5F09"/>
    <w:rsid w:val="009D7F13"/>
    <w:rsid w:val="009E0209"/>
    <w:rsid w:val="009E0569"/>
    <w:rsid w:val="009E3D2C"/>
    <w:rsid w:val="009E4E39"/>
    <w:rsid w:val="009E5591"/>
    <w:rsid w:val="009E63A7"/>
    <w:rsid w:val="009E6EC3"/>
    <w:rsid w:val="009F1DE1"/>
    <w:rsid w:val="009F709E"/>
    <w:rsid w:val="009F7CE3"/>
    <w:rsid w:val="00A00DE7"/>
    <w:rsid w:val="00A029B5"/>
    <w:rsid w:val="00A030A0"/>
    <w:rsid w:val="00A03C0E"/>
    <w:rsid w:val="00A05480"/>
    <w:rsid w:val="00A0578D"/>
    <w:rsid w:val="00A05930"/>
    <w:rsid w:val="00A107BF"/>
    <w:rsid w:val="00A10C3F"/>
    <w:rsid w:val="00A10DF4"/>
    <w:rsid w:val="00A116C6"/>
    <w:rsid w:val="00A1385C"/>
    <w:rsid w:val="00A14623"/>
    <w:rsid w:val="00A16484"/>
    <w:rsid w:val="00A2027A"/>
    <w:rsid w:val="00A2108A"/>
    <w:rsid w:val="00A22994"/>
    <w:rsid w:val="00A230B6"/>
    <w:rsid w:val="00A23EAA"/>
    <w:rsid w:val="00A23F23"/>
    <w:rsid w:val="00A267AB"/>
    <w:rsid w:val="00A26849"/>
    <w:rsid w:val="00A2791B"/>
    <w:rsid w:val="00A30930"/>
    <w:rsid w:val="00A30B70"/>
    <w:rsid w:val="00A3223B"/>
    <w:rsid w:val="00A3373A"/>
    <w:rsid w:val="00A34DE1"/>
    <w:rsid w:val="00A42A24"/>
    <w:rsid w:val="00A4427E"/>
    <w:rsid w:val="00A47183"/>
    <w:rsid w:val="00A5020F"/>
    <w:rsid w:val="00A537D1"/>
    <w:rsid w:val="00A565BC"/>
    <w:rsid w:val="00A568FB"/>
    <w:rsid w:val="00A56A4F"/>
    <w:rsid w:val="00A56E27"/>
    <w:rsid w:val="00A60474"/>
    <w:rsid w:val="00A60C1B"/>
    <w:rsid w:val="00A620DB"/>
    <w:rsid w:val="00A64609"/>
    <w:rsid w:val="00A70734"/>
    <w:rsid w:val="00A7103D"/>
    <w:rsid w:val="00A7176C"/>
    <w:rsid w:val="00A71DC3"/>
    <w:rsid w:val="00A72986"/>
    <w:rsid w:val="00A72AD6"/>
    <w:rsid w:val="00A73FBA"/>
    <w:rsid w:val="00A758F0"/>
    <w:rsid w:val="00A75EC7"/>
    <w:rsid w:val="00A76BE4"/>
    <w:rsid w:val="00A8020F"/>
    <w:rsid w:val="00A80946"/>
    <w:rsid w:val="00A80BF8"/>
    <w:rsid w:val="00A81005"/>
    <w:rsid w:val="00A81DCE"/>
    <w:rsid w:val="00A820D0"/>
    <w:rsid w:val="00A869F4"/>
    <w:rsid w:val="00A87D79"/>
    <w:rsid w:val="00A90C87"/>
    <w:rsid w:val="00A9109F"/>
    <w:rsid w:val="00A94432"/>
    <w:rsid w:val="00A94D02"/>
    <w:rsid w:val="00A95E5B"/>
    <w:rsid w:val="00A95EAA"/>
    <w:rsid w:val="00A96C64"/>
    <w:rsid w:val="00A975E2"/>
    <w:rsid w:val="00AA1415"/>
    <w:rsid w:val="00AA1744"/>
    <w:rsid w:val="00AA3542"/>
    <w:rsid w:val="00AA4EE0"/>
    <w:rsid w:val="00AA54A2"/>
    <w:rsid w:val="00AA5C06"/>
    <w:rsid w:val="00AB0475"/>
    <w:rsid w:val="00AB07E5"/>
    <w:rsid w:val="00AB0E8C"/>
    <w:rsid w:val="00AB1322"/>
    <w:rsid w:val="00AB1DB0"/>
    <w:rsid w:val="00AB285C"/>
    <w:rsid w:val="00AB2DAF"/>
    <w:rsid w:val="00AB5682"/>
    <w:rsid w:val="00AB5B36"/>
    <w:rsid w:val="00AB7A2A"/>
    <w:rsid w:val="00AC4DDD"/>
    <w:rsid w:val="00AC5135"/>
    <w:rsid w:val="00AC51B2"/>
    <w:rsid w:val="00AC587F"/>
    <w:rsid w:val="00AC5B29"/>
    <w:rsid w:val="00AD52C7"/>
    <w:rsid w:val="00AD545D"/>
    <w:rsid w:val="00AD6327"/>
    <w:rsid w:val="00AD63E7"/>
    <w:rsid w:val="00AE0FBC"/>
    <w:rsid w:val="00AE1CD4"/>
    <w:rsid w:val="00AE4D9E"/>
    <w:rsid w:val="00AE5B25"/>
    <w:rsid w:val="00AE5B51"/>
    <w:rsid w:val="00AE5C13"/>
    <w:rsid w:val="00AE7B94"/>
    <w:rsid w:val="00AF72EF"/>
    <w:rsid w:val="00B01E40"/>
    <w:rsid w:val="00B02220"/>
    <w:rsid w:val="00B02B17"/>
    <w:rsid w:val="00B030F5"/>
    <w:rsid w:val="00B0369B"/>
    <w:rsid w:val="00B04FB3"/>
    <w:rsid w:val="00B051AD"/>
    <w:rsid w:val="00B07746"/>
    <w:rsid w:val="00B121D8"/>
    <w:rsid w:val="00B140D3"/>
    <w:rsid w:val="00B14EB2"/>
    <w:rsid w:val="00B1610E"/>
    <w:rsid w:val="00B167C6"/>
    <w:rsid w:val="00B210A7"/>
    <w:rsid w:val="00B249F1"/>
    <w:rsid w:val="00B26898"/>
    <w:rsid w:val="00B33582"/>
    <w:rsid w:val="00B34301"/>
    <w:rsid w:val="00B351B9"/>
    <w:rsid w:val="00B35EF8"/>
    <w:rsid w:val="00B41250"/>
    <w:rsid w:val="00B47660"/>
    <w:rsid w:val="00B47D09"/>
    <w:rsid w:val="00B51EB2"/>
    <w:rsid w:val="00B52A24"/>
    <w:rsid w:val="00B53CF0"/>
    <w:rsid w:val="00B549A3"/>
    <w:rsid w:val="00B55887"/>
    <w:rsid w:val="00B560A9"/>
    <w:rsid w:val="00B56339"/>
    <w:rsid w:val="00B56CE2"/>
    <w:rsid w:val="00B56DE7"/>
    <w:rsid w:val="00B62B93"/>
    <w:rsid w:val="00B62BA1"/>
    <w:rsid w:val="00B63EFB"/>
    <w:rsid w:val="00B641F5"/>
    <w:rsid w:val="00B6437F"/>
    <w:rsid w:val="00B727EA"/>
    <w:rsid w:val="00B73F6F"/>
    <w:rsid w:val="00B742D5"/>
    <w:rsid w:val="00B74E0E"/>
    <w:rsid w:val="00B74EF4"/>
    <w:rsid w:val="00B7508D"/>
    <w:rsid w:val="00B760D9"/>
    <w:rsid w:val="00B771AA"/>
    <w:rsid w:val="00B771D8"/>
    <w:rsid w:val="00B82153"/>
    <w:rsid w:val="00B823B5"/>
    <w:rsid w:val="00B83593"/>
    <w:rsid w:val="00B87142"/>
    <w:rsid w:val="00B87B1D"/>
    <w:rsid w:val="00B87DAC"/>
    <w:rsid w:val="00B92A36"/>
    <w:rsid w:val="00B9352A"/>
    <w:rsid w:val="00B969B2"/>
    <w:rsid w:val="00B969D2"/>
    <w:rsid w:val="00B9708E"/>
    <w:rsid w:val="00BA0E75"/>
    <w:rsid w:val="00BA162C"/>
    <w:rsid w:val="00BA41B9"/>
    <w:rsid w:val="00BA530E"/>
    <w:rsid w:val="00BA61C2"/>
    <w:rsid w:val="00BA6F7B"/>
    <w:rsid w:val="00BB1F14"/>
    <w:rsid w:val="00BB2B58"/>
    <w:rsid w:val="00BC10C8"/>
    <w:rsid w:val="00BC1285"/>
    <w:rsid w:val="00BC1309"/>
    <w:rsid w:val="00BC1700"/>
    <w:rsid w:val="00BC21C9"/>
    <w:rsid w:val="00BC2E56"/>
    <w:rsid w:val="00BC37B9"/>
    <w:rsid w:val="00BC3A47"/>
    <w:rsid w:val="00BC5147"/>
    <w:rsid w:val="00BC6D41"/>
    <w:rsid w:val="00BD2116"/>
    <w:rsid w:val="00BD4FC3"/>
    <w:rsid w:val="00BD60CD"/>
    <w:rsid w:val="00BE268C"/>
    <w:rsid w:val="00BE34CE"/>
    <w:rsid w:val="00BE75CC"/>
    <w:rsid w:val="00BE7E45"/>
    <w:rsid w:val="00BF3250"/>
    <w:rsid w:val="00BF6ADB"/>
    <w:rsid w:val="00C0227B"/>
    <w:rsid w:val="00C06B03"/>
    <w:rsid w:val="00C06D70"/>
    <w:rsid w:val="00C1615F"/>
    <w:rsid w:val="00C16FB5"/>
    <w:rsid w:val="00C17A55"/>
    <w:rsid w:val="00C200D5"/>
    <w:rsid w:val="00C20FF8"/>
    <w:rsid w:val="00C22219"/>
    <w:rsid w:val="00C2263E"/>
    <w:rsid w:val="00C24CFB"/>
    <w:rsid w:val="00C24DEE"/>
    <w:rsid w:val="00C24F96"/>
    <w:rsid w:val="00C269DC"/>
    <w:rsid w:val="00C26B6B"/>
    <w:rsid w:val="00C35979"/>
    <w:rsid w:val="00C36664"/>
    <w:rsid w:val="00C368D8"/>
    <w:rsid w:val="00C40748"/>
    <w:rsid w:val="00C42613"/>
    <w:rsid w:val="00C462CF"/>
    <w:rsid w:val="00C47D4D"/>
    <w:rsid w:val="00C47DDB"/>
    <w:rsid w:val="00C5277B"/>
    <w:rsid w:val="00C52D54"/>
    <w:rsid w:val="00C530C9"/>
    <w:rsid w:val="00C55B0A"/>
    <w:rsid w:val="00C56A8D"/>
    <w:rsid w:val="00C56EA2"/>
    <w:rsid w:val="00C65935"/>
    <w:rsid w:val="00C70022"/>
    <w:rsid w:val="00C74622"/>
    <w:rsid w:val="00C74AAB"/>
    <w:rsid w:val="00C74BC6"/>
    <w:rsid w:val="00C76BF5"/>
    <w:rsid w:val="00C80101"/>
    <w:rsid w:val="00C82590"/>
    <w:rsid w:val="00C82E7C"/>
    <w:rsid w:val="00C849FF"/>
    <w:rsid w:val="00C86093"/>
    <w:rsid w:val="00C864FB"/>
    <w:rsid w:val="00C865B5"/>
    <w:rsid w:val="00C86DE8"/>
    <w:rsid w:val="00C9071E"/>
    <w:rsid w:val="00C92385"/>
    <w:rsid w:val="00C93222"/>
    <w:rsid w:val="00CA075C"/>
    <w:rsid w:val="00CA0EE3"/>
    <w:rsid w:val="00CA663E"/>
    <w:rsid w:val="00CA6DC4"/>
    <w:rsid w:val="00CA6E95"/>
    <w:rsid w:val="00CB0D53"/>
    <w:rsid w:val="00CB1A1A"/>
    <w:rsid w:val="00CB20A7"/>
    <w:rsid w:val="00CB27A4"/>
    <w:rsid w:val="00CB2A6B"/>
    <w:rsid w:val="00CB304C"/>
    <w:rsid w:val="00CB36FC"/>
    <w:rsid w:val="00CB43FE"/>
    <w:rsid w:val="00CB6F04"/>
    <w:rsid w:val="00CB709C"/>
    <w:rsid w:val="00CB775A"/>
    <w:rsid w:val="00CB77F4"/>
    <w:rsid w:val="00CC0BEE"/>
    <w:rsid w:val="00CC3ADB"/>
    <w:rsid w:val="00CC6F3B"/>
    <w:rsid w:val="00CC7679"/>
    <w:rsid w:val="00CD174D"/>
    <w:rsid w:val="00CD3591"/>
    <w:rsid w:val="00CD4601"/>
    <w:rsid w:val="00CD4BB9"/>
    <w:rsid w:val="00CD64B6"/>
    <w:rsid w:val="00CD7074"/>
    <w:rsid w:val="00CD70EA"/>
    <w:rsid w:val="00CD796A"/>
    <w:rsid w:val="00CE0070"/>
    <w:rsid w:val="00CE0A9D"/>
    <w:rsid w:val="00CE0DEF"/>
    <w:rsid w:val="00CE2B49"/>
    <w:rsid w:val="00CE51CC"/>
    <w:rsid w:val="00CE5467"/>
    <w:rsid w:val="00CE56F2"/>
    <w:rsid w:val="00CE5C45"/>
    <w:rsid w:val="00CF1C06"/>
    <w:rsid w:val="00CF26BA"/>
    <w:rsid w:val="00CF42AD"/>
    <w:rsid w:val="00CF6B71"/>
    <w:rsid w:val="00CF7AA3"/>
    <w:rsid w:val="00CF7ECC"/>
    <w:rsid w:val="00D00788"/>
    <w:rsid w:val="00D00C6F"/>
    <w:rsid w:val="00D022A9"/>
    <w:rsid w:val="00D047D7"/>
    <w:rsid w:val="00D1082A"/>
    <w:rsid w:val="00D147FD"/>
    <w:rsid w:val="00D14985"/>
    <w:rsid w:val="00D15829"/>
    <w:rsid w:val="00D16A41"/>
    <w:rsid w:val="00D27542"/>
    <w:rsid w:val="00D32DEA"/>
    <w:rsid w:val="00D33976"/>
    <w:rsid w:val="00D3738A"/>
    <w:rsid w:val="00D41AF3"/>
    <w:rsid w:val="00D42F90"/>
    <w:rsid w:val="00D44037"/>
    <w:rsid w:val="00D46B73"/>
    <w:rsid w:val="00D5190E"/>
    <w:rsid w:val="00D53F0F"/>
    <w:rsid w:val="00D562B1"/>
    <w:rsid w:val="00D57559"/>
    <w:rsid w:val="00D64262"/>
    <w:rsid w:val="00D65534"/>
    <w:rsid w:val="00D65718"/>
    <w:rsid w:val="00D667AF"/>
    <w:rsid w:val="00D67B62"/>
    <w:rsid w:val="00D728FE"/>
    <w:rsid w:val="00D755CF"/>
    <w:rsid w:val="00D766E6"/>
    <w:rsid w:val="00D76DC2"/>
    <w:rsid w:val="00D777F2"/>
    <w:rsid w:val="00D809C1"/>
    <w:rsid w:val="00D81E34"/>
    <w:rsid w:val="00D83C12"/>
    <w:rsid w:val="00D83DCF"/>
    <w:rsid w:val="00D844C0"/>
    <w:rsid w:val="00D85CA8"/>
    <w:rsid w:val="00D91B74"/>
    <w:rsid w:val="00D91DC1"/>
    <w:rsid w:val="00D93A56"/>
    <w:rsid w:val="00D93FD0"/>
    <w:rsid w:val="00D96370"/>
    <w:rsid w:val="00D96508"/>
    <w:rsid w:val="00DA0777"/>
    <w:rsid w:val="00DA1754"/>
    <w:rsid w:val="00DA39EF"/>
    <w:rsid w:val="00DA3D19"/>
    <w:rsid w:val="00DA4CD8"/>
    <w:rsid w:val="00DA4D2A"/>
    <w:rsid w:val="00DA55A4"/>
    <w:rsid w:val="00DA6C25"/>
    <w:rsid w:val="00DB3B6B"/>
    <w:rsid w:val="00DB65AB"/>
    <w:rsid w:val="00DC0DD9"/>
    <w:rsid w:val="00DC57B0"/>
    <w:rsid w:val="00DC5924"/>
    <w:rsid w:val="00DC6997"/>
    <w:rsid w:val="00DC7372"/>
    <w:rsid w:val="00DC7600"/>
    <w:rsid w:val="00DD1298"/>
    <w:rsid w:val="00DD1498"/>
    <w:rsid w:val="00DD15FB"/>
    <w:rsid w:val="00DD2B34"/>
    <w:rsid w:val="00DD3327"/>
    <w:rsid w:val="00DD39DE"/>
    <w:rsid w:val="00DD41B1"/>
    <w:rsid w:val="00DD70DD"/>
    <w:rsid w:val="00DD7808"/>
    <w:rsid w:val="00DE026D"/>
    <w:rsid w:val="00DE0EF8"/>
    <w:rsid w:val="00DE1B76"/>
    <w:rsid w:val="00DE2CAD"/>
    <w:rsid w:val="00DE3A10"/>
    <w:rsid w:val="00DE7163"/>
    <w:rsid w:val="00DE7327"/>
    <w:rsid w:val="00DE7838"/>
    <w:rsid w:val="00DE7ED2"/>
    <w:rsid w:val="00DF00B2"/>
    <w:rsid w:val="00DF4B3A"/>
    <w:rsid w:val="00DF4F75"/>
    <w:rsid w:val="00DF64E2"/>
    <w:rsid w:val="00DF6FC8"/>
    <w:rsid w:val="00DF7868"/>
    <w:rsid w:val="00E03D11"/>
    <w:rsid w:val="00E06BA0"/>
    <w:rsid w:val="00E0703D"/>
    <w:rsid w:val="00E11FD7"/>
    <w:rsid w:val="00E12344"/>
    <w:rsid w:val="00E12CF3"/>
    <w:rsid w:val="00E15CF0"/>
    <w:rsid w:val="00E168E3"/>
    <w:rsid w:val="00E17500"/>
    <w:rsid w:val="00E208BF"/>
    <w:rsid w:val="00E22061"/>
    <w:rsid w:val="00E2246A"/>
    <w:rsid w:val="00E265E9"/>
    <w:rsid w:val="00E268F7"/>
    <w:rsid w:val="00E30730"/>
    <w:rsid w:val="00E318C1"/>
    <w:rsid w:val="00E31F1B"/>
    <w:rsid w:val="00E32C38"/>
    <w:rsid w:val="00E36016"/>
    <w:rsid w:val="00E40A28"/>
    <w:rsid w:val="00E41F47"/>
    <w:rsid w:val="00E4492C"/>
    <w:rsid w:val="00E45A3B"/>
    <w:rsid w:val="00E46BD6"/>
    <w:rsid w:val="00E46BF6"/>
    <w:rsid w:val="00E5054A"/>
    <w:rsid w:val="00E50839"/>
    <w:rsid w:val="00E52EF9"/>
    <w:rsid w:val="00E55A89"/>
    <w:rsid w:val="00E56015"/>
    <w:rsid w:val="00E57DE9"/>
    <w:rsid w:val="00E64448"/>
    <w:rsid w:val="00E64E30"/>
    <w:rsid w:val="00E6711B"/>
    <w:rsid w:val="00E676D3"/>
    <w:rsid w:val="00E75775"/>
    <w:rsid w:val="00E7630F"/>
    <w:rsid w:val="00E7652D"/>
    <w:rsid w:val="00E77970"/>
    <w:rsid w:val="00E805FA"/>
    <w:rsid w:val="00E81510"/>
    <w:rsid w:val="00E81D61"/>
    <w:rsid w:val="00E833FC"/>
    <w:rsid w:val="00E846F3"/>
    <w:rsid w:val="00E87D27"/>
    <w:rsid w:val="00E902FB"/>
    <w:rsid w:val="00E90B20"/>
    <w:rsid w:val="00E94E41"/>
    <w:rsid w:val="00E95559"/>
    <w:rsid w:val="00E95856"/>
    <w:rsid w:val="00EA159E"/>
    <w:rsid w:val="00EA2656"/>
    <w:rsid w:val="00EA2C2E"/>
    <w:rsid w:val="00EA3497"/>
    <w:rsid w:val="00EA3B89"/>
    <w:rsid w:val="00EA3D03"/>
    <w:rsid w:val="00EA5B51"/>
    <w:rsid w:val="00EA7729"/>
    <w:rsid w:val="00EB00D3"/>
    <w:rsid w:val="00EB0B71"/>
    <w:rsid w:val="00EB1FB6"/>
    <w:rsid w:val="00EB2C69"/>
    <w:rsid w:val="00EB353A"/>
    <w:rsid w:val="00EB3D13"/>
    <w:rsid w:val="00EB606F"/>
    <w:rsid w:val="00EB65AC"/>
    <w:rsid w:val="00EB69EE"/>
    <w:rsid w:val="00EB7030"/>
    <w:rsid w:val="00EB7522"/>
    <w:rsid w:val="00EC1E45"/>
    <w:rsid w:val="00EC27DA"/>
    <w:rsid w:val="00EC557B"/>
    <w:rsid w:val="00EC6C7F"/>
    <w:rsid w:val="00EC76E9"/>
    <w:rsid w:val="00EC7E76"/>
    <w:rsid w:val="00ED0971"/>
    <w:rsid w:val="00ED0ACC"/>
    <w:rsid w:val="00ED245A"/>
    <w:rsid w:val="00ED2F84"/>
    <w:rsid w:val="00ED341C"/>
    <w:rsid w:val="00ED44AA"/>
    <w:rsid w:val="00ED4FDB"/>
    <w:rsid w:val="00ED5417"/>
    <w:rsid w:val="00EE2E2B"/>
    <w:rsid w:val="00EE41DE"/>
    <w:rsid w:val="00EE4D7F"/>
    <w:rsid w:val="00EE53FD"/>
    <w:rsid w:val="00EE6631"/>
    <w:rsid w:val="00EF11E6"/>
    <w:rsid w:val="00EF3B29"/>
    <w:rsid w:val="00EF57C6"/>
    <w:rsid w:val="00EF5BAB"/>
    <w:rsid w:val="00F027C3"/>
    <w:rsid w:val="00F030B3"/>
    <w:rsid w:val="00F04027"/>
    <w:rsid w:val="00F04C7A"/>
    <w:rsid w:val="00F053B1"/>
    <w:rsid w:val="00F106A1"/>
    <w:rsid w:val="00F1084C"/>
    <w:rsid w:val="00F11BEA"/>
    <w:rsid w:val="00F128BC"/>
    <w:rsid w:val="00F12B7F"/>
    <w:rsid w:val="00F154AC"/>
    <w:rsid w:val="00F15C02"/>
    <w:rsid w:val="00F201ED"/>
    <w:rsid w:val="00F21286"/>
    <w:rsid w:val="00F229D7"/>
    <w:rsid w:val="00F24687"/>
    <w:rsid w:val="00F26A91"/>
    <w:rsid w:val="00F30964"/>
    <w:rsid w:val="00F3206A"/>
    <w:rsid w:val="00F34096"/>
    <w:rsid w:val="00F42284"/>
    <w:rsid w:val="00F42A9D"/>
    <w:rsid w:val="00F50C88"/>
    <w:rsid w:val="00F53F59"/>
    <w:rsid w:val="00F55DF8"/>
    <w:rsid w:val="00F60071"/>
    <w:rsid w:val="00F605B8"/>
    <w:rsid w:val="00F6422D"/>
    <w:rsid w:val="00F6448A"/>
    <w:rsid w:val="00F6698C"/>
    <w:rsid w:val="00F72FBF"/>
    <w:rsid w:val="00F7366D"/>
    <w:rsid w:val="00F747D2"/>
    <w:rsid w:val="00F74968"/>
    <w:rsid w:val="00F74B49"/>
    <w:rsid w:val="00F75AB7"/>
    <w:rsid w:val="00F75D84"/>
    <w:rsid w:val="00F7611D"/>
    <w:rsid w:val="00F80115"/>
    <w:rsid w:val="00F80533"/>
    <w:rsid w:val="00F82867"/>
    <w:rsid w:val="00F90D6F"/>
    <w:rsid w:val="00F92618"/>
    <w:rsid w:val="00F93DD5"/>
    <w:rsid w:val="00F954FE"/>
    <w:rsid w:val="00F97DB1"/>
    <w:rsid w:val="00FA0EF0"/>
    <w:rsid w:val="00FA29DE"/>
    <w:rsid w:val="00FA2E03"/>
    <w:rsid w:val="00FA3EE0"/>
    <w:rsid w:val="00FA425C"/>
    <w:rsid w:val="00FA7F69"/>
    <w:rsid w:val="00FB08A1"/>
    <w:rsid w:val="00FB53F3"/>
    <w:rsid w:val="00FB5829"/>
    <w:rsid w:val="00FB7A5A"/>
    <w:rsid w:val="00FC0F1D"/>
    <w:rsid w:val="00FC10F7"/>
    <w:rsid w:val="00FC1439"/>
    <w:rsid w:val="00FC4B23"/>
    <w:rsid w:val="00FC4BB6"/>
    <w:rsid w:val="00FD1861"/>
    <w:rsid w:val="00FD54DD"/>
    <w:rsid w:val="00FD619C"/>
    <w:rsid w:val="00FD6B5A"/>
    <w:rsid w:val="00FE0B92"/>
    <w:rsid w:val="00FE2661"/>
    <w:rsid w:val="00FE3628"/>
    <w:rsid w:val="00FE4C0A"/>
    <w:rsid w:val="00FE6572"/>
    <w:rsid w:val="00FF418B"/>
    <w:rsid w:val="00FF47CE"/>
    <w:rsid w:val="00FF7E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D9E4CCC-97B7-4526-A3FA-EC68EB47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07"/>
    <w:pPr>
      <w:overflowPunct w:val="0"/>
      <w:autoSpaceDE w:val="0"/>
      <w:autoSpaceDN w:val="0"/>
      <w:adjustRightInd w:val="0"/>
      <w:textAlignment w:val="baseline"/>
    </w:pPr>
    <w:rPr>
      <w:lang w:eastAsia="en-US"/>
    </w:rPr>
  </w:style>
  <w:style w:type="paragraph" w:styleId="Heading1">
    <w:name w:val="heading 1"/>
    <w:basedOn w:val="Normal"/>
    <w:next w:val="Normal"/>
    <w:qFormat/>
    <w:rsid w:val="00106407"/>
    <w:pPr>
      <w:keepNext/>
      <w:spacing w:after="240"/>
      <w:jc w:val="both"/>
      <w:outlineLvl w:val="0"/>
    </w:pPr>
    <w:rPr>
      <w:b/>
      <w:bCs/>
      <w:smallCaps/>
      <w:sz w:val="28"/>
      <w:szCs w:val="28"/>
    </w:rPr>
  </w:style>
  <w:style w:type="paragraph" w:styleId="Heading2">
    <w:name w:val="heading 2"/>
    <w:basedOn w:val="Normal"/>
    <w:next w:val="Normal"/>
    <w:qFormat/>
    <w:rsid w:val="00106407"/>
    <w:pPr>
      <w:keepNext/>
      <w:spacing w:after="240"/>
      <w:outlineLvl w:val="1"/>
    </w:pPr>
    <w:rPr>
      <w:b/>
      <w:bCs/>
      <w:sz w:val="24"/>
      <w:szCs w:val="24"/>
      <w:u w:val="single"/>
    </w:rPr>
  </w:style>
  <w:style w:type="paragraph" w:styleId="Heading3">
    <w:name w:val="heading 3"/>
    <w:basedOn w:val="Normal"/>
    <w:next w:val="Normal"/>
    <w:qFormat/>
    <w:rsid w:val="00106407"/>
    <w:pPr>
      <w:keepNext/>
      <w:spacing w:before="240" w:after="60"/>
      <w:outlineLvl w:val="2"/>
    </w:pPr>
    <w:rPr>
      <w:rFonts w:ascii="Arial" w:hAnsi="Arial" w:cs="Arial"/>
      <w:sz w:val="24"/>
      <w:szCs w:val="24"/>
    </w:rPr>
  </w:style>
  <w:style w:type="paragraph" w:styleId="Heading4">
    <w:name w:val="heading 4"/>
    <w:basedOn w:val="Heading3"/>
    <w:next w:val="Normal"/>
    <w:qFormat/>
    <w:rsid w:val="00106407"/>
    <w:pPr>
      <w:spacing w:after="0"/>
      <w:outlineLvl w:val="3"/>
    </w:pPr>
    <w:rPr>
      <w:rFonts w:ascii="Times New Roman" w:hAnsi="Times New Roman" w:cs="Times New Roman"/>
      <w:i/>
      <w:iCs/>
      <w:caps/>
      <w:kern w:val="28"/>
    </w:rPr>
  </w:style>
  <w:style w:type="paragraph" w:styleId="Heading5">
    <w:name w:val="heading 5"/>
    <w:basedOn w:val="Normal"/>
    <w:next w:val="Normal"/>
    <w:qFormat/>
    <w:rsid w:val="00106407"/>
    <w:pPr>
      <w:keepNext/>
      <w:jc w:val="center"/>
      <w:outlineLvl w:val="4"/>
    </w:pPr>
    <w:rPr>
      <w:b/>
      <w:bCs/>
      <w:smallCaps/>
      <w:sz w:val="32"/>
      <w:szCs w:val="32"/>
    </w:rPr>
  </w:style>
  <w:style w:type="paragraph" w:styleId="Heading6">
    <w:name w:val="heading 6"/>
    <w:basedOn w:val="Normal"/>
    <w:next w:val="Normal"/>
    <w:qFormat/>
    <w:rsid w:val="00106407"/>
    <w:pPr>
      <w:keepNext/>
      <w:jc w:val="both"/>
      <w:outlineLvl w:val="5"/>
    </w:pPr>
    <w:rPr>
      <w:sz w:val="24"/>
      <w:szCs w:val="24"/>
    </w:rPr>
  </w:style>
  <w:style w:type="paragraph" w:styleId="Heading7">
    <w:name w:val="heading 7"/>
    <w:basedOn w:val="Normal"/>
    <w:next w:val="Normal"/>
    <w:qFormat/>
    <w:rsid w:val="00106407"/>
    <w:pPr>
      <w:keepNext/>
      <w:spacing w:after="240"/>
      <w:outlineLvl w:val="6"/>
    </w:pPr>
    <w:rPr>
      <w:sz w:val="24"/>
      <w:szCs w:val="24"/>
      <w:u w:val="single"/>
    </w:rPr>
  </w:style>
  <w:style w:type="paragraph" w:styleId="Heading8">
    <w:name w:val="heading 8"/>
    <w:basedOn w:val="Normal"/>
    <w:next w:val="Normal"/>
    <w:qFormat/>
    <w:rsid w:val="00106407"/>
    <w:pPr>
      <w:keepNext/>
      <w:spacing w:after="240"/>
      <w:outlineLvl w:val="7"/>
    </w:pPr>
    <w:rPr>
      <w:b/>
      <w:bCs/>
      <w:sz w:val="24"/>
      <w:szCs w:val="24"/>
    </w:rPr>
  </w:style>
  <w:style w:type="paragraph" w:styleId="Heading9">
    <w:name w:val="heading 9"/>
    <w:basedOn w:val="Normal"/>
    <w:next w:val="Normal"/>
    <w:qFormat/>
    <w:rsid w:val="00106407"/>
    <w:pPr>
      <w:keepNext/>
      <w:outlineLvl w:val="8"/>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407"/>
    <w:pPr>
      <w:tabs>
        <w:tab w:val="center" w:pos="4153"/>
        <w:tab w:val="right" w:pos="8306"/>
      </w:tabs>
      <w:spacing w:before="240"/>
    </w:pPr>
    <w:rPr>
      <w:sz w:val="24"/>
      <w:szCs w:val="24"/>
    </w:rPr>
  </w:style>
  <w:style w:type="paragraph" w:styleId="TOC1">
    <w:name w:val="toc 1"/>
    <w:basedOn w:val="Normal"/>
    <w:next w:val="Normal"/>
    <w:autoRedefine/>
    <w:uiPriority w:val="39"/>
    <w:rsid w:val="00106407"/>
    <w:pPr>
      <w:spacing w:before="120" w:after="120"/>
    </w:pPr>
    <w:rPr>
      <w:b/>
      <w:bCs/>
      <w:caps/>
    </w:rPr>
  </w:style>
  <w:style w:type="paragraph" w:styleId="TOC2">
    <w:name w:val="toc 2"/>
    <w:basedOn w:val="Normal"/>
    <w:next w:val="Normal"/>
    <w:autoRedefine/>
    <w:uiPriority w:val="39"/>
    <w:rsid w:val="00106407"/>
    <w:pPr>
      <w:ind w:left="200"/>
    </w:pPr>
    <w:rPr>
      <w:smallCaps/>
    </w:rPr>
  </w:style>
  <w:style w:type="paragraph" w:styleId="TOC3">
    <w:name w:val="toc 3"/>
    <w:basedOn w:val="Normal"/>
    <w:next w:val="Normal"/>
    <w:autoRedefine/>
    <w:semiHidden/>
    <w:rsid w:val="00106407"/>
    <w:pPr>
      <w:ind w:left="400"/>
    </w:pPr>
    <w:rPr>
      <w:i/>
      <w:iCs/>
    </w:rPr>
  </w:style>
  <w:style w:type="paragraph" w:styleId="TOC4">
    <w:name w:val="toc 4"/>
    <w:basedOn w:val="Normal"/>
    <w:next w:val="Normal"/>
    <w:autoRedefine/>
    <w:semiHidden/>
    <w:rsid w:val="00106407"/>
    <w:pPr>
      <w:ind w:left="600"/>
    </w:pPr>
    <w:rPr>
      <w:sz w:val="18"/>
      <w:szCs w:val="18"/>
    </w:rPr>
  </w:style>
  <w:style w:type="paragraph" w:styleId="TOC5">
    <w:name w:val="toc 5"/>
    <w:basedOn w:val="Normal"/>
    <w:next w:val="Normal"/>
    <w:autoRedefine/>
    <w:semiHidden/>
    <w:rsid w:val="00106407"/>
    <w:pPr>
      <w:ind w:left="800"/>
    </w:pPr>
    <w:rPr>
      <w:sz w:val="18"/>
      <w:szCs w:val="18"/>
    </w:rPr>
  </w:style>
  <w:style w:type="paragraph" w:styleId="TOC6">
    <w:name w:val="toc 6"/>
    <w:basedOn w:val="Normal"/>
    <w:next w:val="Normal"/>
    <w:autoRedefine/>
    <w:semiHidden/>
    <w:rsid w:val="00106407"/>
    <w:pPr>
      <w:ind w:left="1000"/>
    </w:pPr>
    <w:rPr>
      <w:sz w:val="18"/>
      <w:szCs w:val="18"/>
    </w:rPr>
  </w:style>
  <w:style w:type="paragraph" w:styleId="TOC7">
    <w:name w:val="toc 7"/>
    <w:basedOn w:val="Normal"/>
    <w:next w:val="Normal"/>
    <w:autoRedefine/>
    <w:semiHidden/>
    <w:rsid w:val="00106407"/>
    <w:pPr>
      <w:ind w:left="1200"/>
    </w:pPr>
    <w:rPr>
      <w:sz w:val="18"/>
      <w:szCs w:val="18"/>
    </w:rPr>
  </w:style>
  <w:style w:type="paragraph" w:styleId="TOC8">
    <w:name w:val="toc 8"/>
    <w:basedOn w:val="Normal"/>
    <w:next w:val="Normal"/>
    <w:autoRedefine/>
    <w:semiHidden/>
    <w:rsid w:val="00106407"/>
    <w:pPr>
      <w:ind w:left="1400"/>
    </w:pPr>
    <w:rPr>
      <w:sz w:val="18"/>
      <w:szCs w:val="18"/>
    </w:rPr>
  </w:style>
  <w:style w:type="paragraph" w:styleId="TOC9">
    <w:name w:val="toc 9"/>
    <w:basedOn w:val="Normal"/>
    <w:next w:val="Normal"/>
    <w:autoRedefine/>
    <w:semiHidden/>
    <w:rsid w:val="00106407"/>
    <w:pPr>
      <w:ind w:left="1600"/>
    </w:pPr>
    <w:rPr>
      <w:sz w:val="18"/>
      <w:szCs w:val="18"/>
    </w:rPr>
  </w:style>
  <w:style w:type="paragraph" w:styleId="FootnoteText">
    <w:name w:val="footnote text"/>
    <w:basedOn w:val="Normal"/>
    <w:semiHidden/>
    <w:rsid w:val="00106407"/>
    <w:pPr>
      <w:spacing w:before="240"/>
    </w:pPr>
  </w:style>
  <w:style w:type="character" w:styleId="Hyperlink">
    <w:name w:val="Hyperlink"/>
    <w:rsid w:val="00106407"/>
    <w:rPr>
      <w:color w:val="0000FF"/>
      <w:u w:val="single"/>
    </w:rPr>
  </w:style>
  <w:style w:type="character" w:styleId="FootnoteReference">
    <w:name w:val="footnote reference"/>
    <w:semiHidden/>
    <w:rsid w:val="00106407"/>
    <w:rPr>
      <w:vertAlign w:val="superscript"/>
    </w:rPr>
  </w:style>
  <w:style w:type="paragraph" w:styleId="BodyText">
    <w:name w:val="Body Text"/>
    <w:basedOn w:val="Normal"/>
    <w:rsid w:val="00106407"/>
    <w:rPr>
      <w:sz w:val="24"/>
      <w:szCs w:val="24"/>
    </w:rPr>
  </w:style>
  <w:style w:type="paragraph" w:styleId="Footer">
    <w:name w:val="footer"/>
    <w:basedOn w:val="Normal"/>
    <w:rsid w:val="00106407"/>
    <w:pPr>
      <w:tabs>
        <w:tab w:val="center" w:pos="4153"/>
        <w:tab w:val="right" w:pos="8306"/>
      </w:tabs>
    </w:pPr>
  </w:style>
  <w:style w:type="character" w:styleId="CommentReference">
    <w:name w:val="annotation reference"/>
    <w:semiHidden/>
    <w:rsid w:val="00106407"/>
    <w:rPr>
      <w:sz w:val="16"/>
      <w:szCs w:val="16"/>
    </w:rPr>
  </w:style>
  <w:style w:type="paragraph" w:styleId="CommentText">
    <w:name w:val="annotation text"/>
    <w:basedOn w:val="Normal"/>
    <w:semiHidden/>
    <w:rsid w:val="00106407"/>
  </w:style>
  <w:style w:type="paragraph" w:styleId="BodyText2">
    <w:name w:val="Body Text 2"/>
    <w:basedOn w:val="Normal"/>
    <w:rsid w:val="00106407"/>
    <w:pPr>
      <w:spacing w:after="240"/>
      <w:ind w:left="720"/>
      <w:jc w:val="both"/>
    </w:pPr>
    <w:rPr>
      <w:sz w:val="24"/>
      <w:szCs w:val="24"/>
    </w:rPr>
  </w:style>
  <w:style w:type="paragraph" w:styleId="BodyText3">
    <w:name w:val="Body Text 3"/>
    <w:basedOn w:val="Normal"/>
    <w:rsid w:val="00106407"/>
    <w:pPr>
      <w:spacing w:after="240"/>
      <w:jc w:val="both"/>
    </w:pPr>
    <w:rPr>
      <w:i/>
      <w:iCs/>
      <w:sz w:val="24"/>
      <w:szCs w:val="24"/>
    </w:rPr>
  </w:style>
  <w:style w:type="paragraph" w:styleId="EndnoteText">
    <w:name w:val="endnote text"/>
    <w:basedOn w:val="Normal"/>
    <w:link w:val="EndnoteTextChar"/>
    <w:rsid w:val="00106407"/>
    <w:pPr>
      <w:spacing w:after="360" w:line="360" w:lineRule="auto"/>
    </w:pPr>
  </w:style>
  <w:style w:type="character" w:styleId="EndnoteReference">
    <w:name w:val="endnote reference"/>
    <w:rsid w:val="00106407"/>
    <w:rPr>
      <w:vertAlign w:val="superscript"/>
    </w:rPr>
  </w:style>
  <w:style w:type="paragraph" w:styleId="BodyTextIndent2">
    <w:name w:val="Body Text Indent 2"/>
    <w:basedOn w:val="Normal"/>
    <w:rsid w:val="00106407"/>
    <w:pPr>
      <w:ind w:left="1440"/>
      <w:jc w:val="both"/>
    </w:pPr>
    <w:rPr>
      <w:color w:val="000000"/>
      <w:sz w:val="24"/>
      <w:szCs w:val="24"/>
      <w:lang w:val="en-US"/>
    </w:rPr>
  </w:style>
  <w:style w:type="paragraph" w:customStyle="1" w:styleId="FirstParaafterHeading">
    <w:name w:val="First Para after Heading"/>
    <w:basedOn w:val="Normal"/>
    <w:next w:val="Normal"/>
    <w:rsid w:val="00106407"/>
    <w:pPr>
      <w:spacing w:before="240" w:line="480" w:lineRule="auto"/>
      <w:jc w:val="both"/>
    </w:pPr>
  </w:style>
  <w:style w:type="paragraph" w:styleId="Subtitle">
    <w:name w:val="Subtitle"/>
    <w:basedOn w:val="Normal"/>
    <w:qFormat/>
    <w:rsid w:val="00106407"/>
    <w:pPr>
      <w:spacing w:before="80" w:after="100" w:line="260" w:lineRule="atLeast"/>
    </w:pPr>
    <w:rPr>
      <w:b/>
      <w:bCs/>
      <w:sz w:val="24"/>
      <w:szCs w:val="24"/>
    </w:rPr>
  </w:style>
  <w:style w:type="paragraph" w:styleId="NormalWeb">
    <w:name w:val="Normal (Web)"/>
    <w:basedOn w:val="Normal"/>
    <w:uiPriority w:val="99"/>
    <w:rsid w:val="00106407"/>
    <w:pPr>
      <w:spacing w:before="100" w:after="100"/>
    </w:pPr>
    <w:rPr>
      <w:rFonts w:ascii="Arial Unicode MS" w:eastAsia="Arial Unicode MS" w:cs="Arial Unicode MS"/>
      <w:sz w:val="24"/>
      <w:szCs w:val="24"/>
    </w:rPr>
  </w:style>
  <w:style w:type="character" w:styleId="PageNumber">
    <w:name w:val="page number"/>
    <w:basedOn w:val="DefaultParagraphFont"/>
    <w:rsid w:val="00771449"/>
  </w:style>
  <w:style w:type="table" w:styleId="TableGrid">
    <w:name w:val="Table Grid"/>
    <w:basedOn w:val="TableNormal"/>
    <w:uiPriority w:val="59"/>
    <w:rsid w:val="00B73F6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C1C43"/>
    <w:pPr>
      <w:spacing w:after="120"/>
      <w:ind w:left="283"/>
    </w:pPr>
  </w:style>
  <w:style w:type="paragraph" w:styleId="BodyTextIndent3">
    <w:name w:val="Body Text Indent 3"/>
    <w:basedOn w:val="Normal"/>
    <w:rsid w:val="001C1C43"/>
    <w:pPr>
      <w:spacing w:after="120"/>
      <w:ind w:left="283"/>
    </w:pPr>
    <w:rPr>
      <w:sz w:val="16"/>
      <w:szCs w:val="16"/>
    </w:rPr>
  </w:style>
  <w:style w:type="paragraph" w:customStyle="1" w:styleId="Default">
    <w:name w:val="Default"/>
    <w:rsid w:val="001C1C43"/>
    <w:pPr>
      <w:autoSpaceDE w:val="0"/>
      <w:autoSpaceDN w:val="0"/>
      <w:adjustRightInd w:val="0"/>
    </w:pPr>
    <w:rPr>
      <w:rFonts w:eastAsia="SimSun"/>
      <w:color w:val="000000"/>
      <w:sz w:val="24"/>
      <w:szCs w:val="24"/>
      <w:lang w:eastAsia="zh-CN"/>
    </w:rPr>
  </w:style>
  <w:style w:type="paragraph" w:styleId="ListBullet">
    <w:name w:val="List Bullet"/>
    <w:basedOn w:val="Normal"/>
    <w:rsid w:val="001C1C43"/>
    <w:pPr>
      <w:numPr>
        <w:numId w:val="1"/>
      </w:numPr>
    </w:pPr>
  </w:style>
  <w:style w:type="paragraph" w:styleId="TableofFigures">
    <w:name w:val="table of figures"/>
    <w:basedOn w:val="Normal"/>
    <w:next w:val="Normal"/>
    <w:semiHidden/>
    <w:rsid w:val="001C1C43"/>
  </w:style>
  <w:style w:type="character" w:customStyle="1" w:styleId="EndnoteTextChar">
    <w:name w:val="Endnote Text Char"/>
    <w:link w:val="EndnoteText"/>
    <w:rsid w:val="00881302"/>
    <w:rPr>
      <w:lang w:eastAsia="en-US"/>
    </w:rPr>
  </w:style>
  <w:style w:type="paragraph" w:styleId="ListParagraph">
    <w:name w:val="List Paragraph"/>
    <w:basedOn w:val="Normal"/>
    <w:uiPriority w:val="34"/>
    <w:qFormat/>
    <w:rsid w:val="003D6DFD"/>
    <w:pPr>
      <w:ind w:left="720"/>
    </w:pPr>
  </w:style>
  <w:style w:type="character" w:styleId="Strong">
    <w:name w:val="Strong"/>
    <w:uiPriority w:val="22"/>
    <w:qFormat/>
    <w:rsid w:val="00DB65AB"/>
    <w:rPr>
      <w:b/>
      <w:bCs/>
    </w:rPr>
  </w:style>
  <w:style w:type="character" w:styleId="HTMLCite">
    <w:name w:val="HTML Cite"/>
    <w:basedOn w:val="DefaultParagraphFont"/>
    <w:uiPriority w:val="99"/>
    <w:unhideWhenUsed/>
    <w:rsid w:val="00967D04"/>
    <w:rPr>
      <w:i/>
      <w:iCs/>
    </w:rPr>
  </w:style>
  <w:style w:type="character" w:styleId="Emphasis">
    <w:name w:val="Emphasis"/>
    <w:basedOn w:val="DefaultParagraphFont"/>
    <w:uiPriority w:val="20"/>
    <w:qFormat/>
    <w:rsid w:val="001F350E"/>
    <w:rPr>
      <w:b/>
      <w:bCs/>
      <w:i w:val="0"/>
      <w:iCs w:val="0"/>
    </w:rPr>
  </w:style>
  <w:style w:type="character" w:customStyle="1" w:styleId="st">
    <w:name w:val="st"/>
    <w:basedOn w:val="DefaultParagraphFont"/>
    <w:rsid w:val="001F350E"/>
  </w:style>
  <w:style w:type="character" w:customStyle="1" w:styleId="srch-url2">
    <w:name w:val="srch-url2"/>
    <w:basedOn w:val="DefaultParagraphFont"/>
    <w:rsid w:val="00667887"/>
  </w:style>
  <w:style w:type="paragraph" w:customStyle="1" w:styleId="srch-metadata1">
    <w:name w:val="srch-metadata1"/>
    <w:basedOn w:val="Normal"/>
    <w:rsid w:val="00B823B5"/>
    <w:pPr>
      <w:overflowPunct/>
      <w:autoSpaceDE/>
      <w:autoSpaceDN/>
      <w:adjustRightInd/>
      <w:textAlignment w:val="auto"/>
    </w:pPr>
    <w:rPr>
      <w:sz w:val="24"/>
      <w:szCs w:val="24"/>
      <w:lang w:eastAsia="en-GB"/>
    </w:rPr>
  </w:style>
  <w:style w:type="paragraph" w:styleId="BalloonText">
    <w:name w:val="Balloon Text"/>
    <w:basedOn w:val="Normal"/>
    <w:link w:val="BalloonTextChar"/>
    <w:rsid w:val="00DD3327"/>
    <w:rPr>
      <w:rFonts w:ascii="Tahoma" w:hAnsi="Tahoma" w:cs="Tahoma"/>
      <w:sz w:val="16"/>
      <w:szCs w:val="16"/>
    </w:rPr>
  </w:style>
  <w:style w:type="character" w:customStyle="1" w:styleId="BalloonTextChar">
    <w:name w:val="Balloon Text Char"/>
    <w:basedOn w:val="DefaultParagraphFont"/>
    <w:link w:val="BalloonText"/>
    <w:rsid w:val="00DD3327"/>
    <w:rPr>
      <w:rFonts w:ascii="Tahoma" w:hAnsi="Tahoma" w:cs="Tahoma"/>
      <w:sz w:val="16"/>
      <w:szCs w:val="16"/>
      <w:lang w:eastAsia="en-US"/>
    </w:rPr>
  </w:style>
  <w:style w:type="character" w:styleId="FollowedHyperlink">
    <w:name w:val="FollowedHyperlink"/>
    <w:basedOn w:val="DefaultParagraphFont"/>
    <w:semiHidden/>
    <w:unhideWhenUsed/>
    <w:rsid w:val="00D46B73"/>
    <w:rPr>
      <w:color w:val="800080" w:themeColor="followedHyperlink"/>
      <w:u w:val="single"/>
    </w:rPr>
  </w:style>
  <w:style w:type="character" w:customStyle="1" w:styleId="citation">
    <w:name w:val="citation"/>
    <w:basedOn w:val="DefaultParagraphFont"/>
    <w:rsid w:val="0026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9649">
      <w:bodyDiv w:val="1"/>
      <w:marLeft w:val="0"/>
      <w:marRight w:val="0"/>
      <w:marTop w:val="0"/>
      <w:marBottom w:val="0"/>
      <w:divBdr>
        <w:top w:val="none" w:sz="0" w:space="0" w:color="auto"/>
        <w:left w:val="none" w:sz="0" w:space="0" w:color="auto"/>
        <w:bottom w:val="none" w:sz="0" w:space="0" w:color="auto"/>
        <w:right w:val="none" w:sz="0" w:space="0" w:color="auto"/>
      </w:divBdr>
      <w:divsChild>
        <w:div w:id="1933781075">
          <w:marLeft w:val="0"/>
          <w:marRight w:val="0"/>
          <w:marTop w:val="0"/>
          <w:marBottom w:val="0"/>
          <w:divBdr>
            <w:top w:val="none" w:sz="0" w:space="0" w:color="auto"/>
            <w:left w:val="none" w:sz="0" w:space="0" w:color="auto"/>
            <w:bottom w:val="none" w:sz="0" w:space="0" w:color="auto"/>
            <w:right w:val="none" w:sz="0" w:space="0" w:color="auto"/>
          </w:divBdr>
          <w:divsChild>
            <w:div w:id="746653783">
              <w:marLeft w:val="0"/>
              <w:marRight w:val="0"/>
              <w:marTop w:val="0"/>
              <w:marBottom w:val="0"/>
              <w:divBdr>
                <w:top w:val="none" w:sz="0" w:space="0" w:color="auto"/>
                <w:left w:val="none" w:sz="0" w:space="0" w:color="auto"/>
                <w:bottom w:val="none" w:sz="0" w:space="0" w:color="auto"/>
                <w:right w:val="none" w:sz="0" w:space="0" w:color="auto"/>
              </w:divBdr>
              <w:divsChild>
                <w:div w:id="1252733853">
                  <w:marLeft w:val="0"/>
                  <w:marRight w:val="0"/>
                  <w:marTop w:val="0"/>
                  <w:marBottom w:val="0"/>
                  <w:divBdr>
                    <w:top w:val="none" w:sz="0" w:space="0" w:color="auto"/>
                    <w:left w:val="none" w:sz="0" w:space="0" w:color="auto"/>
                    <w:bottom w:val="none" w:sz="0" w:space="0" w:color="auto"/>
                    <w:right w:val="none" w:sz="0" w:space="0" w:color="auto"/>
                  </w:divBdr>
                  <w:divsChild>
                    <w:div w:id="1752195161">
                      <w:marLeft w:val="0"/>
                      <w:marRight w:val="0"/>
                      <w:marTop w:val="0"/>
                      <w:marBottom w:val="0"/>
                      <w:divBdr>
                        <w:top w:val="none" w:sz="0" w:space="0" w:color="auto"/>
                        <w:left w:val="none" w:sz="0" w:space="0" w:color="auto"/>
                        <w:bottom w:val="none" w:sz="0" w:space="0" w:color="auto"/>
                        <w:right w:val="none" w:sz="0" w:space="0" w:color="auto"/>
                      </w:divBdr>
                      <w:divsChild>
                        <w:div w:id="1492794975">
                          <w:marLeft w:val="0"/>
                          <w:marRight w:val="0"/>
                          <w:marTop w:val="0"/>
                          <w:marBottom w:val="0"/>
                          <w:divBdr>
                            <w:top w:val="none" w:sz="0" w:space="0" w:color="auto"/>
                            <w:left w:val="none" w:sz="0" w:space="0" w:color="auto"/>
                            <w:bottom w:val="none" w:sz="0" w:space="0" w:color="auto"/>
                            <w:right w:val="none" w:sz="0" w:space="0" w:color="auto"/>
                          </w:divBdr>
                          <w:divsChild>
                            <w:div w:id="2121754143">
                              <w:marLeft w:val="0"/>
                              <w:marRight w:val="0"/>
                              <w:marTop w:val="0"/>
                              <w:marBottom w:val="0"/>
                              <w:divBdr>
                                <w:top w:val="none" w:sz="0" w:space="0" w:color="auto"/>
                                <w:left w:val="none" w:sz="0" w:space="0" w:color="auto"/>
                                <w:bottom w:val="none" w:sz="0" w:space="0" w:color="auto"/>
                                <w:right w:val="none" w:sz="0" w:space="0" w:color="auto"/>
                              </w:divBdr>
                              <w:divsChild>
                                <w:div w:id="1022517578">
                                  <w:marLeft w:val="0"/>
                                  <w:marRight w:val="0"/>
                                  <w:marTop w:val="0"/>
                                  <w:marBottom w:val="0"/>
                                  <w:divBdr>
                                    <w:top w:val="none" w:sz="0" w:space="0" w:color="auto"/>
                                    <w:left w:val="none" w:sz="0" w:space="0" w:color="auto"/>
                                    <w:bottom w:val="none" w:sz="0" w:space="0" w:color="auto"/>
                                    <w:right w:val="none" w:sz="0" w:space="0" w:color="auto"/>
                                  </w:divBdr>
                                  <w:divsChild>
                                    <w:div w:id="1160390373">
                                      <w:marLeft w:val="0"/>
                                      <w:marRight w:val="0"/>
                                      <w:marTop w:val="0"/>
                                      <w:marBottom w:val="0"/>
                                      <w:divBdr>
                                        <w:top w:val="none" w:sz="0" w:space="0" w:color="auto"/>
                                        <w:left w:val="none" w:sz="0" w:space="0" w:color="auto"/>
                                        <w:bottom w:val="none" w:sz="0" w:space="0" w:color="auto"/>
                                        <w:right w:val="none" w:sz="0" w:space="0" w:color="auto"/>
                                      </w:divBdr>
                                      <w:divsChild>
                                        <w:div w:id="1583100329">
                                          <w:marLeft w:val="0"/>
                                          <w:marRight w:val="0"/>
                                          <w:marTop w:val="0"/>
                                          <w:marBottom w:val="0"/>
                                          <w:divBdr>
                                            <w:top w:val="none" w:sz="0" w:space="0" w:color="auto"/>
                                            <w:left w:val="none" w:sz="0" w:space="0" w:color="auto"/>
                                            <w:bottom w:val="none" w:sz="0" w:space="0" w:color="auto"/>
                                            <w:right w:val="none" w:sz="0" w:space="0" w:color="auto"/>
                                          </w:divBdr>
                                          <w:divsChild>
                                            <w:div w:id="1705515322">
                                              <w:marLeft w:val="0"/>
                                              <w:marRight w:val="0"/>
                                              <w:marTop w:val="0"/>
                                              <w:marBottom w:val="0"/>
                                              <w:divBdr>
                                                <w:top w:val="none" w:sz="0" w:space="0" w:color="auto"/>
                                                <w:left w:val="none" w:sz="0" w:space="0" w:color="auto"/>
                                                <w:bottom w:val="none" w:sz="0" w:space="0" w:color="auto"/>
                                                <w:right w:val="none" w:sz="0" w:space="0" w:color="auto"/>
                                              </w:divBdr>
                                              <w:divsChild>
                                                <w:div w:id="964845220">
                                                  <w:marLeft w:val="0"/>
                                                  <w:marRight w:val="0"/>
                                                  <w:marTop w:val="0"/>
                                                  <w:marBottom w:val="0"/>
                                                  <w:divBdr>
                                                    <w:top w:val="none" w:sz="0" w:space="0" w:color="auto"/>
                                                    <w:left w:val="none" w:sz="0" w:space="0" w:color="auto"/>
                                                    <w:bottom w:val="none" w:sz="0" w:space="0" w:color="auto"/>
                                                    <w:right w:val="none" w:sz="0" w:space="0" w:color="auto"/>
                                                  </w:divBdr>
                                                  <w:divsChild>
                                                    <w:div w:id="1752384325">
                                                      <w:marLeft w:val="0"/>
                                                      <w:marRight w:val="0"/>
                                                      <w:marTop w:val="0"/>
                                                      <w:marBottom w:val="0"/>
                                                      <w:divBdr>
                                                        <w:top w:val="none" w:sz="0" w:space="0" w:color="auto"/>
                                                        <w:left w:val="none" w:sz="0" w:space="0" w:color="auto"/>
                                                        <w:bottom w:val="none" w:sz="0" w:space="0" w:color="auto"/>
                                                        <w:right w:val="none" w:sz="0" w:space="0" w:color="auto"/>
                                                      </w:divBdr>
                                                      <w:divsChild>
                                                        <w:div w:id="277377028">
                                                          <w:marLeft w:val="0"/>
                                                          <w:marRight w:val="0"/>
                                                          <w:marTop w:val="0"/>
                                                          <w:marBottom w:val="0"/>
                                                          <w:divBdr>
                                                            <w:top w:val="none" w:sz="0" w:space="0" w:color="auto"/>
                                                            <w:left w:val="none" w:sz="0" w:space="0" w:color="auto"/>
                                                            <w:bottom w:val="none" w:sz="0" w:space="0" w:color="auto"/>
                                                            <w:right w:val="none" w:sz="0" w:space="0" w:color="auto"/>
                                                          </w:divBdr>
                                                          <w:divsChild>
                                                            <w:div w:id="595748054">
                                                              <w:marLeft w:val="0"/>
                                                              <w:marRight w:val="0"/>
                                                              <w:marTop w:val="0"/>
                                                              <w:marBottom w:val="0"/>
                                                              <w:divBdr>
                                                                <w:top w:val="none" w:sz="0" w:space="0" w:color="auto"/>
                                                                <w:left w:val="none" w:sz="0" w:space="0" w:color="auto"/>
                                                                <w:bottom w:val="none" w:sz="0" w:space="0" w:color="auto"/>
                                                                <w:right w:val="none" w:sz="0" w:space="0" w:color="auto"/>
                                                              </w:divBdr>
                                                              <w:divsChild>
                                                                <w:div w:id="324238472">
                                                                  <w:marLeft w:val="0"/>
                                                                  <w:marRight w:val="0"/>
                                                                  <w:marTop w:val="0"/>
                                                                  <w:marBottom w:val="0"/>
                                                                  <w:divBdr>
                                                                    <w:top w:val="none" w:sz="0" w:space="0" w:color="auto"/>
                                                                    <w:left w:val="none" w:sz="0" w:space="0" w:color="auto"/>
                                                                    <w:bottom w:val="none" w:sz="0" w:space="0" w:color="auto"/>
                                                                    <w:right w:val="none" w:sz="0" w:space="0" w:color="auto"/>
                                                                  </w:divBdr>
                                                                  <w:divsChild>
                                                                    <w:div w:id="7889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3947151">
      <w:bodyDiv w:val="1"/>
      <w:marLeft w:val="0"/>
      <w:marRight w:val="0"/>
      <w:marTop w:val="0"/>
      <w:marBottom w:val="0"/>
      <w:divBdr>
        <w:top w:val="none" w:sz="0" w:space="0" w:color="auto"/>
        <w:left w:val="none" w:sz="0" w:space="0" w:color="auto"/>
        <w:bottom w:val="none" w:sz="0" w:space="0" w:color="auto"/>
        <w:right w:val="none" w:sz="0" w:space="0" w:color="auto"/>
      </w:divBdr>
      <w:divsChild>
        <w:div w:id="742534418">
          <w:marLeft w:val="0"/>
          <w:marRight w:val="0"/>
          <w:marTop w:val="0"/>
          <w:marBottom w:val="0"/>
          <w:divBdr>
            <w:top w:val="none" w:sz="0" w:space="0" w:color="auto"/>
            <w:left w:val="none" w:sz="0" w:space="0" w:color="auto"/>
            <w:bottom w:val="none" w:sz="0" w:space="0" w:color="auto"/>
            <w:right w:val="none" w:sz="0" w:space="0" w:color="auto"/>
          </w:divBdr>
          <w:divsChild>
            <w:div w:id="158810218">
              <w:marLeft w:val="0"/>
              <w:marRight w:val="0"/>
              <w:marTop w:val="0"/>
              <w:marBottom w:val="0"/>
              <w:divBdr>
                <w:top w:val="none" w:sz="0" w:space="0" w:color="auto"/>
                <w:left w:val="none" w:sz="0" w:space="0" w:color="auto"/>
                <w:bottom w:val="none" w:sz="0" w:space="0" w:color="auto"/>
                <w:right w:val="none" w:sz="0" w:space="0" w:color="auto"/>
              </w:divBdr>
              <w:divsChild>
                <w:div w:id="1846047068">
                  <w:marLeft w:val="0"/>
                  <w:marRight w:val="0"/>
                  <w:marTop w:val="0"/>
                  <w:marBottom w:val="0"/>
                  <w:divBdr>
                    <w:top w:val="none" w:sz="0" w:space="0" w:color="auto"/>
                    <w:left w:val="none" w:sz="0" w:space="0" w:color="auto"/>
                    <w:bottom w:val="none" w:sz="0" w:space="0" w:color="auto"/>
                    <w:right w:val="none" w:sz="0" w:space="0" w:color="auto"/>
                  </w:divBdr>
                  <w:divsChild>
                    <w:div w:id="1390374862">
                      <w:marLeft w:val="0"/>
                      <w:marRight w:val="0"/>
                      <w:marTop w:val="0"/>
                      <w:marBottom w:val="0"/>
                      <w:divBdr>
                        <w:top w:val="none" w:sz="0" w:space="0" w:color="auto"/>
                        <w:left w:val="none" w:sz="0" w:space="0" w:color="auto"/>
                        <w:bottom w:val="none" w:sz="0" w:space="0" w:color="auto"/>
                        <w:right w:val="none" w:sz="0" w:space="0" w:color="auto"/>
                      </w:divBdr>
                      <w:divsChild>
                        <w:div w:id="374619362">
                          <w:marLeft w:val="0"/>
                          <w:marRight w:val="0"/>
                          <w:marTop w:val="0"/>
                          <w:marBottom w:val="0"/>
                          <w:divBdr>
                            <w:top w:val="none" w:sz="0" w:space="0" w:color="auto"/>
                            <w:left w:val="none" w:sz="0" w:space="0" w:color="auto"/>
                            <w:bottom w:val="none" w:sz="0" w:space="0" w:color="auto"/>
                            <w:right w:val="none" w:sz="0" w:space="0" w:color="auto"/>
                          </w:divBdr>
                          <w:divsChild>
                            <w:div w:id="286473254">
                              <w:marLeft w:val="0"/>
                              <w:marRight w:val="0"/>
                              <w:marTop w:val="0"/>
                              <w:marBottom w:val="0"/>
                              <w:divBdr>
                                <w:top w:val="none" w:sz="0" w:space="0" w:color="auto"/>
                                <w:left w:val="none" w:sz="0" w:space="0" w:color="auto"/>
                                <w:bottom w:val="none" w:sz="0" w:space="0" w:color="auto"/>
                                <w:right w:val="none" w:sz="0" w:space="0" w:color="auto"/>
                              </w:divBdr>
                              <w:divsChild>
                                <w:div w:id="309016193">
                                  <w:marLeft w:val="0"/>
                                  <w:marRight w:val="0"/>
                                  <w:marTop w:val="0"/>
                                  <w:marBottom w:val="0"/>
                                  <w:divBdr>
                                    <w:top w:val="none" w:sz="0" w:space="0" w:color="auto"/>
                                    <w:left w:val="none" w:sz="0" w:space="0" w:color="auto"/>
                                    <w:bottom w:val="none" w:sz="0" w:space="0" w:color="auto"/>
                                    <w:right w:val="none" w:sz="0" w:space="0" w:color="auto"/>
                                  </w:divBdr>
                                  <w:divsChild>
                                    <w:div w:id="1487552884">
                                      <w:marLeft w:val="0"/>
                                      <w:marRight w:val="0"/>
                                      <w:marTop w:val="0"/>
                                      <w:marBottom w:val="0"/>
                                      <w:divBdr>
                                        <w:top w:val="none" w:sz="0" w:space="0" w:color="auto"/>
                                        <w:left w:val="none" w:sz="0" w:space="0" w:color="auto"/>
                                        <w:bottom w:val="none" w:sz="0" w:space="0" w:color="auto"/>
                                        <w:right w:val="none" w:sz="0" w:space="0" w:color="auto"/>
                                      </w:divBdr>
                                      <w:divsChild>
                                        <w:div w:id="1433236267">
                                          <w:marLeft w:val="0"/>
                                          <w:marRight w:val="0"/>
                                          <w:marTop w:val="0"/>
                                          <w:marBottom w:val="0"/>
                                          <w:divBdr>
                                            <w:top w:val="none" w:sz="0" w:space="0" w:color="auto"/>
                                            <w:left w:val="none" w:sz="0" w:space="0" w:color="auto"/>
                                            <w:bottom w:val="none" w:sz="0" w:space="0" w:color="auto"/>
                                            <w:right w:val="none" w:sz="0" w:space="0" w:color="auto"/>
                                          </w:divBdr>
                                          <w:divsChild>
                                            <w:div w:id="652300933">
                                              <w:marLeft w:val="0"/>
                                              <w:marRight w:val="0"/>
                                              <w:marTop w:val="0"/>
                                              <w:marBottom w:val="0"/>
                                              <w:divBdr>
                                                <w:top w:val="none" w:sz="0" w:space="0" w:color="auto"/>
                                                <w:left w:val="none" w:sz="0" w:space="0" w:color="auto"/>
                                                <w:bottom w:val="none" w:sz="0" w:space="0" w:color="auto"/>
                                                <w:right w:val="none" w:sz="0" w:space="0" w:color="auto"/>
                                              </w:divBdr>
                                              <w:divsChild>
                                                <w:div w:id="970942055">
                                                  <w:marLeft w:val="0"/>
                                                  <w:marRight w:val="0"/>
                                                  <w:marTop w:val="0"/>
                                                  <w:marBottom w:val="0"/>
                                                  <w:divBdr>
                                                    <w:top w:val="none" w:sz="0" w:space="0" w:color="auto"/>
                                                    <w:left w:val="none" w:sz="0" w:space="0" w:color="auto"/>
                                                    <w:bottom w:val="none" w:sz="0" w:space="0" w:color="auto"/>
                                                    <w:right w:val="none" w:sz="0" w:space="0" w:color="auto"/>
                                                  </w:divBdr>
                                                  <w:divsChild>
                                                    <w:div w:id="1133209565">
                                                      <w:marLeft w:val="0"/>
                                                      <w:marRight w:val="0"/>
                                                      <w:marTop w:val="0"/>
                                                      <w:marBottom w:val="0"/>
                                                      <w:divBdr>
                                                        <w:top w:val="none" w:sz="0" w:space="0" w:color="auto"/>
                                                        <w:left w:val="none" w:sz="0" w:space="0" w:color="auto"/>
                                                        <w:bottom w:val="none" w:sz="0" w:space="0" w:color="auto"/>
                                                        <w:right w:val="none" w:sz="0" w:space="0" w:color="auto"/>
                                                      </w:divBdr>
                                                      <w:divsChild>
                                                        <w:div w:id="1724211088">
                                                          <w:marLeft w:val="0"/>
                                                          <w:marRight w:val="0"/>
                                                          <w:marTop w:val="0"/>
                                                          <w:marBottom w:val="0"/>
                                                          <w:divBdr>
                                                            <w:top w:val="none" w:sz="0" w:space="0" w:color="auto"/>
                                                            <w:left w:val="none" w:sz="0" w:space="0" w:color="auto"/>
                                                            <w:bottom w:val="none" w:sz="0" w:space="0" w:color="auto"/>
                                                            <w:right w:val="none" w:sz="0" w:space="0" w:color="auto"/>
                                                          </w:divBdr>
                                                          <w:divsChild>
                                                            <w:div w:id="1820029239">
                                                              <w:marLeft w:val="0"/>
                                                              <w:marRight w:val="0"/>
                                                              <w:marTop w:val="0"/>
                                                              <w:marBottom w:val="0"/>
                                                              <w:divBdr>
                                                                <w:top w:val="none" w:sz="0" w:space="0" w:color="auto"/>
                                                                <w:left w:val="none" w:sz="0" w:space="0" w:color="auto"/>
                                                                <w:bottom w:val="none" w:sz="0" w:space="0" w:color="auto"/>
                                                                <w:right w:val="none" w:sz="0" w:space="0" w:color="auto"/>
                                                              </w:divBdr>
                                                              <w:divsChild>
                                                                <w:div w:id="1146973064">
                                                                  <w:marLeft w:val="0"/>
                                                                  <w:marRight w:val="0"/>
                                                                  <w:marTop w:val="0"/>
                                                                  <w:marBottom w:val="0"/>
                                                                  <w:divBdr>
                                                                    <w:top w:val="none" w:sz="0" w:space="0" w:color="auto"/>
                                                                    <w:left w:val="none" w:sz="0" w:space="0" w:color="auto"/>
                                                                    <w:bottom w:val="none" w:sz="0" w:space="0" w:color="auto"/>
                                                                    <w:right w:val="none" w:sz="0" w:space="0" w:color="auto"/>
                                                                  </w:divBdr>
                                                                  <w:divsChild>
                                                                    <w:div w:id="20590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6404297">
      <w:bodyDiv w:val="1"/>
      <w:marLeft w:val="0"/>
      <w:marRight w:val="0"/>
      <w:marTop w:val="0"/>
      <w:marBottom w:val="0"/>
      <w:divBdr>
        <w:top w:val="none" w:sz="0" w:space="0" w:color="auto"/>
        <w:left w:val="none" w:sz="0" w:space="0" w:color="auto"/>
        <w:bottom w:val="none" w:sz="0" w:space="0" w:color="auto"/>
        <w:right w:val="none" w:sz="0" w:space="0" w:color="auto"/>
      </w:divBdr>
      <w:divsChild>
        <w:div w:id="224490625">
          <w:marLeft w:val="0"/>
          <w:marRight w:val="0"/>
          <w:marTop w:val="0"/>
          <w:marBottom w:val="0"/>
          <w:divBdr>
            <w:top w:val="none" w:sz="0" w:space="0" w:color="auto"/>
            <w:left w:val="none" w:sz="0" w:space="0" w:color="auto"/>
            <w:bottom w:val="none" w:sz="0" w:space="0" w:color="auto"/>
            <w:right w:val="none" w:sz="0" w:space="0" w:color="auto"/>
          </w:divBdr>
          <w:divsChild>
            <w:div w:id="127090853">
              <w:marLeft w:val="0"/>
              <w:marRight w:val="0"/>
              <w:marTop w:val="0"/>
              <w:marBottom w:val="0"/>
              <w:divBdr>
                <w:top w:val="none" w:sz="0" w:space="0" w:color="auto"/>
                <w:left w:val="none" w:sz="0" w:space="0" w:color="auto"/>
                <w:bottom w:val="none" w:sz="0" w:space="0" w:color="auto"/>
                <w:right w:val="none" w:sz="0" w:space="0" w:color="auto"/>
              </w:divBdr>
              <w:divsChild>
                <w:div w:id="1842348793">
                  <w:marLeft w:val="0"/>
                  <w:marRight w:val="0"/>
                  <w:marTop w:val="0"/>
                  <w:marBottom w:val="0"/>
                  <w:divBdr>
                    <w:top w:val="none" w:sz="0" w:space="0" w:color="auto"/>
                    <w:left w:val="none" w:sz="0" w:space="0" w:color="auto"/>
                    <w:bottom w:val="none" w:sz="0" w:space="0" w:color="auto"/>
                    <w:right w:val="none" w:sz="0" w:space="0" w:color="auto"/>
                  </w:divBdr>
                  <w:divsChild>
                    <w:div w:id="1419251999">
                      <w:marLeft w:val="0"/>
                      <w:marRight w:val="0"/>
                      <w:marTop w:val="0"/>
                      <w:marBottom w:val="0"/>
                      <w:divBdr>
                        <w:top w:val="none" w:sz="0" w:space="0" w:color="auto"/>
                        <w:left w:val="none" w:sz="0" w:space="0" w:color="auto"/>
                        <w:bottom w:val="none" w:sz="0" w:space="0" w:color="auto"/>
                        <w:right w:val="none" w:sz="0" w:space="0" w:color="auto"/>
                      </w:divBdr>
                      <w:divsChild>
                        <w:div w:id="1600521759">
                          <w:marLeft w:val="0"/>
                          <w:marRight w:val="0"/>
                          <w:marTop w:val="0"/>
                          <w:marBottom w:val="0"/>
                          <w:divBdr>
                            <w:top w:val="none" w:sz="0" w:space="0" w:color="auto"/>
                            <w:left w:val="none" w:sz="0" w:space="0" w:color="auto"/>
                            <w:bottom w:val="none" w:sz="0" w:space="0" w:color="auto"/>
                            <w:right w:val="none" w:sz="0" w:space="0" w:color="auto"/>
                          </w:divBdr>
                          <w:divsChild>
                            <w:div w:id="952789662">
                              <w:marLeft w:val="0"/>
                              <w:marRight w:val="0"/>
                              <w:marTop w:val="0"/>
                              <w:marBottom w:val="0"/>
                              <w:divBdr>
                                <w:top w:val="none" w:sz="0" w:space="0" w:color="auto"/>
                                <w:left w:val="none" w:sz="0" w:space="0" w:color="auto"/>
                                <w:bottom w:val="none" w:sz="0" w:space="0" w:color="auto"/>
                                <w:right w:val="none" w:sz="0" w:space="0" w:color="auto"/>
                              </w:divBdr>
                              <w:divsChild>
                                <w:div w:id="1021471466">
                                  <w:marLeft w:val="0"/>
                                  <w:marRight w:val="0"/>
                                  <w:marTop w:val="0"/>
                                  <w:marBottom w:val="0"/>
                                  <w:divBdr>
                                    <w:top w:val="none" w:sz="0" w:space="0" w:color="auto"/>
                                    <w:left w:val="none" w:sz="0" w:space="0" w:color="auto"/>
                                    <w:bottom w:val="none" w:sz="0" w:space="0" w:color="auto"/>
                                    <w:right w:val="none" w:sz="0" w:space="0" w:color="auto"/>
                                  </w:divBdr>
                                  <w:divsChild>
                                    <w:div w:id="219294795">
                                      <w:marLeft w:val="0"/>
                                      <w:marRight w:val="0"/>
                                      <w:marTop w:val="0"/>
                                      <w:marBottom w:val="0"/>
                                      <w:divBdr>
                                        <w:top w:val="none" w:sz="0" w:space="0" w:color="auto"/>
                                        <w:left w:val="none" w:sz="0" w:space="0" w:color="auto"/>
                                        <w:bottom w:val="none" w:sz="0" w:space="0" w:color="auto"/>
                                        <w:right w:val="none" w:sz="0" w:space="0" w:color="auto"/>
                                      </w:divBdr>
                                      <w:divsChild>
                                        <w:div w:id="194848194">
                                          <w:marLeft w:val="0"/>
                                          <w:marRight w:val="0"/>
                                          <w:marTop w:val="0"/>
                                          <w:marBottom w:val="0"/>
                                          <w:divBdr>
                                            <w:top w:val="none" w:sz="0" w:space="0" w:color="auto"/>
                                            <w:left w:val="none" w:sz="0" w:space="0" w:color="auto"/>
                                            <w:bottom w:val="none" w:sz="0" w:space="0" w:color="auto"/>
                                            <w:right w:val="none" w:sz="0" w:space="0" w:color="auto"/>
                                          </w:divBdr>
                                          <w:divsChild>
                                            <w:div w:id="140774968">
                                              <w:marLeft w:val="0"/>
                                              <w:marRight w:val="0"/>
                                              <w:marTop w:val="0"/>
                                              <w:marBottom w:val="0"/>
                                              <w:divBdr>
                                                <w:top w:val="none" w:sz="0" w:space="0" w:color="auto"/>
                                                <w:left w:val="none" w:sz="0" w:space="0" w:color="auto"/>
                                                <w:bottom w:val="none" w:sz="0" w:space="0" w:color="auto"/>
                                                <w:right w:val="none" w:sz="0" w:space="0" w:color="auto"/>
                                              </w:divBdr>
                                              <w:divsChild>
                                                <w:div w:id="1570186303">
                                                  <w:marLeft w:val="0"/>
                                                  <w:marRight w:val="0"/>
                                                  <w:marTop w:val="0"/>
                                                  <w:marBottom w:val="0"/>
                                                  <w:divBdr>
                                                    <w:top w:val="none" w:sz="0" w:space="0" w:color="auto"/>
                                                    <w:left w:val="none" w:sz="0" w:space="0" w:color="auto"/>
                                                    <w:bottom w:val="none" w:sz="0" w:space="0" w:color="auto"/>
                                                    <w:right w:val="none" w:sz="0" w:space="0" w:color="auto"/>
                                                  </w:divBdr>
                                                  <w:divsChild>
                                                    <w:div w:id="571238516">
                                                      <w:marLeft w:val="0"/>
                                                      <w:marRight w:val="0"/>
                                                      <w:marTop w:val="0"/>
                                                      <w:marBottom w:val="0"/>
                                                      <w:divBdr>
                                                        <w:top w:val="none" w:sz="0" w:space="0" w:color="auto"/>
                                                        <w:left w:val="none" w:sz="0" w:space="0" w:color="auto"/>
                                                        <w:bottom w:val="none" w:sz="0" w:space="0" w:color="auto"/>
                                                        <w:right w:val="none" w:sz="0" w:space="0" w:color="auto"/>
                                                      </w:divBdr>
                                                      <w:divsChild>
                                                        <w:div w:id="1351763727">
                                                          <w:marLeft w:val="0"/>
                                                          <w:marRight w:val="0"/>
                                                          <w:marTop w:val="0"/>
                                                          <w:marBottom w:val="0"/>
                                                          <w:divBdr>
                                                            <w:top w:val="none" w:sz="0" w:space="0" w:color="auto"/>
                                                            <w:left w:val="none" w:sz="0" w:space="0" w:color="auto"/>
                                                            <w:bottom w:val="none" w:sz="0" w:space="0" w:color="auto"/>
                                                            <w:right w:val="none" w:sz="0" w:space="0" w:color="auto"/>
                                                          </w:divBdr>
                                                          <w:divsChild>
                                                            <w:div w:id="154031716">
                                                              <w:marLeft w:val="0"/>
                                                              <w:marRight w:val="0"/>
                                                              <w:marTop w:val="0"/>
                                                              <w:marBottom w:val="0"/>
                                                              <w:divBdr>
                                                                <w:top w:val="none" w:sz="0" w:space="0" w:color="auto"/>
                                                                <w:left w:val="none" w:sz="0" w:space="0" w:color="auto"/>
                                                                <w:bottom w:val="none" w:sz="0" w:space="0" w:color="auto"/>
                                                                <w:right w:val="none" w:sz="0" w:space="0" w:color="auto"/>
                                                              </w:divBdr>
                                                              <w:divsChild>
                                                                <w:div w:id="154420756">
                                                                  <w:marLeft w:val="0"/>
                                                                  <w:marRight w:val="0"/>
                                                                  <w:marTop w:val="0"/>
                                                                  <w:marBottom w:val="0"/>
                                                                  <w:divBdr>
                                                                    <w:top w:val="none" w:sz="0" w:space="0" w:color="auto"/>
                                                                    <w:left w:val="none" w:sz="0" w:space="0" w:color="auto"/>
                                                                    <w:bottom w:val="none" w:sz="0" w:space="0" w:color="auto"/>
                                                                    <w:right w:val="none" w:sz="0" w:space="0" w:color="auto"/>
                                                                  </w:divBdr>
                                                                  <w:divsChild>
                                                                    <w:div w:id="4342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6909204">
      <w:bodyDiv w:val="1"/>
      <w:marLeft w:val="0"/>
      <w:marRight w:val="0"/>
      <w:marTop w:val="0"/>
      <w:marBottom w:val="0"/>
      <w:divBdr>
        <w:top w:val="none" w:sz="0" w:space="0" w:color="auto"/>
        <w:left w:val="none" w:sz="0" w:space="0" w:color="auto"/>
        <w:bottom w:val="none" w:sz="0" w:space="0" w:color="auto"/>
        <w:right w:val="none" w:sz="0" w:space="0" w:color="auto"/>
      </w:divBdr>
      <w:divsChild>
        <w:div w:id="1882130584">
          <w:marLeft w:val="0"/>
          <w:marRight w:val="0"/>
          <w:marTop w:val="0"/>
          <w:marBottom w:val="0"/>
          <w:divBdr>
            <w:top w:val="none" w:sz="0" w:space="0" w:color="auto"/>
            <w:left w:val="none" w:sz="0" w:space="0" w:color="auto"/>
            <w:bottom w:val="none" w:sz="0" w:space="0" w:color="auto"/>
            <w:right w:val="none" w:sz="0" w:space="0" w:color="auto"/>
          </w:divBdr>
          <w:divsChild>
            <w:div w:id="1126086">
              <w:marLeft w:val="0"/>
              <w:marRight w:val="0"/>
              <w:marTop w:val="0"/>
              <w:marBottom w:val="0"/>
              <w:divBdr>
                <w:top w:val="none" w:sz="0" w:space="0" w:color="auto"/>
                <w:left w:val="none" w:sz="0" w:space="0" w:color="auto"/>
                <w:bottom w:val="none" w:sz="0" w:space="0" w:color="auto"/>
                <w:right w:val="none" w:sz="0" w:space="0" w:color="auto"/>
              </w:divBdr>
              <w:divsChild>
                <w:div w:id="1382898851">
                  <w:marLeft w:val="0"/>
                  <w:marRight w:val="0"/>
                  <w:marTop w:val="0"/>
                  <w:marBottom w:val="0"/>
                  <w:divBdr>
                    <w:top w:val="none" w:sz="0" w:space="0" w:color="auto"/>
                    <w:left w:val="none" w:sz="0" w:space="0" w:color="auto"/>
                    <w:bottom w:val="none" w:sz="0" w:space="0" w:color="auto"/>
                    <w:right w:val="none" w:sz="0" w:space="0" w:color="auto"/>
                  </w:divBdr>
                  <w:divsChild>
                    <w:div w:id="69085916">
                      <w:marLeft w:val="0"/>
                      <w:marRight w:val="0"/>
                      <w:marTop w:val="0"/>
                      <w:marBottom w:val="0"/>
                      <w:divBdr>
                        <w:top w:val="none" w:sz="0" w:space="0" w:color="auto"/>
                        <w:left w:val="none" w:sz="0" w:space="0" w:color="auto"/>
                        <w:bottom w:val="none" w:sz="0" w:space="0" w:color="auto"/>
                        <w:right w:val="none" w:sz="0" w:space="0" w:color="auto"/>
                      </w:divBdr>
                      <w:divsChild>
                        <w:div w:id="1312176963">
                          <w:marLeft w:val="0"/>
                          <w:marRight w:val="0"/>
                          <w:marTop w:val="0"/>
                          <w:marBottom w:val="0"/>
                          <w:divBdr>
                            <w:top w:val="none" w:sz="0" w:space="0" w:color="auto"/>
                            <w:left w:val="none" w:sz="0" w:space="0" w:color="auto"/>
                            <w:bottom w:val="none" w:sz="0" w:space="0" w:color="auto"/>
                            <w:right w:val="none" w:sz="0" w:space="0" w:color="auto"/>
                          </w:divBdr>
                          <w:divsChild>
                            <w:div w:id="1328704802">
                              <w:marLeft w:val="0"/>
                              <w:marRight w:val="0"/>
                              <w:marTop w:val="0"/>
                              <w:marBottom w:val="0"/>
                              <w:divBdr>
                                <w:top w:val="none" w:sz="0" w:space="0" w:color="auto"/>
                                <w:left w:val="none" w:sz="0" w:space="0" w:color="auto"/>
                                <w:bottom w:val="none" w:sz="0" w:space="0" w:color="auto"/>
                                <w:right w:val="none" w:sz="0" w:space="0" w:color="auto"/>
                              </w:divBdr>
                              <w:divsChild>
                                <w:div w:id="1617906949">
                                  <w:marLeft w:val="0"/>
                                  <w:marRight w:val="0"/>
                                  <w:marTop w:val="0"/>
                                  <w:marBottom w:val="0"/>
                                  <w:divBdr>
                                    <w:top w:val="none" w:sz="0" w:space="0" w:color="auto"/>
                                    <w:left w:val="none" w:sz="0" w:space="0" w:color="auto"/>
                                    <w:bottom w:val="none" w:sz="0" w:space="0" w:color="auto"/>
                                    <w:right w:val="none" w:sz="0" w:space="0" w:color="auto"/>
                                  </w:divBdr>
                                  <w:divsChild>
                                    <w:div w:id="2088728870">
                                      <w:marLeft w:val="0"/>
                                      <w:marRight w:val="0"/>
                                      <w:marTop w:val="0"/>
                                      <w:marBottom w:val="0"/>
                                      <w:divBdr>
                                        <w:top w:val="none" w:sz="0" w:space="0" w:color="auto"/>
                                        <w:left w:val="none" w:sz="0" w:space="0" w:color="auto"/>
                                        <w:bottom w:val="none" w:sz="0" w:space="0" w:color="auto"/>
                                        <w:right w:val="none" w:sz="0" w:space="0" w:color="auto"/>
                                      </w:divBdr>
                                      <w:divsChild>
                                        <w:div w:id="606305826">
                                          <w:marLeft w:val="0"/>
                                          <w:marRight w:val="0"/>
                                          <w:marTop w:val="0"/>
                                          <w:marBottom w:val="0"/>
                                          <w:divBdr>
                                            <w:top w:val="none" w:sz="0" w:space="0" w:color="auto"/>
                                            <w:left w:val="none" w:sz="0" w:space="0" w:color="auto"/>
                                            <w:bottom w:val="none" w:sz="0" w:space="0" w:color="auto"/>
                                            <w:right w:val="none" w:sz="0" w:space="0" w:color="auto"/>
                                          </w:divBdr>
                                          <w:divsChild>
                                            <w:div w:id="1720936820">
                                              <w:marLeft w:val="0"/>
                                              <w:marRight w:val="0"/>
                                              <w:marTop w:val="0"/>
                                              <w:marBottom w:val="0"/>
                                              <w:divBdr>
                                                <w:top w:val="none" w:sz="0" w:space="0" w:color="auto"/>
                                                <w:left w:val="none" w:sz="0" w:space="0" w:color="auto"/>
                                                <w:bottom w:val="none" w:sz="0" w:space="0" w:color="auto"/>
                                                <w:right w:val="none" w:sz="0" w:space="0" w:color="auto"/>
                                              </w:divBdr>
                                              <w:divsChild>
                                                <w:div w:id="81339601">
                                                  <w:marLeft w:val="0"/>
                                                  <w:marRight w:val="0"/>
                                                  <w:marTop w:val="0"/>
                                                  <w:marBottom w:val="0"/>
                                                  <w:divBdr>
                                                    <w:top w:val="none" w:sz="0" w:space="0" w:color="auto"/>
                                                    <w:left w:val="none" w:sz="0" w:space="0" w:color="auto"/>
                                                    <w:bottom w:val="none" w:sz="0" w:space="0" w:color="auto"/>
                                                    <w:right w:val="none" w:sz="0" w:space="0" w:color="auto"/>
                                                  </w:divBdr>
                                                  <w:divsChild>
                                                    <w:div w:id="1885484816">
                                                      <w:marLeft w:val="0"/>
                                                      <w:marRight w:val="0"/>
                                                      <w:marTop w:val="0"/>
                                                      <w:marBottom w:val="0"/>
                                                      <w:divBdr>
                                                        <w:top w:val="none" w:sz="0" w:space="0" w:color="auto"/>
                                                        <w:left w:val="none" w:sz="0" w:space="0" w:color="auto"/>
                                                        <w:bottom w:val="none" w:sz="0" w:space="0" w:color="auto"/>
                                                        <w:right w:val="none" w:sz="0" w:space="0" w:color="auto"/>
                                                      </w:divBdr>
                                                      <w:divsChild>
                                                        <w:div w:id="1548450220">
                                                          <w:marLeft w:val="0"/>
                                                          <w:marRight w:val="0"/>
                                                          <w:marTop w:val="0"/>
                                                          <w:marBottom w:val="0"/>
                                                          <w:divBdr>
                                                            <w:top w:val="none" w:sz="0" w:space="0" w:color="auto"/>
                                                            <w:left w:val="none" w:sz="0" w:space="0" w:color="auto"/>
                                                            <w:bottom w:val="none" w:sz="0" w:space="0" w:color="auto"/>
                                                            <w:right w:val="none" w:sz="0" w:space="0" w:color="auto"/>
                                                          </w:divBdr>
                                                          <w:divsChild>
                                                            <w:div w:id="343365180">
                                                              <w:marLeft w:val="0"/>
                                                              <w:marRight w:val="0"/>
                                                              <w:marTop w:val="0"/>
                                                              <w:marBottom w:val="0"/>
                                                              <w:divBdr>
                                                                <w:top w:val="none" w:sz="0" w:space="0" w:color="auto"/>
                                                                <w:left w:val="none" w:sz="0" w:space="0" w:color="auto"/>
                                                                <w:bottom w:val="none" w:sz="0" w:space="0" w:color="auto"/>
                                                                <w:right w:val="none" w:sz="0" w:space="0" w:color="auto"/>
                                                              </w:divBdr>
                                                              <w:divsChild>
                                                                <w:div w:id="1979456771">
                                                                  <w:marLeft w:val="0"/>
                                                                  <w:marRight w:val="0"/>
                                                                  <w:marTop w:val="0"/>
                                                                  <w:marBottom w:val="0"/>
                                                                  <w:divBdr>
                                                                    <w:top w:val="none" w:sz="0" w:space="0" w:color="auto"/>
                                                                    <w:left w:val="none" w:sz="0" w:space="0" w:color="auto"/>
                                                                    <w:bottom w:val="none" w:sz="0" w:space="0" w:color="auto"/>
                                                                    <w:right w:val="none" w:sz="0" w:space="0" w:color="auto"/>
                                                                  </w:divBdr>
                                                                  <w:divsChild>
                                                                    <w:div w:id="851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3561210">
      <w:bodyDiv w:val="1"/>
      <w:marLeft w:val="0"/>
      <w:marRight w:val="0"/>
      <w:marTop w:val="0"/>
      <w:marBottom w:val="0"/>
      <w:divBdr>
        <w:top w:val="none" w:sz="0" w:space="0" w:color="auto"/>
        <w:left w:val="none" w:sz="0" w:space="0" w:color="auto"/>
        <w:bottom w:val="none" w:sz="0" w:space="0" w:color="auto"/>
        <w:right w:val="none" w:sz="0" w:space="0" w:color="auto"/>
      </w:divBdr>
      <w:divsChild>
        <w:div w:id="528497526">
          <w:marLeft w:val="0"/>
          <w:marRight w:val="0"/>
          <w:marTop w:val="0"/>
          <w:marBottom w:val="0"/>
          <w:divBdr>
            <w:top w:val="none" w:sz="0" w:space="0" w:color="auto"/>
            <w:left w:val="none" w:sz="0" w:space="0" w:color="auto"/>
            <w:bottom w:val="none" w:sz="0" w:space="0" w:color="auto"/>
            <w:right w:val="none" w:sz="0" w:space="0" w:color="auto"/>
          </w:divBdr>
          <w:divsChild>
            <w:div w:id="1511485048">
              <w:marLeft w:val="0"/>
              <w:marRight w:val="0"/>
              <w:marTop w:val="0"/>
              <w:marBottom w:val="0"/>
              <w:divBdr>
                <w:top w:val="none" w:sz="0" w:space="0" w:color="auto"/>
                <w:left w:val="none" w:sz="0" w:space="0" w:color="auto"/>
                <w:bottom w:val="none" w:sz="0" w:space="0" w:color="auto"/>
                <w:right w:val="none" w:sz="0" w:space="0" w:color="auto"/>
              </w:divBdr>
              <w:divsChild>
                <w:div w:id="1506818194">
                  <w:marLeft w:val="0"/>
                  <w:marRight w:val="0"/>
                  <w:marTop w:val="0"/>
                  <w:marBottom w:val="0"/>
                  <w:divBdr>
                    <w:top w:val="none" w:sz="0" w:space="0" w:color="auto"/>
                    <w:left w:val="none" w:sz="0" w:space="0" w:color="auto"/>
                    <w:bottom w:val="none" w:sz="0" w:space="0" w:color="auto"/>
                    <w:right w:val="none" w:sz="0" w:space="0" w:color="auto"/>
                  </w:divBdr>
                  <w:divsChild>
                    <w:div w:id="588125144">
                      <w:marLeft w:val="0"/>
                      <w:marRight w:val="0"/>
                      <w:marTop w:val="0"/>
                      <w:marBottom w:val="0"/>
                      <w:divBdr>
                        <w:top w:val="none" w:sz="0" w:space="0" w:color="auto"/>
                        <w:left w:val="none" w:sz="0" w:space="0" w:color="auto"/>
                        <w:bottom w:val="none" w:sz="0" w:space="0" w:color="auto"/>
                        <w:right w:val="none" w:sz="0" w:space="0" w:color="auto"/>
                      </w:divBdr>
                      <w:divsChild>
                        <w:div w:id="24255154">
                          <w:marLeft w:val="0"/>
                          <w:marRight w:val="0"/>
                          <w:marTop w:val="0"/>
                          <w:marBottom w:val="0"/>
                          <w:divBdr>
                            <w:top w:val="none" w:sz="0" w:space="0" w:color="auto"/>
                            <w:left w:val="none" w:sz="0" w:space="0" w:color="auto"/>
                            <w:bottom w:val="none" w:sz="0" w:space="0" w:color="auto"/>
                            <w:right w:val="none" w:sz="0" w:space="0" w:color="auto"/>
                          </w:divBdr>
                          <w:divsChild>
                            <w:div w:id="1213467025">
                              <w:marLeft w:val="0"/>
                              <w:marRight w:val="0"/>
                              <w:marTop w:val="0"/>
                              <w:marBottom w:val="0"/>
                              <w:divBdr>
                                <w:top w:val="none" w:sz="0" w:space="0" w:color="auto"/>
                                <w:left w:val="none" w:sz="0" w:space="0" w:color="auto"/>
                                <w:bottom w:val="none" w:sz="0" w:space="0" w:color="auto"/>
                                <w:right w:val="none" w:sz="0" w:space="0" w:color="auto"/>
                              </w:divBdr>
                              <w:divsChild>
                                <w:div w:id="1899323657">
                                  <w:marLeft w:val="0"/>
                                  <w:marRight w:val="0"/>
                                  <w:marTop w:val="0"/>
                                  <w:marBottom w:val="0"/>
                                  <w:divBdr>
                                    <w:top w:val="none" w:sz="0" w:space="0" w:color="auto"/>
                                    <w:left w:val="none" w:sz="0" w:space="0" w:color="auto"/>
                                    <w:bottom w:val="none" w:sz="0" w:space="0" w:color="auto"/>
                                    <w:right w:val="none" w:sz="0" w:space="0" w:color="auto"/>
                                  </w:divBdr>
                                  <w:divsChild>
                                    <w:div w:id="334110328">
                                      <w:marLeft w:val="0"/>
                                      <w:marRight w:val="0"/>
                                      <w:marTop w:val="0"/>
                                      <w:marBottom w:val="0"/>
                                      <w:divBdr>
                                        <w:top w:val="none" w:sz="0" w:space="0" w:color="auto"/>
                                        <w:left w:val="none" w:sz="0" w:space="0" w:color="auto"/>
                                        <w:bottom w:val="none" w:sz="0" w:space="0" w:color="auto"/>
                                        <w:right w:val="none" w:sz="0" w:space="0" w:color="auto"/>
                                      </w:divBdr>
                                      <w:divsChild>
                                        <w:div w:id="510027380">
                                          <w:marLeft w:val="0"/>
                                          <w:marRight w:val="0"/>
                                          <w:marTop w:val="0"/>
                                          <w:marBottom w:val="0"/>
                                          <w:divBdr>
                                            <w:top w:val="none" w:sz="0" w:space="0" w:color="auto"/>
                                            <w:left w:val="none" w:sz="0" w:space="0" w:color="auto"/>
                                            <w:bottom w:val="none" w:sz="0" w:space="0" w:color="auto"/>
                                            <w:right w:val="none" w:sz="0" w:space="0" w:color="auto"/>
                                          </w:divBdr>
                                          <w:divsChild>
                                            <w:div w:id="1015886205">
                                              <w:marLeft w:val="0"/>
                                              <w:marRight w:val="0"/>
                                              <w:marTop w:val="0"/>
                                              <w:marBottom w:val="0"/>
                                              <w:divBdr>
                                                <w:top w:val="none" w:sz="0" w:space="0" w:color="auto"/>
                                                <w:left w:val="none" w:sz="0" w:space="0" w:color="auto"/>
                                                <w:bottom w:val="none" w:sz="0" w:space="0" w:color="auto"/>
                                                <w:right w:val="none" w:sz="0" w:space="0" w:color="auto"/>
                                              </w:divBdr>
                                              <w:divsChild>
                                                <w:div w:id="974607090">
                                                  <w:marLeft w:val="0"/>
                                                  <w:marRight w:val="0"/>
                                                  <w:marTop w:val="0"/>
                                                  <w:marBottom w:val="0"/>
                                                  <w:divBdr>
                                                    <w:top w:val="none" w:sz="0" w:space="0" w:color="auto"/>
                                                    <w:left w:val="none" w:sz="0" w:space="0" w:color="auto"/>
                                                    <w:bottom w:val="none" w:sz="0" w:space="0" w:color="auto"/>
                                                    <w:right w:val="none" w:sz="0" w:space="0" w:color="auto"/>
                                                  </w:divBdr>
                                                  <w:divsChild>
                                                    <w:div w:id="1909270612">
                                                      <w:marLeft w:val="0"/>
                                                      <w:marRight w:val="0"/>
                                                      <w:marTop w:val="0"/>
                                                      <w:marBottom w:val="0"/>
                                                      <w:divBdr>
                                                        <w:top w:val="none" w:sz="0" w:space="0" w:color="auto"/>
                                                        <w:left w:val="none" w:sz="0" w:space="0" w:color="auto"/>
                                                        <w:bottom w:val="none" w:sz="0" w:space="0" w:color="auto"/>
                                                        <w:right w:val="none" w:sz="0" w:space="0" w:color="auto"/>
                                                      </w:divBdr>
                                                      <w:divsChild>
                                                        <w:div w:id="214854393">
                                                          <w:marLeft w:val="0"/>
                                                          <w:marRight w:val="0"/>
                                                          <w:marTop w:val="0"/>
                                                          <w:marBottom w:val="0"/>
                                                          <w:divBdr>
                                                            <w:top w:val="none" w:sz="0" w:space="0" w:color="auto"/>
                                                            <w:left w:val="none" w:sz="0" w:space="0" w:color="auto"/>
                                                            <w:bottom w:val="none" w:sz="0" w:space="0" w:color="auto"/>
                                                            <w:right w:val="none" w:sz="0" w:space="0" w:color="auto"/>
                                                          </w:divBdr>
                                                          <w:divsChild>
                                                            <w:div w:id="804591678">
                                                              <w:marLeft w:val="0"/>
                                                              <w:marRight w:val="0"/>
                                                              <w:marTop w:val="0"/>
                                                              <w:marBottom w:val="0"/>
                                                              <w:divBdr>
                                                                <w:top w:val="none" w:sz="0" w:space="0" w:color="auto"/>
                                                                <w:left w:val="none" w:sz="0" w:space="0" w:color="auto"/>
                                                                <w:bottom w:val="none" w:sz="0" w:space="0" w:color="auto"/>
                                                                <w:right w:val="none" w:sz="0" w:space="0" w:color="auto"/>
                                                              </w:divBdr>
                                                              <w:divsChild>
                                                                <w:div w:id="1313364929">
                                                                  <w:marLeft w:val="0"/>
                                                                  <w:marRight w:val="0"/>
                                                                  <w:marTop w:val="0"/>
                                                                  <w:marBottom w:val="0"/>
                                                                  <w:divBdr>
                                                                    <w:top w:val="none" w:sz="0" w:space="0" w:color="auto"/>
                                                                    <w:left w:val="none" w:sz="0" w:space="0" w:color="auto"/>
                                                                    <w:bottom w:val="none" w:sz="0" w:space="0" w:color="auto"/>
                                                                    <w:right w:val="none" w:sz="0" w:space="0" w:color="auto"/>
                                                                  </w:divBdr>
                                                                  <w:divsChild>
                                                                    <w:div w:id="3330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463740">
      <w:bodyDiv w:val="1"/>
      <w:marLeft w:val="0"/>
      <w:marRight w:val="0"/>
      <w:marTop w:val="0"/>
      <w:marBottom w:val="0"/>
      <w:divBdr>
        <w:top w:val="none" w:sz="0" w:space="0" w:color="auto"/>
        <w:left w:val="none" w:sz="0" w:space="0" w:color="auto"/>
        <w:bottom w:val="none" w:sz="0" w:space="0" w:color="auto"/>
        <w:right w:val="none" w:sz="0" w:space="0" w:color="auto"/>
      </w:divBdr>
      <w:divsChild>
        <w:div w:id="212230129">
          <w:marLeft w:val="0"/>
          <w:marRight w:val="0"/>
          <w:marTop w:val="0"/>
          <w:marBottom w:val="0"/>
          <w:divBdr>
            <w:top w:val="none" w:sz="0" w:space="0" w:color="auto"/>
            <w:left w:val="none" w:sz="0" w:space="0" w:color="auto"/>
            <w:bottom w:val="none" w:sz="0" w:space="0" w:color="auto"/>
            <w:right w:val="none" w:sz="0" w:space="0" w:color="auto"/>
          </w:divBdr>
          <w:divsChild>
            <w:div w:id="1533422492">
              <w:marLeft w:val="0"/>
              <w:marRight w:val="0"/>
              <w:marTop w:val="0"/>
              <w:marBottom w:val="0"/>
              <w:divBdr>
                <w:top w:val="none" w:sz="0" w:space="0" w:color="auto"/>
                <w:left w:val="none" w:sz="0" w:space="0" w:color="auto"/>
                <w:bottom w:val="none" w:sz="0" w:space="0" w:color="auto"/>
                <w:right w:val="none" w:sz="0" w:space="0" w:color="auto"/>
              </w:divBdr>
              <w:divsChild>
                <w:div w:id="1286539951">
                  <w:marLeft w:val="0"/>
                  <w:marRight w:val="0"/>
                  <w:marTop w:val="0"/>
                  <w:marBottom w:val="0"/>
                  <w:divBdr>
                    <w:top w:val="none" w:sz="0" w:space="0" w:color="auto"/>
                    <w:left w:val="none" w:sz="0" w:space="0" w:color="auto"/>
                    <w:bottom w:val="none" w:sz="0" w:space="0" w:color="auto"/>
                    <w:right w:val="none" w:sz="0" w:space="0" w:color="auto"/>
                  </w:divBdr>
                  <w:divsChild>
                    <w:div w:id="505943317">
                      <w:marLeft w:val="0"/>
                      <w:marRight w:val="0"/>
                      <w:marTop w:val="0"/>
                      <w:marBottom w:val="0"/>
                      <w:divBdr>
                        <w:top w:val="none" w:sz="0" w:space="0" w:color="auto"/>
                        <w:left w:val="none" w:sz="0" w:space="0" w:color="auto"/>
                        <w:bottom w:val="none" w:sz="0" w:space="0" w:color="auto"/>
                        <w:right w:val="none" w:sz="0" w:space="0" w:color="auto"/>
                      </w:divBdr>
                      <w:divsChild>
                        <w:div w:id="711031947">
                          <w:marLeft w:val="0"/>
                          <w:marRight w:val="0"/>
                          <w:marTop w:val="0"/>
                          <w:marBottom w:val="0"/>
                          <w:divBdr>
                            <w:top w:val="none" w:sz="0" w:space="0" w:color="auto"/>
                            <w:left w:val="none" w:sz="0" w:space="0" w:color="auto"/>
                            <w:bottom w:val="none" w:sz="0" w:space="0" w:color="auto"/>
                            <w:right w:val="none" w:sz="0" w:space="0" w:color="auto"/>
                          </w:divBdr>
                          <w:divsChild>
                            <w:div w:id="239565637">
                              <w:marLeft w:val="0"/>
                              <w:marRight w:val="0"/>
                              <w:marTop w:val="0"/>
                              <w:marBottom w:val="0"/>
                              <w:divBdr>
                                <w:top w:val="none" w:sz="0" w:space="0" w:color="auto"/>
                                <w:left w:val="none" w:sz="0" w:space="0" w:color="auto"/>
                                <w:bottom w:val="none" w:sz="0" w:space="0" w:color="auto"/>
                                <w:right w:val="none" w:sz="0" w:space="0" w:color="auto"/>
                              </w:divBdr>
                              <w:divsChild>
                                <w:div w:id="56245266">
                                  <w:marLeft w:val="0"/>
                                  <w:marRight w:val="0"/>
                                  <w:marTop w:val="0"/>
                                  <w:marBottom w:val="0"/>
                                  <w:divBdr>
                                    <w:top w:val="none" w:sz="0" w:space="0" w:color="auto"/>
                                    <w:left w:val="none" w:sz="0" w:space="0" w:color="auto"/>
                                    <w:bottom w:val="none" w:sz="0" w:space="0" w:color="auto"/>
                                    <w:right w:val="none" w:sz="0" w:space="0" w:color="auto"/>
                                  </w:divBdr>
                                  <w:divsChild>
                                    <w:div w:id="1062020909">
                                      <w:marLeft w:val="0"/>
                                      <w:marRight w:val="0"/>
                                      <w:marTop w:val="0"/>
                                      <w:marBottom w:val="0"/>
                                      <w:divBdr>
                                        <w:top w:val="none" w:sz="0" w:space="0" w:color="auto"/>
                                        <w:left w:val="none" w:sz="0" w:space="0" w:color="auto"/>
                                        <w:bottom w:val="none" w:sz="0" w:space="0" w:color="auto"/>
                                        <w:right w:val="none" w:sz="0" w:space="0" w:color="auto"/>
                                      </w:divBdr>
                                      <w:divsChild>
                                        <w:div w:id="766272230">
                                          <w:marLeft w:val="0"/>
                                          <w:marRight w:val="0"/>
                                          <w:marTop w:val="0"/>
                                          <w:marBottom w:val="0"/>
                                          <w:divBdr>
                                            <w:top w:val="none" w:sz="0" w:space="0" w:color="auto"/>
                                            <w:left w:val="none" w:sz="0" w:space="0" w:color="auto"/>
                                            <w:bottom w:val="none" w:sz="0" w:space="0" w:color="auto"/>
                                            <w:right w:val="none" w:sz="0" w:space="0" w:color="auto"/>
                                          </w:divBdr>
                                          <w:divsChild>
                                            <w:div w:id="285702524">
                                              <w:marLeft w:val="0"/>
                                              <w:marRight w:val="0"/>
                                              <w:marTop w:val="0"/>
                                              <w:marBottom w:val="0"/>
                                              <w:divBdr>
                                                <w:top w:val="none" w:sz="0" w:space="0" w:color="auto"/>
                                                <w:left w:val="none" w:sz="0" w:space="0" w:color="auto"/>
                                                <w:bottom w:val="none" w:sz="0" w:space="0" w:color="auto"/>
                                                <w:right w:val="none" w:sz="0" w:space="0" w:color="auto"/>
                                              </w:divBdr>
                                              <w:divsChild>
                                                <w:div w:id="1971544795">
                                                  <w:marLeft w:val="0"/>
                                                  <w:marRight w:val="0"/>
                                                  <w:marTop w:val="0"/>
                                                  <w:marBottom w:val="0"/>
                                                  <w:divBdr>
                                                    <w:top w:val="none" w:sz="0" w:space="0" w:color="auto"/>
                                                    <w:left w:val="none" w:sz="0" w:space="0" w:color="auto"/>
                                                    <w:bottom w:val="none" w:sz="0" w:space="0" w:color="auto"/>
                                                    <w:right w:val="none" w:sz="0" w:space="0" w:color="auto"/>
                                                  </w:divBdr>
                                                  <w:divsChild>
                                                    <w:div w:id="418449848">
                                                      <w:marLeft w:val="0"/>
                                                      <w:marRight w:val="0"/>
                                                      <w:marTop w:val="0"/>
                                                      <w:marBottom w:val="0"/>
                                                      <w:divBdr>
                                                        <w:top w:val="none" w:sz="0" w:space="0" w:color="auto"/>
                                                        <w:left w:val="none" w:sz="0" w:space="0" w:color="auto"/>
                                                        <w:bottom w:val="none" w:sz="0" w:space="0" w:color="auto"/>
                                                        <w:right w:val="none" w:sz="0" w:space="0" w:color="auto"/>
                                                      </w:divBdr>
                                                      <w:divsChild>
                                                        <w:div w:id="1977636040">
                                                          <w:marLeft w:val="0"/>
                                                          <w:marRight w:val="0"/>
                                                          <w:marTop w:val="0"/>
                                                          <w:marBottom w:val="0"/>
                                                          <w:divBdr>
                                                            <w:top w:val="none" w:sz="0" w:space="0" w:color="auto"/>
                                                            <w:left w:val="none" w:sz="0" w:space="0" w:color="auto"/>
                                                            <w:bottom w:val="none" w:sz="0" w:space="0" w:color="auto"/>
                                                            <w:right w:val="none" w:sz="0" w:space="0" w:color="auto"/>
                                                          </w:divBdr>
                                                          <w:divsChild>
                                                            <w:div w:id="1882160854">
                                                              <w:marLeft w:val="0"/>
                                                              <w:marRight w:val="0"/>
                                                              <w:marTop w:val="0"/>
                                                              <w:marBottom w:val="0"/>
                                                              <w:divBdr>
                                                                <w:top w:val="none" w:sz="0" w:space="0" w:color="auto"/>
                                                                <w:left w:val="none" w:sz="0" w:space="0" w:color="auto"/>
                                                                <w:bottom w:val="none" w:sz="0" w:space="0" w:color="auto"/>
                                                                <w:right w:val="none" w:sz="0" w:space="0" w:color="auto"/>
                                                              </w:divBdr>
                                                              <w:divsChild>
                                                                <w:div w:id="1850019333">
                                                                  <w:marLeft w:val="0"/>
                                                                  <w:marRight w:val="0"/>
                                                                  <w:marTop w:val="0"/>
                                                                  <w:marBottom w:val="0"/>
                                                                  <w:divBdr>
                                                                    <w:top w:val="none" w:sz="0" w:space="0" w:color="auto"/>
                                                                    <w:left w:val="none" w:sz="0" w:space="0" w:color="auto"/>
                                                                    <w:bottom w:val="none" w:sz="0" w:space="0" w:color="auto"/>
                                                                    <w:right w:val="none" w:sz="0" w:space="0" w:color="auto"/>
                                                                  </w:divBdr>
                                                                  <w:divsChild>
                                                                    <w:div w:id="7466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6102409">
      <w:bodyDiv w:val="1"/>
      <w:marLeft w:val="0"/>
      <w:marRight w:val="0"/>
      <w:marTop w:val="0"/>
      <w:marBottom w:val="0"/>
      <w:divBdr>
        <w:top w:val="none" w:sz="0" w:space="0" w:color="auto"/>
        <w:left w:val="none" w:sz="0" w:space="0" w:color="auto"/>
        <w:bottom w:val="none" w:sz="0" w:space="0" w:color="auto"/>
        <w:right w:val="none" w:sz="0" w:space="0" w:color="auto"/>
      </w:divBdr>
      <w:divsChild>
        <w:div w:id="990450461">
          <w:marLeft w:val="0"/>
          <w:marRight w:val="0"/>
          <w:marTop w:val="0"/>
          <w:marBottom w:val="0"/>
          <w:divBdr>
            <w:top w:val="none" w:sz="0" w:space="0" w:color="auto"/>
            <w:left w:val="none" w:sz="0" w:space="0" w:color="auto"/>
            <w:bottom w:val="none" w:sz="0" w:space="0" w:color="auto"/>
            <w:right w:val="none" w:sz="0" w:space="0" w:color="auto"/>
          </w:divBdr>
          <w:divsChild>
            <w:div w:id="1367369223">
              <w:marLeft w:val="0"/>
              <w:marRight w:val="0"/>
              <w:marTop w:val="0"/>
              <w:marBottom w:val="0"/>
              <w:divBdr>
                <w:top w:val="none" w:sz="0" w:space="0" w:color="auto"/>
                <w:left w:val="none" w:sz="0" w:space="0" w:color="auto"/>
                <w:bottom w:val="none" w:sz="0" w:space="0" w:color="auto"/>
                <w:right w:val="none" w:sz="0" w:space="0" w:color="auto"/>
              </w:divBdr>
              <w:divsChild>
                <w:div w:id="1341347301">
                  <w:marLeft w:val="0"/>
                  <w:marRight w:val="0"/>
                  <w:marTop w:val="0"/>
                  <w:marBottom w:val="0"/>
                  <w:divBdr>
                    <w:top w:val="none" w:sz="0" w:space="0" w:color="auto"/>
                    <w:left w:val="none" w:sz="0" w:space="0" w:color="auto"/>
                    <w:bottom w:val="none" w:sz="0" w:space="0" w:color="auto"/>
                    <w:right w:val="none" w:sz="0" w:space="0" w:color="auto"/>
                  </w:divBdr>
                  <w:divsChild>
                    <w:div w:id="550850945">
                      <w:marLeft w:val="0"/>
                      <w:marRight w:val="0"/>
                      <w:marTop w:val="0"/>
                      <w:marBottom w:val="0"/>
                      <w:divBdr>
                        <w:top w:val="none" w:sz="0" w:space="0" w:color="auto"/>
                        <w:left w:val="none" w:sz="0" w:space="0" w:color="auto"/>
                        <w:bottom w:val="none" w:sz="0" w:space="0" w:color="auto"/>
                        <w:right w:val="none" w:sz="0" w:space="0" w:color="auto"/>
                      </w:divBdr>
                      <w:divsChild>
                        <w:div w:id="7761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19611">
      <w:bodyDiv w:val="1"/>
      <w:marLeft w:val="0"/>
      <w:marRight w:val="0"/>
      <w:marTop w:val="0"/>
      <w:marBottom w:val="0"/>
      <w:divBdr>
        <w:top w:val="none" w:sz="0" w:space="0" w:color="auto"/>
        <w:left w:val="none" w:sz="0" w:space="0" w:color="auto"/>
        <w:bottom w:val="none" w:sz="0" w:space="0" w:color="auto"/>
        <w:right w:val="none" w:sz="0" w:space="0" w:color="auto"/>
      </w:divBdr>
      <w:divsChild>
        <w:div w:id="1966693792">
          <w:marLeft w:val="0"/>
          <w:marRight w:val="0"/>
          <w:marTop w:val="0"/>
          <w:marBottom w:val="0"/>
          <w:divBdr>
            <w:top w:val="none" w:sz="0" w:space="0" w:color="auto"/>
            <w:left w:val="none" w:sz="0" w:space="0" w:color="auto"/>
            <w:bottom w:val="none" w:sz="0" w:space="0" w:color="auto"/>
            <w:right w:val="none" w:sz="0" w:space="0" w:color="auto"/>
          </w:divBdr>
          <w:divsChild>
            <w:div w:id="1342969400">
              <w:marLeft w:val="0"/>
              <w:marRight w:val="0"/>
              <w:marTop w:val="0"/>
              <w:marBottom w:val="0"/>
              <w:divBdr>
                <w:top w:val="none" w:sz="0" w:space="0" w:color="auto"/>
                <w:left w:val="none" w:sz="0" w:space="0" w:color="auto"/>
                <w:bottom w:val="none" w:sz="0" w:space="0" w:color="auto"/>
                <w:right w:val="none" w:sz="0" w:space="0" w:color="auto"/>
              </w:divBdr>
              <w:divsChild>
                <w:div w:id="355159488">
                  <w:marLeft w:val="0"/>
                  <w:marRight w:val="0"/>
                  <w:marTop w:val="0"/>
                  <w:marBottom w:val="0"/>
                  <w:divBdr>
                    <w:top w:val="none" w:sz="0" w:space="0" w:color="auto"/>
                    <w:left w:val="none" w:sz="0" w:space="0" w:color="auto"/>
                    <w:bottom w:val="none" w:sz="0" w:space="0" w:color="auto"/>
                    <w:right w:val="none" w:sz="0" w:space="0" w:color="auto"/>
                  </w:divBdr>
                  <w:divsChild>
                    <w:div w:id="761415992">
                      <w:marLeft w:val="0"/>
                      <w:marRight w:val="0"/>
                      <w:marTop w:val="0"/>
                      <w:marBottom w:val="0"/>
                      <w:divBdr>
                        <w:top w:val="none" w:sz="0" w:space="0" w:color="auto"/>
                        <w:left w:val="none" w:sz="0" w:space="0" w:color="auto"/>
                        <w:bottom w:val="none" w:sz="0" w:space="0" w:color="auto"/>
                        <w:right w:val="none" w:sz="0" w:space="0" w:color="auto"/>
                      </w:divBdr>
                      <w:divsChild>
                        <w:div w:id="719404905">
                          <w:marLeft w:val="0"/>
                          <w:marRight w:val="0"/>
                          <w:marTop w:val="0"/>
                          <w:marBottom w:val="0"/>
                          <w:divBdr>
                            <w:top w:val="none" w:sz="0" w:space="0" w:color="auto"/>
                            <w:left w:val="none" w:sz="0" w:space="0" w:color="auto"/>
                            <w:bottom w:val="none" w:sz="0" w:space="0" w:color="auto"/>
                            <w:right w:val="none" w:sz="0" w:space="0" w:color="auto"/>
                          </w:divBdr>
                          <w:divsChild>
                            <w:div w:id="1927222391">
                              <w:marLeft w:val="0"/>
                              <w:marRight w:val="0"/>
                              <w:marTop w:val="0"/>
                              <w:marBottom w:val="0"/>
                              <w:divBdr>
                                <w:top w:val="none" w:sz="0" w:space="0" w:color="auto"/>
                                <w:left w:val="none" w:sz="0" w:space="0" w:color="auto"/>
                                <w:bottom w:val="none" w:sz="0" w:space="0" w:color="auto"/>
                                <w:right w:val="none" w:sz="0" w:space="0" w:color="auto"/>
                              </w:divBdr>
                              <w:divsChild>
                                <w:div w:id="1178540921">
                                  <w:marLeft w:val="0"/>
                                  <w:marRight w:val="0"/>
                                  <w:marTop w:val="0"/>
                                  <w:marBottom w:val="0"/>
                                  <w:divBdr>
                                    <w:top w:val="none" w:sz="0" w:space="0" w:color="auto"/>
                                    <w:left w:val="none" w:sz="0" w:space="0" w:color="auto"/>
                                    <w:bottom w:val="none" w:sz="0" w:space="0" w:color="auto"/>
                                    <w:right w:val="none" w:sz="0" w:space="0" w:color="auto"/>
                                  </w:divBdr>
                                  <w:divsChild>
                                    <w:div w:id="1764569567">
                                      <w:marLeft w:val="0"/>
                                      <w:marRight w:val="0"/>
                                      <w:marTop w:val="0"/>
                                      <w:marBottom w:val="0"/>
                                      <w:divBdr>
                                        <w:top w:val="none" w:sz="0" w:space="0" w:color="auto"/>
                                        <w:left w:val="none" w:sz="0" w:space="0" w:color="auto"/>
                                        <w:bottom w:val="none" w:sz="0" w:space="0" w:color="auto"/>
                                        <w:right w:val="none" w:sz="0" w:space="0" w:color="auto"/>
                                      </w:divBdr>
                                      <w:divsChild>
                                        <w:div w:id="1095514582">
                                          <w:marLeft w:val="0"/>
                                          <w:marRight w:val="0"/>
                                          <w:marTop w:val="0"/>
                                          <w:marBottom w:val="0"/>
                                          <w:divBdr>
                                            <w:top w:val="none" w:sz="0" w:space="0" w:color="auto"/>
                                            <w:left w:val="none" w:sz="0" w:space="0" w:color="auto"/>
                                            <w:bottom w:val="none" w:sz="0" w:space="0" w:color="auto"/>
                                            <w:right w:val="none" w:sz="0" w:space="0" w:color="auto"/>
                                          </w:divBdr>
                                          <w:divsChild>
                                            <w:div w:id="800465757">
                                              <w:marLeft w:val="0"/>
                                              <w:marRight w:val="0"/>
                                              <w:marTop w:val="0"/>
                                              <w:marBottom w:val="0"/>
                                              <w:divBdr>
                                                <w:top w:val="none" w:sz="0" w:space="0" w:color="auto"/>
                                                <w:left w:val="none" w:sz="0" w:space="0" w:color="auto"/>
                                                <w:bottom w:val="none" w:sz="0" w:space="0" w:color="auto"/>
                                                <w:right w:val="none" w:sz="0" w:space="0" w:color="auto"/>
                                              </w:divBdr>
                                              <w:divsChild>
                                                <w:div w:id="2133547072">
                                                  <w:marLeft w:val="0"/>
                                                  <w:marRight w:val="0"/>
                                                  <w:marTop w:val="0"/>
                                                  <w:marBottom w:val="0"/>
                                                  <w:divBdr>
                                                    <w:top w:val="none" w:sz="0" w:space="0" w:color="auto"/>
                                                    <w:left w:val="none" w:sz="0" w:space="0" w:color="auto"/>
                                                    <w:bottom w:val="none" w:sz="0" w:space="0" w:color="auto"/>
                                                    <w:right w:val="none" w:sz="0" w:space="0" w:color="auto"/>
                                                  </w:divBdr>
                                                  <w:divsChild>
                                                    <w:div w:id="1501576359">
                                                      <w:marLeft w:val="0"/>
                                                      <w:marRight w:val="0"/>
                                                      <w:marTop w:val="0"/>
                                                      <w:marBottom w:val="0"/>
                                                      <w:divBdr>
                                                        <w:top w:val="none" w:sz="0" w:space="0" w:color="auto"/>
                                                        <w:left w:val="none" w:sz="0" w:space="0" w:color="auto"/>
                                                        <w:bottom w:val="none" w:sz="0" w:space="0" w:color="auto"/>
                                                        <w:right w:val="none" w:sz="0" w:space="0" w:color="auto"/>
                                                      </w:divBdr>
                                                      <w:divsChild>
                                                        <w:div w:id="146939835">
                                                          <w:marLeft w:val="0"/>
                                                          <w:marRight w:val="0"/>
                                                          <w:marTop w:val="0"/>
                                                          <w:marBottom w:val="0"/>
                                                          <w:divBdr>
                                                            <w:top w:val="none" w:sz="0" w:space="0" w:color="auto"/>
                                                            <w:left w:val="none" w:sz="0" w:space="0" w:color="auto"/>
                                                            <w:bottom w:val="none" w:sz="0" w:space="0" w:color="auto"/>
                                                            <w:right w:val="none" w:sz="0" w:space="0" w:color="auto"/>
                                                          </w:divBdr>
                                                          <w:divsChild>
                                                            <w:div w:id="740369691">
                                                              <w:marLeft w:val="0"/>
                                                              <w:marRight w:val="0"/>
                                                              <w:marTop w:val="0"/>
                                                              <w:marBottom w:val="0"/>
                                                              <w:divBdr>
                                                                <w:top w:val="none" w:sz="0" w:space="0" w:color="auto"/>
                                                                <w:left w:val="none" w:sz="0" w:space="0" w:color="auto"/>
                                                                <w:bottom w:val="none" w:sz="0" w:space="0" w:color="auto"/>
                                                                <w:right w:val="none" w:sz="0" w:space="0" w:color="auto"/>
                                                              </w:divBdr>
                                                              <w:divsChild>
                                                                <w:div w:id="1054817228">
                                                                  <w:marLeft w:val="0"/>
                                                                  <w:marRight w:val="0"/>
                                                                  <w:marTop w:val="0"/>
                                                                  <w:marBottom w:val="0"/>
                                                                  <w:divBdr>
                                                                    <w:top w:val="none" w:sz="0" w:space="0" w:color="auto"/>
                                                                    <w:left w:val="none" w:sz="0" w:space="0" w:color="auto"/>
                                                                    <w:bottom w:val="none" w:sz="0" w:space="0" w:color="auto"/>
                                                                    <w:right w:val="none" w:sz="0" w:space="0" w:color="auto"/>
                                                                  </w:divBdr>
                                                                  <w:divsChild>
                                                                    <w:div w:id="203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946796">
      <w:bodyDiv w:val="1"/>
      <w:marLeft w:val="0"/>
      <w:marRight w:val="0"/>
      <w:marTop w:val="0"/>
      <w:marBottom w:val="0"/>
      <w:divBdr>
        <w:top w:val="none" w:sz="0" w:space="0" w:color="auto"/>
        <w:left w:val="none" w:sz="0" w:space="0" w:color="auto"/>
        <w:bottom w:val="none" w:sz="0" w:space="0" w:color="auto"/>
        <w:right w:val="none" w:sz="0" w:space="0" w:color="auto"/>
      </w:divBdr>
      <w:divsChild>
        <w:div w:id="1771121053">
          <w:marLeft w:val="0"/>
          <w:marRight w:val="0"/>
          <w:marTop w:val="0"/>
          <w:marBottom w:val="0"/>
          <w:divBdr>
            <w:top w:val="none" w:sz="0" w:space="0" w:color="auto"/>
            <w:left w:val="none" w:sz="0" w:space="0" w:color="auto"/>
            <w:bottom w:val="none" w:sz="0" w:space="0" w:color="auto"/>
            <w:right w:val="none" w:sz="0" w:space="0" w:color="auto"/>
          </w:divBdr>
          <w:divsChild>
            <w:div w:id="886144865">
              <w:marLeft w:val="0"/>
              <w:marRight w:val="0"/>
              <w:marTop w:val="0"/>
              <w:marBottom w:val="0"/>
              <w:divBdr>
                <w:top w:val="none" w:sz="0" w:space="0" w:color="auto"/>
                <w:left w:val="none" w:sz="0" w:space="0" w:color="auto"/>
                <w:bottom w:val="none" w:sz="0" w:space="0" w:color="auto"/>
                <w:right w:val="none" w:sz="0" w:space="0" w:color="auto"/>
              </w:divBdr>
              <w:divsChild>
                <w:div w:id="476191170">
                  <w:marLeft w:val="0"/>
                  <w:marRight w:val="0"/>
                  <w:marTop w:val="0"/>
                  <w:marBottom w:val="0"/>
                  <w:divBdr>
                    <w:top w:val="none" w:sz="0" w:space="0" w:color="auto"/>
                    <w:left w:val="none" w:sz="0" w:space="0" w:color="auto"/>
                    <w:bottom w:val="none" w:sz="0" w:space="0" w:color="auto"/>
                    <w:right w:val="none" w:sz="0" w:space="0" w:color="auto"/>
                  </w:divBdr>
                  <w:divsChild>
                    <w:div w:id="1772235726">
                      <w:marLeft w:val="0"/>
                      <w:marRight w:val="0"/>
                      <w:marTop w:val="180"/>
                      <w:marBottom w:val="0"/>
                      <w:divBdr>
                        <w:top w:val="none" w:sz="0" w:space="0" w:color="auto"/>
                        <w:left w:val="none" w:sz="0" w:space="0" w:color="auto"/>
                        <w:bottom w:val="none" w:sz="0" w:space="0" w:color="auto"/>
                        <w:right w:val="none" w:sz="0" w:space="0" w:color="auto"/>
                      </w:divBdr>
                      <w:divsChild>
                        <w:div w:id="18624051">
                          <w:marLeft w:val="135"/>
                          <w:marRight w:val="0"/>
                          <w:marTop w:val="0"/>
                          <w:marBottom w:val="0"/>
                          <w:divBdr>
                            <w:top w:val="none" w:sz="0" w:space="0" w:color="auto"/>
                            <w:left w:val="none" w:sz="0" w:space="0" w:color="auto"/>
                            <w:bottom w:val="none" w:sz="0" w:space="0" w:color="auto"/>
                            <w:right w:val="none" w:sz="0" w:space="0" w:color="auto"/>
                          </w:divBdr>
                          <w:divsChild>
                            <w:div w:id="313536662">
                              <w:marLeft w:val="2460"/>
                              <w:marRight w:val="0"/>
                              <w:marTop w:val="0"/>
                              <w:marBottom w:val="0"/>
                              <w:divBdr>
                                <w:top w:val="none" w:sz="0" w:space="0" w:color="auto"/>
                                <w:left w:val="none" w:sz="0" w:space="0" w:color="auto"/>
                                <w:bottom w:val="none" w:sz="0" w:space="0" w:color="auto"/>
                                <w:right w:val="none" w:sz="0" w:space="0" w:color="auto"/>
                              </w:divBdr>
                              <w:divsChild>
                                <w:div w:id="1068305513">
                                  <w:marLeft w:val="0"/>
                                  <w:marRight w:val="0"/>
                                  <w:marTop w:val="0"/>
                                  <w:marBottom w:val="0"/>
                                  <w:divBdr>
                                    <w:top w:val="none" w:sz="0" w:space="0" w:color="auto"/>
                                    <w:left w:val="none" w:sz="0" w:space="0" w:color="auto"/>
                                    <w:bottom w:val="none" w:sz="0" w:space="0" w:color="auto"/>
                                    <w:right w:val="none" w:sz="0" w:space="0" w:color="auto"/>
                                  </w:divBdr>
                                  <w:divsChild>
                                    <w:div w:id="857040921">
                                      <w:marLeft w:val="105"/>
                                      <w:marRight w:val="0"/>
                                      <w:marTop w:val="0"/>
                                      <w:marBottom w:val="0"/>
                                      <w:divBdr>
                                        <w:top w:val="none" w:sz="0" w:space="0" w:color="auto"/>
                                        <w:left w:val="none" w:sz="0" w:space="0" w:color="auto"/>
                                        <w:bottom w:val="none" w:sz="0" w:space="0" w:color="auto"/>
                                        <w:right w:val="none" w:sz="0" w:space="0" w:color="auto"/>
                                      </w:divBdr>
                                      <w:divsChild>
                                        <w:div w:id="561986519">
                                          <w:marLeft w:val="0"/>
                                          <w:marRight w:val="0"/>
                                          <w:marTop w:val="0"/>
                                          <w:marBottom w:val="0"/>
                                          <w:divBdr>
                                            <w:top w:val="none" w:sz="0" w:space="0" w:color="auto"/>
                                            <w:left w:val="none" w:sz="0" w:space="0" w:color="auto"/>
                                            <w:bottom w:val="none" w:sz="0" w:space="0" w:color="auto"/>
                                            <w:right w:val="none" w:sz="0" w:space="0" w:color="auto"/>
                                          </w:divBdr>
                                          <w:divsChild>
                                            <w:div w:id="95176867">
                                              <w:marLeft w:val="0"/>
                                              <w:marRight w:val="0"/>
                                              <w:marTop w:val="0"/>
                                              <w:marBottom w:val="0"/>
                                              <w:divBdr>
                                                <w:top w:val="none" w:sz="0" w:space="0" w:color="auto"/>
                                                <w:left w:val="none" w:sz="0" w:space="0" w:color="auto"/>
                                                <w:bottom w:val="none" w:sz="0" w:space="0" w:color="auto"/>
                                                <w:right w:val="none" w:sz="0" w:space="0" w:color="auto"/>
                                              </w:divBdr>
                                              <w:divsChild>
                                                <w:div w:id="981344675">
                                                  <w:marLeft w:val="150"/>
                                                  <w:marRight w:val="75"/>
                                                  <w:marTop w:val="0"/>
                                                  <w:marBottom w:val="0"/>
                                                  <w:divBdr>
                                                    <w:top w:val="none" w:sz="0" w:space="0" w:color="auto"/>
                                                    <w:left w:val="none" w:sz="0" w:space="0" w:color="auto"/>
                                                    <w:bottom w:val="none" w:sz="0" w:space="0" w:color="auto"/>
                                                    <w:right w:val="none" w:sz="0" w:space="0" w:color="auto"/>
                                                  </w:divBdr>
                                                  <w:divsChild>
                                                    <w:div w:id="769860118">
                                                      <w:marLeft w:val="0"/>
                                                      <w:marRight w:val="0"/>
                                                      <w:marTop w:val="0"/>
                                                      <w:marBottom w:val="0"/>
                                                      <w:divBdr>
                                                        <w:top w:val="none" w:sz="0" w:space="0" w:color="auto"/>
                                                        <w:left w:val="none" w:sz="0" w:space="0" w:color="auto"/>
                                                        <w:bottom w:val="none" w:sz="0" w:space="0" w:color="auto"/>
                                                        <w:right w:val="none" w:sz="0" w:space="0" w:color="auto"/>
                                                      </w:divBdr>
                                                      <w:divsChild>
                                                        <w:div w:id="440342994">
                                                          <w:marLeft w:val="0"/>
                                                          <w:marRight w:val="0"/>
                                                          <w:marTop w:val="0"/>
                                                          <w:marBottom w:val="0"/>
                                                          <w:divBdr>
                                                            <w:top w:val="none" w:sz="0" w:space="0" w:color="auto"/>
                                                            <w:left w:val="none" w:sz="0" w:space="0" w:color="auto"/>
                                                            <w:bottom w:val="none" w:sz="0" w:space="0" w:color="auto"/>
                                                            <w:right w:val="none" w:sz="0" w:space="0" w:color="auto"/>
                                                          </w:divBdr>
                                                          <w:divsChild>
                                                            <w:div w:id="1481117327">
                                                              <w:marLeft w:val="0"/>
                                                              <w:marRight w:val="0"/>
                                                              <w:marTop w:val="0"/>
                                                              <w:marBottom w:val="0"/>
                                                              <w:divBdr>
                                                                <w:top w:val="none" w:sz="0" w:space="0" w:color="auto"/>
                                                                <w:left w:val="none" w:sz="0" w:space="0" w:color="auto"/>
                                                                <w:bottom w:val="none" w:sz="0" w:space="0" w:color="auto"/>
                                                                <w:right w:val="none" w:sz="0" w:space="0" w:color="auto"/>
                                                              </w:divBdr>
                                                              <w:divsChild>
                                                                <w:div w:id="1921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s.org/publ/bcbs195.pdf" TargetMode="External"/><Relationship Id="rId117" Type="http://schemas.openxmlformats.org/officeDocument/2006/relationships/hyperlink" Target="http://www.bankofengland.co.uk/pra/Pages/publications/ps/2015/ps1015.aspx" TargetMode="External"/><Relationship Id="rId21" Type="http://schemas.openxmlformats.org/officeDocument/2006/relationships/hyperlink" Target="http://www.bis.org/publ/bcbs128.pdf" TargetMode="External"/><Relationship Id="rId42" Type="http://schemas.openxmlformats.org/officeDocument/2006/relationships/hyperlink" Target="https://www.imf.org/external/pubs/ft/wp/2011/wp11236.pdf" TargetMode="External"/><Relationship Id="rId47" Type="http://schemas.openxmlformats.org/officeDocument/2006/relationships/hyperlink" Target="http://ec.europa.eu/finance/general-policy/docs/de_larosiere_report_en.pdf" TargetMode="External"/><Relationship Id="rId63" Type="http://schemas.openxmlformats.org/officeDocument/2006/relationships/hyperlink" Target="http://www.bankofengland.co.uk/markets/Documents/femr/consultation271014.pdf" TargetMode="External"/><Relationship Id="rId68" Type="http://schemas.openxmlformats.org/officeDocument/2006/relationships/hyperlink" Target="http://www.fsa.gov.uk/pubs/discussion/dp7_progress-report.pdf" TargetMode="External"/><Relationship Id="rId84" Type="http://schemas.openxmlformats.org/officeDocument/2006/relationships/hyperlink" Target="http://core.ac.uk/download/pdf/6385940.pdf" TargetMode="External"/><Relationship Id="rId89" Type="http://schemas.openxmlformats.org/officeDocument/2006/relationships/hyperlink" Target="https://www.gov.uk/government/uploads/system/uploads/.../8545.pdf" TargetMode="External"/><Relationship Id="rId112" Type="http://schemas.openxmlformats.org/officeDocument/2006/relationships/hyperlink" Target="http://www.bankofengland.co.uk/pra/Documents/publications/cp/2014/cp2014.pdf" TargetMode="External"/><Relationship Id="rId133" Type="http://schemas.openxmlformats.org/officeDocument/2006/relationships/header" Target="header1.xml"/><Relationship Id="rId16" Type="http://schemas.openxmlformats.org/officeDocument/2006/relationships/hyperlink" Target="http://www.bis.org/publ/bcbs42.pdf" TargetMode="External"/><Relationship Id="rId107" Type="http://schemas.openxmlformats.org/officeDocument/2006/relationships/hyperlink" Target="http://www.bankofengland.co.uk/pra/Documents/publications/ps/2014/ps314.pdf" TargetMode="External"/><Relationship Id="rId11" Type="http://schemas.openxmlformats.org/officeDocument/2006/relationships/hyperlink" Target="http://www.bankofengland.co.uk/financialstability/Documents/fpc/keyelements.pdf" TargetMode="External"/><Relationship Id="rId32" Type="http://schemas.openxmlformats.org/officeDocument/2006/relationships/hyperlink" Target="http://www.bis.org/bcbs/publ/d319.htm" TargetMode="External"/><Relationship Id="rId37" Type="http://schemas.openxmlformats.org/officeDocument/2006/relationships/hyperlink" Target="https://www.gov.uk/government/uploads/system/uploads/attachment_data/file/235718/0198.pdf" TargetMode="External"/><Relationship Id="rId53" Type="http://schemas.openxmlformats.org/officeDocument/2006/relationships/hyperlink" Target="http://www.eba.europa.eu/documents/10180/1100516/EBA-RTS-2015-02+RTS+on+AMA+assesment.pdf/dfb43549-0bb2-4974-8c3b-a99da7cf983c" TargetMode="External"/><Relationship Id="rId58" Type="http://schemas.openxmlformats.org/officeDocument/2006/relationships/hyperlink" Target="http://eur-lex.europa.eu/legal-content/EN/TXT/PDF/?uri=CELEX:32013R0575&amp;from=EN" TargetMode="External"/><Relationship Id="rId74" Type="http://schemas.openxmlformats.org/officeDocument/2006/relationships/hyperlink" Target="http://www.fsa.gov.uk/pubs/other/nr_report.pdf" TargetMode="External"/><Relationship Id="rId79" Type="http://schemas.openxmlformats.org/officeDocument/2006/relationships/hyperlink" Target="http://www.financialstabilityboard.org/wp-content/uploads/r_130716a.pdf?page_moved=1" TargetMode="External"/><Relationship Id="rId102" Type="http://schemas.openxmlformats.org/officeDocument/2006/relationships/hyperlink" Target="http://www.amielandmelburn.org.uk/collections/mt/pdf/85_09_02d.pdf" TargetMode="External"/><Relationship Id="rId123" Type="http://schemas.openxmlformats.org/officeDocument/2006/relationships/hyperlink" Target="http://www.bankofengland.co.uk/pra/Documents/publications/ss/2015/ss2815.pdf" TargetMode="External"/><Relationship Id="rId128" Type="http://schemas.openxmlformats.org/officeDocument/2006/relationships/hyperlink" Target="http://www.fsa.gov.uk/pubs/other/turner_review.pdf" TargetMode="External"/><Relationship Id="rId5" Type="http://schemas.openxmlformats.org/officeDocument/2006/relationships/webSettings" Target="webSettings.xml"/><Relationship Id="rId90" Type="http://schemas.openxmlformats.org/officeDocument/2006/relationships/hyperlink" Target="https://www.gov.uk/government/uploads/system/uploads/attachment_data/file/245759/HoL_Policy_brief_-_Electrification_of_the_ring-fence.pdf" TargetMode="External"/><Relationship Id="rId95" Type="http://schemas.openxmlformats.org/officeDocument/2006/relationships/hyperlink" Target="http://webarchive.nationalarchives.gov.uk/20130129110402/http://www.hm-treasury.gov.uk/d/banking_commission_terms_of_reference.pdf" TargetMode="External"/><Relationship Id="rId14" Type="http://schemas.openxmlformats.org/officeDocument/2006/relationships/hyperlink" Target="http://www.bis.org/publ/bcbs24.pdf" TargetMode="External"/><Relationship Id="rId22" Type="http://schemas.openxmlformats.org/officeDocument/2006/relationships/hyperlink" Target="http://www.bis.org/publ/bcbs136.pdf" TargetMode="External"/><Relationship Id="rId27" Type="http://schemas.openxmlformats.org/officeDocument/2006/relationships/hyperlink" Target="http://www.bis.org/publ/bcbs238.htm" TargetMode="External"/><Relationship Id="rId30" Type="http://schemas.openxmlformats.org/officeDocument/2006/relationships/hyperlink" Target="http://www.bis.org/publ/bcbs291.htm" TargetMode="External"/><Relationship Id="rId35" Type="http://schemas.openxmlformats.org/officeDocument/2006/relationships/hyperlink" Target="https://www.bis.org/publ/bcbsc101.pdf" TargetMode="External"/><Relationship Id="rId43" Type="http://schemas.openxmlformats.org/officeDocument/2006/relationships/hyperlink" Target="http://www.eba.europa.eu/documents/10180/16094/ST_Guidelines.pdf" TargetMode="External"/><Relationship Id="rId48" Type="http://schemas.openxmlformats.org/officeDocument/2006/relationships/hyperlink" Target="http://www.deloitte.com/view/en_GB/uk/industries/financial-services/centre-regulatory-strategy/b414bf0026a7f310VgnVCM3000003456f70aRCRD.htm" TargetMode="External"/><Relationship Id="rId56" Type="http://schemas.openxmlformats.org/officeDocument/2006/relationships/hyperlink" Target="http://eur-lex.europa.eu/legal-content/EN/TXT/PDF/?uri=CELEX:32010R1093&amp;from=EN" TargetMode="External"/><Relationship Id="rId64" Type="http://schemas.openxmlformats.org/officeDocument/2006/relationships/hyperlink" Target="http://www.bankofengland.co.uk/markets/Documents/femrjun15.pdf" TargetMode="External"/><Relationship Id="rId69" Type="http://schemas.openxmlformats.org/officeDocument/2006/relationships/hyperlink" Target="http://www.fsac.org.uk/pubs/other/tcf_27072004.pdf" TargetMode="External"/><Relationship Id="rId77" Type="http://schemas.openxmlformats.org/officeDocument/2006/relationships/hyperlink" Target="http://www.fsa.gov.uk/pubs/other/rbs.pdf" TargetMode="External"/><Relationship Id="rId100" Type="http://schemas.openxmlformats.org/officeDocument/2006/relationships/hyperlink" Target="https://www.mayerbrown.com/.../update_volcker_vickers_feb14.pdf" TargetMode="External"/><Relationship Id="rId105" Type="http://schemas.openxmlformats.org/officeDocument/2006/relationships/hyperlink" Target="http://www.bankofengland.co.uk/pra/Documents/publications/ps/2013/ps713.pdf" TargetMode="External"/><Relationship Id="rId113" Type="http://schemas.openxmlformats.org/officeDocument/2006/relationships/hyperlink" Target="http://www.bankofengland.co.uk/pra/Documents/publications/cp/2014/cp2714.pdf" TargetMode="External"/><Relationship Id="rId118" Type="http://schemas.openxmlformats.org/officeDocument/2006/relationships/image" Target="media/image1.png"/><Relationship Id="rId126" Type="http://schemas.openxmlformats.org/officeDocument/2006/relationships/hyperlink" Target="http://www.barclays.com/content/dam/barclayspublic/documents/news/875-269-salz-review-04-2013.pdf" TargetMode="External"/><Relationship Id="rId134" Type="http://schemas.openxmlformats.org/officeDocument/2006/relationships/footer" Target="footer1.xml"/><Relationship Id="rId8" Type="http://schemas.openxmlformats.org/officeDocument/2006/relationships/hyperlink" Target="http://www2.lse.ac.uk/researchAndExpertise/units/CARR/pdf/Risk-culture-interim-report.pdf" TargetMode="External"/><Relationship Id="rId51" Type="http://schemas.openxmlformats.org/officeDocument/2006/relationships/hyperlink" Target="http://www.bankofengland.co.uk/pra/Pages/authorisations/waivers/default.aspx" TargetMode="External"/><Relationship Id="rId72" Type="http://schemas.openxmlformats.org/officeDocument/2006/relationships/hyperlink" Target="http://www.fsa.gov.uk/pubs/other/tcf_implementation.pdf" TargetMode="External"/><Relationship Id="rId80" Type="http://schemas.openxmlformats.org/officeDocument/2006/relationships/hyperlink" Target="http://www.financialstabilityboard.org/wp-content/uploads/r_130716b.pdf?page_moved=1" TargetMode="External"/><Relationship Id="rId85" Type="http://schemas.openxmlformats.org/officeDocument/2006/relationships/hyperlink" Target="http://www.group30.org/images/PDF/Financial_Reform-A_Framework_for_Financial_Stability.pdf" TargetMode="External"/><Relationship Id="rId93" Type="http://schemas.openxmlformats.org/officeDocument/2006/relationships/hyperlink" Target="http://www.publications.parliament.uk/pa/ld201314/ldhansard/text/131008-0001.htm" TargetMode="External"/><Relationship Id="rId98" Type="http://schemas.openxmlformats.org/officeDocument/2006/relationships/hyperlink" Target="http://www.iif.com/download.php?id=ukBoiNBO8UE" TargetMode="External"/><Relationship Id="rId121" Type="http://schemas.openxmlformats.org/officeDocument/2006/relationships/hyperlink" Target="http://www.bankofengland.co.uk/pra/Pages/publications/cp/2015/cp1815.aspx" TargetMode="External"/><Relationship Id="rId3" Type="http://schemas.openxmlformats.org/officeDocument/2006/relationships/styles" Target="styles.xml"/><Relationship Id="rId12" Type="http://schemas.openxmlformats.org/officeDocument/2006/relationships/hyperlink" Target="http://www.bankofengland.co.uk/publications/Documents/fsr/2014/fsrfull1406.pdf" TargetMode="External"/><Relationship Id="rId17" Type="http://schemas.openxmlformats.org/officeDocument/2006/relationships/hyperlink" Target="http://www.bis.org/publ/bcbs88.pdf" TargetMode="External"/><Relationship Id="rId25" Type="http://schemas.openxmlformats.org/officeDocument/2006/relationships/hyperlink" Target="http://www.bis.org/publ/bcbs188.pdf" TargetMode="External"/><Relationship Id="rId33" Type="http://schemas.openxmlformats.org/officeDocument/2006/relationships/hyperlink" Target="https://www.bis.org/bcbs/publ/d330.pdf" TargetMode="External"/><Relationship Id="rId38" Type="http://schemas.openxmlformats.org/officeDocument/2006/relationships/hyperlink" Target="http://www.lse.ac.uk/collections/law/wps/WPS2010-17_Black.pdf" TargetMode="External"/><Relationship Id="rId46" Type="http://schemas.openxmlformats.org/officeDocument/2006/relationships/hyperlink" Target="http://www.bankofengland.co.uk/publications/Documents/speeches/2015/speech836.pdf" TargetMode="External"/><Relationship Id="rId59" Type="http://schemas.openxmlformats.org/officeDocument/2006/relationships/hyperlink" Target="http://eur-lex.europa.eu/legal-content/EN/TXT/PDF/?uri=CELEX:32014R0604&amp;from=EN" TargetMode="External"/><Relationship Id="rId67" Type="http://schemas.openxmlformats.org/officeDocument/2006/relationships/hyperlink" Target="http://www.fsa.gov.uk/pubs/discussion/dp18.pdf" TargetMode="External"/><Relationship Id="rId103" Type="http://schemas.openxmlformats.org/officeDocument/2006/relationships/hyperlink" Target="http://www.parliament.uk/documents/banking-commission/Banking-final-report-volume-i.pdf" TargetMode="External"/><Relationship Id="rId108" Type="http://schemas.openxmlformats.org/officeDocument/2006/relationships/hyperlink" Target="http://www.bankofengland.co.uk/publications/Documents/praapproach/bankingappr1406.pdf" TargetMode="External"/><Relationship Id="rId116" Type="http://schemas.openxmlformats.org/officeDocument/2006/relationships/hyperlink" Target="http://www.bankofengland.co.uk/pra/Pages/publications/cp/2015/cp115.aspx" TargetMode="External"/><Relationship Id="rId124" Type="http://schemas.openxmlformats.org/officeDocument/2006/relationships/hyperlink" Target="http://www.bankofengland.co.uk/pra/Documents/publications/cp/2015/cp2415.pdf" TargetMode="External"/><Relationship Id="rId129" Type="http://schemas.openxmlformats.org/officeDocument/2006/relationships/hyperlink" Target="http://www.economics.ox.ac.uk/materials/papers/12467/paper632.pdf" TargetMode="External"/><Relationship Id="rId137" Type="http://schemas.openxmlformats.org/officeDocument/2006/relationships/theme" Target="theme/theme1.xml"/><Relationship Id="rId20" Type="http://schemas.openxmlformats.org/officeDocument/2006/relationships/hyperlink" Target="http://www.bis.org/publ/bcbs119.pdf" TargetMode="External"/><Relationship Id="rId41" Type="http://schemas.openxmlformats.org/officeDocument/2006/relationships/hyperlink" Target="http://www.fsa.gov.uk/pubs/occpapers/op16.pdf" TargetMode="External"/><Relationship Id="rId54" Type="http://schemas.openxmlformats.org/officeDocument/2006/relationships/hyperlink" Target="http://www.eba.europa.eu/documents/10180/1132900/EBA-RTS-2015-05+RTS+on+MREL+Criteria.pdf" TargetMode="External"/><Relationship Id="rId62" Type="http://schemas.openxmlformats.org/officeDocument/2006/relationships/hyperlink" Target="http://eur-lex.europa.eu/legal-content/EN/TXT/PDF/?uri=CELEX:52014PC0043&amp;from=EN" TargetMode="External"/><Relationship Id="rId70" Type="http://schemas.openxmlformats.org/officeDocument/2006/relationships/hyperlink" Target="http://www.fsa.gov.uk/pubs/other/tcf_06072005.pdf" TargetMode="External"/><Relationship Id="rId75" Type="http://schemas.openxmlformats.org/officeDocument/2006/relationships/hyperlink" Target="http://www.fsa.gov.uk/pubs/cp/cp08_22.pdf" TargetMode="External"/><Relationship Id="rId83" Type="http://schemas.openxmlformats.org/officeDocument/2006/relationships/hyperlink" Target="http://www.financialstabilityboard.org/publications/r_130717.pdf" TargetMode="External"/><Relationship Id="rId88" Type="http://schemas.openxmlformats.org/officeDocument/2006/relationships/hyperlink" Target="https://www.gov.uk/...data/.../whitepaper_banking_reform_140512.pdf" TargetMode="External"/><Relationship Id="rId91" Type="http://schemas.openxmlformats.org/officeDocument/2006/relationships/hyperlink" Target="https://www.gov.uk/government/uploads/system/uploads/attachment_data/file/447140/bank_of_england_bill_v3.pdf" TargetMode="External"/><Relationship Id="rId96" Type="http://schemas.openxmlformats.org/officeDocument/2006/relationships/hyperlink" Target="http://webarchive.nationalarchives.gov.uk/20131003105424/https:/hmt-sanctions.s3.amazonaws.com/ICB%20final%20report/ICB%2520Final%2520Report%5B1%5D.pdf" TargetMode="External"/><Relationship Id="rId111" Type="http://schemas.openxmlformats.org/officeDocument/2006/relationships/hyperlink" Target="http://www.bankofengland.co.uk/pra/Pages/publications/cp/2014/cp1914.aspx" TargetMode="External"/><Relationship Id="rId132" Type="http://schemas.openxmlformats.org/officeDocument/2006/relationships/hyperlink" Target="http://ssrn.com/abstract=14346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s.org/publ/bcbs40.pdf" TargetMode="External"/><Relationship Id="rId23" Type="http://schemas.openxmlformats.org/officeDocument/2006/relationships/hyperlink" Target="http://www.bis.org/publ/bcbs144.pdf" TargetMode="External"/><Relationship Id="rId28" Type="http://schemas.openxmlformats.org/officeDocument/2006/relationships/hyperlink" Target="http://www.bis.org/publ/bcbs272.pdf" TargetMode="External"/><Relationship Id="rId36" Type="http://schemas.openxmlformats.org/officeDocument/2006/relationships/hyperlink" Target="http://www.bis.org/publ/bcbs10a.pdf" TargetMode="External"/><Relationship Id="rId49" Type="http://schemas.openxmlformats.org/officeDocument/2006/relationships/hyperlink" Target="http://www.financialstabilityboard.org/wp-content/uploads/r_121029.pdf?page_moved=1" TargetMode="External"/><Relationship Id="rId57" Type="http://schemas.openxmlformats.org/officeDocument/2006/relationships/hyperlink" Target="http://eur-lex.europa.eu/LexUriServ/LexUriServ.do?uri=OJ:L:2013:176:0338:0436:En:PDF" TargetMode="External"/><Relationship Id="rId106" Type="http://schemas.openxmlformats.org/officeDocument/2006/relationships/hyperlink" Target="http://www.bankofengland.co.uk/pra/Documents/publications/ss/2013/ss613.pdf" TargetMode="External"/><Relationship Id="rId114" Type="http://schemas.openxmlformats.org/officeDocument/2006/relationships/hyperlink" Target="http://www.bankofengland.co.uk/pra/Pages/publications/cp/2014/cp2814.aspx" TargetMode="External"/><Relationship Id="rId119" Type="http://schemas.openxmlformats.org/officeDocument/2006/relationships/hyperlink" Target="http://www.bankofengland.co.uk/pra/Documents/publications/cp/2015/cp715.pdf" TargetMode="External"/><Relationship Id="rId127" Type="http://schemas.openxmlformats.org/officeDocument/2006/relationships/hyperlink" Target="http://ec.europa.eu/internal_market/bank/docs/high-level_expert_group/report_en.pdf" TargetMode="External"/><Relationship Id="rId10" Type="http://schemas.openxmlformats.org/officeDocument/2006/relationships/hyperlink" Target="http://www.bankofengland.co.uk/financialstability/fsc/Documents/discussionpaper1013.pdf" TargetMode="External"/><Relationship Id="rId31" Type="http://schemas.openxmlformats.org/officeDocument/2006/relationships/hyperlink" Target="http://www.bis.org/publ/bcbs292.pdf" TargetMode="External"/><Relationship Id="rId44" Type="http://schemas.openxmlformats.org/officeDocument/2006/relationships/hyperlink" Target="http://www.coso.org" TargetMode="External"/><Relationship Id="rId52" Type="http://schemas.openxmlformats.org/officeDocument/2006/relationships/hyperlink" Target="http://www.eba.europa.eu/documents/10180/1006707/JC+CP+2015+001+%28Joint+CP+on+draft+ITS+on+mapping+of+ECAIs+under+SII%29.pdf" TargetMode="External"/><Relationship Id="rId60" Type="http://schemas.openxmlformats.org/officeDocument/2006/relationships/hyperlink" Target="http://eur-lex.europa.eu/legal-content/EN/TXT/PDF/?uri=CELEX:32014L0049&amp;from=UK" TargetMode="External"/><Relationship Id="rId65" Type="http://schemas.openxmlformats.org/officeDocument/2006/relationships/hyperlink" Target="http://www.bankofengland.co.uk/financialstability/Documents/fpc/fs_lrr.pdf" TargetMode="External"/><Relationship Id="rId73" Type="http://schemas.openxmlformats.org/officeDocument/2006/relationships/hyperlink" Target="http://www.fsa.gov.uk/pubs/other/principles.pdf" TargetMode="External"/><Relationship Id="rId78" Type="http://schemas.openxmlformats.org/officeDocument/2006/relationships/hyperlink" Target="http://www.financialstabilityboard.org/wp-content/uploads/r_130411a.pdf?page_moved=1" TargetMode="External"/><Relationship Id="rId81" Type="http://schemas.openxmlformats.org/officeDocument/2006/relationships/hyperlink" Target="http://www.financialstabilityboard.org/wp-content/uploads/r_141015.pdf" TargetMode="External"/><Relationship Id="rId86" Type="http://schemas.openxmlformats.org/officeDocument/2006/relationships/hyperlink" Target="http://ec.europa.eu/internal_market/bank/docs/high-level_expert_group/report_en.pdf" TargetMode="External"/><Relationship Id="rId94" Type="http://schemas.openxmlformats.org/officeDocument/2006/relationships/hyperlink" Target="http://www.parliament.uk/documents/lords-committees/economic-affairs/cEAC-Ev1-30-06-15-JVandSB.pdf" TargetMode="External"/><Relationship Id="rId99" Type="http://schemas.openxmlformats.org/officeDocument/2006/relationships/hyperlink" Target="http://www.johnkay.com/wp-content/uploads/2009/12/JK-Narrow-Banking.pdf" TargetMode="External"/><Relationship Id="rId101" Type="http://schemas.openxmlformats.org/officeDocument/2006/relationships/hyperlink" Target="http://www.bankofengland.co.uk/financialstability/Documents/fpc/fspapers/fs_paper15.pdf" TargetMode="External"/><Relationship Id="rId122" Type="http://schemas.openxmlformats.org/officeDocument/2006/relationships/hyperlink" Target="http://www.bankofengland.co.uk/pra/Documents/publications/sop/2015/conditions.pdf" TargetMode="External"/><Relationship Id="rId130" Type="http://schemas.openxmlformats.org/officeDocument/2006/relationships/hyperlink" Target="https://www.imf.org/external/pubs/ft/sdn/2013/sdn1304.pdf"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nkofengland.co.uk/publications/Documents/quarterlybulletin/qb120405.pdf" TargetMode="External"/><Relationship Id="rId13" Type="http://schemas.openxmlformats.org/officeDocument/2006/relationships/hyperlink" Target="http://www.bankingstandardsboard.org.uk/assets/docs/may2014report.pdf" TargetMode="External"/><Relationship Id="rId18" Type="http://schemas.openxmlformats.org/officeDocument/2006/relationships/hyperlink" Target="http://www.bis.org/publ/bcbs96.pdf" TargetMode="External"/><Relationship Id="rId39" Type="http://schemas.openxmlformats.org/officeDocument/2006/relationships/hyperlink" Target="https://www.gov.uk/government/uploads/system/uploads/attachment_data/file/235622/0673.pdf" TargetMode="External"/><Relationship Id="rId109" Type="http://schemas.openxmlformats.org/officeDocument/2006/relationships/hyperlink" Target="http://www.bankofengland.co.uk/pra/Documents/publications/ps/2014/ps314.pdf" TargetMode="External"/><Relationship Id="rId34" Type="http://schemas.openxmlformats.org/officeDocument/2006/relationships/hyperlink" Target="http://www.bis.org/publ/bcbs04a.pdf" TargetMode="External"/><Relationship Id="rId50" Type="http://schemas.openxmlformats.org/officeDocument/2006/relationships/hyperlink" Target="http://www.eba.europa.eu/documents/10180/935249/EBA-GL-2014-13+%28Guidelines+on+SREP+methodologies+and+processes%29.pdf/4b842c7e-3294-4947-94cd-ad7f94405d66" TargetMode="External"/><Relationship Id="rId55" Type="http://schemas.openxmlformats.org/officeDocument/2006/relationships/hyperlink" Target="http://ec.europa.eu/internal_market/finances/docs/committees/071120_final_report_en.pdf" TargetMode="External"/><Relationship Id="rId76" Type="http://schemas.openxmlformats.org/officeDocument/2006/relationships/hyperlink" Target="http://www.fsa.gov.uk/pubs/policy/ps09_16.pdf" TargetMode="External"/><Relationship Id="rId97" Type="http://schemas.openxmlformats.org/officeDocument/2006/relationships/hyperlink" Target="http://www.imf.org/external/pubs/ft/gfsr/2012/02/pdf/text.pdf" TargetMode="External"/><Relationship Id="rId104" Type="http://schemas.openxmlformats.org/officeDocument/2006/relationships/hyperlink" Target="http://www.lse.ac.uk/accounting/CARR/pdf/final-risk-culture-report.pdf" TargetMode="External"/><Relationship Id="rId120" Type="http://schemas.openxmlformats.org/officeDocument/2006/relationships/hyperlink" Target="http://www.bankofengland.co.uk/pra/Pages/publications/ps/2015/ps1615.aspx" TargetMode="External"/><Relationship Id="rId125" Type="http://schemas.openxmlformats.org/officeDocument/2006/relationships/hyperlink" Target="http://www.bankofengland.co.uk/pra/Documents/supervision/enforcementnotices/en110815.pdf" TargetMode="External"/><Relationship Id="rId7" Type="http://schemas.openxmlformats.org/officeDocument/2006/relationships/endnotes" Target="endnotes.xml"/><Relationship Id="rId71" Type="http://schemas.openxmlformats.org/officeDocument/2006/relationships/hyperlink" Target="http://www.fca.org.uk/static/fca/documents/fsa-tcf-towards.pdf" TargetMode="External"/><Relationship Id="rId92" Type="http://schemas.openxmlformats.org/officeDocument/2006/relationships/hyperlink" Target="http://www.parliament.uk/business/committees/committees-a-z/lords-select/economic-affairs-committee/news/icb-report/" TargetMode="External"/><Relationship Id="rId2" Type="http://schemas.openxmlformats.org/officeDocument/2006/relationships/numbering" Target="numbering.xml"/><Relationship Id="rId29" Type="http://schemas.openxmlformats.org/officeDocument/2006/relationships/hyperlink" Target="http://www.bis.org/bcbs/publ/d307.pdf" TargetMode="External"/><Relationship Id="rId24" Type="http://schemas.openxmlformats.org/officeDocument/2006/relationships/hyperlink" Target="http://www.bis.org/publ/bcbs189.pdf" TargetMode="External"/><Relationship Id="rId40" Type="http://schemas.openxmlformats.org/officeDocument/2006/relationships/hyperlink" Target="http://ssrn.com/abstract=428086" TargetMode="External"/><Relationship Id="rId45" Type="http://schemas.openxmlformats.org/officeDocument/2006/relationships/hyperlink" Target="http://www.coso.org" TargetMode="External"/><Relationship Id="rId66" Type="http://schemas.openxmlformats.org/officeDocument/2006/relationships/hyperlink" Target="https://www.frc.org.uk/Our-Work/Publications/Corporate-Governance/UK-Corporate-Governance-Code-2014.pdf" TargetMode="External"/><Relationship Id="rId87" Type="http://schemas.openxmlformats.org/officeDocument/2006/relationships/hyperlink" Target="https://www.gov.uk/government/uploads/system/uploads/attachment_data/file/31585/govt_response_to_icb_191211.pdf" TargetMode="External"/><Relationship Id="rId110" Type="http://schemas.openxmlformats.org/officeDocument/2006/relationships/hyperlink" Target="http://www.bankofengland.co.uk/pra/Pages/publications/cp/2014/cp1414.aspx" TargetMode="External"/><Relationship Id="rId115" Type="http://schemas.openxmlformats.org/officeDocument/2006/relationships/hyperlink" Target="http://www.bankofengland.co.uk/pra/Documents/publications/cp/2014/dp114.pdf" TargetMode="External"/><Relationship Id="rId131" Type="http://schemas.openxmlformats.org/officeDocument/2006/relationships/hyperlink" Target="http://www.hm-treasury.gov.uk/d/walker_review_261109.pdf" TargetMode="External"/><Relationship Id="rId136" Type="http://schemas.openxmlformats.org/officeDocument/2006/relationships/fontTable" Target="fontTable.xml"/><Relationship Id="rId61" Type="http://schemas.openxmlformats.org/officeDocument/2006/relationships/hyperlink" Target="http://eur-lex.europa.eu/legal-content/EN/TXT/PDF/?uri=CELEX:32014L0059&amp;from=EN" TargetMode="External"/><Relationship Id="rId82" Type="http://schemas.openxmlformats.org/officeDocument/2006/relationships/hyperlink" Target="http://www.financialstabilityboard.org/publications/r_130212.pdf" TargetMode="External"/><Relationship Id="rId19" Type="http://schemas.openxmlformats.org/officeDocument/2006/relationships/hyperlink" Target="http://www.bis.org/publ/bcbs10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uksi/2014/1960/pdfs/uksi_20141960_en.pdf" TargetMode="External"/><Relationship Id="rId13" Type="http://schemas.openxmlformats.org/officeDocument/2006/relationships/hyperlink" Target="http://www.bankofengland.co.uk/pra/Pages/authorisations/newfirm/default.aspx" TargetMode="External"/><Relationship Id="rId3" Type="http://schemas.openxmlformats.org/officeDocument/2006/relationships/hyperlink" Target="http://uk.businessinsider.com/ex-barclays-sir-david-walker-warns-bank-ringfencing-will-cause-irrevocable-damage-to-britains-economy-2015-6" TargetMode="External"/><Relationship Id="rId7" Type="http://schemas.openxmlformats.org/officeDocument/2006/relationships/hyperlink" Target="http://www.reuters.com/article/2015/06/15/eu-banks-regulations-idUSL5N0Z13LF20150615" TargetMode="External"/><Relationship Id="rId12" Type="http://schemas.openxmlformats.org/officeDocument/2006/relationships/hyperlink" Target="http://www.ft.com/cms/s/0/29f03582-1f3c-11e5-aa5a-398b2169cf79.html" TargetMode="External"/><Relationship Id="rId17" Type="http://schemas.openxmlformats.org/officeDocument/2006/relationships/hyperlink" Target="http://www.prarulebook.co.uk/" TargetMode="External"/><Relationship Id="rId2" Type="http://schemas.openxmlformats.org/officeDocument/2006/relationships/hyperlink" Target="http://www.hm-treasury.gov.uk/d/banking_commission_terms_of_reference" TargetMode="External"/><Relationship Id="rId16" Type="http://schemas.openxmlformats.org/officeDocument/2006/relationships/hyperlink" Target="http://www.bankofengland.co.uk/pra/Pages/authorisations/waivers/default.aspx" TargetMode="External"/><Relationship Id="rId1" Type="http://schemas.openxmlformats.org/officeDocument/2006/relationships/hyperlink" Target="http://www.telegraph.co.uk/finance/newsbysector/banksandfinance/11646546/Former-Barclays-chairman-Bank-ring-fence-is-redundant-and-should-be-scrapped.html" TargetMode="External"/><Relationship Id="rId6" Type="http://schemas.openxmlformats.org/officeDocument/2006/relationships/hyperlink" Target="https://www.fdic.gov/" TargetMode="External"/><Relationship Id="rId11" Type="http://schemas.openxmlformats.org/officeDocument/2006/relationships/hyperlink" Target="http://www.telegraph.co.uk/finance/newsbysector/epic/lloy/11678621/Lloyds-boss-to-support-bank-ring-fence.html" TargetMode="External"/><Relationship Id="rId5" Type="http://schemas.openxmlformats.org/officeDocument/2006/relationships/hyperlink" Target="http://www.telegraph.co.uk/finance/newsbysector/banksandfinance/11754271/George-Osborne-we-will-not-backtrack-on-ring-fence-rules.html" TargetMode="External"/><Relationship Id="rId15" Type="http://schemas.openxmlformats.org/officeDocument/2006/relationships/hyperlink" Target="http://archive.labour.org.uk/parliamentary-commission-on-banking-standards-report" TargetMode="External"/><Relationship Id="rId10" Type="http://schemas.openxmlformats.org/officeDocument/2006/relationships/hyperlink" Target="http://www.telegraph.co.uk/finance/newsbysector/banksandfinance/11708964/We-have-better-things-to-do-than-implement-the-ring-fence-says-HSBC.html" TargetMode="External"/><Relationship Id="rId4" Type="http://schemas.openxmlformats.org/officeDocument/2006/relationships/hyperlink" Target="http://www.ibtimes.co.uk/hsbc-may-cut-run-thanks-bank-levies-ring-fencing-1505205" TargetMode="External"/><Relationship Id="rId9" Type="http://schemas.openxmlformats.org/officeDocument/2006/relationships/hyperlink" Target="http://www.legislation.gov.uk/uksi/2014/2080/pdfs/uksi_20142080_en.pdf" TargetMode="External"/><Relationship Id="rId14" Type="http://schemas.openxmlformats.org/officeDocument/2006/relationships/hyperlink" Target="http://www.consilium.europa.eu/uedocs/cms_data/docs/pressdata/en/ecofin/1402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CB09-D222-476F-83D4-D2EC4F47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22557</Words>
  <Characters>137863</Characters>
  <Application>Microsoft Office Word</Application>
  <DocSecurity>12</DocSecurity>
  <Lines>1148</Lines>
  <Paragraphs>320</Paragraphs>
  <ScaleCrop>false</ScaleCrop>
  <HeadingPairs>
    <vt:vector size="2" baseType="variant">
      <vt:variant>
        <vt:lpstr>Title</vt:lpstr>
      </vt:variant>
      <vt:variant>
        <vt:i4>1</vt:i4>
      </vt:variant>
    </vt:vector>
  </HeadingPairs>
  <TitlesOfParts>
    <vt:vector size="1" baseType="lpstr">
      <vt:lpstr>PhD Thesis Document</vt:lpstr>
    </vt:vector>
  </TitlesOfParts>
  <Company>Abbey National PLC</Company>
  <LinksUpToDate>false</LinksUpToDate>
  <CharactersWithSpaces>160100</CharactersWithSpaces>
  <SharedDoc>false</SharedDoc>
  <HLinks>
    <vt:vector size="348" baseType="variant">
      <vt:variant>
        <vt:i4>4390940</vt:i4>
      </vt:variant>
      <vt:variant>
        <vt:i4>249</vt:i4>
      </vt:variant>
      <vt:variant>
        <vt:i4>0</vt:i4>
      </vt:variant>
      <vt:variant>
        <vt:i4>5</vt:i4>
      </vt:variant>
      <vt:variant>
        <vt:lpwstr>http://ssrn.com/abstract=1434680</vt:lpwstr>
      </vt:variant>
      <vt:variant>
        <vt:lpwstr/>
      </vt:variant>
      <vt:variant>
        <vt:i4>8061038</vt:i4>
      </vt:variant>
      <vt:variant>
        <vt:i4>246</vt:i4>
      </vt:variant>
      <vt:variant>
        <vt:i4>0</vt:i4>
      </vt:variant>
      <vt:variant>
        <vt:i4>5</vt:i4>
      </vt:variant>
      <vt:variant>
        <vt:lpwstr>http://www.hm-treasury.gov.uk/d/walker_review_261109.pdf</vt:lpwstr>
      </vt:variant>
      <vt:variant>
        <vt:lpwstr/>
      </vt:variant>
      <vt:variant>
        <vt:i4>1966087</vt:i4>
      </vt:variant>
      <vt:variant>
        <vt:i4>243</vt:i4>
      </vt:variant>
      <vt:variant>
        <vt:i4>0</vt:i4>
      </vt:variant>
      <vt:variant>
        <vt:i4>5</vt:i4>
      </vt:variant>
      <vt:variant>
        <vt:lpwstr>https://www.imf.org/external/pubs/ft/sdn/2013/sdn1304.pdf</vt:lpwstr>
      </vt:variant>
      <vt:variant>
        <vt:lpwstr/>
      </vt:variant>
      <vt:variant>
        <vt:i4>4522086</vt:i4>
      </vt:variant>
      <vt:variant>
        <vt:i4>240</vt:i4>
      </vt:variant>
      <vt:variant>
        <vt:i4>0</vt:i4>
      </vt:variant>
      <vt:variant>
        <vt:i4>5</vt:i4>
      </vt:variant>
      <vt:variant>
        <vt:lpwstr>http://www.fsa.gov.uk/pubs/other/turner_review.pdf</vt:lpwstr>
      </vt:variant>
      <vt:variant>
        <vt:lpwstr/>
      </vt:variant>
      <vt:variant>
        <vt:i4>8323152</vt:i4>
      </vt:variant>
      <vt:variant>
        <vt:i4>237</vt:i4>
      </vt:variant>
      <vt:variant>
        <vt:i4>0</vt:i4>
      </vt:variant>
      <vt:variant>
        <vt:i4>5</vt:i4>
      </vt:variant>
      <vt:variant>
        <vt:lpwstr>http://www.fsa.gov.uk/library/communication/speeches/2010/1004_hs.shtml</vt:lpwstr>
      </vt:variant>
      <vt:variant>
        <vt:lpwstr/>
      </vt:variant>
      <vt:variant>
        <vt:i4>5308468</vt:i4>
      </vt:variant>
      <vt:variant>
        <vt:i4>234</vt:i4>
      </vt:variant>
      <vt:variant>
        <vt:i4>0</vt:i4>
      </vt:variant>
      <vt:variant>
        <vt:i4>5</vt:i4>
      </vt:variant>
      <vt:variant>
        <vt:lpwstr>http://www.fsa.gov.uk/pages/Library/Communication/Speeches/2010/0617_hs.shtml</vt:lpwstr>
      </vt:variant>
      <vt:variant>
        <vt:lpwstr/>
      </vt:variant>
      <vt:variant>
        <vt:i4>5505049</vt:i4>
      </vt:variant>
      <vt:variant>
        <vt:i4>231</vt:i4>
      </vt:variant>
      <vt:variant>
        <vt:i4>0</vt:i4>
      </vt:variant>
      <vt:variant>
        <vt:i4>5</vt:i4>
      </vt:variant>
      <vt:variant>
        <vt:lpwstr>http://www.barclays.com/content/dam/barclayspublic/documents/news/875-269-salz-review-04-2013.pdf</vt:lpwstr>
      </vt:variant>
      <vt:variant>
        <vt:lpwstr/>
      </vt:variant>
      <vt:variant>
        <vt:i4>1966168</vt:i4>
      </vt:variant>
      <vt:variant>
        <vt:i4>228</vt:i4>
      </vt:variant>
      <vt:variant>
        <vt:i4>0</vt:i4>
      </vt:variant>
      <vt:variant>
        <vt:i4>5</vt:i4>
      </vt:variant>
      <vt:variant>
        <vt:lpwstr>http://www.bankofengland.co.uk/pra/Pages/publications/cp/2015/cp1815.aspx</vt:lpwstr>
      </vt:variant>
      <vt:variant>
        <vt:lpwstr/>
      </vt:variant>
      <vt:variant>
        <vt:i4>1048664</vt:i4>
      </vt:variant>
      <vt:variant>
        <vt:i4>225</vt:i4>
      </vt:variant>
      <vt:variant>
        <vt:i4>0</vt:i4>
      </vt:variant>
      <vt:variant>
        <vt:i4>5</vt:i4>
      </vt:variant>
      <vt:variant>
        <vt:lpwstr>http://www.bankofengland.co.uk/pra/Pages/publications/ps/2015/ps1615.aspx</vt:lpwstr>
      </vt:variant>
      <vt:variant>
        <vt:lpwstr/>
      </vt:variant>
      <vt:variant>
        <vt:i4>6946936</vt:i4>
      </vt:variant>
      <vt:variant>
        <vt:i4>222</vt:i4>
      </vt:variant>
      <vt:variant>
        <vt:i4>0</vt:i4>
      </vt:variant>
      <vt:variant>
        <vt:i4>5</vt:i4>
      </vt:variant>
      <vt:variant>
        <vt:lpwstr>http://www.bankofengland.co.uk/pra/Documents/publications/cp/2015/cp715.pdf</vt:lpwstr>
      </vt:variant>
      <vt:variant>
        <vt:lpwstr/>
      </vt:variant>
      <vt:variant>
        <vt:i4>1441880</vt:i4>
      </vt:variant>
      <vt:variant>
        <vt:i4>216</vt:i4>
      </vt:variant>
      <vt:variant>
        <vt:i4>0</vt:i4>
      </vt:variant>
      <vt:variant>
        <vt:i4>5</vt:i4>
      </vt:variant>
      <vt:variant>
        <vt:lpwstr>http://www.bankofengland.co.uk/pra/Pages/publications/ps/2015/ps1015.aspx</vt:lpwstr>
      </vt:variant>
      <vt:variant>
        <vt:lpwstr/>
      </vt:variant>
      <vt:variant>
        <vt:i4>1441808</vt:i4>
      </vt:variant>
      <vt:variant>
        <vt:i4>213</vt:i4>
      </vt:variant>
      <vt:variant>
        <vt:i4>0</vt:i4>
      </vt:variant>
      <vt:variant>
        <vt:i4>5</vt:i4>
      </vt:variant>
      <vt:variant>
        <vt:lpwstr>http://www.bankofengland.co.uk/pra/Pages/publications/cp/2015/cp115.aspx</vt:lpwstr>
      </vt:variant>
      <vt:variant>
        <vt:lpwstr/>
      </vt:variant>
      <vt:variant>
        <vt:i4>6946937</vt:i4>
      </vt:variant>
      <vt:variant>
        <vt:i4>210</vt:i4>
      </vt:variant>
      <vt:variant>
        <vt:i4>0</vt:i4>
      </vt:variant>
      <vt:variant>
        <vt:i4>5</vt:i4>
      </vt:variant>
      <vt:variant>
        <vt:lpwstr>http://www.bankofengland.co.uk/pra/Documents/publications/cp/2014/dp114.pdf</vt:lpwstr>
      </vt:variant>
      <vt:variant>
        <vt:lpwstr/>
      </vt:variant>
      <vt:variant>
        <vt:i4>2031706</vt:i4>
      </vt:variant>
      <vt:variant>
        <vt:i4>207</vt:i4>
      </vt:variant>
      <vt:variant>
        <vt:i4>0</vt:i4>
      </vt:variant>
      <vt:variant>
        <vt:i4>5</vt:i4>
      </vt:variant>
      <vt:variant>
        <vt:lpwstr>http://www.bankofengland.co.uk/pra/Pages/publications/cp/2014/cp2814.aspx</vt:lpwstr>
      </vt:variant>
      <vt:variant>
        <vt:lpwstr/>
      </vt:variant>
      <vt:variant>
        <vt:i4>262210</vt:i4>
      </vt:variant>
      <vt:variant>
        <vt:i4>204</vt:i4>
      </vt:variant>
      <vt:variant>
        <vt:i4>0</vt:i4>
      </vt:variant>
      <vt:variant>
        <vt:i4>5</vt:i4>
      </vt:variant>
      <vt:variant>
        <vt:lpwstr>http://www.bankofengland.co.uk/pra/Documents/publications/cp/2014/cp2714.pdf</vt:lpwstr>
      </vt:variant>
      <vt:variant>
        <vt:lpwstr/>
      </vt:variant>
      <vt:variant>
        <vt:i4>196674</vt:i4>
      </vt:variant>
      <vt:variant>
        <vt:i4>201</vt:i4>
      </vt:variant>
      <vt:variant>
        <vt:i4>0</vt:i4>
      </vt:variant>
      <vt:variant>
        <vt:i4>5</vt:i4>
      </vt:variant>
      <vt:variant>
        <vt:lpwstr>http://www.bankofengland.co.uk/pra/Documents/publications/cp/2014/cp2014.pdf</vt:lpwstr>
      </vt:variant>
      <vt:variant>
        <vt:lpwstr/>
      </vt:variant>
      <vt:variant>
        <vt:i4>1966169</vt:i4>
      </vt:variant>
      <vt:variant>
        <vt:i4>198</vt:i4>
      </vt:variant>
      <vt:variant>
        <vt:i4>0</vt:i4>
      </vt:variant>
      <vt:variant>
        <vt:i4>5</vt:i4>
      </vt:variant>
      <vt:variant>
        <vt:lpwstr>http://www.bankofengland.co.uk/pra/Pages/publications/cp/2014/cp1914.aspx</vt:lpwstr>
      </vt:variant>
      <vt:variant>
        <vt:lpwstr/>
      </vt:variant>
      <vt:variant>
        <vt:i4>1245273</vt:i4>
      </vt:variant>
      <vt:variant>
        <vt:i4>195</vt:i4>
      </vt:variant>
      <vt:variant>
        <vt:i4>0</vt:i4>
      </vt:variant>
      <vt:variant>
        <vt:i4>5</vt:i4>
      </vt:variant>
      <vt:variant>
        <vt:lpwstr>http://www.bankofengland.co.uk/pra/Pages/publications/cp/2014/cp1414.aspx</vt:lpwstr>
      </vt:variant>
      <vt:variant>
        <vt:lpwstr/>
      </vt:variant>
      <vt:variant>
        <vt:i4>2424881</vt:i4>
      </vt:variant>
      <vt:variant>
        <vt:i4>192</vt:i4>
      </vt:variant>
      <vt:variant>
        <vt:i4>0</vt:i4>
      </vt:variant>
      <vt:variant>
        <vt:i4>5</vt:i4>
      </vt:variant>
      <vt:variant>
        <vt:lpwstr>http://www.parliament.uk/documents/banking-commission/Banking-final-report-volume-i.pdf</vt:lpwstr>
      </vt:variant>
      <vt:variant>
        <vt:lpwstr/>
      </vt:variant>
      <vt:variant>
        <vt:i4>6225944</vt:i4>
      </vt:variant>
      <vt:variant>
        <vt:i4>189</vt:i4>
      </vt:variant>
      <vt:variant>
        <vt:i4>0</vt:i4>
      </vt:variant>
      <vt:variant>
        <vt:i4>5</vt:i4>
      </vt:variant>
      <vt:variant>
        <vt:lpwstr>http://www.amielandmelburn.org.uk/collections/mt/pdf/85_09_02d.pdf</vt:lpwstr>
      </vt:variant>
      <vt:variant>
        <vt:lpwstr/>
      </vt:variant>
      <vt:variant>
        <vt:i4>1835128</vt:i4>
      </vt:variant>
      <vt:variant>
        <vt:i4>186</vt:i4>
      </vt:variant>
      <vt:variant>
        <vt:i4>0</vt:i4>
      </vt:variant>
      <vt:variant>
        <vt:i4>5</vt:i4>
      </vt:variant>
      <vt:variant>
        <vt:lpwstr>https://www.mayerbrown.com/.../update_volcker_vickers_feb14.pdf</vt:lpwstr>
      </vt:variant>
      <vt:variant>
        <vt:lpwstr/>
      </vt:variant>
      <vt:variant>
        <vt:i4>7143543</vt:i4>
      </vt:variant>
      <vt:variant>
        <vt:i4>183</vt:i4>
      </vt:variant>
      <vt:variant>
        <vt:i4>0</vt:i4>
      </vt:variant>
      <vt:variant>
        <vt:i4>5</vt:i4>
      </vt:variant>
      <vt:variant>
        <vt:lpwstr>http://www.johnkay.com/wp-content/uploads/2009/12/JK-Narrow-Banking.pdf</vt:lpwstr>
      </vt:variant>
      <vt:variant>
        <vt:lpwstr/>
      </vt:variant>
      <vt:variant>
        <vt:i4>6815865</vt:i4>
      </vt:variant>
      <vt:variant>
        <vt:i4>180</vt:i4>
      </vt:variant>
      <vt:variant>
        <vt:i4>0</vt:i4>
      </vt:variant>
      <vt:variant>
        <vt:i4>5</vt:i4>
      </vt:variant>
      <vt:variant>
        <vt:lpwstr>http://www.iif.com/download.php?id=ukBoiNBO8UE</vt:lpwstr>
      </vt:variant>
      <vt:variant>
        <vt:lpwstr/>
      </vt:variant>
      <vt:variant>
        <vt:i4>2556017</vt:i4>
      </vt:variant>
      <vt:variant>
        <vt:i4>177</vt:i4>
      </vt:variant>
      <vt:variant>
        <vt:i4>0</vt:i4>
      </vt:variant>
      <vt:variant>
        <vt:i4>5</vt:i4>
      </vt:variant>
      <vt:variant>
        <vt:lpwstr>http://webarchive.nationalarchives.gov.uk/20131003105424/https:/hmt-sanctions.s3.amazonaws.com/ICB final report/ICB%2520Final%2520Report%5B1%5D.pdf</vt:lpwstr>
      </vt:variant>
      <vt:variant>
        <vt:lpwstr/>
      </vt:variant>
      <vt:variant>
        <vt:i4>4784143</vt:i4>
      </vt:variant>
      <vt:variant>
        <vt:i4>174</vt:i4>
      </vt:variant>
      <vt:variant>
        <vt:i4>0</vt:i4>
      </vt:variant>
      <vt:variant>
        <vt:i4>5</vt:i4>
      </vt:variant>
      <vt:variant>
        <vt:lpwstr>http://www.parliament.uk/business/committees/committees-a-z/lords-select/economic-affairs-committee/news/icb-report/</vt:lpwstr>
      </vt:variant>
      <vt:variant>
        <vt:lpwstr/>
      </vt:variant>
      <vt:variant>
        <vt:i4>5505050</vt:i4>
      </vt:variant>
      <vt:variant>
        <vt:i4>171</vt:i4>
      </vt:variant>
      <vt:variant>
        <vt:i4>0</vt:i4>
      </vt:variant>
      <vt:variant>
        <vt:i4>5</vt:i4>
      </vt:variant>
      <vt:variant>
        <vt:lpwstr>https://www.gov.uk/government/uploads/system/uploads/.../8545.pdf</vt:lpwstr>
      </vt:variant>
      <vt:variant>
        <vt:lpwstr/>
      </vt:variant>
      <vt:variant>
        <vt:i4>6553613</vt:i4>
      </vt:variant>
      <vt:variant>
        <vt:i4>168</vt:i4>
      </vt:variant>
      <vt:variant>
        <vt:i4>0</vt:i4>
      </vt:variant>
      <vt:variant>
        <vt:i4>5</vt:i4>
      </vt:variant>
      <vt:variant>
        <vt:lpwstr>https://www.gov.uk/...data/.../whitepaper_banking_reform_140512.pdf</vt:lpwstr>
      </vt:variant>
      <vt:variant>
        <vt:lpwstr/>
      </vt:variant>
      <vt:variant>
        <vt:i4>6094955</vt:i4>
      </vt:variant>
      <vt:variant>
        <vt:i4>165</vt:i4>
      </vt:variant>
      <vt:variant>
        <vt:i4>0</vt:i4>
      </vt:variant>
      <vt:variant>
        <vt:i4>5</vt:i4>
      </vt:variant>
      <vt:variant>
        <vt:lpwstr>http://www.group30.org/images/PDF/Financial_Reform-A_Framework_for_Financial_Stability.pdf</vt:lpwstr>
      </vt:variant>
      <vt:variant>
        <vt:lpwstr/>
      </vt:variant>
      <vt:variant>
        <vt:i4>6357061</vt:i4>
      </vt:variant>
      <vt:variant>
        <vt:i4>162</vt:i4>
      </vt:variant>
      <vt:variant>
        <vt:i4>0</vt:i4>
      </vt:variant>
      <vt:variant>
        <vt:i4>5</vt:i4>
      </vt:variant>
      <vt:variant>
        <vt:lpwstr>http://www.financialstabilityboard.org/publications/r_130212.pdf</vt:lpwstr>
      </vt:variant>
      <vt:variant>
        <vt:lpwstr/>
      </vt:variant>
      <vt:variant>
        <vt:i4>3211326</vt:i4>
      </vt:variant>
      <vt:variant>
        <vt:i4>159</vt:i4>
      </vt:variant>
      <vt:variant>
        <vt:i4>0</vt:i4>
      </vt:variant>
      <vt:variant>
        <vt:i4>5</vt:i4>
      </vt:variant>
      <vt:variant>
        <vt:lpwstr>http://www.fsa.gov.uk/pubs/other/principles.pdf</vt:lpwstr>
      </vt:variant>
      <vt:variant>
        <vt:lpwstr/>
      </vt:variant>
      <vt:variant>
        <vt:i4>3801100</vt:i4>
      </vt:variant>
      <vt:variant>
        <vt:i4>156</vt:i4>
      </vt:variant>
      <vt:variant>
        <vt:i4>0</vt:i4>
      </vt:variant>
      <vt:variant>
        <vt:i4>5</vt:i4>
      </vt:variant>
      <vt:variant>
        <vt:lpwstr>http://www.fsa.gov.uk/pubs/other/tcf_implementation.pdf</vt:lpwstr>
      </vt:variant>
      <vt:variant>
        <vt:lpwstr/>
      </vt:variant>
      <vt:variant>
        <vt:i4>7077926</vt:i4>
      </vt:variant>
      <vt:variant>
        <vt:i4>153</vt:i4>
      </vt:variant>
      <vt:variant>
        <vt:i4>0</vt:i4>
      </vt:variant>
      <vt:variant>
        <vt:i4>5</vt:i4>
      </vt:variant>
      <vt:variant>
        <vt:lpwstr>http://www.fca.org.uk/static/fca/documents/fsa-tcf-towards.pdf</vt:lpwstr>
      </vt:variant>
      <vt:variant>
        <vt:lpwstr/>
      </vt:variant>
      <vt:variant>
        <vt:i4>5111916</vt:i4>
      </vt:variant>
      <vt:variant>
        <vt:i4>150</vt:i4>
      </vt:variant>
      <vt:variant>
        <vt:i4>0</vt:i4>
      </vt:variant>
      <vt:variant>
        <vt:i4>5</vt:i4>
      </vt:variant>
      <vt:variant>
        <vt:lpwstr>http://www.fsa.gov.uk/pubs/other/tcf_06072005.pdf</vt:lpwstr>
      </vt:variant>
      <vt:variant>
        <vt:lpwstr/>
      </vt:variant>
      <vt:variant>
        <vt:i4>1572921</vt:i4>
      </vt:variant>
      <vt:variant>
        <vt:i4>147</vt:i4>
      </vt:variant>
      <vt:variant>
        <vt:i4>0</vt:i4>
      </vt:variant>
      <vt:variant>
        <vt:i4>5</vt:i4>
      </vt:variant>
      <vt:variant>
        <vt:lpwstr>http://www.fsac.org.uk/pubs/other/tcf_27072004.pdf</vt:lpwstr>
      </vt:variant>
      <vt:variant>
        <vt:lpwstr/>
      </vt:variant>
      <vt:variant>
        <vt:i4>2490378</vt:i4>
      </vt:variant>
      <vt:variant>
        <vt:i4>144</vt:i4>
      </vt:variant>
      <vt:variant>
        <vt:i4>0</vt:i4>
      </vt:variant>
      <vt:variant>
        <vt:i4>5</vt:i4>
      </vt:variant>
      <vt:variant>
        <vt:lpwstr>http://www.fsa.gov.uk/pubs/discussion/dp7_progress-report.pdf</vt:lpwstr>
      </vt:variant>
      <vt:variant>
        <vt:lpwstr/>
      </vt:variant>
      <vt:variant>
        <vt:i4>7209083</vt:i4>
      </vt:variant>
      <vt:variant>
        <vt:i4>141</vt:i4>
      </vt:variant>
      <vt:variant>
        <vt:i4>0</vt:i4>
      </vt:variant>
      <vt:variant>
        <vt:i4>5</vt:i4>
      </vt:variant>
      <vt:variant>
        <vt:lpwstr>http://www.fsa.gov.uk/pubs/discussion/dp18.pdf</vt:lpwstr>
      </vt:variant>
      <vt:variant>
        <vt:lpwstr/>
      </vt:variant>
      <vt:variant>
        <vt:i4>720911</vt:i4>
      </vt:variant>
      <vt:variant>
        <vt:i4>138</vt:i4>
      </vt:variant>
      <vt:variant>
        <vt:i4>0</vt:i4>
      </vt:variant>
      <vt:variant>
        <vt:i4>5</vt:i4>
      </vt:variant>
      <vt:variant>
        <vt:lpwstr>http://www.frc.org.uk/FRC-Documents/FRC/Guidance-on-Board-Effectiveness.aspx</vt:lpwstr>
      </vt:variant>
      <vt:variant>
        <vt:lpwstr/>
      </vt:variant>
      <vt:variant>
        <vt:i4>70</vt:i4>
      </vt:variant>
      <vt:variant>
        <vt:i4>135</vt:i4>
      </vt:variant>
      <vt:variant>
        <vt:i4>0</vt:i4>
      </vt:variant>
      <vt:variant>
        <vt:i4>5</vt:i4>
      </vt:variant>
      <vt:variant>
        <vt:lpwstr>http://www.bankofengland.co.uk/markets/Documents/femr/consultation271014.pdf</vt:lpwstr>
      </vt:variant>
      <vt:variant>
        <vt:lpwstr/>
      </vt:variant>
      <vt:variant>
        <vt:i4>3604595</vt:i4>
      </vt:variant>
      <vt:variant>
        <vt:i4>132</vt:i4>
      </vt:variant>
      <vt:variant>
        <vt:i4>0</vt:i4>
      </vt:variant>
      <vt:variant>
        <vt:i4>5</vt:i4>
      </vt:variant>
      <vt:variant>
        <vt:lpwstr>http://ec.europa.eu/internal_market/finances/docs/committees/071120_final_report_en.pdf</vt:lpwstr>
      </vt:variant>
      <vt:variant>
        <vt:lpwstr/>
      </vt:variant>
      <vt:variant>
        <vt:i4>5308462</vt:i4>
      </vt:variant>
      <vt:variant>
        <vt:i4>129</vt:i4>
      </vt:variant>
      <vt:variant>
        <vt:i4>0</vt:i4>
      </vt:variant>
      <vt:variant>
        <vt:i4>5</vt:i4>
      </vt:variant>
      <vt:variant>
        <vt:lpwstr>http://ec.europa.eu/finance/general-policy/docs/de_larosiere_report_en.pdf</vt:lpwstr>
      </vt:variant>
      <vt:variant>
        <vt:lpwstr/>
      </vt:variant>
      <vt:variant>
        <vt:i4>4718680</vt:i4>
      </vt:variant>
      <vt:variant>
        <vt:i4>126</vt:i4>
      </vt:variant>
      <vt:variant>
        <vt:i4>0</vt:i4>
      </vt:variant>
      <vt:variant>
        <vt:i4>5</vt:i4>
      </vt:variant>
      <vt:variant>
        <vt:lpwstr>http://www.coso.org/</vt:lpwstr>
      </vt:variant>
      <vt:variant>
        <vt:lpwstr/>
      </vt:variant>
      <vt:variant>
        <vt:i4>4718680</vt:i4>
      </vt:variant>
      <vt:variant>
        <vt:i4>123</vt:i4>
      </vt:variant>
      <vt:variant>
        <vt:i4>0</vt:i4>
      </vt:variant>
      <vt:variant>
        <vt:i4>5</vt:i4>
      </vt:variant>
      <vt:variant>
        <vt:lpwstr>http://www.coso.org/</vt:lpwstr>
      </vt:variant>
      <vt:variant>
        <vt:lpwstr/>
      </vt:variant>
      <vt:variant>
        <vt:i4>5832726</vt:i4>
      </vt:variant>
      <vt:variant>
        <vt:i4>120</vt:i4>
      </vt:variant>
      <vt:variant>
        <vt:i4>0</vt:i4>
      </vt:variant>
      <vt:variant>
        <vt:i4>5</vt:i4>
      </vt:variant>
      <vt:variant>
        <vt:lpwstr>http://www.bankofengland.co.uk/publications/Documents/speeches/2014/speech731.pdf</vt:lpwstr>
      </vt:variant>
      <vt:variant>
        <vt:lpwstr/>
      </vt:variant>
      <vt:variant>
        <vt:i4>4587535</vt:i4>
      </vt:variant>
      <vt:variant>
        <vt:i4>117</vt:i4>
      </vt:variant>
      <vt:variant>
        <vt:i4>0</vt:i4>
      </vt:variant>
      <vt:variant>
        <vt:i4>5</vt:i4>
      </vt:variant>
      <vt:variant>
        <vt:lpwstr>http://www.bankofcanada.ca/wp-content/uploads/2013/02/remarks-250213.pdf</vt:lpwstr>
      </vt:variant>
      <vt:variant>
        <vt:lpwstr/>
      </vt:variant>
      <vt:variant>
        <vt:i4>3407900</vt:i4>
      </vt:variant>
      <vt:variant>
        <vt:i4>114</vt:i4>
      </vt:variant>
      <vt:variant>
        <vt:i4>0</vt:i4>
      </vt:variant>
      <vt:variant>
        <vt:i4>5</vt:i4>
      </vt:variant>
      <vt:variant>
        <vt:lpwstr>http://www.lse.ac.uk/collections/law/wps/WPS2010-17_Black.pdf</vt:lpwstr>
      </vt:variant>
      <vt:variant>
        <vt:lpwstr/>
      </vt:variant>
      <vt:variant>
        <vt:i4>720901</vt:i4>
      </vt:variant>
      <vt:variant>
        <vt:i4>111</vt:i4>
      </vt:variant>
      <vt:variant>
        <vt:i4>0</vt:i4>
      </vt:variant>
      <vt:variant>
        <vt:i4>5</vt:i4>
      </vt:variant>
      <vt:variant>
        <vt:lpwstr>http://www.bis.org/bcbs/publ/d319.htm</vt:lpwstr>
      </vt:variant>
      <vt:variant>
        <vt:lpwstr/>
      </vt:variant>
      <vt:variant>
        <vt:i4>8126520</vt:i4>
      </vt:variant>
      <vt:variant>
        <vt:i4>108</vt:i4>
      </vt:variant>
      <vt:variant>
        <vt:i4>0</vt:i4>
      </vt:variant>
      <vt:variant>
        <vt:i4>5</vt:i4>
      </vt:variant>
      <vt:variant>
        <vt:lpwstr>http://www.bis.org/publ/bcbs291.htm</vt:lpwstr>
      </vt:variant>
      <vt:variant>
        <vt:lpwstr/>
      </vt:variant>
      <vt:variant>
        <vt:i4>1703955</vt:i4>
      </vt:variant>
      <vt:variant>
        <vt:i4>105</vt:i4>
      </vt:variant>
      <vt:variant>
        <vt:i4>0</vt:i4>
      </vt:variant>
      <vt:variant>
        <vt:i4>5</vt:i4>
      </vt:variant>
      <vt:variant>
        <vt:lpwstr>http://www.bis.org/bcbs/publ/d307.pdf</vt:lpwstr>
      </vt:variant>
      <vt:variant>
        <vt:lpwstr/>
      </vt:variant>
      <vt:variant>
        <vt:i4>6422563</vt:i4>
      </vt:variant>
      <vt:variant>
        <vt:i4>102</vt:i4>
      </vt:variant>
      <vt:variant>
        <vt:i4>0</vt:i4>
      </vt:variant>
      <vt:variant>
        <vt:i4>5</vt:i4>
      </vt:variant>
      <vt:variant>
        <vt:lpwstr>http://www.bis.org/publ/bcbs272.pdf</vt:lpwstr>
      </vt:variant>
      <vt:variant>
        <vt:lpwstr/>
      </vt:variant>
      <vt:variant>
        <vt:i4>6357030</vt:i4>
      </vt:variant>
      <vt:variant>
        <vt:i4>99</vt:i4>
      </vt:variant>
      <vt:variant>
        <vt:i4>0</vt:i4>
      </vt:variant>
      <vt:variant>
        <vt:i4>5</vt:i4>
      </vt:variant>
      <vt:variant>
        <vt:lpwstr>http://www.bis.org/publ/bcbs144.pdf</vt:lpwstr>
      </vt:variant>
      <vt:variant>
        <vt:lpwstr/>
      </vt:variant>
      <vt:variant>
        <vt:i4>6684708</vt:i4>
      </vt:variant>
      <vt:variant>
        <vt:i4>96</vt:i4>
      </vt:variant>
      <vt:variant>
        <vt:i4>0</vt:i4>
      </vt:variant>
      <vt:variant>
        <vt:i4>5</vt:i4>
      </vt:variant>
      <vt:variant>
        <vt:lpwstr>http://www.bis.org/publ/bcbs136.pdf</vt:lpwstr>
      </vt:variant>
      <vt:variant>
        <vt:lpwstr/>
      </vt:variant>
      <vt:variant>
        <vt:i4>7733297</vt:i4>
      </vt:variant>
      <vt:variant>
        <vt:i4>93</vt:i4>
      </vt:variant>
      <vt:variant>
        <vt:i4>0</vt:i4>
      </vt:variant>
      <vt:variant>
        <vt:i4>5</vt:i4>
      </vt:variant>
      <vt:variant>
        <vt:lpwstr>http://www.bis.org/publ/bcbs238.htm</vt:lpwstr>
      </vt:variant>
      <vt:variant>
        <vt:lpwstr/>
      </vt:variant>
      <vt:variant>
        <vt:i4>7143466</vt:i4>
      </vt:variant>
      <vt:variant>
        <vt:i4>90</vt:i4>
      </vt:variant>
      <vt:variant>
        <vt:i4>0</vt:i4>
      </vt:variant>
      <vt:variant>
        <vt:i4>5</vt:i4>
      </vt:variant>
      <vt:variant>
        <vt:lpwstr>http://www.bis.org/publ/bcbs188.pdf</vt:lpwstr>
      </vt:variant>
      <vt:variant>
        <vt:lpwstr/>
      </vt:variant>
      <vt:variant>
        <vt:i4>1441804</vt:i4>
      </vt:variant>
      <vt:variant>
        <vt:i4>87</vt:i4>
      </vt:variant>
      <vt:variant>
        <vt:i4>0</vt:i4>
      </vt:variant>
      <vt:variant>
        <vt:i4>5</vt:i4>
      </vt:variant>
      <vt:variant>
        <vt:lpwstr>http://www.bankingstandardsboard.org.uk/assets/docs/may2014report.pdf</vt:lpwstr>
      </vt:variant>
      <vt:variant>
        <vt:lpwstr/>
      </vt:variant>
      <vt:variant>
        <vt:i4>1769544</vt:i4>
      </vt:variant>
      <vt:variant>
        <vt:i4>84</vt:i4>
      </vt:variant>
      <vt:variant>
        <vt:i4>0</vt:i4>
      </vt:variant>
      <vt:variant>
        <vt:i4>5</vt:i4>
      </vt:variant>
      <vt:variant>
        <vt:lpwstr>http://www.bankofengland.co.uk/publications/Documents/quarterlybulletin/qb120405.pdf</vt:lpwstr>
      </vt:variant>
      <vt:variant>
        <vt:lpwstr/>
      </vt:variant>
      <vt:variant>
        <vt:i4>4259921</vt:i4>
      </vt:variant>
      <vt:variant>
        <vt:i4>81</vt:i4>
      </vt:variant>
      <vt:variant>
        <vt:i4>0</vt:i4>
      </vt:variant>
      <vt:variant>
        <vt:i4>5</vt:i4>
      </vt:variant>
      <vt:variant>
        <vt:lpwstr>http://www2.lse.ac.uk/researchAndExpertise/units/CARR/pdf/Risk-culture-interim-report.pdf</vt:lpwstr>
      </vt:variant>
      <vt:variant>
        <vt:lpwstr/>
      </vt:variant>
      <vt:variant>
        <vt:i4>1769554</vt:i4>
      </vt:variant>
      <vt:variant>
        <vt:i4>3</vt:i4>
      </vt:variant>
      <vt:variant>
        <vt:i4>0</vt:i4>
      </vt:variant>
      <vt:variant>
        <vt:i4>5</vt:i4>
      </vt:variant>
      <vt:variant>
        <vt:lpwstr>http://www.hm-treasury.gov.uk/d/banking_commission_terms_of_reference</vt:lpwstr>
      </vt:variant>
      <vt:variant>
        <vt:lpwstr/>
      </vt:variant>
      <vt:variant>
        <vt:i4>6160398</vt:i4>
      </vt:variant>
      <vt:variant>
        <vt:i4>0</vt:i4>
      </vt:variant>
      <vt:variant>
        <vt:i4>0</vt:i4>
      </vt:variant>
      <vt:variant>
        <vt:i4>5</vt:i4>
      </vt:variant>
      <vt:variant>
        <vt:lpwstr>https://www.fdic.gov/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Thesis Document</dc:title>
  <dc:creator>Peter McCormack</dc:creator>
  <cp:lastModifiedBy>Christian Otta</cp:lastModifiedBy>
  <cp:revision>2</cp:revision>
  <cp:lastPrinted>2010-06-16T17:49:00Z</cp:lastPrinted>
  <dcterms:created xsi:type="dcterms:W3CDTF">2015-09-04T13:21:00Z</dcterms:created>
  <dcterms:modified xsi:type="dcterms:W3CDTF">2015-09-04T13:21:00Z</dcterms:modified>
</cp:coreProperties>
</file>