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A7E" w:rsidRDefault="000C4A7E"/>
    <w:p w:rsidR="00E275AA" w:rsidRPr="00E275AA" w:rsidRDefault="00E275AA" w:rsidP="00E275AA">
      <w:pPr>
        <w:spacing w:before="120" w:after="120" w:line="360" w:lineRule="auto"/>
        <w:jc w:val="both"/>
        <w:rPr>
          <w:rFonts w:ascii="Arial" w:hAnsi="Arial" w:cs="Arial"/>
          <w:sz w:val="24"/>
          <w:szCs w:val="24"/>
          <w:shd w:val="clear" w:color="auto" w:fill="FFFFFF"/>
          <w:lang w:eastAsia="en-GB"/>
        </w:rPr>
      </w:pPr>
    </w:p>
    <w:p w:rsidR="00E275AA" w:rsidRPr="00E275AA" w:rsidRDefault="00E275AA" w:rsidP="00E275AA">
      <w:pPr>
        <w:spacing w:before="120" w:after="120" w:line="360" w:lineRule="auto"/>
        <w:jc w:val="center"/>
        <w:rPr>
          <w:rFonts w:ascii="Arial" w:hAnsi="Arial" w:cs="Arial"/>
          <w:b/>
          <w:sz w:val="32"/>
          <w:szCs w:val="24"/>
          <w:shd w:val="clear" w:color="auto" w:fill="FFFFFF"/>
          <w:lang w:eastAsia="en-GB"/>
        </w:rPr>
      </w:pPr>
      <w:r w:rsidRPr="00E275AA">
        <w:rPr>
          <w:rFonts w:ascii="Arial" w:hAnsi="Arial" w:cs="Arial"/>
          <w:b/>
          <w:sz w:val="32"/>
          <w:szCs w:val="24"/>
          <w:shd w:val="clear" w:color="auto" w:fill="FFFFFF"/>
          <w:lang w:eastAsia="en-GB"/>
        </w:rPr>
        <w:t>Institute of Advanced Legal Studies</w:t>
      </w:r>
    </w:p>
    <w:p w:rsidR="00E275AA" w:rsidRPr="00E275AA" w:rsidRDefault="00E275AA" w:rsidP="00E275AA">
      <w:pPr>
        <w:spacing w:before="120" w:after="120" w:line="360" w:lineRule="auto"/>
        <w:jc w:val="center"/>
        <w:rPr>
          <w:rFonts w:ascii="Arial" w:hAnsi="Arial" w:cs="Arial"/>
          <w:b/>
          <w:sz w:val="24"/>
          <w:szCs w:val="24"/>
          <w:shd w:val="clear" w:color="auto" w:fill="FFFFFF"/>
          <w:lang w:eastAsia="en-GB"/>
        </w:rPr>
      </w:pPr>
      <w:r w:rsidRPr="00E275AA">
        <w:rPr>
          <w:rFonts w:ascii="Calibri" w:eastAsia="Calibri" w:hAnsi="Calibri"/>
          <w:noProof/>
          <w:sz w:val="22"/>
          <w:szCs w:val="22"/>
          <w:lang w:eastAsia="en-GB"/>
        </w:rPr>
        <w:drawing>
          <wp:inline distT="0" distB="0" distL="0" distR="0" wp14:anchorId="50F298A8" wp14:editId="05D73C40">
            <wp:extent cx="1341912" cy="1341912"/>
            <wp:effectExtent l="0" t="0" r="0" b="0"/>
            <wp:docPr id="1" name="Picture 1" descr="http://ials.sas.ac.uk/events/docs/IALS_logo_WhtOn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ls.sas.ac.uk/events/docs/IALS_logo_WhtOnBl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0912" cy="1340912"/>
                    </a:xfrm>
                    <a:prstGeom prst="rect">
                      <a:avLst/>
                    </a:prstGeom>
                    <a:noFill/>
                    <a:ln>
                      <a:noFill/>
                    </a:ln>
                  </pic:spPr>
                </pic:pic>
              </a:graphicData>
            </a:graphic>
          </wp:inline>
        </w:drawing>
      </w:r>
    </w:p>
    <w:p w:rsidR="00E275AA" w:rsidRPr="00E275AA" w:rsidRDefault="00E275AA" w:rsidP="00E275AA">
      <w:pPr>
        <w:spacing w:before="120" w:after="120" w:line="360" w:lineRule="auto"/>
        <w:jc w:val="center"/>
        <w:rPr>
          <w:rFonts w:ascii="Arial" w:hAnsi="Arial" w:cs="Arial"/>
          <w:sz w:val="24"/>
          <w:szCs w:val="24"/>
          <w:shd w:val="clear" w:color="auto" w:fill="FFFFFF"/>
          <w:lang w:eastAsia="en-GB"/>
        </w:rPr>
      </w:pPr>
    </w:p>
    <w:p w:rsidR="00E275AA" w:rsidRPr="00E275AA" w:rsidRDefault="00E275AA" w:rsidP="00E275AA">
      <w:pPr>
        <w:spacing w:before="120" w:after="120" w:line="360" w:lineRule="auto"/>
        <w:jc w:val="center"/>
        <w:rPr>
          <w:rFonts w:ascii="Arial" w:hAnsi="Arial" w:cs="Arial"/>
          <w:sz w:val="28"/>
          <w:szCs w:val="24"/>
          <w:shd w:val="clear" w:color="auto" w:fill="FFFFFF"/>
          <w:lang w:eastAsia="en-GB"/>
        </w:rPr>
      </w:pPr>
      <w:r w:rsidRPr="00E275AA">
        <w:rPr>
          <w:rFonts w:ascii="Arial" w:hAnsi="Arial" w:cs="Arial"/>
          <w:sz w:val="28"/>
          <w:szCs w:val="24"/>
          <w:shd w:val="clear" w:color="auto" w:fill="FFFFFF"/>
          <w:lang w:eastAsia="en-GB"/>
        </w:rPr>
        <w:t>De-risking; assessing the consequences of enhanced anti-money laundering and counter terrorist-financing regulation on access to finance.</w:t>
      </w:r>
    </w:p>
    <w:p w:rsidR="00E275AA" w:rsidRPr="00E275AA" w:rsidRDefault="00E275AA" w:rsidP="00E275AA">
      <w:pPr>
        <w:spacing w:before="120" w:after="120" w:line="360" w:lineRule="auto"/>
        <w:jc w:val="center"/>
        <w:rPr>
          <w:rFonts w:ascii="Arial" w:hAnsi="Arial" w:cs="Arial"/>
          <w:sz w:val="24"/>
          <w:szCs w:val="24"/>
          <w:shd w:val="clear" w:color="auto" w:fill="FFFFFF"/>
          <w:lang w:eastAsia="en-GB"/>
        </w:rPr>
      </w:pPr>
    </w:p>
    <w:p w:rsidR="00E275AA" w:rsidRPr="00E275AA" w:rsidRDefault="00E275AA" w:rsidP="00E275AA">
      <w:pPr>
        <w:spacing w:before="120" w:after="120" w:line="360" w:lineRule="auto"/>
        <w:jc w:val="center"/>
        <w:rPr>
          <w:rFonts w:ascii="Arial" w:hAnsi="Arial" w:cs="Arial"/>
          <w:b/>
          <w:sz w:val="24"/>
          <w:szCs w:val="24"/>
          <w:shd w:val="clear" w:color="auto" w:fill="FFFFFF"/>
          <w:lang w:eastAsia="en-GB"/>
        </w:rPr>
      </w:pPr>
      <w:r w:rsidRPr="00E275AA">
        <w:rPr>
          <w:rFonts w:ascii="Arial" w:hAnsi="Arial" w:cs="Arial"/>
          <w:sz w:val="24"/>
          <w:szCs w:val="24"/>
          <w:shd w:val="clear" w:color="auto" w:fill="FFFFFF"/>
          <w:lang w:eastAsia="en-GB"/>
        </w:rPr>
        <w:br/>
      </w:r>
    </w:p>
    <w:p w:rsidR="00E275AA" w:rsidRPr="00E275AA" w:rsidRDefault="00E275AA" w:rsidP="00E275AA">
      <w:pPr>
        <w:spacing w:before="120" w:after="120" w:line="360" w:lineRule="auto"/>
        <w:jc w:val="center"/>
        <w:rPr>
          <w:rFonts w:ascii="Arial" w:hAnsi="Arial" w:cs="Arial"/>
          <w:b/>
          <w:sz w:val="24"/>
          <w:szCs w:val="24"/>
          <w:shd w:val="clear" w:color="auto" w:fill="FFFFFF"/>
          <w:lang w:eastAsia="en-GB"/>
        </w:rPr>
      </w:pPr>
      <w:r w:rsidRPr="00E275AA">
        <w:rPr>
          <w:rFonts w:ascii="Arial" w:hAnsi="Arial" w:cs="Arial"/>
          <w:b/>
          <w:sz w:val="24"/>
          <w:szCs w:val="24"/>
          <w:shd w:val="clear" w:color="auto" w:fill="FFFFFF"/>
          <w:lang w:eastAsia="en-GB"/>
        </w:rPr>
        <w:t xml:space="preserve">Student Reference Number </w:t>
      </w:r>
      <w:r w:rsidRPr="00E275AA">
        <w:rPr>
          <w:rFonts w:ascii="Arial" w:hAnsi="Arial" w:cs="Arial"/>
          <w:b/>
          <w:sz w:val="24"/>
          <w:szCs w:val="24"/>
          <w:shd w:val="clear" w:color="auto" w:fill="FFFFFF"/>
          <w:lang w:eastAsia="en-GB"/>
        </w:rPr>
        <w:br/>
      </w:r>
      <w:bookmarkStart w:id="0" w:name="_GoBack"/>
      <w:r w:rsidRPr="00E275AA">
        <w:rPr>
          <w:rFonts w:ascii="Arial" w:hAnsi="Arial" w:cs="Arial"/>
          <w:sz w:val="24"/>
          <w:szCs w:val="24"/>
          <w:shd w:val="clear" w:color="auto" w:fill="FFFFFF"/>
          <w:lang w:eastAsia="en-GB"/>
        </w:rPr>
        <w:t>1442295</w:t>
      </w:r>
      <w:bookmarkEnd w:id="0"/>
      <w:r w:rsidRPr="00E275AA">
        <w:rPr>
          <w:rFonts w:ascii="Arial" w:hAnsi="Arial" w:cs="Arial"/>
          <w:sz w:val="24"/>
          <w:szCs w:val="24"/>
          <w:shd w:val="clear" w:color="auto" w:fill="FFFFFF"/>
          <w:lang w:eastAsia="en-GB"/>
        </w:rPr>
        <w:br/>
      </w:r>
    </w:p>
    <w:p w:rsidR="00E275AA" w:rsidRPr="00E275AA" w:rsidRDefault="00E275AA" w:rsidP="00E275AA">
      <w:pPr>
        <w:spacing w:before="120" w:after="120" w:line="360" w:lineRule="auto"/>
        <w:jc w:val="center"/>
        <w:rPr>
          <w:rFonts w:ascii="Arial" w:hAnsi="Arial" w:cs="Arial"/>
          <w:sz w:val="24"/>
          <w:szCs w:val="24"/>
          <w:shd w:val="clear" w:color="auto" w:fill="FFFFFF"/>
          <w:lang w:eastAsia="en-GB"/>
        </w:rPr>
      </w:pPr>
      <w:r w:rsidRPr="00E275AA">
        <w:rPr>
          <w:rFonts w:ascii="Arial" w:hAnsi="Arial" w:cs="Arial"/>
          <w:b/>
          <w:sz w:val="24"/>
          <w:szCs w:val="24"/>
          <w:shd w:val="clear" w:color="auto" w:fill="FFFFFF"/>
          <w:lang w:eastAsia="en-GB"/>
        </w:rPr>
        <w:t>Supervisor</w:t>
      </w:r>
      <w:r w:rsidRPr="00E275AA">
        <w:rPr>
          <w:rFonts w:ascii="Arial" w:hAnsi="Arial" w:cs="Arial"/>
          <w:sz w:val="24"/>
          <w:szCs w:val="24"/>
          <w:shd w:val="clear" w:color="auto" w:fill="FFFFFF"/>
          <w:lang w:eastAsia="en-GB"/>
        </w:rPr>
        <w:br/>
        <w:t xml:space="preserve"> Dr Mahood Bagheri </w:t>
      </w:r>
    </w:p>
    <w:p w:rsidR="00E275AA" w:rsidRPr="00E275AA" w:rsidRDefault="00E275AA" w:rsidP="00E275AA">
      <w:pPr>
        <w:spacing w:before="120" w:after="120" w:line="360" w:lineRule="auto"/>
        <w:jc w:val="both"/>
        <w:rPr>
          <w:rFonts w:ascii="Arial" w:hAnsi="Arial" w:cs="Arial"/>
          <w:sz w:val="24"/>
          <w:szCs w:val="24"/>
          <w:shd w:val="clear" w:color="auto" w:fill="FFFFFF"/>
          <w:lang w:eastAsia="en-GB"/>
        </w:rPr>
      </w:pPr>
    </w:p>
    <w:p w:rsidR="00E275AA" w:rsidRPr="00E275AA" w:rsidRDefault="00E275AA" w:rsidP="00E275AA">
      <w:pPr>
        <w:spacing w:before="120" w:after="120" w:line="360" w:lineRule="auto"/>
        <w:jc w:val="center"/>
        <w:rPr>
          <w:rFonts w:ascii="Arial" w:hAnsi="Arial" w:cs="Arial"/>
          <w:sz w:val="24"/>
          <w:szCs w:val="24"/>
          <w:shd w:val="clear" w:color="auto" w:fill="FFFFFF"/>
          <w:lang w:eastAsia="en-GB"/>
        </w:rPr>
      </w:pPr>
      <w:r w:rsidRPr="00E275AA">
        <w:rPr>
          <w:rFonts w:ascii="Arial" w:hAnsi="Arial" w:cs="Arial"/>
          <w:b/>
          <w:sz w:val="24"/>
          <w:szCs w:val="24"/>
          <w:shd w:val="clear" w:color="auto" w:fill="FFFFFF"/>
          <w:lang w:eastAsia="en-GB"/>
        </w:rPr>
        <w:t>Academic Year:</w:t>
      </w:r>
      <w:r w:rsidRPr="00E275AA">
        <w:rPr>
          <w:rFonts w:ascii="Arial" w:hAnsi="Arial" w:cs="Arial"/>
          <w:sz w:val="24"/>
          <w:szCs w:val="24"/>
          <w:shd w:val="clear" w:color="auto" w:fill="FFFFFF"/>
          <w:lang w:eastAsia="en-GB"/>
        </w:rPr>
        <w:t xml:space="preserve"> 2014-2015</w:t>
      </w:r>
    </w:p>
    <w:p w:rsidR="00E275AA" w:rsidRPr="00E275AA" w:rsidRDefault="00E275AA" w:rsidP="00E275AA">
      <w:pPr>
        <w:spacing w:before="120" w:after="120" w:line="360" w:lineRule="auto"/>
        <w:jc w:val="center"/>
        <w:rPr>
          <w:rFonts w:ascii="Arial" w:hAnsi="Arial" w:cs="Arial"/>
          <w:sz w:val="24"/>
          <w:szCs w:val="24"/>
          <w:shd w:val="clear" w:color="auto" w:fill="FFFFFF"/>
          <w:lang w:eastAsia="en-GB"/>
        </w:rPr>
      </w:pPr>
    </w:p>
    <w:p w:rsidR="00E275AA" w:rsidRPr="00E275AA" w:rsidRDefault="00E275AA" w:rsidP="00E275AA">
      <w:pPr>
        <w:spacing w:before="120" w:after="120" w:line="360" w:lineRule="auto"/>
        <w:jc w:val="center"/>
        <w:rPr>
          <w:rFonts w:ascii="Arial" w:hAnsi="Arial" w:cs="Arial"/>
          <w:b/>
          <w:sz w:val="24"/>
          <w:szCs w:val="24"/>
          <w:shd w:val="clear" w:color="auto" w:fill="FFFFFF"/>
          <w:lang w:eastAsia="en-GB"/>
        </w:rPr>
      </w:pPr>
      <w:r w:rsidRPr="00745BB5">
        <w:rPr>
          <w:rFonts w:ascii="Arial" w:hAnsi="Arial" w:cs="Arial"/>
          <w:b/>
          <w:sz w:val="24"/>
          <w:szCs w:val="24"/>
          <w:shd w:val="clear" w:color="auto" w:fill="FFFFFF"/>
          <w:lang w:eastAsia="en-GB"/>
        </w:rPr>
        <w:t xml:space="preserve">Word Count </w:t>
      </w:r>
      <w:r w:rsidR="00745BB5" w:rsidRPr="00745BB5">
        <w:rPr>
          <w:rFonts w:ascii="Arial" w:hAnsi="Arial" w:cs="Arial"/>
          <w:b/>
          <w:sz w:val="24"/>
          <w:szCs w:val="24"/>
          <w:shd w:val="clear" w:color="auto" w:fill="FFFFFF"/>
          <w:lang w:eastAsia="en-GB"/>
        </w:rPr>
        <w:t>14,998</w:t>
      </w:r>
    </w:p>
    <w:p w:rsidR="00E275AA" w:rsidRPr="00E275AA" w:rsidRDefault="00E275AA" w:rsidP="00E275AA">
      <w:pPr>
        <w:spacing w:before="120" w:after="120" w:line="360" w:lineRule="auto"/>
        <w:jc w:val="center"/>
        <w:rPr>
          <w:rFonts w:ascii="Arial" w:hAnsi="Arial" w:cs="Arial"/>
          <w:sz w:val="24"/>
          <w:szCs w:val="24"/>
          <w:shd w:val="clear" w:color="auto" w:fill="FFFFFF"/>
          <w:lang w:eastAsia="en-GB"/>
        </w:rPr>
      </w:pPr>
      <w:r w:rsidRPr="00E275AA">
        <w:rPr>
          <w:rFonts w:ascii="Arial" w:hAnsi="Arial" w:cs="Arial"/>
          <w:sz w:val="24"/>
          <w:szCs w:val="24"/>
          <w:shd w:val="clear" w:color="auto" w:fill="FFFFFF"/>
          <w:lang w:eastAsia="en-GB"/>
        </w:rPr>
        <w:t xml:space="preserve">Submitted in Support of the degree of; </w:t>
      </w:r>
    </w:p>
    <w:p w:rsidR="00E275AA" w:rsidRPr="00E275AA" w:rsidRDefault="00E275AA" w:rsidP="00E275AA">
      <w:pPr>
        <w:spacing w:before="120" w:after="120" w:line="360" w:lineRule="auto"/>
        <w:jc w:val="center"/>
        <w:rPr>
          <w:rFonts w:ascii="Arial" w:hAnsi="Arial" w:cs="Arial"/>
          <w:sz w:val="24"/>
          <w:szCs w:val="24"/>
          <w:shd w:val="clear" w:color="auto" w:fill="FFFFFF"/>
          <w:lang w:eastAsia="en-GB"/>
        </w:rPr>
      </w:pPr>
      <w:r w:rsidRPr="00E275AA">
        <w:rPr>
          <w:rFonts w:ascii="Arial" w:hAnsi="Arial" w:cs="Arial"/>
          <w:sz w:val="24"/>
          <w:szCs w:val="24"/>
          <w:shd w:val="clear" w:color="auto" w:fill="FFFFFF"/>
          <w:lang w:eastAsia="en-GB"/>
        </w:rPr>
        <w:t>LLM International Corporate Governance, Financial Regulation and Economic Law</w:t>
      </w:r>
    </w:p>
    <w:p w:rsidR="00E275AA" w:rsidRPr="00E275AA" w:rsidRDefault="00E275AA" w:rsidP="00E275AA">
      <w:pPr>
        <w:spacing w:before="120" w:after="120" w:line="480" w:lineRule="auto"/>
        <w:jc w:val="both"/>
        <w:rPr>
          <w:rFonts w:ascii="Arial" w:hAnsi="Arial" w:cs="Arial"/>
          <w:sz w:val="24"/>
          <w:szCs w:val="24"/>
          <w:lang w:eastAsia="en-GB"/>
        </w:rPr>
      </w:pPr>
    </w:p>
    <w:p w:rsidR="00E275AA" w:rsidRPr="00E275AA" w:rsidRDefault="00E275AA" w:rsidP="00E275AA">
      <w:pPr>
        <w:numPr>
          <w:ilvl w:val="0"/>
          <w:numId w:val="15"/>
        </w:numPr>
        <w:spacing w:before="0" w:after="0" w:line="480" w:lineRule="auto"/>
        <w:contextualSpacing/>
        <w:jc w:val="both"/>
        <w:rPr>
          <w:rFonts w:ascii="Arial" w:hAnsi="Arial" w:cs="Arial"/>
          <w:sz w:val="24"/>
          <w:szCs w:val="24"/>
          <w:lang w:eastAsia="en-GB"/>
        </w:rPr>
      </w:pPr>
      <w:r w:rsidRPr="00E275AA">
        <w:rPr>
          <w:rFonts w:ascii="Arial" w:hAnsi="Arial" w:cs="Arial"/>
          <w:sz w:val="24"/>
          <w:szCs w:val="24"/>
          <w:lang w:eastAsia="en-GB"/>
        </w:rPr>
        <w:t>Introduction</w:t>
      </w:r>
      <w:r w:rsidR="00745BB5">
        <w:rPr>
          <w:rFonts w:ascii="Arial" w:hAnsi="Arial" w:cs="Arial"/>
          <w:sz w:val="24"/>
          <w:szCs w:val="24"/>
          <w:lang w:eastAsia="en-GB"/>
        </w:rPr>
        <w:t xml:space="preserve"> – Page 3 </w:t>
      </w:r>
    </w:p>
    <w:p w:rsidR="00E275AA" w:rsidRPr="00E275AA" w:rsidRDefault="00E275AA" w:rsidP="00E275AA">
      <w:pPr>
        <w:numPr>
          <w:ilvl w:val="0"/>
          <w:numId w:val="15"/>
        </w:numPr>
        <w:spacing w:before="0" w:after="0" w:line="480" w:lineRule="auto"/>
        <w:contextualSpacing/>
        <w:jc w:val="both"/>
        <w:rPr>
          <w:rFonts w:ascii="Arial" w:hAnsi="Arial" w:cs="Arial"/>
          <w:sz w:val="24"/>
          <w:szCs w:val="24"/>
          <w:lang w:eastAsia="en-GB"/>
        </w:rPr>
      </w:pPr>
      <w:r w:rsidRPr="00E275AA">
        <w:rPr>
          <w:rFonts w:ascii="Arial" w:hAnsi="Arial" w:cs="Arial"/>
          <w:sz w:val="24"/>
          <w:szCs w:val="24"/>
          <w:lang w:eastAsia="en-GB"/>
        </w:rPr>
        <w:t>Chapter 1 - The enhanced regulatory environment</w:t>
      </w:r>
      <w:r w:rsidR="00745BB5">
        <w:rPr>
          <w:rFonts w:ascii="Arial" w:hAnsi="Arial" w:cs="Arial"/>
          <w:sz w:val="24"/>
          <w:szCs w:val="24"/>
          <w:lang w:eastAsia="en-GB"/>
        </w:rPr>
        <w:t xml:space="preserve"> – Page 5</w:t>
      </w:r>
    </w:p>
    <w:p w:rsidR="00E275AA" w:rsidRPr="00E275AA" w:rsidRDefault="00E275AA" w:rsidP="00E275AA">
      <w:pPr>
        <w:numPr>
          <w:ilvl w:val="0"/>
          <w:numId w:val="15"/>
        </w:numPr>
        <w:spacing w:before="0" w:after="0" w:line="480" w:lineRule="auto"/>
        <w:contextualSpacing/>
        <w:jc w:val="both"/>
        <w:rPr>
          <w:rFonts w:ascii="Arial" w:hAnsi="Arial" w:cs="Arial"/>
          <w:sz w:val="24"/>
          <w:szCs w:val="24"/>
          <w:lang w:eastAsia="en-GB"/>
        </w:rPr>
      </w:pPr>
      <w:r w:rsidRPr="00E275AA">
        <w:rPr>
          <w:rFonts w:ascii="Arial" w:hAnsi="Arial" w:cs="Arial"/>
          <w:sz w:val="24"/>
          <w:szCs w:val="24"/>
          <w:lang w:eastAsia="en-GB"/>
        </w:rPr>
        <w:t>Chapter 2 -  Drivers of de-risking</w:t>
      </w:r>
      <w:r w:rsidR="00745BB5">
        <w:rPr>
          <w:rFonts w:ascii="Arial" w:hAnsi="Arial" w:cs="Arial"/>
          <w:sz w:val="24"/>
          <w:szCs w:val="24"/>
          <w:lang w:eastAsia="en-GB"/>
        </w:rPr>
        <w:t xml:space="preserve"> – Page 10</w:t>
      </w:r>
    </w:p>
    <w:p w:rsidR="00E275AA" w:rsidRPr="00E275AA" w:rsidRDefault="00E275AA" w:rsidP="00E275AA">
      <w:pPr>
        <w:numPr>
          <w:ilvl w:val="0"/>
          <w:numId w:val="15"/>
        </w:numPr>
        <w:spacing w:before="0" w:after="0" w:line="480" w:lineRule="auto"/>
        <w:contextualSpacing/>
        <w:jc w:val="both"/>
        <w:rPr>
          <w:rFonts w:ascii="Arial" w:hAnsi="Arial" w:cs="Arial"/>
          <w:sz w:val="24"/>
          <w:szCs w:val="24"/>
          <w:lang w:eastAsia="en-GB"/>
        </w:rPr>
      </w:pPr>
      <w:r w:rsidRPr="00E275AA">
        <w:rPr>
          <w:rFonts w:ascii="Arial" w:hAnsi="Arial" w:cs="Arial"/>
          <w:sz w:val="24"/>
          <w:szCs w:val="24"/>
          <w:lang w:eastAsia="en-GB"/>
        </w:rPr>
        <w:t>Chapter 3 - Evidence of de-risking</w:t>
      </w:r>
      <w:r w:rsidR="00745BB5">
        <w:rPr>
          <w:rFonts w:ascii="Arial" w:hAnsi="Arial" w:cs="Arial"/>
          <w:sz w:val="24"/>
          <w:szCs w:val="24"/>
          <w:lang w:eastAsia="en-GB"/>
        </w:rPr>
        <w:t xml:space="preserve"> – Page 22</w:t>
      </w:r>
    </w:p>
    <w:p w:rsidR="00E275AA" w:rsidRPr="00E275AA" w:rsidRDefault="00E275AA" w:rsidP="00E275AA">
      <w:pPr>
        <w:numPr>
          <w:ilvl w:val="0"/>
          <w:numId w:val="15"/>
        </w:numPr>
        <w:spacing w:before="0" w:after="0" w:line="480" w:lineRule="auto"/>
        <w:contextualSpacing/>
        <w:jc w:val="both"/>
        <w:rPr>
          <w:rFonts w:ascii="Arial" w:hAnsi="Arial" w:cs="Arial"/>
          <w:sz w:val="24"/>
          <w:szCs w:val="24"/>
          <w:lang w:eastAsia="en-GB"/>
        </w:rPr>
      </w:pPr>
      <w:r w:rsidRPr="00E275AA">
        <w:rPr>
          <w:rFonts w:ascii="Arial" w:hAnsi="Arial" w:cs="Arial"/>
          <w:sz w:val="24"/>
          <w:szCs w:val="24"/>
          <w:lang w:eastAsia="en-GB"/>
        </w:rPr>
        <w:t>Chapter 4 -  Consequences of the de-risking</w:t>
      </w:r>
      <w:r w:rsidR="00745BB5">
        <w:rPr>
          <w:rFonts w:ascii="Arial" w:hAnsi="Arial" w:cs="Arial"/>
          <w:sz w:val="24"/>
          <w:szCs w:val="24"/>
          <w:lang w:eastAsia="en-GB"/>
        </w:rPr>
        <w:t xml:space="preserve"> – Page 35</w:t>
      </w:r>
    </w:p>
    <w:p w:rsidR="00E275AA" w:rsidRPr="00E275AA" w:rsidRDefault="00E275AA" w:rsidP="00E275AA">
      <w:pPr>
        <w:numPr>
          <w:ilvl w:val="0"/>
          <w:numId w:val="15"/>
        </w:numPr>
        <w:spacing w:before="0" w:after="0" w:line="480" w:lineRule="auto"/>
        <w:contextualSpacing/>
        <w:jc w:val="both"/>
        <w:rPr>
          <w:rFonts w:ascii="Arial" w:hAnsi="Arial" w:cs="Arial"/>
          <w:sz w:val="24"/>
          <w:szCs w:val="24"/>
          <w:lang w:eastAsia="en-GB"/>
        </w:rPr>
      </w:pPr>
      <w:r w:rsidRPr="00E275AA">
        <w:rPr>
          <w:rFonts w:ascii="Arial" w:hAnsi="Arial" w:cs="Arial"/>
          <w:sz w:val="24"/>
          <w:szCs w:val="24"/>
          <w:lang w:eastAsia="en-GB"/>
        </w:rPr>
        <w:t xml:space="preserve">Chapter 5-  De-risking and financial inclusion </w:t>
      </w:r>
      <w:r w:rsidR="00745BB5">
        <w:rPr>
          <w:rFonts w:ascii="Arial" w:hAnsi="Arial" w:cs="Arial"/>
          <w:sz w:val="24"/>
          <w:szCs w:val="24"/>
          <w:lang w:eastAsia="en-GB"/>
        </w:rPr>
        <w:t>– Page 40</w:t>
      </w:r>
    </w:p>
    <w:p w:rsidR="00E275AA" w:rsidRPr="00E275AA" w:rsidRDefault="00E275AA" w:rsidP="00E275AA">
      <w:pPr>
        <w:numPr>
          <w:ilvl w:val="0"/>
          <w:numId w:val="15"/>
        </w:numPr>
        <w:spacing w:before="0" w:after="0" w:line="480" w:lineRule="auto"/>
        <w:contextualSpacing/>
        <w:jc w:val="both"/>
        <w:rPr>
          <w:rFonts w:ascii="Arial" w:hAnsi="Arial" w:cs="Arial"/>
          <w:sz w:val="24"/>
          <w:szCs w:val="24"/>
          <w:lang w:eastAsia="en-GB"/>
        </w:rPr>
      </w:pPr>
      <w:r w:rsidRPr="00E275AA">
        <w:rPr>
          <w:rFonts w:ascii="Arial" w:hAnsi="Arial" w:cs="Arial"/>
          <w:sz w:val="24"/>
          <w:szCs w:val="24"/>
          <w:lang w:eastAsia="en-GB"/>
        </w:rPr>
        <w:t xml:space="preserve">Chapter 6 - Policy evaluation </w:t>
      </w:r>
      <w:r w:rsidR="00745BB5">
        <w:rPr>
          <w:rFonts w:ascii="Arial" w:hAnsi="Arial" w:cs="Arial"/>
          <w:sz w:val="24"/>
          <w:szCs w:val="24"/>
          <w:lang w:eastAsia="en-GB"/>
        </w:rPr>
        <w:t>– Page 54</w:t>
      </w:r>
    </w:p>
    <w:p w:rsidR="00E275AA" w:rsidRDefault="00E275AA" w:rsidP="00E275AA">
      <w:pPr>
        <w:numPr>
          <w:ilvl w:val="0"/>
          <w:numId w:val="15"/>
        </w:numPr>
        <w:spacing w:before="0" w:after="0" w:line="480" w:lineRule="auto"/>
        <w:contextualSpacing/>
        <w:jc w:val="both"/>
        <w:rPr>
          <w:rFonts w:ascii="Arial" w:hAnsi="Arial" w:cs="Arial"/>
          <w:sz w:val="24"/>
          <w:szCs w:val="24"/>
          <w:lang w:eastAsia="en-GB"/>
        </w:rPr>
      </w:pPr>
      <w:r w:rsidRPr="00E275AA">
        <w:rPr>
          <w:rFonts w:ascii="Arial" w:hAnsi="Arial" w:cs="Arial"/>
          <w:sz w:val="24"/>
          <w:szCs w:val="24"/>
          <w:lang w:eastAsia="en-GB"/>
        </w:rPr>
        <w:t xml:space="preserve">Conclusion </w:t>
      </w:r>
      <w:r w:rsidR="00745BB5">
        <w:rPr>
          <w:rFonts w:ascii="Arial" w:hAnsi="Arial" w:cs="Arial"/>
          <w:sz w:val="24"/>
          <w:szCs w:val="24"/>
          <w:lang w:eastAsia="en-GB"/>
        </w:rPr>
        <w:t>– Page 60</w:t>
      </w:r>
    </w:p>
    <w:p w:rsidR="00745BB5" w:rsidRPr="00E275AA" w:rsidRDefault="008E6EEF" w:rsidP="00E275AA">
      <w:pPr>
        <w:numPr>
          <w:ilvl w:val="0"/>
          <w:numId w:val="15"/>
        </w:numPr>
        <w:spacing w:before="0" w:after="0" w:line="480" w:lineRule="auto"/>
        <w:contextualSpacing/>
        <w:jc w:val="both"/>
        <w:rPr>
          <w:rFonts w:ascii="Arial" w:hAnsi="Arial" w:cs="Arial"/>
          <w:sz w:val="24"/>
          <w:szCs w:val="24"/>
          <w:lang w:eastAsia="en-GB"/>
        </w:rPr>
      </w:pPr>
      <w:r>
        <w:rPr>
          <w:rFonts w:ascii="Arial" w:hAnsi="Arial" w:cs="Arial"/>
          <w:sz w:val="24"/>
          <w:szCs w:val="24"/>
          <w:lang w:eastAsia="en-GB"/>
        </w:rPr>
        <w:t>Bibliography</w:t>
      </w:r>
      <w:r w:rsidR="00745BB5">
        <w:rPr>
          <w:rFonts w:ascii="Arial" w:hAnsi="Arial" w:cs="Arial"/>
          <w:sz w:val="24"/>
          <w:szCs w:val="24"/>
          <w:lang w:eastAsia="en-GB"/>
        </w:rPr>
        <w:t>-</w:t>
      </w:r>
      <w:r>
        <w:rPr>
          <w:rFonts w:ascii="Arial" w:hAnsi="Arial" w:cs="Arial"/>
          <w:sz w:val="24"/>
          <w:szCs w:val="24"/>
          <w:lang w:eastAsia="en-GB"/>
        </w:rPr>
        <w:t xml:space="preserve"> Page 63</w:t>
      </w:r>
    </w:p>
    <w:p w:rsidR="00E275AA" w:rsidRPr="00E275AA" w:rsidRDefault="00E275AA" w:rsidP="00E275AA">
      <w:pPr>
        <w:pBdr>
          <w:bottom w:val="single" w:sz="8" w:space="4" w:color="4F81BD"/>
        </w:pBdr>
        <w:spacing w:before="0" w:after="300" w:line="480" w:lineRule="auto"/>
        <w:contextualSpacing/>
        <w:rPr>
          <w:rFonts w:ascii="Cambria" w:hAnsi="Cambria"/>
          <w:color w:val="17365D"/>
          <w:spacing w:val="5"/>
          <w:kern w:val="28"/>
          <w:sz w:val="52"/>
          <w:szCs w:val="52"/>
          <w:lang w:eastAsia="en-GB"/>
        </w:rPr>
      </w:pPr>
    </w:p>
    <w:p w:rsidR="00E275AA" w:rsidRPr="00E275AA" w:rsidRDefault="00E275AA" w:rsidP="00E275AA">
      <w:pPr>
        <w:spacing w:before="0" w:after="200" w:line="480" w:lineRule="auto"/>
        <w:rPr>
          <w:rFonts w:ascii="Calibri" w:eastAsia="Calibri" w:hAnsi="Calibri"/>
          <w:sz w:val="22"/>
          <w:szCs w:val="22"/>
          <w:lang w:eastAsia="en-GB"/>
        </w:rPr>
      </w:pPr>
    </w:p>
    <w:p w:rsidR="00E275AA" w:rsidRPr="00E275AA" w:rsidRDefault="00E275AA" w:rsidP="00E275AA">
      <w:pPr>
        <w:spacing w:before="0" w:after="200" w:line="480" w:lineRule="auto"/>
        <w:rPr>
          <w:rFonts w:ascii="Calibri" w:eastAsia="Calibri" w:hAnsi="Calibri"/>
          <w:sz w:val="22"/>
          <w:szCs w:val="22"/>
          <w:lang w:eastAsia="en-GB"/>
        </w:rPr>
      </w:pPr>
    </w:p>
    <w:p w:rsidR="00E275AA" w:rsidRPr="00E275AA" w:rsidRDefault="00E275AA" w:rsidP="00E275AA">
      <w:pPr>
        <w:spacing w:before="0" w:after="200" w:line="480" w:lineRule="auto"/>
        <w:rPr>
          <w:rFonts w:ascii="Calibri" w:eastAsia="Calibri" w:hAnsi="Calibri"/>
          <w:sz w:val="22"/>
          <w:szCs w:val="22"/>
          <w:lang w:eastAsia="en-GB"/>
        </w:rPr>
      </w:pPr>
    </w:p>
    <w:p w:rsidR="00E275AA" w:rsidRPr="00E275AA" w:rsidRDefault="00E275AA" w:rsidP="00E275AA">
      <w:pPr>
        <w:spacing w:before="0" w:after="200" w:line="480" w:lineRule="auto"/>
        <w:rPr>
          <w:rFonts w:ascii="Calibri" w:eastAsia="Calibri" w:hAnsi="Calibri"/>
          <w:sz w:val="22"/>
          <w:szCs w:val="22"/>
          <w:lang w:eastAsia="en-GB"/>
        </w:rPr>
      </w:pPr>
    </w:p>
    <w:p w:rsidR="00E275AA" w:rsidRPr="00E275AA" w:rsidRDefault="00E275AA" w:rsidP="00E275AA">
      <w:pPr>
        <w:spacing w:before="0" w:after="200" w:line="480" w:lineRule="auto"/>
        <w:rPr>
          <w:rFonts w:ascii="Calibri" w:eastAsia="Calibri" w:hAnsi="Calibri"/>
          <w:sz w:val="22"/>
          <w:szCs w:val="22"/>
          <w:lang w:eastAsia="en-GB"/>
        </w:rPr>
      </w:pPr>
    </w:p>
    <w:p w:rsidR="00E275AA" w:rsidRPr="00E275AA" w:rsidRDefault="00E275AA" w:rsidP="00E275AA">
      <w:pPr>
        <w:spacing w:before="0" w:after="200" w:line="480" w:lineRule="auto"/>
        <w:rPr>
          <w:rFonts w:ascii="Calibri" w:eastAsia="Calibri" w:hAnsi="Calibri"/>
          <w:sz w:val="22"/>
          <w:szCs w:val="22"/>
          <w:lang w:eastAsia="en-GB"/>
        </w:rPr>
      </w:pPr>
    </w:p>
    <w:p w:rsidR="00E275AA" w:rsidRPr="00E275AA" w:rsidRDefault="00E275AA" w:rsidP="00E275AA">
      <w:pPr>
        <w:spacing w:before="0" w:after="200" w:line="480" w:lineRule="auto"/>
        <w:rPr>
          <w:rFonts w:ascii="Calibri" w:eastAsia="Calibri" w:hAnsi="Calibri"/>
          <w:sz w:val="22"/>
          <w:szCs w:val="22"/>
          <w:lang w:eastAsia="en-GB"/>
        </w:rPr>
      </w:pPr>
    </w:p>
    <w:p w:rsidR="00E275AA" w:rsidRPr="00E275AA" w:rsidRDefault="00E275AA" w:rsidP="00E275AA">
      <w:pPr>
        <w:spacing w:before="0" w:after="200" w:line="480" w:lineRule="auto"/>
        <w:rPr>
          <w:rFonts w:ascii="Calibri" w:eastAsia="Calibri" w:hAnsi="Calibri"/>
          <w:sz w:val="22"/>
          <w:szCs w:val="22"/>
          <w:lang w:eastAsia="en-GB"/>
        </w:rPr>
      </w:pPr>
    </w:p>
    <w:p w:rsidR="00E275AA" w:rsidRPr="00E275AA" w:rsidRDefault="00E275AA" w:rsidP="00E275AA">
      <w:pPr>
        <w:spacing w:before="0" w:after="200" w:line="480" w:lineRule="auto"/>
        <w:rPr>
          <w:rFonts w:ascii="Calibri" w:eastAsia="Calibri" w:hAnsi="Calibri"/>
          <w:sz w:val="22"/>
          <w:szCs w:val="22"/>
          <w:lang w:eastAsia="en-GB"/>
        </w:rPr>
      </w:pPr>
    </w:p>
    <w:p w:rsidR="00E275AA" w:rsidRDefault="00E275AA" w:rsidP="00E275AA">
      <w:pPr>
        <w:pBdr>
          <w:bottom w:val="single" w:sz="8" w:space="4" w:color="4F81BD"/>
        </w:pBdr>
        <w:spacing w:before="0" w:after="300" w:line="480" w:lineRule="auto"/>
        <w:contextualSpacing/>
        <w:rPr>
          <w:rFonts w:ascii="Cambria" w:hAnsi="Cambria"/>
          <w:b/>
          <w:bCs/>
          <w:color w:val="17365D"/>
          <w:spacing w:val="5"/>
          <w:kern w:val="28"/>
          <w:sz w:val="52"/>
          <w:szCs w:val="52"/>
          <w:u w:val="single"/>
          <w:lang w:eastAsia="en-GB"/>
        </w:rPr>
      </w:pPr>
    </w:p>
    <w:p w:rsidR="00E275AA" w:rsidRPr="00E275AA" w:rsidRDefault="00E275AA" w:rsidP="00E275AA">
      <w:pPr>
        <w:pBdr>
          <w:bottom w:val="single" w:sz="8" w:space="4" w:color="4F81BD"/>
        </w:pBdr>
        <w:spacing w:before="0" w:after="300" w:line="480" w:lineRule="auto"/>
        <w:contextualSpacing/>
        <w:rPr>
          <w:rFonts w:ascii="Cambria" w:hAnsi="Cambria"/>
          <w:b/>
          <w:color w:val="17365D"/>
          <w:spacing w:val="5"/>
          <w:kern w:val="28"/>
          <w:sz w:val="52"/>
          <w:szCs w:val="52"/>
          <w:u w:val="single"/>
          <w:lang w:eastAsia="en-GB"/>
        </w:rPr>
      </w:pPr>
      <w:r w:rsidRPr="00E275AA">
        <w:rPr>
          <w:rFonts w:ascii="Cambria" w:hAnsi="Cambria"/>
          <w:b/>
          <w:bCs/>
          <w:color w:val="17365D"/>
          <w:spacing w:val="5"/>
          <w:kern w:val="28"/>
          <w:sz w:val="52"/>
          <w:szCs w:val="52"/>
          <w:u w:val="single"/>
          <w:lang w:eastAsia="en-GB"/>
        </w:rPr>
        <w:t>Introduction</w:t>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‘De-risking’ is when banks reduce their exposure to activities, clients or regions that are associated with higher terrorist financing (TF) or money laundering (ML) risk.</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 Disproportionate de-risking is when financial institutions chose to exit higher risk business relationships instead of taking addition</w:t>
      </w:r>
      <w:r w:rsidR="00FA3C2D">
        <w:rPr>
          <w:rFonts w:ascii="Arial" w:hAnsi="Arial" w:cs="Arial"/>
          <w:sz w:val="24"/>
          <w:szCs w:val="24"/>
          <w:lang w:eastAsia="en-GB"/>
        </w:rPr>
        <w:t xml:space="preserve">al steps to </w:t>
      </w:r>
      <w:r w:rsidR="000814AC">
        <w:rPr>
          <w:rFonts w:ascii="Arial" w:hAnsi="Arial" w:cs="Arial"/>
          <w:sz w:val="24"/>
          <w:szCs w:val="24"/>
          <w:lang w:eastAsia="en-GB"/>
        </w:rPr>
        <w:t xml:space="preserve">mitigate </w:t>
      </w:r>
      <w:r w:rsidR="000814AC" w:rsidRPr="00E275AA">
        <w:rPr>
          <w:rFonts w:ascii="Arial" w:hAnsi="Arial" w:cs="Arial"/>
          <w:sz w:val="24"/>
          <w:szCs w:val="24"/>
          <w:lang w:eastAsia="en-GB"/>
        </w:rPr>
        <w:t>the</w:t>
      </w:r>
      <w:r w:rsidRPr="00E275AA">
        <w:rPr>
          <w:rFonts w:ascii="Arial" w:hAnsi="Arial" w:cs="Arial"/>
          <w:sz w:val="24"/>
          <w:szCs w:val="24"/>
          <w:lang w:eastAsia="en-GB"/>
        </w:rPr>
        <w:t xml:space="preserve"> ML/TF risk.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De-risking has historically had a broader meaning in finance and referred to the process of reducing exposures to a particular asset classes, market risk or portfolio concentration. In the wake of the financial crisis de-risking was used to describe the process of restructuring balances sheets to better withstand financial shocks. The term did not become associated with the closure of “higher TF/ML risk” business relationships until after 2009</w:t>
      </w:r>
      <w:r w:rsidR="00F31502">
        <w:rPr>
          <w:rFonts w:ascii="Arial" w:hAnsi="Arial" w:cs="Arial"/>
          <w:sz w:val="24"/>
          <w:szCs w:val="24"/>
          <w:lang w:eastAsia="en-GB"/>
        </w:rPr>
        <w:t xml:space="preserve"> </w:t>
      </w:r>
      <w:sdt>
        <w:sdtPr>
          <w:rPr>
            <w:rFonts w:ascii="Arial" w:hAnsi="Arial" w:cs="Arial"/>
            <w:sz w:val="24"/>
            <w:szCs w:val="24"/>
            <w:lang w:eastAsia="en-GB"/>
          </w:rPr>
          <w:id w:val="1316525598"/>
          <w:citation/>
        </w:sdtPr>
        <w:sdtEndPr/>
        <w:sdtContent>
          <w:r w:rsidR="00F31502">
            <w:rPr>
              <w:rFonts w:ascii="Arial" w:hAnsi="Arial" w:cs="Arial"/>
              <w:sz w:val="24"/>
              <w:szCs w:val="24"/>
              <w:lang w:eastAsia="en-GB"/>
            </w:rPr>
            <w:fldChar w:fldCharType="begin"/>
          </w:r>
          <w:r w:rsidR="00745BB5">
            <w:rPr>
              <w:rFonts w:ascii="Arial" w:hAnsi="Arial" w:cs="Arial"/>
              <w:sz w:val="24"/>
              <w:szCs w:val="24"/>
              <w:lang w:eastAsia="en-GB"/>
            </w:rPr>
            <w:instrText xml:space="preserve">CITATION FXT09 \l 2057 </w:instrText>
          </w:r>
          <w:r w:rsidR="00F31502">
            <w:rPr>
              <w:rFonts w:ascii="Arial" w:hAnsi="Arial" w:cs="Arial"/>
              <w:sz w:val="24"/>
              <w:szCs w:val="24"/>
              <w:lang w:eastAsia="en-GB"/>
            </w:rPr>
            <w:fldChar w:fldCharType="separate"/>
          </w:r>
          <w:r w:rsidR="00745BB5" w:rsidRPr="00745BB5">
            <w:rPr>
              <w:rFonts w:ascii="Arial" w:hAnsi="Arial" w:cs="Arial"/>
              <w:noProof/>
              <w:sz w:val="24"/>
              <w:szCs w:val="24"/>
              <w:lang w:eastAsia="en-GB"/>
            </w:rPr>
            <w:t>(FX Trader Magazine, 2009)</w:t>
          </w:r>
          <w:r w:rsidR="00F31502">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As a result of several high profile reports of disproportionate de-risking</w:t>
      </w:r>
      <w:r w:rsidRPr="00E275AA">
        <w:rPr>
          <w:rFonts w:ascii="Arial" w:hAnsi="Arial" w:cs="Arial"/>
          <w:color w:val="FF0000"/>
          <w:sz w:val="24"/>
          <w:szCs w:val="24"/>
          <w:lang w:eastAsia="en-GB"/>
        </w:rPr>
        <w:t>,</w:t>
      </w:r>
      <w:r w:rsidRPr="00E275AA">
        <w:rPr>
          <w:rFonts w:ascii="Arial" w:hAnsi="Arial" w:cs="Arial"/>
          <w:sz w:val="24"/>
          <w:szCs w:val="24"/>
          <w:lang w:eastAsia="en-GB"/>
        </w:rPr>
        <w:t xml:space="preserve"> regulators and international bodies have become concerned about the consequences of de-risking on financial inclusion. There are growing concerns that as banks have looked to reduce their exposure to high risk clients and have left many people and businesses without access to banking services.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lastRenderedPageBreak/>
        <w:t>In the UK there are also concerns that “de-risking” has led to discriminatory outcomes and has further financially excluded members of certain minority groups. There is the risk that people and businesses that share characteristics with those who are associated with terrorism and financial crime have been excluded from financial services despite having no affiliation with such groups or activities. Moreover some commentators believe that banks have used compliance with increased anti-money laundering (AML) and cou</w:t>
      </w:r>
      <w:r w:rsidR="001D797C">
        <w:rPr>
          <w:rFonts w:ascii="Arial" w:hAnsi="Arial" w:cs="Arial"/>
          <w:sz w:val="24"/>
          <w:szCs w:val="24"/>
          <w:lang w:eastAsia="en-GB"/>
        </w:rPr>
        <w:t xml:space="preserve">nter-terrorist financing (CTF) </w:t>
      </w:r>
      <w:r w:rsidRPr="00E275AA">
        <w:rPr>
          <w:rFonts w:ascii="Arial" w:hAnsi="Arial" w:cs="Arial"/>
          <w:sz w:val="24"/>
          <w:szCs w:val="24"/>
          <w:lang w:eastAsia="en-GB"/>
        </w:rPr>
        <w:t xml:space="preserve">legislation as an excuse to exit unprofitable banking relationships and reduce competition.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At an international level there are concerns that the decisions to exit “higher risk” banking relationships have significantly affected access to the global financial system. This has particular consequences for vulnerable regions and may destabilize countries dependant on remittances limiting opportunities for growth and development.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Despite widespread media accounts of disproportionate de-risking the t</w:t>
      </w:r>
      <w:r w:rsidR="00F31502">
        <w:rPr>
          <w:rFonts w:ascii="Arial" w:hAnsi="Arial" w:cs="Arial"/>
          <w:sz w:val="24"/>
          <w:szCs w:val="24"/>
          <w:lang w:eastAsia="en-GB"/>
        </w:rPr>
        <w:t xml:space="preserve">rue extent of the de-risking there has to date been limited academic study of the area and relatively little case law to draw from. </w:t>
      </w:r>
      <w:r w:rsidRPr="00E275AA">
        <w:rPr>
          <w:rFonts w:ascii="Arial" w:hAnsi="Arial" w:cs="Arial"/>
          <w:sz w:val="24"/>
          <w:szCs w:val="24"/>
          <w:lang w:eastAsia="en-GB"/>
        </w:rPr>
        <w:t>This study will provide a comprehensive overview of the current public discussion on de-risking. This will bring together media sources, relevant case law and legislation with think tank reports and studies on financial inclusion to assess the consequences of de-risking. In doing so Chapter 1 will explore the current regulatory environment and Chapter 2 will establish the drivers of de-risking from an industry perspective. Chapter 3 will assess the available evidence to understand the extent to which de-risking has taken place and who it has affected. Chapter 4 will considered the unintended consequences of de-risking and Chapter 5 will examine the impact of de-risking on financial inclusion. Finally Chapter 6 will consider who has responsibility for addressing the consequences of de-risking and assesses potential policy interventions. This study concludes that the cost of regulation and increased legal liability for banks has driven disproportionate de-risking in the UK. This disproportionate de-risking has particularly affected money service business and member of certain ethnic minorities but has not had a significant impact on general levels of financial inclusion in the UK. Internationally de-risking has significantly affected countries dependant on remittances and will require public and private sector collaboration to remedy the unintended consequences of de-risking.</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pBdr>
          <w:bottom w:val="single" w:sz="8" w:space="4" w:color="4F81BD"/>
        </w:pBdr>
        <w:spacing w:before="0" w:after="300" w:line="480" w:lineRule="auto"/>
        <w:contextualSpacing/>
        <w:rPr>
          <w:rFonts w:ascii="Cambria" w:hAnsi="Cambria"/>
          <w:color w:val="17365D"/>
          <w:spacing w:val="5"/>
          <w:kern w:val="28"/>
          <w:sz w:val="52"/>
          <w:szCs w:val="52"/>
          <w:lang w:eastAsia="en-GB"/>
        </w:rPr>
      </w:pPr>
      <w:r w:rsidRPr="00E275AA">
        <w:rPr>
          <w:rFonts w:ascii="Cambria" w:hAnsi="Cambria"/>
          <w:color w:val="17365D"/>
          <w:spacing w:val="5"/>
          <w:kern w:val="28"/>
          <w:sz w:val="52"/>
          <w:szCs w:val="52"/>
          <w:lang w:eastAsia="en-GB"/>
        </w:rPr>
        <w:t>Chapter 1 - The enhanced regulatory environment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Following 9/11 tackling terrorist financing became a global priority. The “War on Terror” introduced a series of more intrusive counter-terrorist measures ranging from enhanced airport security to increased personal surveillance. It also included a specific focus on tracing, identifying and disrupting sources of terrorist financing to “starve terrorists of funding”.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New AML/CTF regulations were quickly introduced. UN Resolution 1373 criminalised terrorist financing. The US, Article of the Patriotism Act 2001 introduced new powers to detect and prosecute terrorist financiers</w:t>
      </w:r>
      <w:r w:rsidRPr="00E275AA">
        <w:rPr>
          <w:rFonts w:ascii="Arial" w:hAnsi="Arial" w:cs="Arial"/>
          <w:bCs/>
          <w:sz w:val="24"/>
          <w:szCs w:val="24"/>
          <w:lang w:eastAsia="en-GB"/>
        </w:rPr>
        <w:t xml:space="preserve">. </w:t>
      </w:r>
      <w:r w:rsidRPr="00E275AA">
        <w:rPr>
          <w:rFonts w:ascii="Arial" w:hAnsi="Arial" w:cs="Arial"/>
          <w:sz w:val="24"/>
          <w:szCs w:val="24"/>
          <w:lang w:eastAsia="en-GB"/>
        </w:rPr>
        <w:t>The UK passed a series of terrorism acts (2000, 2005, 2008) that granted authorities wider powers to prevent and prosecute terrorist financing. New AML/CTF requirements were introduced through the European Anti-Money Laundering Directives (2001, 2005, and 2015). Each of these regulations has increased the monitoring, due diligence and reporting requirements for financial institutions</w:t>
      </w:r>
      <w:r w:rsidR="002A4967" w:rsidRPr="002A4967">
        <w:rPr>
          <w:rFonts w:ascii="Arial" w:hAnsi="Arial" w:cs="Arial"/>
          <w:sz w:val="24"/>
          <w:szCs w:val="24"/>
          <w:lang w:eastAsia="en-GB"/>
        </w:rPr>
        <w:t>.</w:t>
      </w:r>
      <w:sdt>
        <w:sdtPr>
          <w:rPr>
            <w:rFonts w:ascii="Arial" w:hAnsi="Arial" w:cs="Arial"/>
            <w:sz w:val="24"/>
            <w:szCs w:val="24"/>
            <w:lang w:eastAsia="en-GB"/>
          </w:rPr>
          <w:id w:val="-49924503"/>
          <w:citation/>
        </w:sdtPr>
        <w:sdtEndPr/>
        <w:sdtContent>
          <w:r w:rsidR="002A4967">
            <w:rPr>
              <w:rFonts w:ascii="Arial" w:hAnsi="Arial" w:cs="Arial"/>
              <w:sz w:val="24"/>
              <w:szCs w:val="24"/>
              <w:lang w:eastAsia="en-GB"/>
            </w:rPr>
            <w:fldChar w:fldCharType="begin"/>
          </w:r>
          <w:r w:rsidR="002A4967">
            <w:rPr>
              <w:rFonts w:ascii="Arial" w:hAnsi="Arial" w:cs="Arial"/>
              <w:sz w:val="24"/>
              <w:szCs w:val="24"/>
              <w:lang w:eastAsia="en-GB"/>
            </w:rPr>
            <w:instrText xml:space="preserve"> CITATION Kea14 \l 2057 </w:instrText>
          </w:r>
          <w:r w:rsidR="002A4967">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(Keatinge, 2014)</w:t>
          </w:r>
          <w:r w:rsidR="002A4967">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b/>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lang w:eastAsia="en-GB"/>
        </w:rPr>
        <w:t>International Standards</w:t>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The Financial Action Task Force was established in 1979 as the international standard setting body for </w:t>
      </w:r>
      <w:r w:rsidR="005B27F8">
        <w:rPr>
          <w:rFonts w:ascii="Arial" w:hAnsi="Arial" w:cs="Arial"/>
          <w:sz w:val="24"/>
          <w:szCs w:val="24"/>
          <w:lang w:eastAsia="en-GB"/>
        </w:rPr>
        <w:t>AML</w:t>
      </w:r>
      <w:r w:rsidRPr="00E275AA">
        <w:rPr>
          <w:rFonts w:ascii="Arial" w:hAnsi="Arial" w:cs="Arial"/>
          <w:sz w:val="24"/>
          <w:szCs w:val="24"/>
          <w:lang w:eastAsia="en-GB"/>
        </w:rPr>
        <w:t xml:space="preserve"> policy. It publishes a series of soft law recommendations that describe best practices for a risk-based approach to AML and CTF. It also monitors compliance with its recommendations and produces typologies of the evolving money laundering and terrorist financing methods. These recommendations represent internationally agreed standards of best practices for tackling money laundering and terrorist financing and have been converted in regulation by a number of European and domestic directives. However, there are now many examples of banks choosing to “de-risk” rather than applying these international standards to high risk clients.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 Charity Finance Group argues that de-risking has been “disproportionate” has not been in line with FATF's risk-based approach which involves enhanced customer due diligence and transaction screening t</w:t>
      </w:r>
      <w:r w:rsidR="002A4967">
        <w:rPr>
          <w:rFonts w:ascii="Arial" w:hAnsi="Arial" w:cs="Arial"/>
          <w:sz w:val="24"/>
          <w:szCs w:val="24"/>
          <w:lang w:eastAsia="en-GB"/>
        </w:rPr>
        <w:t>o detect suspicious activity.</w:t>
      </w:r>
      <w:sdt>
        <w:sdtPr>
          <w:rPr>
            <w:rFonts w:ascii="Arial" w:hAnsi="Arial" w:cs="Arial"/>
            <w:sz w:val="24"/>
            <w:szCs w:val="24"/>
            <w:lang w:eastAsia="en-GB"/>
          </w:rPr>
          <w:id w:val="1115951700"/>
          <w:citation/>
        </w:sdtPr>
        <w:sdtEndPr/>
        <w:sdtContent>
          <w:r w:rsidR="002A4967">
            <w:rPr>
              <w:rFonts w:ascii="Arial" w:hAnsi="Arial" w:cs="Arial"/>
              <w:sz w:val="24"/>
              <w:szCs w:val="24"/>
              <w:lang w:eastAsia="en-GB"/>
            </w:rPr>
            <w:fldChar w:fldCharType="begin"/>
          </w:r>
          <w:r w:rsidR="002A4967">
            <w:rPr>
              <w:rFonts w:ascii="Arial" w:hAnsi="Arial" w:cs="Arial"/>
              <w:sz w:val="24"/>
              <w:szCs w:val="24"/>
              <w:lang w:eastAsia="en-GB"/>
            </w:rPr>
            <w:instrText xml:space="preserve"> CITATION Cha15 \l 2057 </w:instrText>
          </w:r>
          <w:r w:rsidR="002A4967">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(Charity Finance Group, 2015)</w:t>
          </w:r>
          <w:r w:rsidR="002A4967">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This risk-based financial approach is different to enhanced airport security measure</w:t>
      </w:r>
      <w:r w:rsidR="005B27F8">
        <w:rPr>
          <w:rFonts w:ascii="Arial" w:hAnsi="Arial" w:cs="Arial"/>
          <w:sz w:val="24"/>
          <w:szCs w:val="24"/>
          <w:lang w:eastAsia="en-GB"/>
        </w:rPr>
        <w:t xml:space="preserve">s. The airline industry has </w:t>
      </w:r>
      <w:r w:rsidRPr="00E275AA">
        <w:rPr>
          <w:rFonts w:ascii="Arial" w:hAnsi="Arial" w:cs="Arial"/>
          <w:sz w:val="24"/>
          <w:szCs w:val="24"/>
          <w:lang w:eastAsia="en-GB"/>
        </w:rPr>
        <w:t>new passenger security regulations but unlike the financial industry does not have to monitor the flight history of customers from “higher risk” jurisdictions. With respect to air travel, governments and border control agencies take an active role in monitoring, tracking and detaining individuals associated with terrorism and organised crime. In finance the government produces blacklist of suspected terrorists but does not have the equivalent public function of border control to monitor and detect and sources of terrorist financing. Regulation has in effect outsourced the responsibility for detecting terrorist financing and money laundering to the private sector; to the lawyers, estate agents and financial institutions who are compelled by regulation to monitor their customers transactions and freeze their assets on behalf of the government. It is an important question, the appropriate limits of the private sector for funding and conducting what is arguably a public function. When banks choose to de-risk and exit “high-risk” relationships, this public function is lost as government have not developed the capacity to screen transactions themselves.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lang w:eastAsia="en-GB"/>
        </w:rPr>
        <w:t xml:space="preserve">High-risk characteristics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 3</w:t>
      </w:r>
      <w:r w:rsidRPr="00E275AA">
        <w:rPr>
          <w:rFonts w:ascii="Arial" w:hAnsi="Arial" w:cs="Arial"/>
          <w:sz w:val="24"/>
          <w:szCs w:val="24"/>
          <w:vertAlign w:val="superscript"/>
          <w:lang w:eastAsia="en-GB"/>
        </w:rPr>
        <w:t>rd</w:t>
      </w:r>
      <w:r w:rsidRPr="00E275AA">
        <w:rPr>
          <w:rFonts w:ascii="Arial" w:hAnsi="Arial" w:cs="Arial"/>
          <w:sz w:val="24"/>
          <w:szCs w:val="24"/>
          <w:lang w:eastAsia="en-GB"/>
        </w:rPr>
        <w:t xml:space="preserve"> EU AML directive requires enhanced monitoring and due diligence for transactions associated with “higher risk factors”. What is understood to be higher risk, is established by FATF’s research into emerging methods terrorist financing cover high risk customers, businesses and jurisdictions.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lang w:eastAsia="en-GB"/>
        </w:rPr>
        <w:t>Customers</w:t>
      </w:r>
    </w:p>
    <w:p w:rsid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The FATF typologies </w:t>
      </w:r>
      <w:r w:rsidR="005B27F8">
        <w:rPr>
          <w:rFonts w:ascii="Arial" w:hAnsi="Arial" w:cs="Arial"/>
          <w:sz w:val="24"/>
          <w:szCs w:val="24"/>
          <w:lang w:eastAsia="en-GB"/>
        </w:rPr>
        <w:t>focus on</w:t>
      </w:r>
      <w:r w:rsidRPr="00E275AA">
        <w:rPr>
          <w:rFonts w:ascii="Arial" w:hAnsi="Arial" w:cs="Arial"/>
          <w:sz w:val="24"/>
          <w:szCs w:val="24"/>
          <w:lang w:eastAsia="en-GB"/>
        </w:rPr>
        <w:t xml:space="preserve"> non-profit organisations, who are at risk of being used as legal front</w:t>
      </w:r>
      <w:r w:rsidR="002A4967">
        <w:rPr>
          <w:rFonts w:ascii="Arial" w:hAnsi="Arial" w:cs="Arial"/>
          <w:sz w:val="24"/>
          <w:szCs w:val="24"/>
          <w:lang w:eastAsia="en-GB"/>
        </w:rPr>
        <w:t>s for terrorist financing.</w:t>
      </w:r>
      <w:sdt>
        <w:sdtPr>
          <w:rPr>
            <w:rFonts w:ascii="Arial" w:hAnsi="Arial" w:cs="Arial"/>
            <w:sz w:val="24"/>
            <w:szCs w:val="24"/>
            <w:lang w:eastAsia="en-GB"/>
          </w:rPr>
          <w:id w:val="1448745525"/>
          <w:citation/>
        </w:sdtPr>
        <w:sdtEndPr/>
        <w:sdtContent>
          <w:r w:rsidR="002A4967">
            <w:rPr>
              <w:rFonts w:ascii="Arial" w:hAnsi="Arial" w:cs="Arial"/>
              <w:sz w:val="24"/>
              <w:szCs w:val="24"/>
              <w:lang w:eastAsia="en-GB"/>
            </w:rPr>
            <w:fldChar w:fldCharType="begin"/>
          </w:r>
          <w:r w:rsidR="002A4967">
            <w:rPr>
              <w:rFonts w:ascii="Arial" w:hAnsi="Arial" w:cs="Arial"/>
              <w:sz w:val="24"/>
              <w:szCs w:val="24"/>
              <w:lang w:eastAsia="en-GB"/>
            </w:rPr>
            <w:instrText xml:space="preserve"> CITATION Fin12 \l 2057 </w:instrText>
          </w:r>
          <w:r w:rsidR="002A4967">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(Financial Action Task Force, 2012)</w:t>
          </w:r>
          <w:r w:rsidR="002A4967">
            <w:rPr>
              <w:rFonts w:ascii="Arial" w:hAnsi="Arial" w:cs="Arial"/>
              <w:sz w:val="24"/>
              <w:szCs w:val="24"/>
              <w:lang w:eastAsia="en-GB"/>
            </w:rPr>
            <w:fldChar w:fldCharType="end"/>
          </w:r>
        </w:sdtContent>
      </w:sdt>
      <w:r w:rsidR="002A4967">
        <w:rPr>
          <w:rFonts w:ascii="Arial" w:hAnsi="Arial" w:cs="Arial"/>
          <w:sz w:val="24"/>
          <w:szCs w:val="24"/>
          <w:lang w:eastAsia="en-GB"/>
        </w:rPr>
        <w:t xml:space="preserve"> </w:t>
      </w:r>
      <w:r w:rsidRPr="00E275AA">
        <w:rPr>
          <w:rFonts w:ascii="Arial" w:hAnsi="Arial" w:cs="Arial"/>
          <w:sz w:val="24"/>
          <w:szCs w:val="24"/>
          <w:lang w:eastAsia="en-GB"/>
        </w:rPr>
        <w:t xml:space="preserve">The typologies provide examples of NGOs being used both knowingly and unknowingly as channels for funding terrorism. The financial characteristics of NGO activities have similarities to that of terrorist financing. Terrorist financing requires the international collection, transfer and distributions of funds from multiple donors. Charitable financial activities follow a similar pattern. Their humanitarian status often means they are implicitly trusted and have access to </w:t>
      </w:r>
      <w:r w:rsidR="005B27F8" w:rsidRPr="00E275AA">
        <w:rPr>
          <w:rFonts w:ascii="Arial" w:hAnsi="Arial" w:cs="Arial"/>
          <w:sz w:val="24"/>
          <w:szCs w:val="24"/>
          <w:lang w:eastAsia="en-GB"/>
        </w:rPr>
        <w:t xml:space="preserve">vulnerable regions and conflict zones </w:t>
      </w:r>
      <w:r w:rsidRPr="00E275AA">
        <w:rPr>
          <w:rFonts w:ascii="Arial" w:hAnsi="Arial" w:cs="Arial"/>
          <w:sz w:val="24"/>
          <w:szCs w:val="24"/>
          <w:lang w:eastAsia="en-GB"/>
        </w:rPr>
        <w:t xml:space="preserve">which other businesses would be unable to operate in without raising suspicion. These traits have been exploited by terrorist groups that have used NGOs </w:t>
      </w:r>
      <w:r w:rsidR="005B27F8" w:rsidRPr="00E275AA">
        <w:rPr>
          <w:rFonts w:ascii="Arial" w:hAnsi="Arial" w:cs="Arial"/>
          <w:sz w:val="24"/>
          <w:szCs w:val="24"/>
          <w:lang w:eastAsia="en-GB"/>
        </w:rPr>
        <w:t>as channels</w:t>
      </w:r>
      <w:r w:rsidRPr="00E275AA">
        <w:rPr>
          <w:rFonts w:ascii="Arial" w:hAnsi="Arial" w:cs="Arial"/>
          <w:sz w:val="24"/>
          <w:szCs w:val="24"/>
          <w:lang w:eastAsia="en-GB"/>
        </w:rPr>
        <w:t xml:space="preserve"> for terrorist financing. Others terrorists have misappropriated funds from legitimate NGO projec</w:t>
      </w:r>
      <w:r w:rsidR="002A4967">
        <w:rPr>
          <w:rFonts w:ascii="Arial" w:hAnsi="Arial" w:cs="Arial"/>
          <w:sz w:val="24"/>
          <w:szCs w:val="24"/>
          <w:lang w:eastAsia="en-GB"/>
        </w:rPr>
        <w:t xml:space="preserve">ts by posing as aid workers. </w:t>
      </w:r>
      <w:sdt>
        <w:sdtPr>
          <w:rPr>
            <w:rFonts w:ascii="Arial" w:hAnsi="Arial" w:cs="Arial"/>
            <w:sz w:val="24"/>
            <w:szCs w:val="24"/>
            <w:lang w:eastAsia="en-GB"/>
          </w:rPr>
          <w:id w:val="713543099"/>
          <w:citation/>
        </w:sdtPr>
        <w:sdtEndPr/>
        <w:sdtContent>
          <w:r w:rsidR="002A4967">
            <w:rPr>
              <w:rFonts w:ascii="Arial" w:hAnsi="Arial" w:cs="Arial"/>
              <w:sz w:val="24"/>
              <w:szCs w:val="24"/>
              <w:lang w:eastAsia="en-GB"/>
            </w:rPr>
            <w:fldChar w:fldCharType="begin"/>
          </w:r>
          <w:r w:rsidR="002A4967">
            <w:rPr>
              <w:rFonts w:ascii="Arial" w:hAnsi="Arial" w:cs="Arial"/>
              <w:sz w:val="24"/>
              <w:szCs w:val="24"/>
              <w:lang w:eastAsia="en-GB"/>
            </w:rPr>
            <w:instrText xml:space="preserve"> CITATION Fin131 \l 2057 </w:instrText>
          </w:r>
          <w:r w:rsidR="002A4967">
            <w:rPr>
              <w:rFonts w:ascii="Arial" w:hAnsi="Arial" w:cs="Arial"/>
              <w:sz w:val="24"/>
              <w:szCs w:val="24"/>
              <w:lang w:eastAsia="en-GB"/>
            </w:rPr>
            <w:fldChar w:fldCharType="separate"/>
          </w:r>
          <w:r w:rsidR="00745BB5" w:rsidRPr="00745BB5">
            <w:rPr>
              <w:rFonts w:ascii="Arial" w:hAnsi="Arial" w:cs="Arial"/>
              <w:noProof/>
              <w:sz w:val="24"/>
              <w:szCs w:val="24"/>
              <w:lang w:eastAsia="en-GB"/>
            </w:rPr>
            <w:t>(Financial Action Task Force, 2013)</w:t>
          </w:r>
          <w:r w:rsidR="002A4967">
            <w:rPr>
              <w:rFonts w:ascii="Arial" w:hAnsi="Arial" w:cs="Arial"/>
              <w:sz w:val="24"/>
              <w:szCs w:val="24"/>
              <w:lang w:eastAsia="en-GB"/>
            </w:rPr>
            <w:fldChar w:fldCharType="end"/>
          </w:r>
        </w:sdtContent>
      </w:sdt>
      <w:r w:rsidRPr="00E275AA">
        <w:rPr>
          <w:rFonts w:ascii="Arial" w:hAnsi="Arial" w:cs="Arial"/>
          <w:sz w:val="24"/>
          <w:szCs w:val="24"/>
          <w:lang w:eastAsia="en-GB"/>
        </w:rPr>
        <w:t xml:space="preserve"> </w:t>
      </w:r>
      <w:r w:rsidRPr="00F31502">
        <w:rPr>
          <w:rFonts w:ascii="Arial" w:hAnsi="Arial" w:cs="Arial"/>
          <w:sz w:val="24"/>
          <w:szCs w:val="24"/>
          <w:lang w:eastAsia="en-GB"/>
        </w:rPr>
        <w:t>The UK the charities commissioner has opened full statutory investigations five Muslim charities that are operating in Syria that due to poor management controls and relationship with to aid workers were ha</w:t>
      </w:r>
      <w:r w:rsidR="002A4967" w:rsidRPr="00F31502">
        <w:rPr>
          <w:rFonts w:ascii="Arial" w:hAnsi="Arial" w:cs="Arial"/>
          <w:sz w:val="24"/>
          <w:szCs w:val="24"/>
          <w:lang w:eastAsia="en-GB"/>
        </w:rPr>
        <w:t xml:space="preserve">ve been linked to terrorism. </w:t>
      </w:r>
      <w:sdt>
        <w:sdtPr>
          <w:rPr>
            <w:rFonts w:ascii="Arial" w:hAnsi="Arial" w:cs="Arial"/>
            <w:sz w:val="24"/>
            <w:szCs w:val="24"/>
            <w:lang w:eastAsia="en-GB"/>
          </w:rPr>
          <w:id w:val="-1617591119"/>
          <w:citation/>
        </w:sdtPr>
        <w:sdtEndPr/>
        <w:sdtContent>
          <w:r w:rsidR="002A4967" w:rsidRPr="00F31502">
            <w:rPr>
              <w:rFonts w:ascii="Arial" w:hAnsi="Arial" w:cs="Arial"/>
              <w:sz w:val="24"/>
              <w:szCs w:val="24"/>
              <w:lang w:eastAsia="en-GB"/>
            </w:rPr>
            <w:fldChar w:fldCharType="begin"/>
          </w:r>
          <w:r w:rsidR="002A4967" w:rsidRPr="00F31502">
            <w:rPr>
              <w:rFonts w:ascii="Arial" w:hAnsi="Arial" w:cs="Arial"/>
              <w:sz w:val="24"/>
              <w:szCs w:val="24"/>
              <w:lang w:eastAsia="en-GB"/>
            </w:rPr>
            <w:instrText xml:space="preserve">CITATION Met151 \t  \l 2057 </w:instrText>
          </w:r>
          <w:r w:rsidR="002A4967" w:rsidRPr="00F31502">
            <w:rPr>
              <w:rFonts w:ascii="Arial" w:hAnsi="Arial" w:cs="Arial"/>
              <w:sz w:val="24"/>
              <w:szCs w:val="24"/>
              <w:lang w:eastAsia="en-GB"/>
            </w:rPr>
            <w:fldChar w:fldCharType="separate"/>
          </w:r>
          <w:r w:rsidR="00745BB5" w:rsidRPr="00745BB5">
            <w:rPr>
              <w:rFonts w:ascii="Arial" w:hAnsi="Arial" w:cs="Arial"/>
              <w:noProof/>
              <w:sz w:val="24"/>
              <w:szCs w:val="24"/>
              <w:lang w:eastAsia="en-GB"/>
            </w:rPr>
            <w:t>(Metcalfe-Hough, Keatinge, &amp; Pantuliano, 2015)</w:t>
          </w:r>
          <w:r w:rsidR="002A4967" w:rsidRPr="00F31502">
            <w:rPr>
              <w:rFonts w:ascii="Arial" w:hAnsi="Arial" w:cs="Arial"/>
              <w:sz w:val="24"/>
              <w:szCs w:val="24"/>
              <w:lang w:eastAsia="en-GB"/>
            </w:rPr>
            <w:fldChar w:fldCharType="end"/>
          </w:r>
        </w:sdtContent>
      </w:sdt>
    </w:p>
    <w:p w:rsidR="00F31502" w:rsidRPr="00E275AA" w:rsidRDefault="00F31502" w:rsidP="00E275AA">
      <w:pPr>
        <w:spacing w:before="0" w:after="0" w:line="480" w:lineRule="auto"/>
        <w:jc w:val="both"/>
        <w:rPr>
          <w:rFonts w:ascii="Arial" w:hAnsi="Arial" w:cs="Arial"/>
          <w:sz w:val="24"/>
          <w:szCs w:val="24"/>
          <w:lang w:eastAsia="en-GB"/>
        </w:rPr>
      </w:pPr>
    </w:p>
    <w:p w:rsid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FATF offers no specific guidance as to how to monitor the financial activity of religious organisations, but does highlight that their charitable and educational outreach work has been used to recruit and promote terrorism. It also provides examples of religious institutions funding </w:t>
      </w:r>
      <w:r w:rsidR="002A4967">
        <w:rPr>
          <w:rFonts w:ascii="Arial" w:hAnsi="Arial" w:cs="Arial"/>
          <w:sz w:val="24"/>
          <w:szCs w:val="24"/>
          <w:lang w:eastAsia="en-GB"/>
        </w:rPr>
        <w:t xml:space="preserve">terrorist activities directly </w:t>
      </w:r>
      <w:sdt>
        <w:sdtPr>
          <w:rPr>
            <w:rFonts w:ascii="Arial" w:hAnsi="Arial" w:cs="Arial"/>
            <w:sz w:val="24"/>
            <w:szCs w:val="24"/>
            <w:lang w:eastAsia="en-GB"/>
          </w:rPr>
          <w:id w:val="-2075190213"/>
          <w:citation/>
        </w:sdtPr>
        <w:sdtEndPr/>
        <w:sdtContent>
          <w:r w:rsidR="002A4967">
            <w:rPr>
              <w:rFonts w:ascii="Arial" w:hAnsi="Arial" w:cs="Arial"/>
              <w:sz w:val="24"/>
              <w:szCs w:val="24"/>
              <w:lang w:eastAsia="en-GB"/>
            </w:rPr>
            <w:fldChar w:fldCharType="begin"/>
          </w:r>
          <w:r w:rsidR="002A4967">
            <w:rPr>
              <w:rFonts w:ascii="Arial" w:hAnsi="Arial" w:cs="Arial"/>
              <w:sz w:val="24"/>
              <w:szCs w:val="24"/>
              <w:lang w:eastAsia="en-GB"/>
            </w:rPr>
            <w:instrText xml:space="preserve"> CITATION Fin131 \l 2057 </w:instrText>
          </w:r>
          <w:r w:rsidR="002A4967">
            <w:rPr>
              <w:rFonts w:ascii="Arial" w:hAnsi="Arial" w:cs="Arial"/>
              <w:sz w:val="24"/>
              <w:szCs w:val="24"/>
              <w:lang w:eastAsia="en-GB"/>
            </w:rPr>
            <w:fldChar w:fldCharType="separate"/>
          </w:r>
          <w:r w:rsidR="00745BB5" w:rsidRPr="00745BB5">
            <w:rPr>
              <w:rFonts w:ascii="Arial" w:hAnsi="Arial" w:cs="Arial"/>
              <w:noProof/>
              <w:sz w:val="24"/>
              <w:szCs w:val="24"/>
              <w:lang w:eastAsia="en-GB"/>
            </w:rPr>
            <w:t>(Financial Action Task Force, 2013)</w:t>
          </w:r>
          <w:r w:rsidR="002A4967">
            <w:rPr>
              <w:rFonts w:ascii="Arial" w:hAnsi="Arial" w:cs="Arial"/>
              <w:sz w:val="24"/>
              <w:szCs w:val="24"/>
              <w:lang w:eastAsia="en-GB"/>
            </w:rPr>
            <w:fldChar w:fldCharType="end"/>
          </w:r>
        </w:sdtContent>
      </w:sdt>
      <w:r w:rsidRPr="00E275AA">
        <w:rPr>
          <w:rFonts w:ascii="Arial" w:hAnsi="Arial" w:cs="Arial"/>
          <w:sz w:val="24"/>
          <w:szCs w:val="24"/>
          <w:lang w:eastAsia="en-GB"/>
        </w:rPr>
        <w:t>.    </w:t>
      </w:r>
    </w:p>
    <w:p w:rsidR="006663AF" w:rsidRPr="00E275AA" w:rsidRDefault="006663AF"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FATF also recommends that Politically Exposed Persons (PEPs) should be subject to enhanced due diligence. These are people that hold “prominent public positions” in politics, diplomacy, the judiciary, and the military.</w:t>
      </w:r>
      <w:sdt>
        <w:sdtPr>
          <w:rPr>
            <w:rFonts w:ascii="Arial" w:hAnsi="Arial" w:cs="Arial"/>
            <w:sz w:val="24"/>
            <w:szCs w:val="24"/>
            <w:lang w:eastAsia="en-GB"/>
          </w:rPr>
          <w:id w:val="355863976"/>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Fin13 \l 2057 </w:instrText>
          </w:r>
          <w:r w:rsidR="00150EB6">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(Financial Action Task Force, 2013)</w:t>
          </w:r>
          <w:r w:rsidR="00150EB6">
            <w:rPr>
              <w:rFonts w:ascii="Arial" w:hAnsi="Arial" w:cs="Arial"/>
              <w:sz w:val="24"/>
              <w:szCs w:val="24"/>
              <w:lang w:eastAsia="en-GB"/>
            </w:rPr>
            <w:fldChar w:fldCharType="end"/>
          </w:r>
        </w:sdtContent>
      </w:sdt>
      <w:r w:rsidRPr="00E275AA">
        <w:rPr>
          <w:rFonts w:ascii="Arial" w:hAnsi="Arial" w:cs="Arial"/>
          <w:sz w:val="24"/>
          <w:szCs w:val="24"/>
          <w:lang w:eastAsia="en-GB"/>
        </w:rPr>
        <w:t xml:space="preserve"> PEPs may control budgets and/or have responsibilities for awarding contracts and grants that may be misappropriated. FATF has found evidence of positions of influence being “abused for the purpose of money laundering and terrorist financing” and as such has indicated that the financial transactions of PEPs, in particular foreign PEPs, should be subject to enhanced monitoring.</w:t>
      </w:r>
    </w:p>
    <w:p w:rsidR="00E275AA" w:rsidRPr="00E275AA" w:rsidRDefault="00E275AA" w:rsidP="00E275AA">
      <w:pPr>
        <w:spacing w:before="0" w:after="0" w:line="480" w:lineRule="auto"/>
        <w:jc w:val="both"/>
        <w:rPr>
          <w:rFonts w:ascii="Arial" w:hAnsi="Arial" w:cs="Arial"/>
          <w:b/>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lang w:eastAsia="en-GB"/>
        </w:rPr>
        <w:t>Business activities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FATF recommendation 12 identifies correspondence banking as an activity that carries a higher ML/TF risk. Correspondent banking involves moving money through layers of financial intermediaries to provide services to customers where banks do not maintain a branch network. This increases ML/TF risk as there is no direct “face to face” relations</w:t>
      </w:r>
      <w:r w:rsidR="006663AF">
        <w:rPr>
          <w:rFonts w:ascii="Arial" w:hAnsi="Arial" w:cs="Arial"/>
          <w:sz w:val="24"/>
          <w:szCs w:val="24"/>
          <w:lang w:eastAsia="en-GB"/>
        </w:rPr>
        <w:t xml:space="preserve">hip with the underlying client. </w:t>
      </w:r>
      <w:sdt>
        <w:sdtPr>
          <w:rPr>
            <w:rFonts w:ascii="Arial" w:hAnsi="Arial" w:cs="Arial"/>
            <w:sz w:val="24"/>
            <w:szCs w:val="24"/>
            <w:lang w:eastAsia="en-GB"/>
          </w:rPr>
          <w:id w:val="-400602458"/>
          <w:citation/>
        </w:sdtPr>
        <w:sdtEndPr/>
        <w:sdtContent>
          <w:r w:rsidR="006663AF">
            <w:rPr>
              <w:rFonts w:ascii="Arial" w:hAnsi="Arial" w:cs="Arial"/>
              <w:sz w:val="24"/>
              <w:szCs w:val="24"/>
              <w:lang w:eastAsia="en-GB"/>
            </w:rPr>
            <w:fldChar w:fldCharType="begin"/>
          </w:r>
          <w:r w:rsidR="006663AF" w:rsidRPr="006663AF">
            <w:rPr>
              <w:rFonts w:ascii="Arial" w:hAnsi="Arial" w:cs="Arial"/>
              <w:sz w:val="24"/>
              <w:szCs w:val="24"/>
              <w:lang w:eastAsia="en-GB"/>
            </w:rPr>
            <w:instrText xml:space="preserve"> CITATION Fin12 \l 2057 </w:instrText>
          </w:r>
          <w:r w:rsidR="006663AF">
            <w:rPr>
              <w:rFonts w:ascii="Arial" w:hAnsi="Arial" w:cs="Arial"/>
              <w:sz w:val="24"/>
              <w:szCs w:val="24"/>
              <w:lang w:eastAsia="en-GB"/>
            </w:rPr>
            <w:fldChar w:fldCharType="separate"/>
          </w:r>
          <w:r w:rsidR="00745BB5" w:rsidRPr="00745BB5">
            <w:rPr>
              <w:rFonts w:ascii="Arial" w:hAnsi="Arial" w:cs="Arial"/>
              <w:noProof/>
              <w:sz w:val="24"/>
              <w:szCs w:val="24"/>
              <w:lang w:eastAsia="en-GB"/>
            </w:rPr>
            <w:t>(Financial Action Task Force, 2012)</w:t>
          </w:r>
          <w:r w:rsidR="006663AF">
            <w:rPr>
              <w:rFonts w:ascii="Arial" w:hAnsi="Arial" w:cs="Arial"/>
              <w:sz w:val="24"/>
              <w:szCs w:val="24"/>
              <w:lang w:eastAsia="en-GB"/>
            </w:rPr>
            <w:fldChar w:fldCharType="end"/>
          </w:r>
        </w:sdtContent>
      </w:sdt>
      <w:r w:rsidR="009E730E">
        <w:rPr>
          <w:rFonts w:ascii="Arial" w:hAnsi="Arial" w:cs="Arial"/>
          <w:sz w:val="24"/>
          <w:szCs w:val="24"/>
          <w:lang w:eastAsia="en-GB"/>
        </w:rPr>
        <w:t xml:space="preserve"> </w:t>
      </w:r>
      <w:r w:rsidRPr="00E275AA">
        <w:rPr>
          <w:rFonts w:ascii="Arial" w:hAnsi="Arial" w:cs="Arial"/>
          <w:sz w:val="24"/>
          <w:szCs w:val="24"/>
          <w:lang w:eastAsia="en-GB"/>
        </w:rPr>
        <w:t>Correspondent banks have to rely on the quality of controls that respondent banks have in place to meet “know your customer” requirements. This risk is increased in jurisdictions that have poor compliance with international money laundering regulations and maintain bank secrecy laws.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FATF also recommends enhanced controls for Money Services Businesses (MSB). They also have characteristically more “one off” relationships with a wider range of customers so lack the ability to notice changes in their customer’s behaviour and detect suspicious activity. With no central oversight of customer transactions money launders can use multiple unconnected MSBs to layer their transactions and avoid detection. MSBs based in the UK were used t</w:t>
      </w:r>
      <w:r w:rsidR="00150EB6">
        <w:rPr>
          <w:rFonts w:ascii="Arial" w:hAnsi="Arial" w:cs="Arial"/>
          <w:sz w:val="24"/>
          <w:szCs w:val="24"/>
          <w:lang w:eastAsia="en-GB"/>
        </w:rPr>
        <w:t xml:space="preserve">o fund the Madrid bombings </w:t>
      </w:r>
      <w:sdt>
        <w:sdtPr>
          <w:rPr>
            <w:rFonts w:ascii="Arial" w:hAnsi="Arial" w:cs="Arial"/>
            <w:sz w:val="24"/>
            <w:szCs w:val="24"/>
            <w:lang w:eastAsia="en-GB"/>
          </w:rPr>
          <w:id w:val="1555346965"/>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Bay14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(Bayot, Disneur, &amp; Kempson, 2014)</w:t>
          </w:r>
          <w:r w:rsidR="00150EB6">
            <w:rPr>
              <w:rFonts w:ascii="Arial" w:hAnsi="Arial" w:cs="Arial"/>
              <w:sz w:val="24"/>
              <w:szCs w:val="24"/>
              <w:lang w:eastAsia="en-GB"/>
            </w:rPr>
            <w:fldChar w:fldCharType="end"/>
          </w:r>
        </w:sdtContent>
      </w:sdt>
      <w:r w:rsidR="00150EB6">
        <w:rPr>
          <w:rFonts w:ascii="Arial" w:hAnsi="Arial" w:cs="Arial"/>
          <w:sz w:val="24"/>
          <w:szCs w:val="24"/>
          <w:lang w:eastAsia="en-GB"/>
        </w:rPr>
        <w:t>.</w:t>
      </w:r>
      <w:r w:rsidRPr="00E275AA">
        <w:rPr>
          <w:rFonts w:ascii="Arial" w:hAnsi="Arial" w:cs="Arial"/>
          <w:sz w:val="24"/>
          <w:szCs w:val="24"/>
          <w:lang w:eastAsia="en-GB"/>
        </w:rPr>
        <w:t xml:space="preserve"> Moreover some organised criminal organisations operate their own “legal” MSBs and use them as a channel to launder money without detection.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MSBs are also widely used by migrant workers as a quick and cheap method of sending remittances back to countries where banking services are limited. The widespread use of MSB for remittances conflates transactions of legal and illegal origins and makes it more difficult to identify suspicious transactions.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lang w:eastAsia="en-GB"/>
        </w:rPr>
        <w:t>Jurisdictions</w:t>
      </w:r>
      <w:r w:rsidRPr="00E275AA">
        <w:rPr>
          <w:rFonts w:ascii="Arial" w:hAnsi="Arial" w:cs="Arial"/>
          <w:b/>
          <w:bCs/>
          <w:sz w:val="24"/>
          <w:szCs w:val="24"/>
          <w:lang w:eastAsia="en-GB"/>
        </w:rPr>
        <w:br/>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Financial institutions have also de-risked by reducing their operations in higher risk jurisdictions. Higher risk jurisdictions are those that do not comply with international </w:t>
      </w:r>
      <w:smartTag w:uri="urn:schemas-microsoft-com:office:smarttags" w:element="stockticker">
        <w:r w:rsidRPr="00E275AA">
          <w:rPr>
            <w:rFonts w:ascii="Arial" w:hAnsi="Arial" w:cs="Arial"/>
            <w:sz w:val="24"/>
            <w:szCs w:val="24"/>
            <w:lang w:eastAsia="en-GB"/>
          </w:rPr>
          <w:t>AML</w:t>
        </w:r>
      </w:smartTag>
      <w:r w:rsidRPr="00E275AA">
        <w:rPr>
          <w:rFonts w:ascii="Arial" w:hAnsi="Arial" w:cs="Arial"/>
          <w:sz w:val="24"/>
          <w:szCs w:val="24"/>
          <w:lang w:eastAsia="en-GB"/>
        </w:rPr>
        <w:t xml:space="preserve">/CTF standards or are more unstable as a result of poverty, conflict or terrorism. FATF produced a list of high risk jurisdiction, other watch–lists and black-lists are published by various international organisations such as the Basel index and the EU </w:t>
      </w:r>
      <w:r w:rsidR="00150EB6">
        <w:rPr>
          <w:rFonts w:ascii="Arial" w:hAnsi="Arial" w:cs="Arial"/>
          <w:sz w:val="24"/>
          <w:szCs w:val="24"/>
          <w:lang w:eastAsia="en-GB"/>
        </w:rPr>
        <w:t xml:space="preserve">consolidated sanctions list </w:t>
      </w:r>
      <w:sdt>
        <w:sdtPr>
          <w:rPr>
            <w:rFonts w:ascii="Arial" w:hAnsi="Arial" w:cs="Arial"/>
            <w:sz w:val="24"/>
            <w:szCs w:val="24"/>
            <w:lang w:eastAsia="en-GB"/>
          </w:rPr>
          <w:id w:val="-1171324012"/>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Bas15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(Basel Institute of Governance, 2015)</w:t>
          </w:r>
          <w:r w:rsidR="00150EB6">
            <w:rPr>
              <w:rFonts w:ascii="Arial" w:hAnsi="Arial" w:cs="Arial"/>
              <w:sz w:val="24"/>
              <w:szCs w:val="24"/>
              <w:lang w:eastAsia="en-GB"/>
            </w:rPr>
            <w:fldChar w:fldCharType="end"/>
          </w:r>
        </w:sdtContent>
      </w:sdt>
      <w:sdt>
        <w:sdtPr>
          <w:rPr>
            <w:rFonts w:ascii="Arial" w:hAnsi="Arial" w:cs="Arial"/>
            <w:sz w:val="24"/>
            <w:szCs w:val="24"/>
            <w:lang w:eastAsia="en-GB"/>
          </w:rPr>
          <w:id w:val="851225547"/>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HMT15 \l 2057 </w:instrText>
          </w:r>
          <w:r w:rsidR="00150EB6">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(HM Treasury, 2015)</w:t>
          </w:r>
          <w:r w:rsidR="00150EB6">
            <w:rPr>
              <w:rFonts w:ascii="Arial" w:hAnsi="Arial" w:cs="Arial"/>
              <w:sz w:val="24"/>
              <w:szCs w:val="24"/>
              <w:lang w:eastAsia="en-GB"/>
            </w:rPr>
            <w:fldChar w:fldCharType="end"/>
          </w:r>
        </w:sdtContent>
      </w:sdt>
      <w:r w:rsidRPr="00E275AA">
        <w:rPr>
          <w:rFonts w:ascii="Arial" w:hAnsi="Arial" w:cs="Arial"/>
          <w:sz w:val="24"/>
          <w:szCs w:val="24"/>
          <w:lang w:eastAsia="en-GB"/>
        </w:rPr>
        <w:t>. New and existing customers are screened against these lists for involvement with organised crime and affiliation with terrorist groups.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pBdr>
          <w:bottom w:val="single" w:sz="8" w:space="4" w:color="4F81BD"/>
        </w:pBdr>
        <w:spacing w:before="0" w:after="300" w:line="480" w:lineRule="auto"/>
        <w:contextualSpacing/>
        <w:rPr>
          <w:rFonts w:ascii="Cambria" w:hAnsi="Cambria"/>
          <w:color w:val="17365D"/>
          <w:spacing w:val="5"/>
          <w:kern w:val="28"/>
          <w:sz w:val="52"/>
          <w:szCs w:val="52"/>
          <w:lang w:eastAsia="en-GB"/>
        </w:rPr>
      </w:pPr>
      <w:r w:rsidRPr="00E275AA">
        <w:rPr>
          <w:rFonts w:ascii="Cambria" w:hAnsi="Cambria"/>
          <w:color w:val="17365D"/>
          <w:spacing w:val="5"/>
          <w:kern w:val="28"/>
          <w:sz w:val="52"/>
          <w:szCs w:val="52"/>
          <w:lang w:eastAsia="en-GB"/>
        </w:rPr>
        <w:t>Chapter 2 Drivers of de-risking</w:t>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This chapter discusses the different drivers of de-risking. At the heart of the issue is the increased cost of ensuring that ML/TF risks are appropriately mitigated and controlled. As discussed previously the cost of maintaining detection, monitoring and reporting capabilities which can be considered a public good is paid for by the private banking sector. Banks are required to conduct this public function and monitor their customers for suspicious activity. However banks have the discretion to choose their customers on a commercial basis which means if they choose not to engage with certain customers then this public function will be under-performed.</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rPr>
          <w:rFonts w:ascii="Arial" w:hAnsi="Arial" w:cs="Arial"/>
          <w:b/>
          <w:bCs/>
          <w:sz w:val="28"/>
          <w:szCs w:val="24"/>
          <w:lang w:eastAsia="en-GB"/>
        </w:rPr>
      </w:pPr>
      <w:r w:rsidRPr="00E275AA">
        <w:rPr>
          <w:rFonts w:ascii="Arial" w:hAnsi="Arial" w:cs="Arial"/>
          <w:b/>
          <w:bCs/>
          <w:sz w:val="28"/>
          <w:szCs w:val="24"/>
          <w:lang w:eastAsia="en-GB"/>
        </w:rPr>
        <w:t>Cost of compliance</w:t>
      </w:r>
    </w:p>
    <w:p w:rsidR="00E275AA" w:rsidRPr="00E275AA" w:rsidRDefault="00E275AA" w:rsidP="00E275AA">
      <w:pPr>
        <w:spacing w:before="0" w:after="0" w:line="480" w:lineRule="auto"/>
        <w:rPr>
          <w:rFonts w:ascii="Arial" w:hAnsi="Arial" w:cs="Arial"/>
          <w:b/>
          <w:bCs/>
          <w:sz w:val="28"/>
          <w:szCs w:val="24"/>
          <w:lang w:eastAsia="en-GB"/>
        </w:rPr>
      </w:pPr>
    </w:p>
    <w:p w:rsidR="00E275AA" w:rsidRPr="00E275AA" w:rsidRDefault="00E275AA" w:rsidP="00E275AA">
      <w:pPr>
        <w:spacing w:before="0" w:after="0" w:line="480" w:lineRule="auto"/>
        <w:rPr>
          <w:rFonts w:ascii="Arial" w:hAnsi="Arial" w:cs="Arial"/>
          <w:sz w:val="24"/>
          <w:szCs w:val="24"/>
          <w:u w:val="single"/>
          <w:lang w:eastAsia="en-GB"/>
        </w:rPr>
      </w:pPr>
      <w:r w:rsidRPr="00E275AA">
        <w:rPr>
          <w:rFonts w:ascii="Arial" w:hAnsi="Arial" w:cs="Arial"/>
          <w:bCs/>
          <w:sz w:val="24"/>
          <w:szCs w:val="24"/>
          <w:u w:val="single"/>
          <w:lang w:eastAsia="en-GB"/>
        </w:rPr>
        <w:t xml:space="preserve">Increased AML/CTF requirements </w:t>
      </w:r>
      <w:r w:rsidRPr="00E275AA">
        <w:rPr>
          <w:rFonts w:ascii="Arial" w:hAnsi="Arial" w:cs="Arial"/>
          <w:sz w:val="24"/>
          <w:szCs w:val="24"/>
          <w:u w:val="single"/>
          <w:lang w:eastAsia="en-GB"/>
        </w:rPr>
        <w:br/>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Given </w:t>
      </w:r>
      <w:r w:rsidR="000814AC">
        <w:rPr>
          <w:rFonts w:ascii="Arial" w:hAnsi="Arial" w:cs="Arial"/>
          <w:sz w:val="24"/>
          <w:szCs w:val="24"/>
          <w:lang w:eastAsia="en-GB"/>
        </w:rPr>
        <w:t>the amount of regulation they are subject to</w:t>
      </w:r>
      <w:r w:rsidRPr="00E275AA">
        <w:rPr>
          <w:rFonts w:ascii="Arial" w:hAnsi="Arial" w:cs="Arial"/>
          <w:sz w:val="24"/>
          <w:szCs w:val="24"/>
          <w:lang w:eastAsia="en-GB"/>
        </w:rPr>
        <w:t xml:space="preserve"> banks argue that the cost of compliance has made certain business lines unviable and led to the reduction in service to high risk customers, businesses and jurisdictions. Truman estimate the cost of the compliance with AML/CTF regulation in the US is $7 billion annually.</w:t>
      </w:r>
      <w:sdt>
        <w:sdtPr>
          <w:rPr>
            <w:rFonts w:ascii="Arial" w:hAnsi="Arial" w:cs="Arial"/>
            <w:sz w:val="24"/>
            <w:szCs w:val="24"/>
            <w:lang w:eastAsia="en-GB"/>
          </w:rPr>
          <w:id w:val="-2123672816"/>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CITATION Reu04 \t  \l 2057 </w:instrText>
          </w:r>
          <w:r w:rsidR="00150EB6">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(Reuter &amp; Truman, 2004)</w:t>
          </w:r>
          <w:r w:rsidR="00150EB6">
            <w:rPr>
              <w:rFonts w:ascii="Arial" w:hAnsi="Arial" w:cs="Arial"/>
              <w:sz w:val="24"/>
              <w:szCs w:val="24"/>
              <w:lang w:eastAsia="en-GB"/>
            </w:rPr>
            <w:fldChar w:fldCharType="end"/>
          </w:r>
        </w:sdtContent>
      </w:sdt>
      <w:r w:rsidR="00150EB6">
        <w:rPr>
          <w:rFonts w:ascii="Arial" w:hAnsi="Arial" w:cs="Arial"/>
          <w:sz w:val="24"/>
          <w:szCs w:val="24"/>
          <w:lang w:eastAsia="en-GB"/>
        </w:rPr>
        <w:t xml:space="preserve"> </w:t>
      </w:r>
      <w:r w:rsidRPr="00E275AA">
        <w:rPr>
          <w:rFonts w:ascii="Arial" w:hAnsi="Arial" w:cs="Arial"/>
          <w:sz w:val="24"/>
          <w:szCs w:val="24"/>
          <w:lang w:eastAsia="en-GB"/>
        </w:rPr>
        <w:t xml:space="preserve"> KPMG estimated that the cost of compliance with AML/CTF legislation has risen 53% </w:t>
      </w:r>
      <w:r w:rsidR="00150EB6">
        <w:rPr>
          <w:rFonts w:ascii="Arial" w:hAnsi="Arial" w:cs="Arial"/>
          <w:sz w:val="24"/>
          <w:szCs w:val="24"/>
          <w:lang w:eastAsia="en-GB"/>
        </w:rPr>
        <w:t>from</w:t>
      </w:r>
      <w:r w:rsidRPr="00E275AA">
        <w:rPr>
          <w:rFonts w:ascii="Arial" w:hAnsi="Arial" w:cs="Arial"/>
          <w:sz w:val="24"/>
          <w:szCs w:val="24"/>
          <w:lang w:eastAsia="en-GB"/>
        </w:rPr>
        <w:t xml:space="preserve"> 2011-20</w:t>
      </w:r>
      <w:r w:rsidR="00150EB6">
        <w:rPr>
          <w:rFonts w:ascii="Arial" w:hAnsi="Arial" w:cs="Arial"/>
          <w:sz w:val="24"/>
          <w:szCs w:val="24"/>
          <w:lang w:eastAsia="en-GB"/>
        </w:rPr>
        <w:t xml:space="preserve">14 and will continue to rise </w:t>
      </w:r>
      <w:sdt>
        <w:sdtPr>
          <w:rPr>
            <w:rFonts w:ascii="Arial" w:hAnsi="Arial" w:cs="Arial"/>
            <w:sz w:val="24"/>
            <w:szCs w:val="24"/>
            <w:lang w:eastAsia="en-GB"/>
          </w:rPr>
          <w:id w:val="1065919734"/>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KPM14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(KPMG, 2014)</w:t>
          </w:r>
          <w:r w:rsidR="00150EB6">
            <w:rPr>
              <w:rFonts w:ascii="Arial" w:hAnsi="Arial" w:cs="Arial"/>
              <w:sz w:val="24"/>
              <w:szCs w:val="24"/>
              <w:lang w:eastAsia="en-GB"/>
            </w:rPr>
            <w:fldChar w:fldCharType="end"/>
          </w:r>
        </w:sdtContent>
      </w:sdt>
      <w:r w:rsidRPr="00E275AA">
        <w:rPr>
          <w:rFonts w:ascii="Arial" w:hAnsi="Arial" w:cs="Arial"/>
          <w:sz w:val="24"/>
          <w:szCs w:val="24"/>
          <w:lang w:eastAsia="en-GB"/>
        </w:rPr>
        <w:t>.  Since being fined in 2012 for serious breaches of AML regulations HSBC has committed to investing $700million to improve “</w:t>
      </w:r>
      <w:r w:rsidR="00150EB6">
        <w:rPr>
          <w:rFonts w:ascii="Arial" w:hAnsi="Arial" w:cs="Arial"/>
          <w:sz w:val="24"/>
          <w:szCs w:val="24"/>
          <w:lang w:eastAsia="en-GB"/>
        </w:rPr>
        <w:t xml:space="preserve">know you customer” systems. </w:t>
      </w:r>
      <w:sdt>
        <w:sdtPr>
          <w:rPr>
            <w:rFonts w:ascii="Arial" w:hAnsi="Arial" w:cs="Arial"/>
            <w:sz w:val="24"/>
            <w:szCs w:val="24"/>
            <w:lang w:eastAsia="en-GB"/>
          </w:rPr>
          <w:id w:val="1259640813"/>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Rea14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(Ready-Made Investment Digest, 2014)</w:t>
          </w:r>
          <w:r w:rsidR="00150EB6">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KPMG found that transaction monitoring and the ‘know your customer’ requirements (KYC) impose the most</w:t>
      </w:r>
      <w:r w:rsidR="00150EB6">
        <w:rPr>
          <w:rFonts w:ascii="Arial" w:hAnsi="Arial" w:cs="Arial"/>
          <w:sz w:val="24"/>
          <w:szCs w:val="24"/>
          <w:lang w:eastAsia="en-GB"/>
        </w:rPr>
        <w:t xml:space="preserve"> significant cost to firms. </w:t>
      </w:r>
      <w:sdt>
        <w:sdtPr>
          <w:rPr>
            <w:rFonts w:ascii="Arial" w:hAnsi="Arial" w:cs="Arial"/>
            <w:sz w:val="24"/>
            <w:szCs w:val="24"/>
            <w:lang w:eastAsia="en-GB"/>
          </w:rPr>
          <w:id w:val="1987500286"/>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KPM14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(KPMG, 2014)</w:t>
          </w:r>
          <w:r w:rsidR="00150EB6">
            <w:rPr>
              <w:rFonts w:ascii="Arial" w:hAnsi="Arial" w:cs="Arial"/>
              <w:sz w:val="24"/>
              <w:szCs w:val="24"/>
              <w:lang w:eastAsia="en-GB"/>
            </w:rPr>
            <w:fldChar w:fldCharType="end"/>
          </w:r>
        </w:sdtContent>
      </w:sdt>
      <w:r w:rsidR="00150EB6">
        <w:rPr>
          <w:rFonts w:ascii="Arial" w:hAnsi="Arial" w:cs="Arial"/>
          <w:sz w:val="24"/>
          <w:szCs w:val="24"/>
          <w:lang w:eastAsia="en-GB"/>
        </w:rPr>
        <w:t xml:space="preserve"> G</w:t>
      </w:r>
      <w:r w:rsidRPr="00E275AA">
        <w:rPr>
          <w:rFonts w:ascii="Arial" w:hAnsi="Arial" w:cs="Arial"/>
          <w:sz w:val="24"/>
          <w:szCs w:val="24"/>
          <w:lang w:eastAsia="en-GB"/>
        </w:rPr>
        <w:t>eiger argues that the cost of compliance with AML/CTF requirements accounts for 45% of the total regulatory burden. He also notes that the cost of compliance is felt disproportionately by smaller firms who rely more heavily on manual transaction screening.</w:t>
      </w:r>
      <w:sdt>
        <w:sdtPr>
          <w:rPr>
            <w:rFonts w:ascii="Arial" w:hAnsi="Arial" w:cs="Arial"/>
            <w:sz w:val="24"/>
            <w:szCs w:val="24"/>
            <w:lang w:eastAsia="en-GB"/>
          </w:rPr>
          <w:id w:val="-1049989060"/>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Gei06 \l 2057 </w:instrText>
          </w:r>
          <w:r w:rsidR="00150EB6">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(Geiger &amp; Wuensch, 2006)</w:t>
          </w:r>
          <w:r w:rsidR="00150EB6">
            <w:rPr>
              <w:rFonts w:ascii="Arial" w:hAnsi="Arial" w:cs="Arial"/>
              <w:sz w:val="24"/>
              <w:szCs w:val="24"/>
              <w:lang w:eastAsia="en-GB"/>
            </w:rPr>
            <w:fldChar w:fldCharType="end"/>
          </w:r>
        </w:sdtContent>
      </w:sdt>
      <w:r w:rsidR="00150EB6">
        <w:rPr>
          <w:rFonts w:ascii="Arial" w:hAnsi="Arial" w:cs="Arial"/>
          <w:sz w:val="24"/>
          <w:szCs w:val="24"/>
          <w:lang w:eastAsia="en-GB"/>
        </w:rPr>
        <w:t xml:space="preserve"> </w:t>
      </w:r>
      <w:r w:rsidRPr="00E275AA">
        <w:rPr>
          <w:rFonts w:ascii="Arial" w:hAnsi="Arial" w:cs="Arial"/>
          <w:sz w:val="24"/>
          <w:szCs w:val="24"/>
          <w:lang w:eastAsia="en-GB"/>
        </w:rPr>
        <w:t xml:space="preserve"> This significantly increases staff training costs and could have an adverse effect on the ability of smaller firms to compete effectively as larger firms are able to use insights generated by their automated systems about their customer’s behaviour to better target the sale</w:t>
      </w:r>
      <w:r w:rsidR="00150EB6">
        <w:rPr>
          <w:rFonts w:ascii="Arial" w:hAnsi="Arial" w:cs="Arial"/>
          <w:sz w:val="24"/>
          <w:szCs w:val="24"/>
          <w:lang w:eastAsia="en-GB"/>
        </w:rPr>
        <w:t xml:space="preserve">s of other financial products. </w:t>
      </w:r>
      <w:sdt>
        <w:sdtPr>
          <w:rPr>
            <w:rFonts w:ascii="Arial" w:hAnsi="Arial" w:cs="Arial"/>
            <w:sz w:val="24"/>
            <w:szCs w:val="24"/>
            <w:lang w:eastAsia="en-GB"/>
          </w:rPr>
          <w:id w:val="-1403287185"/>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Tsi05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(Tsingou, 2005)</w:t>
          </w:r>
          <w:r w:rsidR="00150EB6">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 evolution in payments technology has increased the range of money laundering channels and techniques. Large on-going systems investments are required to ensure that firms can keep up to date with the latest money laundering techniques. This means that independently of any additional regulatory requirements there is an on-going cost to maintaining and updated detection and reporting systems. These systems are increasingly sophisticated. Private compliance tools such as World-check are able to screen customer details against hundreds of different sanctions lists as well as thousands of different media sources in multiple languages. They claim to have detected 180 high risk individuals before they ap</w:t>
      </w:r>
      <w:r w:rsidR="00150EB6">
        <w:rPr>
          <w:rFonts w:ascii="Arial" w:hAnsi="Arial" w:cs="Arial"/>
          <w:sz w:val="24"/>
          <w:szCs w:val="24"/>
          <w:lang w:eastAsia="en-GB"/>
        </w:rPr>
        <w:t>peared on official sanctions</w:t>
      </w:r>
      <w:r w:rsidRPr="00E275AA">
        <w:rPr>
          <w:rFonts w:ascii="Arial" w:hAnsi="Arial" w:cs="Arial"/>
          <w:sz w:val="24"/>
          <w:szCs w:val="24"/>
          <w:lang w:eastAsia="en-GB"/>
        </w:rPr>
        <w:t xml:space="preserve"> lists</w:t>
      </w:r>
      <w:r w:rsidR="00150EB6">
        <w:rPr>
          <w:rFonts w:ascii="Arial" w:hAnsi="Arial" w:cs="Arial"/>
          <w:sz w:val="24"/>
          <w:szCs w:val="24"/>
          <w:lang w:eastAsia="en-GB"/>
        </w:rPr>
        <w:t xml:space="preserve"> </w:t>
      </w:r>
      <w:sdt>
        <w:sdtPr>
          <w:rPr>
            <w:rFonts w:ascii="Arial" w:hAnsi="Arial" w:cs="Arial"/>
            <w:sz w:val="24"/>
            <w:szCs w:val="24"/>
            <w:lang w:eastAsia="en-GB"/>
          </w:rPr>
          <w:id w:val="1033385981"/>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Tho15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(Thomson Reuters, 2015)</w:t>
          </w:r>
          <w:r w:rsidR="00150EB6">
            <w:rPr>
              <w:rFonts w:ascii="Arial" w:hAnsi="Arial" w:cs="Arial"/>
              <w:sz w:val="24"/>
              <w:szCs w:val="24"/>
              <w:lang w:eastAsia="en-GB"/>
            </w:rPr>
            <w:fldChar w:fldCharType="end"/>
          </w:r>
        </w:sdtContent>
      </w:sdt>
      <w:r w:rsidRPr="00E275AA">
        <w:rPr>
          <w:rFonts w:ascii="Arial" w:hAnsi="Arial" w:cs="Arial"/>
          <w:sz w:val="24"/>
          <w:szCs w:val="24"/>
          <w:lang w:eastAsia="en-GB"/>
        </w:rPr>
        <w:t xml:space="preserve">.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Moreover the number of financial transactions that have to be monitored has increased significantly. Between 2008- 2012 the annual number of electronic transactions processes in the UK has increased fr</w:t>
      </w:r>
      <w:r w:rsidR="00150EB6">
        <w:rPr>
          <w:rFonts w:ascii="Arial" w:hAnsi="Arial" w:cs="Arial"/>
          <w:sz w:val="24"/>
          <w:szCs w:val="24"/>
          <w:lang w:eastAsia="en-GB"/>
        </w:rPr>
        <w:t xml:space="preserve">om 15 billion to 18 billion </w:t>
      </w:r>
      <w:sdt>
        <w:sdtPr>
          <w:rPr>
            <w:rFonts w:ascii="Arial" w:hAnsi="Arial" w:cs="Arial"/>
            <w:sz w:val="24"/>
            <w:szCs w:val="24"/>
            <w:lang w:eastAsia="en-GB"/>
          </w:rPr>
          <w:id w:val="342287511"/>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Cap12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(Capgemini, 2013)</w:t>
          </w:r>
          <w:r w:rsidR="00150EB6">
            <w:rPr>
              <w:rFonts w:ascii="Arial" w:hAnsi="Arial" w:cs="Arial"/>
              <w:sz w:val="24"/>
              <w:szCs w:val="24"/>
              <w:lang w:eastAsia="en-GB"/>
            </w:rPr>
            <w:fldChar w:fldCharType="end"/>
          </w:r>
        </w:sdtContent>
      </w:sdt>
      <w:r w:rsidR="00150EB6">
        <w:rPr>
          <w:rFonts w:ascii="Arial" w:hAnsi="Arial" w:cs="Arial"/>
          <w:sz w:val="24"/>
          <w:szCs w:val="24"/>
          <w:lang w:eastAsia="en-GB"/>
        </w:rPr>
        <w:t xml:space="preserve">. </w:t>
      </w:r>
      <w:r w:rsidRPr="00E275AA">
        <w:rPr>
          <w:rFonts w:ascii="Arial" w:hAnsi="Arial" w:cs="Arial"/>
          <w:sz w:val="24"/>
          <w:szCs w:val="24"/>
          <w:lang w:eastAsia="en-GB"/>
        </w:rPr>
        <w:t>This trend will continue as more transactions are processed online and through apps. This means that financial institutions will have to monitor an increasing number of diverse online transactions which will again increase the cost of compliance.</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rPr>
          <w:rFonts w:ascii="Arial" w:hAnsi="Arial" w:cs="Arial"/>
          <w:sz w:val="24"/>
          <w:szCs w:val="24"/>
          <w:u w:val="single"/>
          <w:lang w:eastAsia="en-GB"/>
        </w:rPr>
      </w:pPr>
      <w:r w:rsidRPr="00E275AA">
        <w:rPr>
          <w:rFonts w:ascii="Arial" w:hAnsi="Arial" w:cs="Arial"/>
          <w:bCs/>
          <w:sz w:val="24"/>
          <w:szCs w:val="24"/>
          <w:u w:val="single"/>
          <w:lang w:eastAsia="en-GB"/>
        </w:rPr>
        <w:t xml:space="preserve">Increased Prudential costs </w:t>
      </w:r>
      <w:r w:rsidRPr="00E275AA">
        <w:rPr>
          <w:rFonts w:ascii="Arial" w:hAnsi="Arial" w:cs="Arial"/>
          <w:bCs/>
          <w:sz w:val="24"/>
          <w:szCs w:val="24"/>
          <w:u w:val="single"/>
          <w:lang w:eastAsia="en-GB"/>
        </w:rPr>
        <w:br/>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Since the financial crisis, prudential regulatory requirements have increased. In an effort to ensure that financial institutions are sufficiently capitalized banks now have to holder higher amounts of better quality capital. Higher capital ratios can be achieved through holding additional capital reserves for the risks that banks are exposed to or reducing the amount of risk recorded against the balance sheets.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A report published by the Bank of England in 2014 demonstrated that the effect of increased capital requirements had been two-fold; banks had increased the quantity and quality of the capital they held and cut corporate and secured household lending activities to reduce the risk recorded a</w:t>
      </w:r>
      <w:r w:rsidR="00150EB6">
        <w:rPr>
          <w:rFonts w:ascii="Arial" w:hAnsi="Arial" w:cs="Arial"/>
          <w:sz w:val="24"/>
          <w:szCs w:val="24"/>
          <w:lang w:eastAsia="en-GB"/>
        </w:rPr>
        <w:t xml:space="preserve">gainst their balance sheets </w:t>
      </w:r>
      <w:sdt>
        <w:sdtPr>
          <w:rPr>
            <w:rFonts w:ascii="Arial" w:hAnsi="Arial" w:cs="Arial"/>
            <w:sz w:val="24"/>
            <w:szCs w:val="24"/>
            <w:lang w:eastAsia="en-GB"/>
          </w:rPr>
          <w:id w:val="721881443"/>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Bri14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(Bridges, Gregory, Nielson, Pezzini, Radia, &amp; Spaltro, 2014)</w:t>
          </w:r>
          <w:r w:rsidR="00150EB6">
            <w:rPr>
              <w:rFonts w:ascii="Arial" w:hAnsi="Arial" w:cs="Arial"/>
              <w:sz w:val="24"/>
              <w:szCs w:val="24"/>
              <w:lang w:eastAsia="en-GB"/>
            </w:rPr>
            <w:fldChar w:fldCharType="end"/>
          </w:r>
        </w:sdtContent>
      </w:sdt>
      <w:r w:rsidR="00150EB6">
        <w:rPr>
          <w:rFonts w:ascii="Arial" w:hAnsi="Arial" w:cs="Arial"/>
          <w:sz w:val="24"/>
          <w:szCs w:val="24"/>
          <w:lang w:eastAsia="en-GB"/>
        </w:rPr>
        <w:t>.</w:t>
      </w:r>
      <w:r w:rsidRPr="00E275AA">
        <w:rPr>
          <w:rFonts w:ascii="Arial" w:hAnsi="Arial" w:cs="Arial"/>
          <w:sz w:val="24"/>
          <w:szCs w:val="24"/>
          <w:lang w:eastAsia="en-GB"/>
        </w:rPr>
        <w:t xml:space="preserve"> After the prudential reforms these activities had become more capital intensive and were cut to lower the amount of capital that banks had to hold. An FSA paper revealed that the banks had first looked to cut the amount of lending and then had chosen to de-risk their loan books to drive up the quality of the loans on their balance sheet and reduce the amount of capital they have to hold.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CRD IV does not directly require banks to hold additional capital against ML/TF exposure. However national supervisors can increase capital requirements for poor AML/CTF systems and controls. This “capital uplift” focuses on the geographical location of exposures and the strength of internal processes and procedures. CRDIV’s focus on geographical exposures also means that conducting business in certain areas will be more capital intensive. This could provide a prudential incentive for large banks to de-risk and to withdraw from certain foreign markets.</w:t>
      </w:r>
    </w:p>
    <w:p w:rsidR="00E275AA" w:rsidRPr="00E275AA" w:rsidRDefault="00E275AA" w:rsidP="00E275AA">
      <w:pPr>
        <w:spacing w:before="0" w:after="0" w:line="480" w:lineRule="auto"/>
        <w:jc w:val="both"/>
        <w:rPr>
          <w:rFonts w:ascii="Arial" w:hAnsi="Arial" w:cs="Arial"/>
          <w:b/>
          <w:sz w:val="24"/>
          <w:szCs w:val="24"/>
          <w:lang w:eastAsia="en-GB"/>
        </w:rPr>
      </w:pPr>
    </w:p>
    <w:p w:rsidR="00E275AA" w:rsidRPr="00E275AA" w:rsidRDefault="00E275AA" w:rsidP="00E275AA">
      <w:pPr>
        <w:spacing w:before="0" w:after="0" w:line="480" w:lineRule="auto"/>
        <w:rPr>
          <w:rFonts w:ascii="Arial" w:hAnsi="Arial" w:cs="Arial"/>
          <w:sz w:val="24"/>
          <w:szCs w:val="24"/>
          <w:lang w:eastAsia="en-GB"/>
        </w:rPr>
      </w:pPr>
      <w:r w:rsidRPr="00E275AA">
        <w:rPr>
          <w:rFonts w:ascii="Arial" w:hAnsi="Arial" w:cs="Arial"/>
          <w:b/>
          <w:bCs/>
          <w:sz w:val="28"/>
          <w:szCs w:val="24"/>
          <w:lang w:eastAsia="en-GB"/>
        </w:rPr>
        <w:t>Cost of non-compliance</w:t>
      </w:r>
      <w:r w:rsidRPr="00E275AA">
        <w:rPr>
          <w:rFonts w:ascii="Arial" w:hAnsi="Arial" w:cs="Arial"/>
          <w:bCs/>
          <w:sz w:val="24"/>
          <w:szCs w:val="24"/>
          <w:lang w:eastAsia="en-GB"/>
        </w:rPr>
        <w:br/>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Others suggest that de-risking has been caused by the increased number of regulatory sanctions issued for AML/CTF breaches. Over the past 5 years there have been a number of high-profile fines for weak anti-money laundering controls. The graphs below show the total number of sanctions imposed globally for breaches of AML/CTF regulations and the total volume of the fines.</w:t>
      </w:r>
    </w:p>
    <w:p w:rsidR="00E275AA" w:rsidRPr="00E275AA" w:rsidRDefault="00E275AA" w:rsidP="00E275AA">
      <w:pPr>
        <w:keepNext/>
        <w:spacing w:before="0" w:after="0" w:line="480" w:lineRule="auto"/>
        <w:jc w:val="both"/>
        <w:rPr>
          <w:rFonts w:ascii="Calibri" w:eastAsia="Calibri" w:hAnsi="Calibri"/>
          <w:sz w:val="22"/>
          <w:szCs w:val="22"/>
        </w:rPr>
      </w:pPr>
      <w:r w:rsidRPr="00E275AA">
        <w:rPr>
          <w:rFonts w:ascii="Arial" w:hAnsi="Arial" w:cs="Arial"/>
          <w:noProof/>
          <w:color w:val="333333"/>
          <w:sz w:val="24"/>
          <w:szCs w:val="24"/>
          <w:lang w:eastAsia="en-GB"/>
        </w:rPr>
        <w:drawing>
          <wp:inline distT="0" distB="0" distL="0" distR="0" wp14:anchorId="33B02ADA" wp14:editId="0868BD86">
            <wp:extent cx="5854890" cy="29206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81422" cy="2933856"/>
                    </a:xfrm>
                    <a:prstGeom prst="rect">
                      <a:avLst/>
                    </a:prstGeom>
                  </pic:spPr>
                </pic:pic>
              </a:graphicData>
            </a:graphic>
          </wp:inline>
        </w:drawing>
      </w:r>
    </w:p>
    <w:p w:rsidR="00E275AA" w:rsidRPr="00E275AA" w:rsidRDefault="00E275AA" w:rsidP="00E275AA">
      <w:pPr>
        <w:numPr>
          <w:ilvl w:val="0"/>
          <w:numId w:val="15"/>
        </w:numPr>
        <w:spacing w:before="0" w:after="200" w:line="276" w:lineRule="auto"/>
        <w:ind w:left="0" w:firstLine="0"/>
        <w:jc w:val="both"/>
        <w:rPr>
          <w:rFonts w:ascii="Arial" w:hAnsi="Arial" w:cs="Arial"/>
          <w:b/>
          <w:bCs/>
          <w:color w:val="4F81BD"/>
          <w:sz w:val="24"/>
          <w:szCs w:val="24"/>
          <w:lang w:eastAsia="en-GB"/>
        </w:rPr>
      </w:pPr>
      <w:r w:rsidRPr="00E275AA">
        <w:rPr>
          <w:rFonts w:ascii="Calibri" w:eastAsia="Calibri" w:hAnsi="Calibri"/>
          <w:b/>
          <w:bCs/>
          <w:color w:val="4F81BD"/>
          <w:sz w:val="18"/>
          <w:szCs w:val="18"/>
        </w:rPr>
        <w:t xml:space="preserve">Figure </w:t>
      </w:r>
      <w:r w:rsidRPr="00E275AA">
        <w:rPr>
          <w:rFonts w:ascii="Calibri" w:eastAsia="Calibri" w:hAnsi="Calibri"/>
          <w:b/>
          <w:bCs/>
          <w:color w:val="4F81BD"/>
          <w:sz w:val="18"/>
          <w:szCs w:val="18"/>
        </w:rPr>
        <w:fldChar w:fldCharType="begin"/>
      </w:r>
      <w:r w:rsidRPr="00E275AA">
        <w:rPr>
          <w:rFonts w:ascii="Calibri" w:eastAsia="Calibri" w:hAnsi="Calibri"/>
          <w:b/>
          <w:bCs/>
          <w:color w:val="4F81BD"/>
          <w:sz w:val="18"/>
          <w:szCs w:val="18"/>
        </w:rPr>
        <w:instrText xml:space="preserve"> SEQ Figure \* ARABIC </w:instrText>
      </w:r>
      <w:r w:rsidRPr="00E275AA">
        <w:rPr>
          <w:rFonts w:ascii="Calibri" w:eastAsia="Calibri" w:hAnsi="Calibri"/>
          <w:b/>
          <w:bCs/>
          <w:color w:val="4F81BD"/>
          <w:sz w:val="18"/>
          <w:szCs w:val="18"/>
        </w:rPr>
        <w:fldChar w:fldCharType="separate"/>
      </w:r>
      <w:r w:rsidR="002A4967">
        <w:rPr>
          <w:rFonts w:ascii="Calibri" w:eastAsia="Calibri" w:hAnsi="Calibri"/>
          <w:b/>
          <w:bCs/>
          <w:noProof/>
          <w:color w:val="4F81BD"/>
          <w:sz w:val="18"/>
          <w:szCs w:val="18"/>
        </w:rPr>
        <w:t>1</w:t>
      </w:r>
      <w:r w:rsidRPr="00E275AA">
        <w:rPr>
          <w:rFonts w:ascii="Calibri" w:eastAsia="Calibri" w:hAnsi="Calibri"/>
          <w:b/>
          <w:bCs/>
          <w:color w:val="4F81BD"/>
          <w:sz w:val="18"/>
          <w:szCs w:val="18"/>
        </w:rPr>
        <w:fldChar w:fldCharType="end"/>
      </w:r>
      <w:r w:rsidRPr="00E275AA">
        <w:rPr>
          <w:rFonts w:ascii="Calibri" w:eastAsia="Calibri" w:hAnsi="Calibri"/>
          <w:b/>
          <w:bCs/>
          <w:color w:val="4F81BD"/>
          <w:sz w:val="18"/>
          <w:szCs w:val="18"/>
        </w:rPr>
        <w:t xml:space="preserve"> - Value of AML fines from 2002-2015</w:t>
      </w:r>
    </w:p>
    <w:p w:rsidR="00E275AA" w:rsidRPr="00E275AA" w:rsidRDefault="00E275AA" w:rsidP="00E275AA">
      <w:pPr>
        <w:keepNext/>
        <w:spacing w:before="0" w:after="0" w:line="480" w:lineRule="auto"/>
        <w:jc w:val="both"/>
        <w:rPr>
          <w:rFonts w:ascii="Calibri" w:eastAsia="Calibri" w:hAnsi="Calibri"/>
          <w:sz w:val="22"/>
          <w:szCs w:val="22"/>
        </w:rPr>
      </w:pPr>
      <w:r w:rsidRPr="00E275AA">
        <w:rPr>
          <w:rFonts w:ascii="Arial" w:hAnsi="Arial" w:cs="Arial"/>
          <w:noProof/>
          <w:color w:val="333333"/>
          <w:sz w:val="24"/>
          <w:szCs w:val="24"/>
          <w:lang w:eastAsia="en-GB"/>
        </w:rPr>
        <w:drawing>
          <wp:inline distT="0" distB="0" distL="0" distR="0" wp14:anchorId="353B665E" wp14:editId="42D2EFD3">
            <wp:extent cx="5857779" cy="28796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09494" cy="2905100"/>
                    </a:xfrm>
                    <a:prstGeom prst="rect">
                      <a:avLst/>
                    </a:prstGeom>
                  </pic:spPr>
                </pic:pic>
              </a:graphicData>
            </a:graphic>
          </wp:inline>
        </w:drawing>
      </w:r>
    </w:p>
    <w:p w:rsidR="00E275AA" w:rsidRPr="00E275AA" w:rsidRDefault="00E275AA" w:rsidP="00E275AA">
      <w:pPr>
        <w:numPr>
          <w:ilvl w:val="0"/>
          <w:numId w:val="15"/>
        </w:numPr>
        <w:spacing w:before="0" w:after="200" w:line="276" w:lineRule="auto"/>
        <w:ind w:left="0" w:firstLine="0"/>
        <w:jc w:val="both"/>
        <w:rPr>
          <w:rFonts w:ascii="Arial" w:hAnsi="Arial" w:cs="Arial"/>
          <w:b/>
          <w:bCs/>
          <w:color w:val="4F81BD"/>
          <w:sz w:val="24"/>
          <w:szCs w:val="24"/>
          <w:lang w:eastAsia="en-GB"/>
        </w:rPr>
      </w:pPr>
      <w:r w:rsidRPr="00E275AA">
        <w:rPr>
          <w:rFonts w:ascii="Calibri" w:eastAsia="Calibri" w:hAnsi="Calibri"/>
          <w:b/>
          <w:bCs/>
          <w:color w:val="4F81BD"/>
          <w:sz w:val="18"/>
          <w:szCs w:val="18"/>
        </w:rPr>
        <w:t xml:space="preserve">Figure </w:t>
      </w:r>
      <w:r w:rsidRPr="00E275AA">
        <w:rPr>
          <w:rFonts w:ascii="Calibri" w:eastAsia="Calibri" w:hAnsi="Calibri"/>
          <w:b/>
          <w:bCs/>
          <w:color w:val="4F81BD"/>
          <w:sz w:val="18"/>
          <w:szCs w:val="18"/>
        </w:rPr>
        <w:fldChar w:fldCharType="begin"/>
      </w:r>
      <w:r w:rsidRPr="00E275AA">
        <w:rPr>
          <w:rFonts w:ascii="Calibri" w:eastAsia="Calibri" w:hAnsi="Calibri"/>
          <w:b/>
          <w:bCs/>
          <w:color w:val="4F81BD"/>
          <w:sz w:val="18"/>
          <w:szCs w:val="18"/>
        </w:rPr>
        <w:instrText xml:space="preserve"> SEQ Figure \* ARABIC </w:instrText>
      </w:r>
      <w:r w:rsidRPr="00E275AA">
        <w:rPr>
          <w:rFonts w:ascii="Calibri" w:eastAsia="Calibri" w:hAnsi="Calibri"/>
          <w:b/>
          <w:bCs/>
          <w:color w:val="4F81BD"/>
          <w:sz w:val="18"/>
          <w:szCs w:val="18"/>
        </w:rPr>
        <w:fldChar w:fldCharType="separate"/>
      </w:r>
      <w:r w:rsidR="002A4967">
        <w:rPr>
          <w:rFonts w:ascii="Calibri" w:eastAsia="Calibri" w:hAnsi="Calibri"/>
          <w:b/>
          <w:bCs/>
          <w:noProof/>
          <w:color w:val="4F81BD"/>
          <w:sz w:val="18"/>
          <w:szCs w:val="18"/>
        </w:rPr>
        <w:t>2</w:t>
      </w:r>
      <w:r w:rsidRPr="00E275AA">
        <w:rPr>
          <w:rFonts w:ascii="Calibri" w:eastAsia="Calibri" w:hAnsi="Calibri"/>
          <w:b/>
          <w:bCs/>
          <w:color w:val="4F81BD"/>
          <w:sz w:val="18"/>
          <w:szCs w:val="18"/>
        </w:rPr>
        <w:fldChar w:fldCharType="end"/>
      </w:r>
      <w:r w:rsidRPr="00E275AA">
        <w:rPr>
          <w:rFonts w:ascii="Calibri" w:eastAsia="Calibri" w:hAnsi="Calibri"/>
          <w:b/>
          <w:bCs/>
          <w:color w:val="4F81BD"/>
          <w:sz w:val="18"/>
          <w:szCs w:val="18"/>
        </w:rPr>
        <w:t xml:space="preserve"> –Number of fines for breaches of AML regulations by jurisdictions</w:t>
      </w:r>
    </w:p>
    <w:p w:rsidR="00E275AA" w:rsidRPr="00E275AA" w:rsidRDefault="006663AF" w:rsidP="00E275AA">
      <w:pPr>
        <w:spacing w:before="0" w:after="0" w:line="480" w:lineRule="auto"/>
        <w:jc w:val="both"/>
        <w:rPr>
          <w:rFonts w:ascii="Arial" w:hAnsi="Arial" w:cs="Arial"/>
          <w:sz w:val="24"/>
          <w:szCs w:val="24"/>
          <w:lang w:eastAsia="en-GB"/>
        </w:rPr>
      </w:pPr>
      <w:r w:rsidRPr="006663AF">
        <w:rPr>
          <w:rFonts w:ascii="Arial" w:hAnsi="Arial" w:cs="Arial"/>
          <w:sz w:val="24"/>
          <w:szCs w:val="24"/>
          <w:lang w:eastAsia="en-GB"/>
        </w:rPr>
        <w:t xml:space="preserve">Figure 1 and 2 demonstrate large increase both in the number of cases and the average value </w:t>
      </w:r>
      <w:r>
        <w:rPr>
          <w:rFonts w:ascii="Arial" w:hAnsi="Arial" w:cs="Arial"/>
          <w:sz w:val="24"/>
          <w:szCs w:val="24"/>
          <w:lang w:eastAsia="en-GB"/>
        </w:rPr>
        <w:t>fines</w:t>
      </w:r>
      <w:r w:rsidRPr="006663AF">
        <w:rPr>
          <w:rFonts w:ascii="Arial" w:hAnsi="Arial" w:cs="Arial"/>
          <w:sz w:val="24"/>
          <w:szCs w:val="24"/>
          <w:lang w:eastAsia="en-GB"/>
        </w:rPr>
        <w:t>.</w:t>
      </w:r>
      <w:r>
        <w:rPr>
          <w:rFonts w:ascii="Arial" w:hAnsi="Arial" w:cs="Arial"/>
          <w:sz w:val="24"/>
          <w:szCs w:val="24"/>
          <w:lang w:eastAsia="en-GB"/>
        </w:rPr>
        <w:t xml:space="preserve"> </w:t>
      </w:r>
      <w:r w:rsidR="00E275AA" w:rsidRPr="00E275AA">
        <w:rPr>
          <w:rFonts w:ascii="Arial" w:hAnsi="Arial" w:cs="Arial"/>
          <w:sz w:val="24"/>
          <w:szCs w:val="24"/>
          <w:lang w:eastAsia="en-GB"/>
        </w:rPr>
        <w:t>Figure 1 show the annual fine volume ranged between $750,000 to $22 million. In 2012 HSBC paid a record fine of $1.9 billion to US regulatory authorities for lack of oversight of a Mexican branch which laundered $800 million. HSBC was also reported to have</w:t>
      </w:r>
      <w:r w:rsidR="00E275AA" w:rsidRPr="00E275AA">
        <w:rPr>
          <w:rFonts w:ascii="Arial" w:hAnsi="Arial" w:cs="Arial"/>
          <w:color w:val="FF0000"/>
          <w:sz w:val="24"/>
          <w:szCs w:val="24"/>
          <w:lang w:eastAsia="en-GB"/>
        </w:rPr>
        <w:t xml:space="preserve"> </w:t>
      </w:r>
      <w:r w:rsidR="00E275AA" w:rsidRPr="00E275AA">
        <w:rPr>
          <w:rFonts w:ascii="Arial" w:hAnsi="Arial" w:cs="Arial"/>
          <w:sz w:val="24"/>
          <w:szCs w:val="24"/>
          <w:lang w:eastAsia="en-GB"/>
        </w:rPr>
        <w:t>moved money for groups on the US sanctions</w:t>
      </w:r>
      <w:r w:rsidR="00150EB6">
        <w:rPr>
          <w:rFonts w:ascii="Arial" w:hAnsi="Arial" w:cs="Arial"/>
          <w:sz w:val="24"/>
          <w:szCs w:val="24"/>
          <w:lang w:eastAsia="en-GB"/>
        </w:rPr>
        <w:t xml:space="preserve"> lists and known terrorists </w:t>
      </w:r>
      <w:sdt>
        <w:sdtPr>
          <w:rPr>
            <w:rFonts w:ascii="Arial" w:hAnsi="Arial" w:cs="Arial"/>
            <w:sz w:val="24"/>
            <w:szCs w:val="24"/>
            <w:lang w:eastAsia="en-GB"/>
          </w:rPr>
          <w:id w:val="-255980920"/>
          <w:citation/>
        </w:sdtPr>
        <w:sdtEndPr/>
        <w:sdtContent>
          <w:r w:rsidR="00150EB6">
            <w:rPr>
              <w:rFonts w:ascii="Arial" w:hAnsi="Arial" w:cs="Arial"/>
              <w:sz w:val="24"/>
              <w:szCs w:val="24"/>
              <w:lang w:eastAsia="en-GB"/>
            </w:rPr>
            <w:fldChar w:fldCharType="begin"/>
          </w:r>
          <w:r w:rsidR="00150EB6">
            <w:rPr>
              <w:rFonts w:ascii="Arial" w:hAnsi="Arial" w:cs="Arial"/>
              <w:sz w:val="24"/>
              <w:szCs w:val="24"/>
              <w:lang w:eastAsia="en-GB"/>
            </w:rPr>
            <w:instrText xml:space="preserve"> CITATION Fin141 \l 2057 </w:instrText>
          </w:r>
          <w:r w:rsidR="00150EB6">
            <w:rPr>
              <w:rFonts w:ascii="Arial" w:hAnsi="Arial" w:cs="Arial"/>
              <w:sz w:val="24"/>
              <w:szCs w:val="24"/>
              <w:lang w:eastAsia="en-GB"/>
            </w:rPr>
            <w:fldChar w:fldCharType="separate"/>
          </w:r>
          <w:r w:rsidR="00745BB5" w:rsidRPr="00745BB5">
            <w:rPr>
              <w:rFonts w:ascii="Arial" w:hAnsi="Arial" w:cs="Arial"/>
              <w:noProof/>
              <w:sz w:val="24"/>
              <w:szCs w:val="24"/>
              <w:lang w:eastAsia="en-GB"/>
            </w:rPr>
            <w:t>(Financial Conduct Authority, 2014)</w:t>
          </w:r>
          <w:r w:rsidR="00150EB6">
            <w:rPr>
              <w:rFonts w:ascii="Arial" w:hAnsi="Arial" w:cs="Arial"/>
              <w:sz w:val="24"/>
              <w:szCs w:val="24"/>
              <w:lang w:eastAsia="en-GB"/>
            </w:rPr>
            <w:fldChar w:fldCharType="end"/>
          </w:r>
        </w:sdtContent>
      </w:sdt>
      <w:r w:rsidR="00150EB6">
        <w:rPr>
          <w:rFonts w:ascii="Arial" w:hAnsi="Arial" w:cs="Arial"/>
          <w:sz w:val="24"/>
          <w:szCs w:val="24"/>
          <w:lang w:eastAsia="en-GB"/>
        </w:rPr>
        <w:t>.</w:t>
      </w:r>
      <w:r w:rsidR="00E275AA" w:rsidRPr="00E275AA">
        <w:rPr>
          <w:rFonts w:ascii="Arial" w:hAnsi="Arial" w:cs="Arial"/>
          <w:sz w:val="24"/>
          <w:szCs w:val="24"/>
          <w:lang w:eastAsia="en-GB"/>
        </w:rPr>
        <w:t xml:space="preserve"> In 2014 Standard Charter</w:t>
      </w:r>
      <w:r w:rsidR="00150EB6">
        <w:rPr>
          <w:rFonts w:ascii="Arial" w:hAnsi="Arial" w:cs="Arial"/>
          <w:sz w:val="24"/>
          <w:szCs w:val="24"/>
          <w:lang w:eastAsia="en-GB"/>
        </w:rPr>
        <w:t xml:space="preserve">ed </w:t>
      </w:r>
      <w:r w:rsidR="00E275AA" w:rsidRPr="00E275AA">
        <w:rPr>
          <w:rFonts w:ascii="Arial" w:hAnsi="Arial" w:cs="Arial"/>
          <w:sz w:val="24"/>
          <w:szCs w:val="24"/>
          <w:lang w:eastAsia="en-GB"/>
        </w:rPr>
        <w:t xml:space="preserve"> was also fined a total amount of $670 million for not taking due care in monitoring corporate customers that had links with PEPs.</w:t>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These enormous fines had an upward effect on the size of regulatory fines issued for AML/CTF. In 2014 BNP Paribas was fined $8.9 billion for “violation of its responsibilities to identify limit and monitor the inherent risks associated with i</w:t>
      </w:r>
      <w:r w:rsidR="00044DFD">
        <w:rPr>
          <w:rFonts w:ascii="Arial" w:hAnsi="Arial" w:cs="Arial"/>
          <w:sz w:val="24"/>
          <w:szCs w:val="24"/>
          <w:lang w:eastAsia="en-GB"/>
        </w:rPr>
        <w:t xml:space="preserve">nternational transactions” </w:t>
      </w:r>
      <w:sdt>
        <w:sdtPr>
          <w:rPr>
            <w:rFonts w:ascii="Arial" w:hAnsi="Arial" w:cs="Arial"/>
            <w:sz w:val="24"/>
            <w:szCs w:val="24"/>
            <w:lang w:eastAsia="en-GB"/>
          </w:rPr>
          <w:id w:val="44729282"/>
          <w:citation/>
        </w:sdtPr>
        <w:sdtEndPr/>
        <w:sdtContent>
          <w:r w:rsidR="00044DFD">
            <w:rPr>
              <w:rFonts w:ascii="Arial" w:hAnsi="Arial" w:cs="Arial"/>
              <w:sz w:val="24"/>
              <w:szCs w:val="24"/>
              <w:lang w:eastAsia="en-GB"/>
            </w:rPr>
            <w:fldChar w:fldCharType="begin"/>
          </w:r>
          <w:r w:rsidR="00044DFD">
            <w:rPr>
              <w:rFonts w:ascii="Arial" w:hAnsi="Arial" w:cs="Arial"/>
              <w:sz w:val="24"/>
              <w:szCs w:val="24"/>
              <w:lang w:eastAsia="en-GB"/>
            </w:rPr>
            <w:instrText xml:space="preserve"> CITATION BBC14 \l 2057 </w:instrText>
          </w:r>
          <w:r w:rsidR="00044DFD">
            <w:rPr>
              <w:rFonts w:ascii="Arial" w:hAnsi="Arial" w:cs="Arial"/>
              <w:sz w:val="24"/>
              <w:szCs w:val="24"/>
              <w:lang w:eastAsia="en-GB"/>
            </w:rPr>
            <w:fldChar w:fldCharType="separate"/>
          </w:r>
          <w:r w:rsidR="00745BB5" w:rsidRPr="00745BB5">
            <w:rPr>
              <w:rFonts w:ascii="Arial" w:hAnsi="Arial" w:cs="Arial"/>
              <w:noProof/>
              <w:sz w:val="24"/>
              <w:szCs w:val="24"/>
              <w:lang w:eastAsia="en-GB"/>
            </w:rPr>
            <w:t>(BBC, 2014)</w:t>
          </w:r>
          <w:r w:rsidR="00044DFD">
            <w:rPr>
              <w:rFonts w:ascii="Arial" w:hAnsi="Arial" w:cs="Arial"/>
              <w:sz w:val="24"/>
              <w:szCs w:val="24"/>
              <w:lang w:eastAsia="en-GB"/>
            </w:rPr>
            <w:fldChar w:fldCharType="end"/>
          </w:r>
        </w:sdtContent>
      </w:sdt>
      <w:r w:rsidR="00044DFD">
        <w:rPr>
          <w:rFonts w:ascii="Arial" w:hAnsi="Arial" w:cs="Arial"/>
          <w:sz w:val="24"/>
          <w:szCs w:val="24"/>
          <w:lang w:eastAsia="en-GB"/>
        </w:rPr>
        <w:t xml:space="preserve">. </w:t>
      </w:r>
      <w:r w:rsidRPr="00E275AA">
        <w:rPr>
          <w:rFonts w:ascii="Arial" w:hAnsi="Arial" w:cs="Arial"/>
          <w:sz w:val="24"/>
          <w:szCs w:val="24"/>
          <w:lang w:eastAsia="en-GB"/>
        </w:rPr>
        <w:t xml:space="preserve">This amount equalled the total pre-tax income of BNP Paribas. Given the size of these fines, it is reasonable to assume that it would affect a bank’s AML/CTF risk appetite. One way to mitigate this would be to invest in enhanced systems and controls and training to improve the ability of staff to detect and monitor AML/CTF risk. Alternative options would be to reduce the services offered to customers and in locations that are considered high risk. </w:t>
      </w:r>
    </w:p>
    <w:p w:rsidR="00E275AA" w:rsidRPr="00E275AA" w:rsidRDefault="00E275AA" w:rsidP="00E275AA">
      <w:pPr>
        <w:spacing w:before="0" w:after="0" w:line="480" w:lineRule="auto"/>
        <w:jc w:val="both"/>
        <w:rPr>
          <w:rFonts w:ascii="Arial" w:hAnsi="Arial" w:cs="Arial"/>
          <w:sz w:val="24"/>
          <w:szCs w:val="24"/>
          <w:lang w:eastAsia="en-GB"/>
        </w:rPr>
      </w:pPr>
    </w:p>
    <w:p w:rsid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Figure 1 demonstrates the disproportionate volume of the fines issued by US regulators. This would suggest that financial institutions that had operations in jurisdictions that were affected by the US regulator law would have a greater incentive to de-risk. Since 2002 the UK has issued a number of fines for</w:t>
      </w:r>
      <w:r w:rsidRPr="00E275AA">
        <w:rPr>
          <w:rFonts w:ascii="Arial" w:hAnsi="Arial" w:cs="Arial"/>
          <w:color w:val="FF0000"/>
          <w:sz w:val="24"/>
          <w:szCs w:val="24"/>
          <w:lang w:eastAsia="en-GB"/>
        </w:rPr>
        <w:t xml:space="preserve"> </w:t>
      </w:r>
      <w:r w:rsidRPr="00E275AA">
        <w:rPr>
          <w:rFonts w:ascii="Arial" w:hAnsi="Arial" w:cs="Arial"/>
          <w:sz w:val="24"/>
          <w:szCs w:val="24"/>
          <w:lang w:eastAsia="en-GB"/>
        </w:rPr>
        <w:t>AML/CTF breaches but these have not been in the same order of magnitude as those issued by US regulators. The FCA’s largest fine for AML (£8.75 million) was issued against Coutts bank for poor handling of PEP accounts. The FCA also recently fined the Bank of Beirut £2.1 million for AML breaches and prevented them from taking on any new business in high-risk j</w:t>
      </w:r>
      <w:r w:rsidR="00044DFD">
        <w:rPr>
          <w:rFonts w:ascii="Arial" w:hAnsi="Arial" w:cs="Arial"/>
          <w:sz w:val="24"/>
          <w:szCs w:val="24"/>
          <w:lang w:eastAsia="en-GB"/>
        </w:rPr>
        <w:t xml:space="preserve">urisdictions for 130 days </w:t>
      </w:r>
      <w:sdt>
        <w:sdtPr>
          <w:rPr>
            <w:rFonts w:ascii="Arial" w:hAnsi="Arial" w:cs="Arial"/>
            <w:sz w:val="24"/>
            <w:szCs w:val="24"/>
            <w:lang w:eastAsia="en-GB"/>
          </w:rPr>
          <w:id w:val="-366988541"/>
          <w:citation/>
        </w:sdtPr>
        <w:sdtEndPr/>
        <w:sdtContent>
          <w:r w:rsidR="00044DFD">
            <w:rPr>
              <w:rFonts w:ascii="Arial" w:hAnsi="Arial" w:cs="Arial"/>
              <w:sz w:val="24"/>
              <w:szCs w:val="24"/>
              <w:lang w:eastAsia="en-GB"/>
            </w:rPr>
            <w:fldChar w:fldCharType="begin"/>
          </w:r>
          <w:r w:rsidR="00044DFD">
            <w:rPr>
              <w:rFonts w:ascii="Arial" w:hAnsi="Arial" w:cs="Arial"/>
              <w:sz w:val="24"/>
              <w:szCs w:val="24"/>
              <w:lang w:eastAsia="en-GB"/>
            </w:rPr>
            <w:instrText xml:space="preserve"> CITATION Fin15 \l 2057 </w:instrText>
          </w:r>
          <w:r w:rsidR="00044DFD">
            <w:rPr>
              <w:rFonts w:ascii="Arial" w:hAnsi="Arial" w:cs="Arial"/>
              <w:sz w:val="24"/>
              <w:szCs w:val="24"/>
              <w:lang w:eastAsia="en-GB"/>
            </w:rPr>
            <w:fldChar w:fldCharType="separate"/>
          </w:r>
          <w:r w:rsidR="00745BB5" w:rsidRPr="00745BB5">
            <w:rPr>
              <w:rFonts w:ascii="Arial" w:hAnsi="Arial" w:cs="Arial"/>
              <w:noProof/>
              <w:sz w:val="24"/>
              <w:szCs w:val="24"/>
              <w:lang w:eastAsia="en-GB"/>
            </w:rPr>
            <w:t>(Financial Conduct Authority, 2015)</w:t>
          </w:r>
          <w:r w:rsidR="00044DFD">
            <w:rPr>
              <w:rFonts w:ascii="Arial" w:hAnsi="Arial" w:cs="Arial"/>
              <w:sz w:val="24"/>
              <w:szCs w:val="24"/>
              <w:lang w:eastAsia="en-GB"/>
            </w:rPr>
            <w:fldChar w:fldCharType="end"/>
          </w:r>
        </w:sdtContent>
      </w:sdt>
      <w:r w:rsidR="00044DFD">
        <w:rPr>
          <w:rFonts w:ascii="Arial" w:hAnsi="Arial" w:cs="Arial"/>
          <w:sz w:val="24"/>
          <w:szCs w:val="24"/>
          <w:lang w:eastAsia="en-GB"/>
        </w:rPr>
        <w:t>.</w:t>
      </w:r>
      <w:r w:rsidRPr="00E275AA">
        <w:rPr>
          <w:rFonts w:ascii="Arial" w:hAnsi="Arial" w:cs="Arial"/>
          <w:sz w:val="24"/>
          <w:szCs w:val="24"/>
          <w:lang w:eastAsia="en-GB"/>
        </w:rPr>
        <w:t xml:space="preserve"> This restriction of business is the clearest example of direct regulatory intervention that has </w:t>
      </w:r>
      <w:r w:rsidR="00044DFD" w:rsidRPr="00E275AA">
        <w:rPr>
          <w:rFonts w:ascii="Arial" w:hAnsi="Arial" w:cs="Arial"/>
          <w:sz w:val="24"/>
          <w:szCs w:val="24"/>
          <w:lang w:eastAsia="en-GB"/>
        </w:rPr>
        <w:t>led</w:t>
      </w:r>
      <w:r w:rsidRPr="00E275AA">
        <w:rPr>
          <w:rFonts w:ascii="Arial" w:hAnsi="Arial" w:cs="Arial"/>
          <w:sz w:val="24"/>
          <w:szCs w:val="24"/>
          <w:lang w:eastAsia="en-GB"/>
        </w:rPr>
        <w:t xml:space="preserve"> to de-risking.</w:t>
      </w:r>
    </w:p>
    <w:p w:rsidR="00044DFD" w:rsidRPr="00E275AA" w:rsidRDefault="00044DFD"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It is only from 2012 onwards that other jurisdictions outside of the UK and US start to bring forward cases and fines for breaches of AML/ CFT. Of these India, South Africa and Mexico are the jurisdictions that have issued the most fines by number and value. Israel and Argentina have issued single fines in the range of several million US dollars. However these amounts are fairly minimal in comparison to the US fines. One might predict that de-risking is not likely to be an issue for financial institutions based in jurisdictions that have not pursued AML/CFT breaches as aggressively as the US and the UK.  </w:t>
      </w:r>
    </w:p>
    <w:p w:rsidR="00044DFD" w:rsidRDefault="00044DFD"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If you assume that de-risking was influenced by the size and number of AML/CTF fines you might expect that de-risking would increase significantly after 2012. The chart below represents the number of Google search results that feature both the terms anti-money laundering and de-risking. The graph demonstrates that the number of results that reference the de-risking and AML more than doubles between 2012 and 2015. In fact the number of results published in first half of 2015 shows that the public discourse around de-risking is still growing and is estimated to hit 560 by the year. This demonstrated that de-risking is a current and growing phenomenon in public discourse that has seen large growth since 2012.</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Calibri" w:eastAsia="Calibri" w:hAnsi="Calibri"/>
          <w:noProof/>
          <w:sz w:val="22"/>
          <w:szCs w:val="22"/>
          <w:lang w:eastAsia="en-GB"/>
        </w:rPr>
        <w:drawing>
          <wp:inline distT="0" distB="0" distL="0" distR="0" wp14:anchorId="31475D07" wp14:editId="19C89430">
            <wp:extent cx="5950424" cy="3029803"/>
            <wp:effectExtent l="0" t="0" r="1270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75AA" w:rsidRPr="00E275AA" w:rsidRDefault="00E275AA" w:rsidP="00E275AA">
      <w:pPr>
        <w:numPr>
          <w:ilvl w:val="0"/>
          <w:numId w:val="15"/>
        </w:numPr>
        <w:spacing w:before="0" w:after="200" w:line="276" w:lineRule="auto"/>
        <w:ind w:left="0" w:firstLine="0"/>
        <w:jc w:val="both"/>
        <w:rPr>
          <w:rFonts w:ascii="Arial" w:hAnsi="Arial" w:cs="Arial"/>
          <w:b/>
          <w:bCs/>
          <w:color w:val="4F81BD"/>
          <w:sz w:val="24"/>
          <w:szCs w:val="24"/>
          <w:lang w:eastAsia="en-GB"/>
        </w:rPr>
      </w:pPr>
      <w:r w:rsidRPr="00E275AA">
        <w:rPr>
          <w:rFonts w:ascii="Calibri" w:eastAsia="Calibri" w:hAnsi="Calibri"/>
          <w:b/>
          <w:bCs/>
          <w:color w:val="4F81BD"/>
          <w:sz w:val="18"/>
          <w:szCs w:val="18"/>
        </w:rPr>
        <w:t xml:space="preserve">Figure </w:t>
      </w:r>
      <w:r w:rsidRPr="00E275AA">
        <w:rPr>
          <w:rFonts w:ascii="Calibri" w:eastAsia="Calibri" w:hAnsi="Calibri"/>
          <w:b/>
          <w:bCs/>
          <w:color w:val="4F81BD"/>
          <w:sz w:val="18"/>
          <w:szCs w:val="18"/>
        </w:rPr>
        <w:fldChar w:fldCharType="begin"/>
      </w:r>
      <w:r w:rsidRPr="00E275AA">
        <w:rPr>
          <w:rFonts w:ascii="Calibri" w:eastAsia="Calibri" w:hAnsi="Calibri"/>
          <w:b/>
          <w:bCs/>
          <w:color w:val="4F81BD"/>
          <w:sz w:val="18"/>
          <w:szCs w:val="18"/>
        </w:rPr>
        <w:instrText xml:space="preserve"> SEQ Figure \* ARABIC </w:instrText>
      </w:r>
      <w:r w:rsidRPr="00E275AA">
        <w:rPr>
          <w:rFonts w:ascii="Calibri" w:eastAsia="Calibri" w:hAnsi="Calibri"/>
          <w:b/>
          <w:bCs/>
          <w:color w:val="4F81BD"/>
          <w:sz w:val="18"/>
          <w:szCs w:val="18"/>
        </w:rPr>
        <w:fldChar w:fldCharType="separate"/>
      </w:r>
      <w:r w:rsidR="002A4967">
        <w:rPr>
          <w:rFonts w:ascii="Calibri" w:eastAsia="Calibri" w:hAnsi="Calibri"/>
          <w:b/>
          <w:bCs/>
          <w:noProof/>
          <w:color w:val="4F81BD"/>
          <w:sz w:val="18"/>
          <w:szCs w:val="18"/>
        </w:rPr>
        <w:t>3</w:t>
      </w:r>
      <w:r w:rsidRPr="00E275AA">
        <w:rPr>
          <w:rFonts w:ascii="Calibri" w:eastAsia="Calibri" w:hAnsi="Calibri"/>
          <w:b/>
          <w:bCs/>
          <w:color w:val="4F81BD"/>
          <w:sz w:val="18"/>
          <w:szCs w:val="18"/>
        </w:rPr>
        <w:fldChar w:fldCharType="end"/>
      </w:r>
      <w:r w:rsidRPr="00E275AA">
        <w:rPr>
          <w:rFonts w:ascii="Calibri" w:eastAsia="Calibri" w:hAnsi="Calibri"/>
          <w:b/>
          <w:bCs/>
          <w:color w:val="4F81BD"/>
          <w:sz w:val="18"/>
          <w:szCs w:val="18"/>
        </w:rPr>
        <w:t xml:space="preserve"> – Number of search terms published each year containing referencing AML and de-risking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lang w:eastAsia="en-GB"/>
        </w:rPr>
        <w:t>Cost of legal action</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Other com</w:t>
      </w:r>
      <w:r w:rsidR="000814AC">
        <w:rPr>
          <w:rFonts w:ascii="Arial" w:hAnsi="Arial" w:cs="Arial"/>
          <w:sz w:val="24"/>
          <w:szCs w:val="24"/>
          <w:lang w:eastAsia="en-GB"/>
        </w:rPr>
        <w:t xml:space="preserve">mentators suggest </w:t>
      </w:r>
      <w:r w:rsidRPr="00E275AA">
        <w:rPr>
          <w:rFonts w:ascii="Arial" w:hAnsi="Arial" w:cs="Arial"/>
          <w:sz w:val="24"/>
          <w:szCs w:val="24"/>
          <w:lang w:eastAsia="en-GB"/>
        </w:rPr>
        <w:t>de-risking has been led by the increased legal liability that banks and other financial institutions incur by processing funds linked to terrorism. In America there have now been 14 separate cases raised under the US anti-terrorism act between 2003 and 2014 that have sought to take legal action against banks for their involvement in facilitating the movement of funds to institutions that have been indirectly linked to terrorism. A number of plaintiffs have sought to recover damages for the deaths of family members caught in terrorist attacks whilst on active service in the Middle East. The banks are charged with processing funds for charities and institutions that were indirectly affiliated with terrorist groups but did not appear on official sanctions list. These cases demonstrate that even full compliance with the existing regulatory regimes does not insulate financial institutions from liability with regards to terrorist financing.</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 case brought against Arab Bank PLC set a historic precedent for the liabili</w:t>
      </w:r>
      <w:r w:rsidR="00044DFD">
        <w:rPr>
          <w:rFonts w:ascii="Arial" w:hAnsi="Arial" w:cs="Arial"/>
          <w:sz w:val="24"/>
          <w:szCs w:val="24"/>
          <w:lang w:eastAsia="en-GB"/>
        </w:rPr>
        <w:t>ty of banks internationally</w:t>
      </w:r>
      <w:sdt>
        <w:sdtPr>
          <w:rPr>
            <w:rFonts w:ascii="Arial" w:hAnsi="Arial" w:cs="Arial"/>
            <w:sz w:val="24"/>
            <w:szCs w:val="24"/>
            <w:lang w:eastAsia="en-GB"/>
          </w:rPr>
          <w:id w:val="1729958808"/>
          <w:citation/>
        </w:sdtPr>
        <w:sdtEndPr/>
        <w:sdtContent>
          <w:r w:rsidR="00044DFD">
            <w:rPr>
              <w:rFonts w:ascii="Arial" w:hAnsi="Arial" w:cs="Arial"/>
              <w:sz w:val="24"/>
              <w:szCs w:val="24"/>
              <w:lang w:eastAsia="en-GB"/>
            </w:rPr>
            <w:fldChar w:fldCharType="begin"/>
          </w:r>
          <w:r w:rsidR="00044DFD">
            <w:rPr>
              <w:rFonts w:ascii="Arial" w:hAnsi="Arial" w:cs="Arial"/>
              <w:sz w:val="24"/>
              <w:szCs w:val="24"/>
              <w:lang w:eastAsia="en-GB"/>
            </w:rPr>
            <w:instrText xml:space="preserve"> CITATION Cou \l 2057 </w:instrText>
          </w:r>
          <w:r w:rsidR="00044DFD">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(Courtney Linde, et al. v Arab Bank, PLC,, 2013)</w:t>
          </w:r>
          <w:r w:rsidR="00044DFD">
            <w:rPr>
              <w:rFonts w:ascii="Arial" w:hAnsi="Arial" w:cs="Arial"/>
              <w:sz w:val="24"/>
              <w:szCs w:val="24"/>
              <w:lang w:eastAsia="en-GB"/>
            </w:rPr>
            <w:fldChar w:fldCharType="end"/>
          </w:r>
        </w:sdtContent>
      </w:sdt>
      <w:r w:rsidR="00044DFD">
        <w:rPr>
          <w:rFonts w:ascii="Arial" w:hAnsi="Arial" w:cs="Arial"/>
          <w:sz w:val="24"/>
          <w:szCs w:val="24"/>
          <w:lang w:eastAsia="en-GB"/>
        </w:rPr>
        <w:t>.</w:t>
      </w:r>
      <w:r w:rsidRPr="00E275AA">
        <w:rPr>
          <w:rFonts w:ascii="Arial" w:hAnsi="Arial" w:cs="Arial"/>
          <w:sz w:val="24"/>
          <w:szCs w:val="24"/>
          <w:lang w:eastAsia="en-GB"/>
        </w:rPr>
        <w:t xml:space="preserve"> This was the first civil case brought against a financial institution for the facilitation of terrorism. The plaintiffs alleged that the bank acted as a “conduit” for funding to Hamas and as a result facilitated a numb</w:t>
      </w:r>
      <w:r w:rsidR="00044DFD">
        <w:rPr>
          <w:rFonts w:ascii="Arial" w:hAnsi="Arial" w:cs="Arial"/>
          <w:sz w:val="24"/>
          <w:szCs w:val="24"/>
          <w:lang w:eastAsia="en-GB"/>
        </w:rPr>
        <w:t xml:space="preserve">er attacks from 2001-2004 </w:t>
      </w:r>
      <w:sdt>
        <w:sdtPr>
          <w:rPr>
            <w:rFonts w:ascii="Arial" w:hAnsi="Arial" w:cs="Arial"/>
            <w:sz w:val="24"/>
            <w:szCs w:val="24"/>
            <w:lang w:eastAsia="en-GB"/>
          </w:rPr>
          <w:id w:val="1962137826"/>
          <w:citation/>
        </w:sdtPr>
        <w:sdtEndPr/>
        <w:sdtContent>
          <w:r w:rsidR="00044DFD">
            <w:rPr>
              <w:rFonts w:ascii="Arial" w:hAnsi="Arial" w:cs="Arial"/>
              <w:sz w:val="24"/>
              <w:szCs w:val="24"/>
              <w:lang w:eastAsia="en-GB"/>
            </w:rPr>
            <w:fldChar w:fldCharType="begin"/>
          </w:r>
          <w:r w:rsidR="00044DFD">
            <w:rPr>
              <w:rFonts w:ascii="Arial" w:hAnsi="Arial" w:cs="Arial"/>
              <w:sz w:val="24"/>
              <w:szCs w:val="24"/>
              <w:lang w:eastAsia="en-GB"/>
            </w:rPr>
            <w:instrText xml:space="preserve"> CITATION Bob14 \l 2057 </w:instrText>
          </w:r>
          <w:r w:rsidR="00044DFD">
            <w:rPr>
              <w:rFonts w:ascii="Arial" w:hAnsi="Arial" w:cs="Arial"/>
              <w:sz w:val="24"/>
              <w:szCs w:val="24"/>
              <w:lang w:eastAsia="en-GB"/>
            </w:rPr>
            <w:fldChar w:fldCharType="separate"/>
          </w:r>
          <w:r w:rsidR="00745BB5" w:rsidRPr="00745BB5">
            <w:rPr>
              <w:rFonts w:ascii="Arial" w:hAnsi="Arial" w:cs="Arial"/>
              <w:noProof/>
              <w:sz w:val="24"/>
              <w:szCs w:val="24"/>
              <w:lang w:eastAsia="en-GB"/>
            </w:rPr>
            <w:t>(Bob, 2014)</w:t>
          </w:r>
          <w:r w:rsidR="00044DFD">
            <w:rPr>
              <w:rFonts w:ascii="Arial" w:hAnsi="Arial" w:cs="Arial"/>
              <w:sz w:val="24"/>
              <w:szCs w:val="24"/>
              <w:lang w:eastAsia="en-GB"/>
            </w:rPr>
            <w:fldChar w:fldCharType="end"/>
          </w:r>
        </w:sdtContent>
      </w:sdt>
      <w:r w:rsidR="00044DFD">
        <w:rPr>
          <w:rFonts w:ascii="Arial" w:hAnsi="Arial" w:cs="Arial"/>
          <w:sz w:val="24"/>
          <w:szCs w:val="24"/>
          <w:lang w:eastAsia="en-GB"/>
        </w:rPr>
        <w:t xml:space="preserve">. </w:t>
      </w:r>
      <w:r w:rsidRPr="00E275AA">
        <w:rPr>
          <w:rFonts w:ascii="Arial" w:hAnsi="Arial" w:cs="Arial"/>
          <w:sz w:val="24"/>
          <w:szCs w:val="24"/>
          <w:lang w:eastAsia="en-GB"/>
        </w:rPr>
        <w:t>The bank was found to be liable for the attacks committed by Hamas as there was evidence that it had processed automatic payments to charities that had been linked to Hamas but were not listed on official blacklists. The court ruled that there was no requirement for a direct causal link to be established between transfers and the terrorist attacks, but reste</w:t>
      </w:r>
      <w:r w:rsidR="00044DFD">
        <w:rPr>
          <w:rFonts w:ascii="Arial" w:hAnsi="Arial" w:cs="Arial"/>
          <w:sz w:val="24"/>
          <w:szCs w:val="24"/>
          <w:lang w:eastAsia="en-GB"/>
        </w:rPr>
        <w:t xml:space="preserve">d on a “but for causation”. </w:t>
      </w:r>
      <w:sdt>
        <w:sdtPr>
          <w:rPr>
            <w:rFonts w:ascii="Arial" w:hAnsi="Arial" w:cs="Arial"/>
            <w:sz w:val="24"/>
            <w:szCs w:val="24"/>
            <w:lang w:eastAsia="en-GB"/>
          </w:rPr>
          <w:id w:val="1433318154"/>
          <w:citation/>
        </w:sdtPr>
        <w:sdtEndPr/>
        <w:sdtContent>
          <w:r w:rsidR="00044DFD">
            <w:rPr>
              <w:rFonts w:ascii="Arial" w:hAnsi="Arial" w:cs="Arial"/>
              <w:sz w:val="24"/>
              <w:szCs w:val="24"/>
              <w:lang w:eastAsia="en-GB"/>
            </w:rPr>
            <w:fldChar w:fldCharType="begin"/>
          </w:r>
          <w:r w:rsidR="00044DFD">
            <w:rPr>
              <w:rFonts w:ascii="Arial" w:hAnsi="Arial" w:cs="Arial"/>
              <w:sz w:val="24"/>
              <w:szCs w:val="24"/>
              <w:lang w:eastAsia="en-GB"/>
            </w:rPr>
            <w:instrText xml:space="preserve"> CITATION Cou \l 2057 </w:instrText>
          </w:r>
          <w:r w:rsidR="00044DFD">
            <w:rPr>
              <w:rFonts w:ascii="Arial" w:hAnsi="Arial" w:cs="Arial"/>
              <w:sz w:val="24"/>
              <w:szCs w:val="24"/>
              <w:lang w:eastAsia="en-GB"/>
            </w:rPr>
            <w:fldChar w:fldCharType="separate"/>
          </w:r>
          <w:r w:rsidR="00745BB5" w:rsidRPr="00745BB5">
            <w:rPr>
              <w:rFonts w:ascii="Arial" w:hAnsi="Arial" w:cs="Arial"/>
              <w:noProof/>
              <w:sz w:val="24"/>
              <w:szCs w:val="24"/>
              <w:lang w:eastAsia="en-GB"/>
            </w:rPr>
            <w:t>(Courtney Linde, et al. v Arab Bank, PLC,, 2013)</w:t>
          </w:r>
          <w:r w:rsidR="00044DFD">
            <w:rPr>
              <w:rFonts w:ascii="Arial" w:hAnsi="Arial" w:cs="Arial"/>
              <w:sz w:val="24"/>
              <w:szCs w:val="24"/>
              <w:lang w:eastAsia="en-GB"/>
            </w:rPr>
            <w:fldChar w:fldCharType="end"/>
          </w:r>
        </w:sdtContent>
      </w:sdt>
      <w:r w:rsidRPr="00E275AA">
        <w:rPr>
          <w:rFonts w:ascii="Arial" w:hAnsi="Arial" w:cs="Arial"/>
          <w:sz w:val="24"/>
          <w:szCs w:val="24"/>
          <w:lang w:eastAsia="en-GB"/>
        </w:rPr>
        <w:t xml:space="preserve"> The “but for” test in tort law asks, “but for the defendant's actions would the claimant have suffered loss?</w:t>
      </w:r>
      <w:r w:rsidR="006663AF" w:rsidRPr="00E275AA">
        <w:rPr>
          <w:rFonts w:ascii="Arial" w:hAnsi="Arial" w:cs="Arial"/>
          <w:sz w:val="24"/>
          <w:szCs w:val="24"/>
          <w:lang w:eastAsia="en-GB"/>
        </w:rPr>
        <w:t>”</w:t>
      </w:r>
      <w:r w:rsidRPr="00E275AA">
        <w:rPr>
          <w:rFonts w:ascii="Arial" w:hAnsi="Arial" w:cs="Arial"/>
          <w:sz w:val="24"/>
          <w:szCs w:val="24"/>
          <w:lang w:eastAsia="en-GB"/>
        </w:rPr>
        <w:t xml:space="preserve"> The courts decided in the case of Arab Bank that the answer to this question was no and found that Arab Bank was “wilfully blind” to the underlying purpose of its customers</w:t>
      </w:r>
      <w:r w:rsidRPr="00E275AA">
        <w:rPr>
          <w:rFonts w:ascii="Arial" w:hAnsi="Arial" w:cs="Arial"/>
          <w:color w:val="FF0000"/>
          <w:sz w:val="24"/>
          <w:szCs w:val="24"/>
          <w:lang w:eastAsia="en-GB"/>
        </w:rPr>
        <w:t>’</w:t>
      </w:r>
      <w:r w:rsidRPr="00E275AA">
        <w:rPr>
          <w:rFonts w:ascii="Arial" w:hAnsi="Arial" w:cs="Arial"/>
          <w:sz w:val="24"/>
          <w:szCs w:val="24"/>
          <w:lang w:eastAsia="en-GB"/>
        </w:rPr>
        <w:t xml:space="preserve"> transactions.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6663AF" w:rsidP="00E275AA">
      <w:pPr>
        <w:spacing w:before="0" w:after="0" w:line="480" w:lineRule="auto"/>
        <w:jc w:val="both"/>
        <w:rPr>
          <w:rFonts w:ascii="Arial" w:hAnsi="Arial" w:cs="Arial"/>
          <w:sz w:val="24"/>
          <w:szCs w:val="24"/>
          <w:lang w:eastAsia="en-GB"/>
        </w:rPr>
      </w:pPr>
      <w:r>
        <w:rPr>
          <w:rFonts w:ascii="Arial" w:hAnsi="Arial" w:cs="Arial"/>
          <w:sz w:val="24"/>
          <w:szCs w:val="24"/>
          <w:lang w:eastAsia="en-GB"/>
        </w:rPr>
        <w:t>At the centre of this case were</w:t>
      </w:r>
      <w:r w:rsidR="00E275AA" w:rsidRPr="00E275AA">
        <w:rPr>
          <w:rFonts w:ascii="Arial" w:hAnsi="Arial" w:cs="Arial"/>
          <w:sz w:val="24"/>
          <w:szCs w:val="24"/>
          <w:lang w:eastAsia="en-GB"/>
        </w:rPr>
        <w:t xml:space="preserve"> a number of </w:t>
      </w:r>
      <w:r w:rsidR="00E275AA" w:rsidRPr="00A95C6D">
        <w:rPr>
          <w:rFonts w:ascii="Arial" w:hAnsi="Arial" w:cs="Arial"/>
          <w:sz w:val="24"/>
          <w:szCs w:val="24"/>
          <w:lang w:eastAsia="en-GB"/>
        </w:rPr>
        <w:t>documents that Arab Bank could not provide to the American authorities due to Palestinian Bank secrecy laws</w:t>
      </w:r>
      <w:r w:rsidR="00E275AA" w:rsidRPr="00E275AA">
        <w:rPr>
          <w:rFonts w:ascii="Arial" w:hAnsi="Arial" w:cs="Arial"/>
          <w:sz w:val="24"/>
          <w:szCs w:val="24"/>
          <w:lang w:eastAsia="en-GB"/>
        </w:rPr>
        <w:t xml:space="preserve">. Based on the evidence it had already seen and the Arab Banks’ inability to provide the requested documents the judge allowed the jury to infer that the Arab </w:t>
      </w:r>
      <w:r w:rsidRPr="00E275AA">
        <w:rPr>
          <w:rFonts w:ascii="Arial" w:hAnsi="Arial" w:cs="Arial"/>
          <w:sz w:val="24"/>
          <w:szCs w:val="24"/>
          <w:lang w:eastAsia="en-GB"/>
        </w:rPr>
        <w:t>Bank willingly</w:t>
      </w:r>
      <w:r w:rsidR="00E275AA" w:rsidRPr="00E275AA">
        <w:rPr>
          <w:rFonts w:ascii="Arial" w:hAnsi="Arial" w:cs="Arial"/>
          <w:sz w:val="24"/>
          <w:szCs w:val="24"/>
          <w:lang w:eastAsia="en-GB"/>
        </w:rPr>
        <w:t xml:space="preserve"> provided financial services to terrorist organisations.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This case sets a new precedent for banks; that despite compliance with regulation they can still be found liable for the activities of their customers. It set a higher standard of due diligence than is required by regulation and creates legal uncertainty about the liability of banks for the actions of their customers’ affiliates. Taking this conclusion to its extreme: a bank could be found liable for any crime a customer commits by virtue of the fact that it processed transactions on their behalf. This would be an extremely strong and dangerous precedent to set and is one still being challenged by Arab Bank on the second circuit.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 judge found Arab Bank guilty of willingly assisting Hamas to conduct 23 terrorist attacks. The damages that the bank will have to pay is currently unknown and may amount to hundreds of millions, significantly exceeding regulatory fines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Following the success of the Arab Bank case in 2014, the same attorney Mark Werbner, has launched a new class action </w:t>
      </w:r>
      <w:r w:rsidRPr="00A95C6D">
        <w:rPr>
          <w:rFonts w:ascii="Arial" w:hAnsi="Arial" w:cs="Arial"/>
          <w:sz w:val="24"/>
          <w:szCs w:val="24"/>
          <w:lang w:eastAsia="en-GB"/>
        </w:rPr>
        <w:t>Freeman vs HSBC et al.</w:t>
      </w:r>
      <w:r w:rsidRPr="00E275AA">
        <w:rPr>
          <w:rFonts w:ascii="Arial" w:hAnsi="Arial" w:cs="Arial"/>
          <w:sz w:val="24"/>
          <w:szCs w:val="24"/>
          <w:lang w:eastAsia="en-GB"/>
        </w:rPr>
        <w:t xml:space="preserve"> This case seeks damages from five European banks who were alleged to have proved financing to Iranian institutions and are consequently being charged with liability for the deaths and injuries of American soldiers in Iraq. The plaintiffs allege that the banks purposely worked with Iran to disguise the origins of payments to evaded US sanctions.</w:t>
      </w:r>
      <w:sdt>
        <w:sdtPr>
          <w:rPr>
            <w:rFonts w:ascii="Arial" w:hAnsi="Arial" w:cs="Arial"/>
            <w:sz w:val="24"/>
            <w:szCs w:val="24"/>
            <w:lang w:eastAsia="en-GB"/>
          </w:rPr>
          <w:id w:val="845441340"/>
          <w:citation/>
        </w:sdtPr>
        <w:sdtEndPr/>
        <w:sdtContent>
          <w:r w:rsidR="00A95C6D">
            <w:rPr>
              <w:rFonts w:ascii="Arial" w:hAnsi="Arial" w:cs="Arial"/>
              <w:sz w:val="24"/>
              <w:szCs w:val="24"/>
              <w:lang w:eastAsia="en-GB"/>
            </w:rPr>
            <w:fldChar w:fldCharType="begin"/>
          </w:r>
          <w:r w:rsidR="00A95C6D">
            <w:rPr>
              <w:rFonts w:ascii="Arial" w:hAnsi="Arial" w:cs="Arial"/>
              <w:sz w:val="24"/>
              <w:szCs w:val="24"/>
              <w:lang w:val="en-US" w:eastAsia="en-GB"/>
            </w:rPr>
            <w:instrText xml:space="preserve"> CITATION Fre14 \l 1033 </w:instrText>
          </w:r>
          <w:r w:rsidR="00A95C6D">
            <w:rPr>
              <w:rFonts w:ascii="Arial" w:hAnsi="Arial" w:cs="Arial"/>
              <w:sz w:val="24"/>
              <w:szCs w:val="24"/>
              <w:lang w:eastAsia="en-GB"/>
            </w:rPr>
            <w:fldChar w:fldCharType="separate"/>
          </w:r>
          <w:r w:rsidR="00745BB5">
            <w:rPr>
              <w:rFonts w:ascii="Arial" w:hAnsi="Arial" w:cs="Arial"/>
              <w:noProof/>
              <w:sz w:val="24"/>
              <w:szCs w:val="24"/>
              <w:lang w:val="en-US" w:eastAsia="en-GB"/>
            </w:rPr>
            <w:t xml:space="preserve"> </w:t>
          </w:r>
          <w:r w:rsidR="00745BB5" w:rsidRPr="00745BB5">
            <w:rPr>
              <w:rFonts w:ascii="Arial" w:hAnsi="Arial" w:cs="Arial"/>
              <w:noProof/>
              <w:sz w:val="24"/>
              <w:szCs w:val="24"/>
              <w:lang w:val="en-US" w:eastAsia="en-GB"/>
            </w:rPr>
            <w:t>(Freeman et al V. HSBC Holdings PLC, 2014)</w:t>
          </w:r>
          <w:r w:rsidR="00A95C6D">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A separate case was broug</w:t>
      </w:r>
      <w:r w:rsidR="00044DFD">
        <w:rPr>
          <w:rFonts w:ascii="Arial" w:hAnsi="Arial" w:cs="Arial"/>
          <w:sz w:val="24"/>
          <w:szCs w:val="24"/>
          <w:lang w:eastAsia="en-GB"/>
        </w:rPr>
        <w:t xml:space="preserve">ht against the Bank of China </w:t>
      </w:r>
      <w:sdt>
        <w:sdtPr>
          <w:rPr>
            <w:rFonts w:ascii="Arial" w:hAnsi="Arial" w:cs="Arial"/>
            <w:sz w:val="24"/>
            <w:szCs w:val="24"/>
            <w:lang w:eastAsia="en-GB"/>
          </w:rPr>
          <w:id w:val="2091646297"/>
          <w:citation/>
        </w:sdtPr>
        <w:sdtEndPr/>
        <w:sdtContent>
          <w:r w:rsidR="00044DFD">
            <w:rPr>
              <w:rFonts w:ascii="Arial" w:hAnsi="Arial" w:cs="Arial"/>
              <w:sz w:val="24"/>
              <w:szCs w:val="24"/>
              <w:lang w:eastAsia="en-GB"/>
            </w:rPr>
            <w:fldChar w:fldCharType="begin"/>
          </w:r>
          <w:r w:rsidR="00044DFD">
            <w:rPr>
              <w:rFonts w:ascii="Arial" w:hAnsi="Arial" w:cs="Arial"/>
              <w:sz w:val="24"/>
              <w:szCs w:val="24"/>
              <w:lang w:eastAsia="en-GB"/>
            </w:rPr>
            <w:instrText xml:space="preserve"> CITATION Elm13 \l 2057 </w:instrText>
          </w:r>
          <w:r w:rsidR="00044DFD">
            <w:rPr>
              <w:rFonts w:ascii="Arial" w:hAnsi="Arial" w:cs="Arial"/>
              <w:sz w:val="24"/>
              <w:szCs w:val="24"/>
              <w:lang w:eastAsia="en-GB"/>
            </w:rPr>
            <w:fldChar w:fldCharType="separate"/>
          </w:r>
          <w:r w:rsidR="00745BB5" w:rsidRPr="00745BB5">
            <w:rPr>
              <w:rFonts w:ascii="Arial" w:hAnsi="Arial" w:cs="Arial"/>
              <w:noProof/>
              <w:sz w:val="24"/>
              <w:szCs w:val="24"/>
              <w:lang w:eastAsia="en-GB"/>
            </w:rPr>
            <w:t>(Elmaliach v Bank of China Ltd., 2013)</w:t>
          </w:r>
          <w:r w:rsidR="00044DFD">
            <w:rPr>
              <w:rFonts w:ascii="Arial" w:hAnsi="Arial" w:cs="Arial"/>
              <w:sz w:val="24"/>
              <w:szCs w:val="24"/>
              <w:lang w:eastAsia="en-GB"/>
            </w:rPr>
            <w:fldChar w:fldCharType="end"/>
          </w:r>
        </w:sdtContent>
      </w:sdt>
      <w:r w:rsidRPr="00E275AA">
        <w:rPr>
          <w:rFonts w:ascii="Arial" w:hAnsi="Arial" w:cs="Arial"/>
          <w:sz w:val="24"/>
          <w:szCs w:val="24"/>
          <w:lang w:eastAsia="en-GB"/>
        </w:rPr>
        <w:t xml:space="preserve"> for transferring funding to groups associated with Hamas. The case was launched with the support of the Israeli government who provided evidence and encouraged plaintiffs to sue the Bank of China in order to cut </w:t>
      </w:r>
      <w:r w:rsidR="00044DFD">
        <w:rPr>
          <w:rFonts w:ascii="Arial" w:hAnsi="Arial" w:cs="Arial"/>
          <w:sz w:val="24"/>
          <w:szCs w:val="24"/>
          <w:lang w:eastAsia="en-GB"/>
        </w:rPr>
        <w:t xml:space="preserve">the flow of funding to Hamas </w:t>
      </w:r>
      <w:sdt>
        <w:sdtPr>
          <w:rPr>
            <w:rFonts w:ascii="Arial" w:hAnsi="Arial" w:cs="Arial"/>
            <w:sz w:val="24"/>
            <w:szCs w:val="24"/>
            <w:lang w:eastAsia="en-GB"/>
          </w:rPr>
          <w:id w:val="-1325116805"/>
          <w:citation/>
        </w:sdtPr>
        <w:sdtEndPr/>
        <w:sdtContent>
          <w:r w:rsidR="00044DFD">
            <w:rPr>
              <w:rFonts w:ascii="Arial" w:hAnsi="Arial" w:cs="Arial"/>
              <w:sz w:val="24"/>
              <w:szCs w:val="24"/>
              <w:lang w:eastAsia="en-GB"/>
            </w:rPr>
            <w:fldChar w:fldCharType="begin"/>
          </w:r>
          <w:r w:rsidR="00044DFD">
            <w:rPr>
              <w:rFonts w:ascii="Arial" w:hAnsi="Arial" w:cs="Arial"/>
              <w:sz w:val="24"/>
              <w:szCs w:val="24"/>
              <w:lang w:eastAsia="en-GB"/>
            </w:rPr>
            <w:instrText xml:space="preserve"> CITATION Fra14 \l 2057 </w:instrText>
          </w:r>
          <w:r w:rsidR="00044DFD">
            <w:rPr>
              <w:rFonts w:ascii="Arial" w:hAnsi="Arial" w:cs="Arial"/>
              <w:sz w:val="24"/>
              <w:szCs w:val="24"/>
              <w:lang w:eastAsia="en-GB"/>
            </w:rPr>
            <w:fldChar w:fldCharType="separate"/>
          </w:r>
          <w:r w:rsidR="00745BB5" w:rsidRPr="00745BB5">
            <w:rPr>
              <w:rFonts w:ascii="Arial" w:hAnsi="Arial" w:cs="Arial"/>
              <w:noProof/>
              <w:sz w:val="24"/>
              <w:szCs w:val="24"/>
              <w:lang w:eastAsia="en-GB"/>
            </w:rPr>
            <w:t>(Frankel, 2014)</w:t>
          </w:r>
          <w:r w:rsidR="00044DFD">
            <w:rPr>
              <w:rFonts w:ascii="Arial" w:hAnsi="Arial" w:cs="Arial"/>
              <w:sz w:val="24"/>
              <w:szCs w:val="24"/>
              <w:lang w:eastAsia="en-GB"/>
            </w:rPr>
            <w:fldChar w:fldCharType="end"/>
          </w:r>
        </w:sdtContent>
      </w:sdt>
      <w:r w:rsidRPr="00E275AA">
        <w:rPr>
          <w:rFonts w:ascii="Arial" w:hAnsi="Arial" w:cs="Arial"/>
          <w:sz w:val="24"/>
          <w:szCs w:val="24"/>
          <w:lang w:eastAsia="en-GB"/>
        </w:rPr>
        <w:t xml:space="preserve">. This case is interesting as the Bank of China breached US sanctions, however in China Hamas is not considered a terrorist organisation.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These cases raise pertinent questions about who has the authority classify people as terrorists. The development of advanced screening systems has meant that bank have been able to detect a potential terrorist before they appear on international sanctions list. Here there is a clear duty for the banks to report their suspicions to the relevant enforcement authority under the Proceeds of Crime Act, but should it be for the banks or government authorities to </w:t>
      </w:r>
      <w:r w:rsidRPr="00A95C6D">
        <w:rPr>
          <w:rFonts w:ascii="Arial" w:hAnsi="Arial" w:cs="Arial"/>
          <w:sz w:val="24"/>
          <w:szCs w:val="24"/>
          <w:lang w:eastAsia="en-GB"/>
        </w:rPr>
        <w:t>decide whether as a result these people should continue to have access to finance? The Proceeds of Crime Act also makes it</w:t>
      </w:r>
      <w:r w:rsidRPr="00E275AA">
        <w:rPr>
          <w:rFonts w:ascii="Arial" w:hAnsi="Arial" w:cs="Arial"/>
          <w:sz w:val="24"/>
          <w:szCs w:val="24"/>
          <w:lang w:eastAsia="en-GB"/>
        </w:rPr>
        <w:t xml:space="preserve"> an offence to be in an arrangement in which he “suspects will facilitate another person to acquire, retain, use or control criminal property” which would mean that banks have a</w:t>
      </w:r>
      <w:r w:rsidR="00D11FB4">
        <w:rPr>
          <w:rFonts w:ascii="Arial" w:hAnsi="Arial" w:cs="Arial"/>
          <w:sz w:val="24"/>
          <w:szCs w:val="24"/>
          <w:lang w:eastAsia="en-GB"/>
        </w:rPr>
        <w:t>n</w:t>
      </w:r>
      <w:r w:rsidRPr="00E275AA">
        <w:rPr>
          <w:rFonts w:ascii="Arial" w:hAnsi="Arial" w:cs="Arial"/>
          <w:sz w:val="24"/>
          <w:szCs w:val="24"/>
          <w:lang w:eastAsia="en-GB"/>
        </w:rPr>
        <w:t xml:space="preserve"> obligation to close the account of individual it suspected of financial crime</w:t>
      </w:r>
      <w:r w:rsidR="00D11FB4">
        <w:rPr>
          <w:rFonts w:ascii="Arial" w:hAnsi="Arial" w:cs="Arial"/>
          <w:sz w:val="24"/>
          <w:szCs w:val="24"/>
          <w:lang w:eastAsia="en-GB"/>
        </w:rPr>
        <w:t xml:space="preserve">. </w:t>
      </w:r>
      <w:sdt>
        <w:sdtPr>
          <w:rPr>
            <w:rFonts w:ascii="Arial" w:hAnsi="Arial" w:cs="Arial"/>
            <w:sz w:val="24"/>
            <w:szCs w:val="24"/>
            <w:lang w:eastAsia="en-GB"/>
          </w:rPr>
          <w:id w:val="1875194299"/>
          <w:citation/>
        </w:sdtPr>
        <w:sdtEndPr/>
        <w:sdtContent>
          <w:r w:rsidR="00D11FB4">
            <w:rPr>
              <w:rFonts w:ascii="Arial" w:hAnsi="Arial" w:cs="Arial"/>
              <w:sz w:val="24"/>
              <w:szCs w:val="24"/>
              <w:lang w:eastAsia="en-GB"/>
            </w:rPr>
            <w:fldChar w:fldCharType="begin"/>
          </w:r>
          <w:r w:rsidR="00D11FB4">
            <w:rPr>
              <w:rFonts w:ascii="Arial" w:hAnsi="Arial" w:cs="Arial"/>
              <w:sz w:val="24"/>
              <w:szCs w:val="24"/>
              <w:lang w:eastAsia="en-GB"/>
            </w:rPr>
            <w:instrText xml:space="preserve"> CITATION UKG02 \l 2057 </w:instrText>
          </w:r>
          <w:r w:rsidR="00D11FB4">
            <w:rPr>
              <w:rFonts w:ascii="Arial" w:hAnsi="Arial" w:cs="Arial"/>
              <w:sz w:val="24"/>
              <w:szCs w:val="24"/>
              <w:lang w:eastAsia="en-GB"/>
            </w:rPr>
            <w:fldChar w:fldCharType="separate"/>
          </w:r>
          <w:r w:rsidR="00745BB5" w:rsidRPr="00745BB5">
            <w:rPr>
              <w:rFonts w:ascii="Arial" w:hAnsi="Arial" w:cs="Arial"/>
              <w:noProof/>
              <w:sz w:val="24"/>
              <w:szCs w:val="24"/>
              <w:lang w:eastAsia="en-GB"/>
            </w:rPr>
            <w:t>(UK Government, 2002)</w:t>
          </w:r>
          <w:r w:rsidR="00D11FB4">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Other cases have taken a more proportionate approach to a bank's liability for its customer’s actions. In Rothstein vs UBS, UBS was alleged to have processed hundreds of millions of dollars for the Iranian government in violation of US sanctions. However, when the families of the victims of the bombings tried to sue UBS for the damages they could not demonstrate that the banks were “proximately responsible for the injuries” of the victims. Here the plaintiffs were required to prove higher standard of causation to hold that the bank was liable for the actions of the Iranian government than was required in the Arab Bank cases.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The uncertainty about the limits of a bank's liability for its customer’s actions create legal risk for financial institutions when processing transactions in high risk locations. It undermines regulation standards and forces banks to gold plate regulation. All of this brings cost; the cost of development of more sophisticated systems; the potential cost of damages and the reputational damage of being associated with money-laundering or terrorist financing regardless of the outcome of </w:t>
      </w:r>
      <w:r w:rsidRPr="00A95C6D">
        <w:rPr>
          <w:rFonts w:ascii="Arial" w:hAnsi="Arial" w:cs="Arial"/>
          <w:sz w:val="24"/>
          <w:szCs w:val="24"/>
          <w:lang w:eastAsia="en-GB"/>
        </w:rPr>
        <w:t>these cases. Given the precedent</w:t>
      </w:r>
      <w:r w:rsidR="00044DFD" w:rsidRPr="00A95C6D">
        <w:rPr>
          <w:rFonts w:ascii="Arial" w:hAnsi="Arial" w:cs="Arial"/>
          <w:sz w:val="24"/>
          <w:szCs w:val="24"/>
          <w:lang w:eastAsia="en-GB"/>
        </w:rPr>
        <w:t xml:space="preserve"> setting case of </w:t>
      </w:r>
      <w:sdt>
        <w:sdtPr>
          <w:rPr>
            <w:rFonts w:ascii="Arial" w:hAnsi="Arial" w:cs="Arial"/>
            <w:sz w:val="24"/>
            <w:szCs w:val="24"/>
            <w:lang w:eastAsia="en-GB"/>
          </w:rPr>
          <w:id w:val="-1216964989"/>
          <w:citation/>
        </w:sdtPr>
        <w:sdtEndPr/>
        <w:sdtContent>
          <w:r w:rsidR="00044DFD" w:rsidRPr="00A95C6D">
            <w:rPr>
              <w:rFonts w:ascii="Arial" w:hAnsi="Arial" w:cs="Arial"/>
              <w:sz w:val="24"/>
              <w:szCs w:val="24"/>
              <w:lang w:eastAsia="en-GB"/>
            </w:rPr>
            <w:fldChar w:fldCharType="begin"/>
          </w:r>
          <w:r w:rsidR="00044DFD" w:rsidRPr="00A95C6D">
            <w:rPr>
              <w:rFonts w:ascii="Arial" w:hAnsi="Arial" w:cs="Arial"/>
              <w:sz w:val="24"/>
              <w:szCs w:val="24"/>
              <w:lang w:eastAsia="en-GB"/>
            </w:rPr>
            <w:instrText xml:space="preserve"> CITATION Cou \l 2057 </w:instrText>
          </w:r>
          <w:r w:rsidR="00044DFD" w:rsidRPr="00A95C6D">
            <w:rPr>
              <w:rFonts w:ascii="Arial" w:hAnsi="Arial" w:cs="Arial"/>
              <w:sz w:val="24"/>
              <w:szCs w:val="24"/>
              <w:lang w:eastAsia="en-GB"/>
            </w:rPr>
            <w:fldChar w:fldCharType="separate"/>
          </w:r>
          <w:r w:rsidR="00745BB5" w:rsidRPr="00745BB5">
            <w:rPr>
              <w:rFonts w:ascii="Arial" w:hAnsi="Arial" w:cs="Arial"/>
              <w:noProof/>
              <w:sz w:val="24"/>
              <w:szCs w:val="24"/>
              <w:lang w:eastAsia="en-GB"/>
            </w:rPr>
            <w:t>(Courtney Linde, et al. v Arab Bank, PLC,, 2013)</w:t>
          </w:r>
          <w:r w:rsidR="00044DFD" w:rsidRPr="00A95C6D">
            <w:rPr>
              <w:rFonts w:ascii="Arial" w:hAnsi="Arial" w:cs="Arial"/>
              <w:sz w:val="24"/>
              <w:szCs w:val="24"/>
              <w:lang w:eastAsia="en-GB"/>
            </w:rPr>
            <w:fldChar w:fldCharType="end"/>
          </w:r>
        </w:sdtContent>
      </w:sdt>
      <w:r w:rsidR="00A95C6D" w:rsidRPr="00A95C6D">
        <w:rPr>
          <w:rFonts w:ascii="Arial" w:hAnsi="Arial" w:cs="Arial"/>
          <w:sz w:val="24"/>
          <w:szCs w:val="24"/>
          <w:lang w:eastAsia="en-GB"/>
        </w:rPr>
        <w:t xml:space="preserve"> </w:t>
      </w:r>
      <w:r w:rsidRPr="00A95C6D">
        <w:rPr>
          <w:rFonts w:ascii="Arial" w:hAnsi="Arial" w:cs="Arial"/>
          <w:sz w:val="24"/>
          <w:szCs w:val="24"/>
          <w:lang w:eastAsia="en-GB"/>
        </w:rPr>
        <w:t>we</w:t>
      </w:r>
      <w:r w:rsidRPr="00E275AA">
        <w:rPr>
          <w:rFonts w:ascii="Arial" w:hAnsi="Arial" w:cs="Arial"/>
          <w:sz w:val="24"/>
          <w:szCs w:val="24"/>
          <w:lang w:eastAsia="en-GB"/>
        </w:rPr>
        <w:t xml:space="preserve"> can only assume there will be more challenges in the future</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Again it is interesting to draw parallels between the liability faced by financial services institutions and those in other industries. Looking at the airline industry, if an airline provided transportation to an individual, who then went on to commit a terrorist attack, victims would not be able to sue the airline for providing a passage to a customers that it had no reason to suspect was associated with terrorism. Indeed there has been no class action that has ever been raised against an airline for their involvement in facilitating a terrorist attack. It would seem then that the financial sector is subject to a higher standard of liability for indirectly assisting terrorists. It is not clear why the financial sector that has taken on the responsibility and cost for the screening of financial transactions and customers to increase security of the financial system on behalf of the public and</w:t>
      </w:r>
      <w:r w:rsidRPr="00E275AA">
        <w:rPr>
          <w:rFonts w:ascii="Arial" w:hAnsi="Arial" w:cs="Arial"/>
          <w:color w:val="FF0000"/>
          <w:sz w:val="24"/>
          <w:szCs w:val="24"/>
          <w:lang w:eastAsia="en-GB"/>
        </w:rPr>
        <w:t xml:space="preserve"> </w:t>
      </w:r>
      <w:r w:rsidRPr="00E275AA">
        <w:rPr>
          <w:rFonts w:ascii="Arial" w:hAnsi="Arial" w:cs="Arial"/>
          <w:sz w:val="24"/>
          <w:szCs w:val="24"/>
          <w:lang w:eastAsia="en-GB"/>
        </w:rPr>
        <w:t>is at the same time is being held liable for the actions of its customer affiliates.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 combination of the cost of compliance with AML/CTF regulation, the cost of non-compliance with AML/CTF regulation and the cost of liability for indirectly assisting terrorists means that the cost of doing business with high risk regions and customers has increased enormously for bank over the past five years. As a result it is understandable why banks may choose to scale back their operations to reduce their exposure to fines and civil liability rather than invest in even more sophisticate</w:t>
      </w:r>
      <w:r w:rsidR="00044DFD">
        <w:rPr>
          <w:rFonts w:ascii="Arial" w:hAnsi="Arial" w:cs="Arial"/>
          <w:sz w:val="24"/>
          <w:szCs w:val="24"/>
          <w:lang w:eastAsia="en-GB"/>
        </w:rPr>
        <w:t xml:space="preserve">d AML/CTF systems and controls. </w:t>
      </w:r>
      <w:sdt>
        <w:sdtPr>
          <w:rPr>
            <w:rFonts w:ascii="Arial" w:hAnsi="Arial" w:cs="Arial"/>
            <w:sz w:val="24"/>
            <w:szCs w:val="24"/>
            <w:lang w:eastAsia="en-GB"/>
          </w:rPr>
          <w:id w:val="1282071385"/>
          <w:citation/>
        </w:sdtPr>
        <w:sdtEndPr/>
        <w:sdtContent>
          <w:r w:rsidR="00044DFD">
            <w:rPr>
              <w:rFonts w:ascii="Arial" w:hAnsi="Arial" w:cs="Arial"/>
              <w:sz w:val="24"/>
              <w:szCs w:val="24"/>
              <w:lang w:eastAsia="en-GB"/>
            </w:rPr>
            <w:fldChar w:fldCharType="begin"/>
          </w:r>
          <w:r w:rsidR="00044DFD">
            <w:rPr>
              <w:rFonts w:ascii="Arial" w:hAnsi="Arial" w:cs="Arial"/>
              <w:sz w:val="24"/>
              <w:szCs w:val="24"/>
              <w:lang w:eastAsia="en-GB"/>
            </w:rPr>
            <w:instrText xml:space="preserve">CITATION Bar15 \t  \l 2057 </w:instrText>
          </w:r>
          <w:r w:rsidR="00044DFD">
            <w:rPr>
              <w:rFonts w:ascii="Arial" w:hAnsi="Arial" w:cs="Arial"/>
              <w:sz w:val="24"/>
              <w:szCs w:val="24"/>
              <w:lang w:eastAsia="en-GB"/>
            </w:rPr>
            <w:fldChar w:fldCharType="separate"/>
          </w:r>
          <w:r w:rsidR="00745BB5" w:rsidRPr="00745BB5">
            <w:rPr>
              <w:rFonts w:ascii="Arial" w:hAnsi="Arial" w:cs="Arial"/>
              <w:noProof/>
              <w:sz w:val="24"/>
              <w:szCs w:val="24"/>
              <w:lang w:eastAsia="en-GB"/>
            </w:rPr>
            <w:t>(Barret, 2015)</w:t>
          </w:r>
          <w:r w:rsidR="00044DFD">
            <w:rPr>
              <w:rFonts w:ascii="Arial" w:hAnsi="Arial" w:cs="Arial"/>
              <w:sz w:val="24"/>
              <w:szCs w:val="24"/>
              <w:lang w:eastAsia="en-GB"/>
            </w:rPr>
            <w:fldChar w:fldCharType="end"/>
          </w:r>
        </w:sdtContent>
      </w:sdt>
      <w:r w:rsidR="00044DFD">
        <w:rPr>
          <w:rFonts w:ascii="Arial" w:hAnsi="Arial" w:cs="Arial"/>
          <w:sz w:val="24"/>
          <w:szCs w:val="24"/>
          <w:lang w:eastAsia="en-GB"/>
        </w:rPr>
        <w:t> </w:t>
      </w:r>
      <w:sdt>
        <w:sdtPr>
          <w:rPr>
            <w:rFonts w:ascii="Arial" w:hAnsi="Arial" w:cs="Arial"/>
            <w:sz w:val="24"/>
            <w:szCs w:val="24"/>
            <w:lang w:eastAsia="en-GB"/>
          </w:rPr>
          <w:id w:val="1665287229"/>
          <w:citation/>
        </w:sdtPr>
        <w:sdtEndPr/>
        <w:sdtContent>
          <w:r w:rsidR="00044DFD">
            <w:rPr>
              <w:rFonts w:ascii="Arial" w:hAnsi="Arial" w:cs="Arial"/>
              <w:sz w:val="24"/>
              <w:szCs w:val="24"/>
              <w:lang w:eastAsia="en-GB"/>
            </w:rPr>
            <w:fldChar w:fldCharType="begin"/>
          </w:r>
          <w:r w:rsidR="00044DFD">
            <w:rPr>
              <w:rFonts w:ascii="Arial" w:hAnsi="Arial" w:cs="Arial"/>
              <w:sz w:val="24"/>
              <w:szCs w:val="24"/>
              <w:lang w:eastAsia="en-GB"/>
            </w:rPr>
            <w:instrText xml:space="preserve">CITATION Bar151 \t  \l 2057 </w:instrText>
          </w:r>
          <w:r w:rsidR="00044DFD">
            <w:rPr>
              <w:rFonts w:ascii="Arial" w:hAnsi="Arial" w:cs="Arial"/>
              <w:sz w:val="24"/>
              <w:szCs w:val="24"/>
              <w:lang w:eastAsia="en-GB"/>
            </w:rPr>
            <w:fldChar w:fldCharType="separate"/>
          </w:r>
          <w:r w:rsidR="00745BB5" w:rsidRPr="00745BB5">
            <w:rPr>
              <w:rFonts w:ascii="Arial" w:hAnsi="Arial" w:cs="Arial"/>
              <w:noProof/>
              <w:sz w:val="24"/>
              <w:szCs w:val="24"/>
              <w:lang w:eastAsia="en-GB"/>
            </w:rPr>
            <w:t>(Barret, 2015)</w:t>
          </w:r>
          <w:r w:rsidR="00044DFD">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pBdr>
          <w:bottom w:val="single" w:sz="8" w:space="4" w:color="4F81BD"/>
        </w:pBdr>
        <w:spacing w:before="0" w:after="300" w:line="480" w:lineRule="auto"/>
        <w:contextualSpacing/>
        <w:rPr>
          <w:rFonts w:ascii="Cambria" w:hAnsi="Cambria"/>
          <w:color w:val="17365D"/>
          <w:spacing w:val="5"/>
          <w:kern w:val="28"/>
          <w:sz w:val="52"/>
          <w:szCs w:val="52"/>
          <w:lang w:eastAsia="en-GB"/>
        </w:rPr>
      </w:pPr>
      <w:r w:rsidRPr="00E275AA">
        <w:rPr>
          <w:rFonts w:ascii="Cambria" w:hAnsi="Cambria"/>
          <w:color w:val="17365D"/>
          <w:spacing w:val="5"/>
          <w:kern w:val="28"/>
          <w:sz w:val="52"/>
          <w:szCs w:val="52"/>
          <w:lang w:eastAsia="en-GB"/>
        </w:rPr>
        <w:t>Chapte</w:t>
      </w:r>
      <w:r w:rsidR="001D797C">
        <w:rPr>
          <w:rFonts w:ascii="Cambria" w:hAnsi="Cambria"/>
          <w:color w:val="17365D"/>
          <w:spacing w:val="5"/>
          <w:kern w:val="28"/>
          <w:sz w:val="52"/>
          <w:szCs w:val="52"/>
          <w:lang w:eastAsia="en-GB"/>
        </w:rPr>
        <w:t>r 3- Evidence of de-risking</w:t>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The earliest example of what can now be called “de-risking” is found in the FT trader in July 2009. The article discusses a fine issued by the National Futures Association against  I-Trade for poor anti-money laundering controls and the subsequent sales of </w:t>
      </w:r>
      <w:r w:rsidR="00044DFD">
        <w:rPr>
          <w:rFonts w:ascii="Arial" w:hAnsi="Arial" w:cs="Arial"/>
          <w:sz w:val="24"/>
          <w:szCs w:val="24"/>
          <w:lang w:eastAsia="en-GB"/>
        </w:rPr>
        <w:t>its FX accounts a week later</w:t>
      </w:r>
      <w:sdt>
        <w:sdtPr>
          <w:rPr>
            <w:rFonts w:ascii="Arial" w:hAnsi="Arial" w:cs="Arial"/>
            <w:sz w:val="24"/>
            <w:szCs w:val="24"/>
            <w:lang w:eastAsia="en-GB"/>
          </w:rPr>
          <w:id w:val="1131758416"/>
          <w:citation/>
        </w:sdtPr>
        <w:sdtEndPr/>
        <w:sdtContent>
          <w:r w:rsidR="00044DFD">
            <w:rPr>
              <w:rFonts w:ascii="Arial" w:hAnsi="Arial" w:cs="Arial"/>
              <w:sz w:val="24"/>
              <w:szCs w:val="24"/>
              <w:lang w:eastAsia="en-GB"/>
            </w:rPr>
            <w:fldChar w:fldCharType="begin"/>
          </w:r>
          <w:r w:rsidR="00745BB5">
            <w:rPr>
              <w:rFonts w:ascii="Arial" w:hAnsi="Arial" w:cs="Arial"/>
              <w:sz w:val="24"/>
              <w:szCs w:val="24"/>
              <w:lang w:eastAsia="en-GB"/>
            </w:rPr>
            <w:instrText xml:space="preserve">CITATION FXT09 \l 2057 </w:instrText>
          </w:r>
          <w:r w:rsidR="00044DFD">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(FX Trader Magazine, 2009)</w:t>
          </w:r>
          <w:r w:rsidR="00044DFD">
            <w:rPr>
              <w:rFonts w:ascii="Arial" w:hAnsi="Arial" w:cs="Arial"/>
              <w:sz w:val="24"/>
              <w:szCs w:val="24"/>
              <w:lang w:eastAsia="en-GB"/>
            </w:rPr>
            <w:fldChar w:fldCharType="end"/>
          </w:r>
        </w:sdtContent>
      </w:sdt>
      <w:r w:rsidR="00044DFD">
        <w:rPr>
          <w:rFonts w:ascii="Arial" w:hAnsi="Arial" w:cs="Arial"/>
          <w:sz w:val="24"/>
          <w:szCs w:val="24"/>
          <w:lang w:eastAsia="en-GB"/>
        </w:rPr>
        <w:t>.</w:t>
      </w:r>
      <w:r w:rsidRPr="00E275AA">
        <w:rPr>
          <w:rFonts w:ascii="Arial" w:hAnsi="Arial" w:cs="Arial"/>
          <w:sz w:val="24"/>
          <w:szCs w:val="24"/>
          <w:lang w:eastAsia="en-GB"/>
        </w:rPr>
        <w:t xml:space="preserve">  In the article, there is an implicit assumption that the fine affected the firm’s choice to</w:t>
      </w:r>
      <w:r w:rsidRPr="00E275AA">
        <w:rPr>
          <w:rFonts w:ascii="Arial" w:hAnsi="Arial" w:cs="Arial"/>
          <w:color w:val="FF0000"/>
          <w:sz w:val="24"/>
          <w:szCs w:val="24"/>
          <w:lang w:eastAsia="en-GB"/>
        </w:rPr>
        <w:t xml:space="preserve"> </w:t>
      </w:r>
      <w:r w:rsidRPr="00E275AA">
        <w:rPr>
          <w:rFonts w:ascii="Arial" w:hAnsi="Arial" w:cs="Arial"/>
          <w:sz w:val="24"/>
          <w:szCs w:val="24"/>
          <w:lang w:eastAsia="en-GB"/>
        </w:rPr>
        <w:t>close its FX business. The use of the term de-risking has since grown to the extent that during the first half of 2015 there were over 270 articles published discussing the topic.</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 xml:space="preserve">One of the issues with de-risking is that it has been hard to quantify its cumulative effect. There has been a lot written about the individual cases in the press but as the director of the Financial Crime Enforcement network noted in a speech in 2014 </w:t>
      </w:r>
      <w:r w:rsidRPr="00E275AA">
        <w:rPr>
          <w:rFonts w:ascii="Arial" w:hAnsi="Arial" w:cs="Arial"/>
          <w:iCs/>
          <w:sz w:val="24"/>
          <w:szCs w:val="24"/>
          <w:shd w:val="clear" w:color="auto" w:fill="FFFFFF"/>
          <w:lang w:eastAsia="en-GB"/>
        </w:rPr>
        <w:t>“we do not yet know how widespread it is, and we are still working to gauge the impact</w:t>
      </w:r>
      <w:r w:rsidR="00044DFD">
        <w:rPr>
          <w:rFonts w:ascii="Arial" w:hAnsi="Arial" w:cs="Arial"/>
          <w:iCs/>
          <w:sz w:val="24"/>
          <w:szCs w:val="24"/>
          <w:shd w:val="clear" w:color="auto" w:fill="FFFFFF"/>
          <w:lang w:eastAsia="en-GB"/>
        </w:rPr>
        <w:t xml:space="preserve">” </w:t>
      </w:r>
      <w:sdt>
        <w:sdtPr>
          <w:rPr>
            <w:rFonts w:ascii="Arial" w:hAnsi="Arial" w:cs="Arial"/>
            <w:iCs/>
            <w:sz w:val="24"/>
            <w:szCs w:val="24"/>
            <w:shd w:val="clear" w:color="auto" w:fill="FFFFFF"/>
            <w:lang w:eastAsia="en-GB"/>
          </w:rPr>
          <w:id w:val="-1774700502"/>
          <w:citation/>
        </w:sdtPr>
        <w:sdtEndPr/>
        <w:sdtContent>
          <w:r w:rsidR="00044DFD">
            <w:rPr>
              <w:rFonts w:ascii="Arial" w:hAnsi="Arial" w:cs="Arial"/>
              <w:iCs/>
              <w:sz w:val="24"/>
              <w:szCs w:val="24"/>
              <w:shd w:val="clear" w:color="auto" w:fill="FFFFFF"/>
              <w:lang w:eastAsia="en-GB"/>
            </w:rPr>
            <w:fldChar w:fldCharType="begin"/>
          </w:r>
          <w:r w:rsidR="00044DFD">
            <w:rPr>
              <w:rFonts w:ascii="Arial" w:hAnsi="Arial" w:cs="Arial"/>
              <w:iCs/>
              <w:sz w:val="24"/>
              <w:szCs w:val="24"/>
              <w:shd w:val="clear" w:color="auto" w:fill="FFFFFF"/>
              <w:lang w:eastAsia="en-GB"/>
            </w:rPr>
            <w:instrText xml:space="preserve"> CITATION Cal14 \l 2057 </w:instrText>
          </w:r>
          <w:r w:rsidR="00044DFD">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(Calvery, 2014)</w:t>
          </w:r>
          <w:r w:rsidR="00044DFD">
            <w:rPr>
              <w:rFonts w:ascii="Arial" w:hAnsi="Arial" w:cs="Arial"/>
              <w:iCs/>
              <w:sz w:val="24"/>
              <w:szCs w:val="24"/>
              <w:shd w:val="clear" w:color="auto" w:fill="FFFFFF"/>
              <w:lang w:eastAsia="en-GB"/>
            </w:rPr>
            <w:fldChar w:fldCharType="end"/>
          </w:r>
        </w:sdtContent>
      </w:sdt>
      <w:r w:rsidR="00044DFD">
        <w:rPr>
          <w:rFonts w:ascii="Arial" w:hAnsi="Arial" w:cs="Arial"/>
          <w:iCs/>
          <w:sz w:val="24"/>
          <w:szCs w:val="24"/>
          <w:shd w:val="clear" w:color="auto" w:fill="FFFFFF"/>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In the US, Operation Choke Point was a programme run by the US department of Justice specifically to investigate banks that had higher risk customers. It was launched with a specific focus on detecting fraud, but was expanded to include other high risk activities relating to money laundering and terrorist financing. Banks were required to investigate their customers and were encouraged to close high risk accounts or face regulatory sanctions. Concurrently the FDIC issued a list of high risk business types and encouraged banks to be vigilant when offering services to these industries. This has caused much controversy and some argue has further encouraged “de-risking” in America. Included on this list are money services businesses, home-based charities, cash intensive businesses and industries that mig</w:t>
      </w:r>
      <w:r w:rsidR="00044DFD">
        <w:rPr>
          <w:rFonts w:ascii="Arial" w:hAnsi="Arial" w:cs="Arial"/>
          <w:sz w:val="24"/>
          <w:szCs w:val="24"/>
          <w:lang w:eastAsia="en-GB"/>
        </w:rPr>
        <w:t xml:space="preserve">ht cause reputational harm. </w:t>
      </w:r>
      <w:sdt>
        <w:sdtPr>
          <w:rPr>
            <w:rFonts w:ascii="Arial" w:hAnsi="Arial" w:cs="Arial"/>
            <w:sz w:val="24"/>
            <w:szCs w:val="24"/>
            <w:lang w:eastAsia="en-GB"/>
          </w:rPr>
          <w:id w:val="115347380"/>
          <w:citation/>
        </w:sdtPr>
        <w:sdtEndPr/>
        <w:sdtContent>
          <w:r w:rsidR="00D11FB4">
            <w:rPr>
              <w:rFonts w:ascii="Arial" w:hAnsi="Arial" w:cs="Arial"/>
              <w:sz w:val="24"/>
              <w:szCs w:val="24"/>
              <w:lang w:eastAsia="en-GB"/>
            </w:rPr>
            <w:fldChar w:fldCharType="begin"/>
          </w:r>
          <w:r w:rsidR="00D11FB4">
            <w:rPr>
              <w:rFonts w:ascii="Arial" w:hAnsi="Arial" w:cs="Arial"/>
              <w:sz w:val="24"/>
              <w:szCs w:val="24"/>
              <w:lang w:eastAsia="en-GB"/>
            </w:rPr>
            <w:instrText xml:space="preserve"> CITATION USD15 \l 2057 </w:instrText>
          </w:r>
          <w:r w:rsidR="00D11FB4">
            <w:rPr>
              <w:rFonts w:ascii="Arial" w:hAnsi="Arial" w:cs="Arial"/>
              <w:sz w:val="24"/>
              <w:szCs w:val="24"/>
              <w:lang w:eastAsia="en-GB"/>
            </w:rPr>
            <w:fldChar w:fldCharType="separate"/>
          </w:r>
          <w:r w:rsidR="00745BB5" w:rsidRPr="00745BB5">
            <w:rPr>
              <w:rFonts w:ascii="Arial" w:hAnsi="Arial" w:cs="Arial"/>
              <w:noProof/>
              <w:sz w:val="24"/>
              <w:szCs w:val="24"/>
              <w:lang w:eastAsia="en-GB"/>
            </w:rPr>
            <w:t>(U.S. Department of the Treasury, 2015)</w:t>
          </w:r>
          <w:r w:rsidR="00D11FB4">
            <w:rPr>
              <w:rFonts w:ascii="Arial" w:hAnsi="Arial" w:cs="Arial"/>
              <w:sz w:val="24"/>
              <w:szCs w:val="24"/>
              <w:lang w:eastAsia="en-GB"/>
            </w:rPr>
            <w:fldChar w:fldCharType="end"/>
          </w:r>
        </w:sdtContent>
      </w:sdt>
      <w:r w:rsidRPr="00E275AA">
        <w:rPr>
          <w:rFonts w:ascii="Arial" w:hAnsi="Arial" w:cs="Arial"/>
          <w:sz w:val="24"/>
          <w:szCs w:val="24"/>
          <w:lang w:eastAsia="en-GB"/>
        </w:rPr>
        <w:t xml:space="preserve"> One of the most high profile outcomes of this operation has been the closing of many accounts of adult entertainers across the US having been included on the FDIC list of high-risk activities.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sz w:val="24"/>
          <w:szCs w:val="24"/>
          <w:lang w:eastAsia="en-GB"/>
        </w:rPr>
        <w:t>Charities</w:t>
      </w:r>
    </w:p>
    <w:p w:rsidR="00E275AA" w:rsidRPr="00E275AA" w:rsidRDefault="00E275AA" w:rsidP="00E275AA">
      <w:pPr>
        <w:spacing w:before="0" w:after="0" w:line="480" w:lineRule="auto"/>
        <w:jc w:val="both"/>
        <w:rPr>
          <w:rFonts w:ascii="Arial" w:hAnsi="Arial" w:cs="Arial"/>
          <w:b/>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 xml:space="preserve">Following Operation Choke Point there were several reports of accounts being closed </w:t>
      </w:r>
      <w:r w:rsidR="00D11FB4">
        <w:rPr>
          <w:rFonts w:ascii="Arial" w:hAnsi="Arial" w:cs="Arial"/>
          <w:sz w:val="24"/>
          <w:szCs w:val="24"/>
          <w:shd w:val="clear" w:color="auto" w:fill="FFFFFF"/>
          <w:lang w:eastAsia="en-GB"/>
        </w:rPr>
        <w:t xml:space="preserve">for charities across the US </w:t>
      </w:r>
      <w:sdt>
        <w:sdtPr>
          <w:rPr>
            <w:rFonts w:ascii="Arial" w:hAnsi="Arial" w:cs="Arial"/>
            <w:sz w:val="24"/>
            <w:szCs w:val="24"/>
            <w:shd w:val="clear" w:color="auto" w:fill="FFFFFF"/>
            <w:lang w:eastAsia="en-GB"/>
          </w:rPr>
          <w:id w:val="-792979668"/>
          <w:citation/>
        </w:sdtPr>
        <w:sdtEndPr/>
        <w:sdtContent>
          <w:r w:rsidR="00D11FB4">
            <w:rPr>
              <w:rFonts w:ascii="Arial" w:hAnsi="Arial" w:cs="Arial"/>
              <w:sz w:val="24"/>
              <w:szCs w:val="24"/>
              <w:shd w:val="clear" w:color="auto" w:fill="FFFFFF"/>
              <w:lang w:eastAsia="en-GB"/>
            </w:rPr>
            <w:fldChar w:fldCharType="begin"/>
          </w:r>
          <w:r w:rsidR="00D11FB4">
            <w:rPr>
              <w:rFonts w:ascii="Arial" w:hAnsi="Arial" w:cs="Arial"/>
              <w:sz w:val="24"/>
              <w:szCs w:val="24"/>
              <w:shd w:val="clear" w:color="auto" w:fill="FFFFFF"/>
              <w:lang w:eastAsia="en-GB"/>
            </w:rPr>
            <w:instrText xml:space="preserve"> CITATION Ade14 \l 2057 </w:instrText>
          </w:r>
          <w:r w:rsidR="00D11FB4">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(Adely, 2014)</w:t>
          </w:r>
          <w:r w:rsidR="00D11FB4">
            <w:rPr>
              <w:rFonts w:ascii="Arial" w:hAnsi="Arial" w:cs="Arial"/>
              <w:sz w:val="24"/>
              <w:szCs w:val="24"/>
              <w:shd w:val="clear" w:color="auto" w:fill="FFFFFF"/>
              <w:lang w:eastAsia="en-GB"/>
            </w:rPr>
            <w:fldChar w:fldCharType="end"/>
          </w:r>
        </w:sdtContent>
      </w:sdt>
      <w:r w:rsidR="00D11FB4">
        <w:rPr>
          <w:rFonts w:ascii="Arial" w:hAnsi="Arial" w:cs="Arial"/>
          <w:sz w:val="24"/>
          <w:szCs w:val="24"/>
          <w:shd w:val="clear" w:color="auto" w:fill="FFFFFF"/>
          <w:lang w:eastAsia="en-GB"/>
        </w:rPr>
        <w:t>.</w:t>
      </w:r>
      <w:r w:rsidRPr="00E275AA">
        <w:rPr>
          <w:rFonts w:ascii="Arial" w:hAnsi="Arial" w:cs="Arial"/>
          <w:sz w:val="24"/>
          <w:szCs w:val="24"/>
          <w:shd w:val="clear" w:color="auto" w:fill="FFFFFF"/>
          <w:lang w:eastAsia="en-GB"/>
        </w:rPr>
        <w:t>These charities had their accounts closed at short notice without explanation which restricted their ability to send aid abroad. Similarly in the UK a survey taken in 2014 found that 61.4% of charities indicated that banks had become more cautious when dealing with them requested additional information. Studies have that reported that charities faced “</w:t>
      </w:r>
      <w:r w:rsidRPr="00E275AA">
        <w:rPr>
          <w:rFonts w:ascii="Arial" w:hAnsi="Arial" w:cs="Arial"/>
          <w:iCs/>
          <w:sz w:val="24"/>
          <w:szCs w:val="24"/>
          <w:shd w:val="clear" w:color="auto" w:fill="FFFFFF"/>
          <w:lang w:eastAsia="en-GB"/>
        </w:rPr>
        <w:t>increasing restrictions on their access to financial services</w:t>
      </w:r>
      <w:r w:rsidRPr="00E275AA">
        <w:rPr>
          <w:rFonts w:ascii="Arial" w:hAnsi="Arial" w:cs="Arial"/>
          <w:sz w:val="24"/>
          <w:szCs w:val="24"/>
          <w:shd w:val="clear" w:color="auto" w:fill="FFFFFF"/>
          <w:lang w:eastAsia="en-GB"/>
        </w:rPr>
        <w:t>” as a result of international regulatory standards. This has had a particular impact on organisations providing aid across the Middle East and charities operating in areas that are subject to</w:t>
      </w:r>
      <w:r w:rsidR="00D11FB4">
        <w:rPr>
          <w:rFonts w:ascii="Arial" w:hAnsi="Arial" w:cs="Arial"/>
          <w:sz w:val="24"/>
          <w:szCs w:val="24"/>
          <w:shd w:val="clear" w:color="auto" w:fill="FFFFFF"/>
          <w:lang w:eastAsia="en-GB"/>
        </w:rPr>
        <w:t xml:space="preserve"> sanctions.</w:t>
      </w:r>
      <w:sdt>
        <w:sdtPr>
          <w:rPr>
            <w:rFonts w:ascii="Arial" w:hAnsi="Arial" w:cs="Arial"/>
            <w:sz w:val="24"/>
            <w:szCs w:val="24"/>
            <w:shd w:val="clear" w:color="auto" w:fill="FFFFFF"/>
            <w:lang w:eastAsia="en-GB"/>
          </w:rPr>
          <w:id w:val="-495567442"/>
          <w:citation/>
        </w:sdtPr>
        <w:sdtEndPr/>
        <w:sdtContent>
          <w:r w:rsidR="00D11FB4">
            <w:rPr>
              <w:rFonts w:ascii="Arial" w:hAnsi="Arial" w:cs="Arial"/>
              <w:sz w:val="24"/>
              <w:szCs w:val="24"/>
              <w:shd w:val="clear" w:color="auto" w:fill="FFFFFF"/>
              <w:lang w:eastAsia="en-GB"/>
            </w:rPr>
            <w:fldChar w:fldCharType="begin"/>
          </w:r>
          <w:r w:rsidR="00D11FB4">
            <w:rPr>
              <w:rFonts w:ascii="Arial" w:hAnsi="Arial" w:cs="Arial"/>
              <w:sz w:val="24"/>
              <w:szCs w:val="24"/>
              <w:shd w:val="clear" w:color="auto" w:fill="FFFFFF"/>
              <w:lang w:eastAsia="en-GB"/>
            </w:rPr>
            <w:instrText xml:space="preserve"> CITATION Nor15 \l 2057 </w:instrText>
          </w:r>
          <w:r w:rsidR="00D11FB4">
            <w:rPr>
              <w:rFonts w:ascii="Arial" w:hAnsi="Arial" w:cs="Arial"/>
              <w:sz w:val="24"/>
              <w:szCs w:val="24"/>
              <w:shd w:val="clear" w:color="auto" w:fill="FFFFFF"/>
              <w:lang w:eastAsia="en-GB"/>
            </w:rPr>
            <w:fldChar w:fldCharType="separate"/>
          </w:r>
          <w:r w:rsidR="00745BB5">
            <w:rPr>
              <w:rFonts w:ascii="Arial" w:hAnsi="Arial" w:cs="Arial"/>
              <w:noProof/>
              <w:sz w:val="24"/>
              <w:szCs w:val="24"/>
              <w:shd w:val="clear" w:color="auto" w:fill="FFFFFF"/>
              <w:lang w:eastAsia="en-GB"/>
            </w:rPr>
            <w:t xml:space="preserve"> </w:t>
          </w:r>
          <w:r w:rsidR="00745BB5" w:rsidRPr="00745BB5">
            <w:rPr>
              <w:rFonts w:ascii="Arial" w:hAnsi="Arial" w:cs="Arial"/>
              <w:noProof/>
              <w:sz w:val="24"/>
              <w:szCs w:val="24"/>
              <w:shd w:val="clear" w:color="auto" w:fill="FFFFFF"/>
              <w:lang w:eastAsia="en-GB"/>
            </w:rPr>
            <w:t>(Norton Rose Fulbright, 2015)</w:t>
          </w:r>
          <w:r w:rsidR="00D11FB4">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xml:space="preserve">. Charities and NGOs suffer from both operating in higher risk jurisdictions and being less profitable banking clients. As a result NGO accounts are often only screened electronically and have not benefitted from the critical review of </w:t>
      </w:r>
      <w:r w:rsidR="00D11FB4">
        <w:rPr>
          <w:rFonts w:ascii="Arial" w:hAnsi="Arial" w:cs="Arial"/>
          <w:sz w:val="24"/>
          <w:szCs w:val="24"/>
          <w:shd w:val="clear" w:color="auto" w:fill="FFFFFF"/>
          <w:lang w:eastAsia="en-GB"/>
        </w:rPr>
        <w:t xml:space="preserve">risk management staff </w:t>
      </w:r>
      <w:sdt>
        <w:sdtPr>
          <w:rPr>
            <w:rFonts w:ascii="Arial" w:hAnsi="Arial" w:cs="Arial"/>
            <w:sz w:val="24"/>
            <w:szCs w:val="24"/>
            <w:shd w:val="clear" w:color="auto" w:fill="FFFFFF"/>
            <w:lang w:eastAsia="en-GB"/>
          </w:rPr>
          <w:id w:val="96371729"/>
          <w:citation/>
        </w:sdtPr>
        <w:sdtEndPr/>
        <w:sdtContent>
          <w:r w:rsidR="00D11FB4">
            <w:rPr>
              <w:rFonts w:ascii="Arial" w:hAnsi="Arial" w:cs="Arial"/>
              <w:sz w:val="24"/>
              <w:szCs w:val="24"/>
              <w:shd w:val="clear" w:color="auto" w:fill="FFFFFF"/>
              <w:lang w:eastAsia="en-GB"/>
            </w:rPr>
            <w:fldChar w:fldCharType="begin"/>
          </w:r>
          <w:r w:rsidR="00D11FB4">
            <w:rPr>
              <w:rFonts w:ascii="Arial" w:hAnsi="Arial" w:cs="Arial"/>
              <w:sz w:val="24"/>
              <w:szCs w:val="24"/>
              <w:shd w:val="clear" w:color="auto" w:fill="FFFFFF"/>
              <w:lang w:eastAsia="en-GB"/>
            </w:rPr>
            <w:instrText xml:space="preserve">CITATION Met151 \t  \l 2057 </w:instrText>
          </w:r>
          <w:r w:rsidR="00D11FB4">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(Metcalfe-Hough, Keatinge, &amp; Pantuliano, 2015)</w:t>
          </w:r>
          <w:r w:rsidR="00D11FB4">
            <w:rPr>
              <w:rFonts w:ascii="Arial" w:hAnsi="Arial" w:cs="Arial"/>
              <w:sz w:val="24"/>
              <w:szCs w:val="24"/>
              <w:shd w:val="clear" w:color="auto" w:fill="FFFFFF"/>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br/>
        <w:t xml:space="preserve">British Muslim charities claim to have been disproportionately affected by de-risking. </w:t>
      </w:r>
      <w:sdt>
        <w:sdtPr>
          <w:rPr>
            <w:rFonts w:ascii="Arial" w:hAnsi="Arial" w:cs="Arial"/>
            <w:sz w:val="24"/>
            <w:szCs w:val="24"/>
            <w:shd w:val="clear" w:color="auto" w:fill="FFFFFF"/>
            <w:lang w:eastAsia="en-GB"/>
          </w:rPr>
          <w:id w:val="-141504592"/>
          <w:citation/>
        </w:sdtPr>
        <w:sdtEndPr/>
        <w:sdtContent>
          <w:r w:rsidR="00D11FB4">
            <w:rPr>
              <w:rFonts w:ascii="Arial" w:hAnsi="Arial" w:cs="Arial"/>
              <w:sz w:val="24"/>
              <w:szCs w:val="24"/>
              <w:shd w:val="clear" w:color="auto" w:fill="FFFFFF"/>
              <w:lang w:eastAsia="en-GB"/>
            </w:rPr>
            <w:fldChar w:fldCharType="begin"/>
          </w:r>
          <w:r w:rsidR="00D11FB4">
            <w:rPr>
              <w:rFonts w:ascii="Arial" w:hAnsi="Arial" w:cs="Arial"/>
              <w:sz w:val="24"/>
              <w:szCs w:val="24"/>
              <w:shd w:val="clear" w:color="auto" w:fill="FFFFFF"/>
              <w:lang w:eastAsia="en-GB"/>
            </w:rPr>
            <w:instrText xml:space="preserve"> CITATION Met15 \l 2057 </w:instrText>
          </w:r>
          <w:r w:rsidR="00D11FB4">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(Metcalfe-Hough, Keatinge, &amp; Pantuliano, UK humanitarian aid in the age of counter-terrorism: perceptions and reality, 2015)</w:t>
          </w:r>
          <w:r w:rsidR="00D11FB4">
            <w:rPr>
              <w:rFonts w:ascii="Arial" w:hAnsi="Arial" w:cs="Arial"/>
              <w:sz w:val="24"/>
              <w:szCs w:val="24"/>
              <w:shd w:val="clear" w:color="auto" w:fill="FFFFFF"/>
              <w:lang w:eastAsia="en-GB"/>
            </w:rPr>
            <w:fldChar w:fldCharType="end"/>
          </w:r>
        </w:sdtContent>
      </w:sdt>
      <w:r w:rsidR="00D11FB4">
        <w:rPr>
          <w:rFonts w:ascii="Arial" w:hAnsi="Arial" w:cs="Arial"/>
          <w:sz w:val="24"/>
          <w:szCs w:val="24"/>
          <w:shd w:val="clear" w:color="auto" w:fill="FFFFFF"/>
          <w:lang w:eastAsia="en-GB"/>
        </w:rPr>
        <w:t xml:space="preserve"> </w:t>
      </w:r>
      <w:r w:rsidRPr="00E275AA">
        <w:rPr>
          <w:rFonts w:ascii="Arial" w:hAnsi="Arial" w:cs="Arial"/>
          <w:sz w:val="24"/>
          <w:szCs w:val="24"/>
          <w:shd w:val="clear" w:color="auto" w:fill="FFFFFF"/>
          <w:lang w:eastAsia="en-GB"/>
        </w:rPr>
        <w:t>The most tangible example of this has been Islamic relief worldwide, where UBS has prevented it customers from sending donations to the</w:t>
      </w:r>
      <w:r w:rsidR="00D11FB4">
        <w:rPr>
          <w:rFonts w:ascii="Arial" w:hAnsi="Arial" w:cs="Arial"/>
          <w:sz w:val="24"/>
          <w:szCs w:val="24"/>
          <w:shd w:val="clear" w:color="auto" w:fill="FFFFFF"/>
          <w:lang w:eastAsia="en-GB"/>
        </w:rPr>
        <w:t xml:space="preserve"> charities accounts </w:t>
      </w:r>
      <w:sdt>
        <w:sdtPr>
          <w:rPr>
            <w:rFonts w:ascii="Arial" w:hAnsi="Arial" w:cs="Arial"/>
            <w:sz w:val="24"/>
            <w:szCs w:val="24"/>
            <w:shd w:val="clear" w:color="auto" w:fill="FFFFFF"/>
            <w:lang w:eastAsia="en-GB"/>
          </w:rPr>
          <w:id w:val="-1651518686"/>
          <w:citation/>
        </w:sdtPr>
        <w:sdtEndPr/>
        <w:sdtContent>
          <w:r w:rsidR="00D11FB4">
            <w:rPr>
              <w:rFonts w:ascii="Arial" w:hAnsi="Arial" w:cs="Arial"/>
              <w:sz w:val="24"/>
              <w:szCs w:val="24"/>
              <w:shd w:val="clear" w:color="auto" w:fill="FFFFFF"/>
              <w:lang w:eastAsia="en-GB"/>
            </w:rPr>
            <w:fldChar w:fldCharType="begin"/>
          </w:r>
          <w:r w:rsidR="00D11FB4">
            <w:rPr>
              <w:rFonts w:ascii="Arial" w:hAnsi="Arial" w:cs="Arial"/>
              <w:sz w:val="24"/>
              <w:szCs w:val="24"/>
              <w:shd w:val="clear" w:color="auto" w:fill="FFFFFF"/>
              <w:lang w:eastAsia="en-GB"/>
            </w:rPr>
            <w:instrText xml:space="preserve">CITATION Met15 \t  \l 2057 </w:instrText>
          </w:r>
          <w:r w:rsidR="00D11FB4">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(Metcalfe-Hough, Keatinge, &amp; Pantuliano, 2015)</w:t>
          </w:r>
          <w:r w:rsidR="00D11FB4">
            <w:rPr>
              <w:rFonts w:ascii="Arial" w:hAnsi="Arial" w:cs="Arial"/>
              <w:sz w:val="24"/>
              <w:szCs w:val="24"/>
              <w:shd w:val="clear" w:color="auto" w:fill="FFFFFF"/>
              <w:lang w:eastAsia="en-GB"/>
            </w:rPr>
            <w:fldChar w:fldCharType="end"/>
          </w:r>
        </w:sdtContent>
      </w:sdt>
      <w:r w:rsidRPr="00E275AA">
        <w:rPr>
          <w:rFonts w:ascii="Arial" w:hAnsi="Arial" w:cs="Arial"/>
          <w:sz w:val="24"/>
          <w:szCs w:val="24"/>
          <w:lang w:eastAsia="en-GB"/>
        </w:rPr>
        <w:t xml:space="preserve"> JP Morgan has been involved in several high profile cases after closing the accounts of businesses, charities and students. Many have claimed that the accounts were closed on the basis of the individuals having Muslim sounding </w:t>
      </w:r>
      <w:r w:rsidR="001D797C" w:rsidRPr="001D797C">
        <w:rPr>
          <w:rFonts w:ascii="Arial" w:hAnsi="Arial" w:cs="Arial"/>
          <w:sz w:val="24"/>
          <w:szCs w:val="24"/>
          <w:lang w:eastAsia="en-GB"/>
        </w:rPr>
        <w:t>names</w:t>
      </w:r>
      <w:r w:rsidR="001D797C">
        <w:rPr>
          <w:rFonts w:ascii="Arial" w:hAnsi="Arial" w:cs="Arial"/>
          <w:sz w:val="24"/>
          <w:szCs w:val="24"/>
          <w:lang w:eastAsia="en-GB"/>
        </w:rPr>
        <w:t xml:space="preserve"> </w:t>
      </w:r>
      <w:sdt>
        <w:sdtPr>
          <w:rPr>
            <w:rFonts w:ascii="Arial" w:hAnsi="Arial" w:cs="Arial"/>
            <w:sz w:val="24"/>
            <w:szCs w:val="24"/>
            <w:lang w:eastAsia="en-GB"/>
          </w:rPr>
          <w:id w:val="-328131854"/>
          <w:citation/>
        </w:sdtPr>
        <w:sdtEndPr/>
        <w:sdtContent>
          <w:r w:rsidR="001D797C">
            <w:rPr>
              <w:rFonts w:ascii="Arial" w:hAnsi="Arial" w:cs="Arial"/>
              <w:sz w:val="24"/>
              <w:szCs w:val="24"/>
              <w:lang w:eastAsia="en-GB"/>
            </w:rPr>
            <w:fldChar w:fldCharType="begin"/>
          </w:r>
          <w:r w:rsidR="001D797C" w:rsidRPr="001D797C">
            <w:rPr>
              <w:rFonts w:ascii="Arial" w:hAnsi="Arial" w:cs="Arial"/>
              <w:sz w:val="24"/>
              <w:szCs w:val="24"/>
              <w:lang w:eastAsia="en-GB"/>
            </w:rPr>
            <w:instrText xml:space="preserve"> CITATION Tha14 \l 2057 </w:instrText>
          </w:r>
          <w:r w:rsidR="001D797C">
            <w:rPr>
              <w:rFonts w:ascii="Arial" w:hAnsi="Arial" w:cs="Arial"/>
              <w:sz w:val="24"/>
              <w:szCs w:val="24"/>
              <w:lang w:eastAsia="en-GB"/>
            </w:rPr>
            <w:fldChar w:fldCharType="separate"/>
          </w:r>
          <w:r w:rsidR="00745BB5" w:rsidRPr="00745BB5">
            <w:rPr>
              <w:rFonts w:ascii="Arial" w:hAnsi="Arial" w:cs="Arial"/>
              <w:noProof/>
              <w:sz w:val="24"/>
              <w:szCs w:val="24"/>
              <w:lang w:eastAsia="en-GB"/>
            </w:rPr>
            <w:t>(Thayer, 2014)</w:t>
          </w:r>
          <w:r w:rsidR="001D797C">
            <w:rPr>
              <w:rFonts w:ascii="Arial" w:hAnsi="Arial" w:cs="Arial"/>
              <w:sz w:val="24"/>
              <w:szCs w:val="24"/>
              <w:lang w:eastAsia="en-GB"/>
            </w:rPr>
            <w:fldChar w:fldCharType="end"/>
          </w:r>
        </w:sdtContent>
      </w:sdt>
      <w:r w:rsidRPr="00E275AA">
        <w:rPr>
          <w:rFonts w:ascii="Arial" w:hAnsi="Arial" w:cs="Arial"/>
          <w:sz w:val="24"/>
          <w:szCs w:val="24"/>
          <w:lang w:eastAsia="en-GB"/>
        </w:rPr>
        <w:t xml:space="preserve">  </w:t>
      </w:r>
      <w:r w:rsidR="001D797C" w:rsidRPr="00E275AA">
        <w:rPr>
          <w:rFonts w:ascii="Arial" w:hAnsi="Arial" w:cs="Arial"/>
          <w:sz w:val="24"/>
          <w:szCs w:val="24"/>
          <w:lang w:eastAsia="en-GB"/>
        </w:rPr>
        <w:t>these</w:t>
      </w:r>
      <w:r w:rsidRPr="00E275AA">
        <w:rPr>
          <w:rFonts w:ascii="Arial" w:hAnsi="Arial" w:cs="Arial"/>
          <w:sz w:val="24"/>
          <w:szCs w:val="24"/>
          <w:lang w:eastAsia="en-GB"/>
        </w:rPr>
        <w:t xml:space="preserve"> cases raise questions about whether the bank’s actions amount to discrimination.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Some have claimed that there has been a growing “Islamaphobia” in banking where Muslim charities, groups and individuals have found it more difficult to access product or services and/or have been asked to provide increasing amount</w:t>
      </w:r>
      <w:r w:rsidR="00D11FB4">
        <w:rPr>
          <w:rFonts w:ascii="Arial" w:hAnsi="Arial" w:cs="Arial"/>
          <w:sz w:val="24"/>
          <w:szCs w:val="24"/>
          <w:lang w:eastAsia="en-GB"/>
        </w:rPr>
        <w:t xml:space="preserve">s of personal information </w:t>
      </w:r>
      <w:sdt>
        <w:sdtPr>
          <w:rPr>
            <w:rFonts w:ascii="Arial" w:hAnsi="Arial" w:cs="Arial"/>
            <w:sz w:val="24"/>
            <w:szCs w:val="24"/>
            <w:lang w:eastAsia="en-GB"/>
          </w:rPr>
          <w:id w:val="795878109"/>
          <w:citation/>
        </w:sdtPr>
        <w:sdtEndPr/>
        <w:sdtContent>
          <w:r w:rsidR="00D11FB4">
            <w:rPr>
              <w:rFonts w:ascii="Arial" w:hAnsi="Arial" w:cs="Arial"/>
              <w:sz w:val="24"/>
              <w:szCs w:val="24"/>
              <w:lang w:eastAsia="en-GB"/>
            </w:rPr>
            <w:fldChar w:fldCharType="begin"/>
          </w:r>
          <w:r w:rsidR="00D11FB4">
            <w:rPr>
              <w:rFonts w:ascii="Arial" w:hAnsi="Arial" w:cs="Arial"/>
              <w:sz w:val="24"/>
              <w:szCs w:val="24"/>
              <w:lang w:eastAsia="en-GB"/>
            </w:rPr>
            <w:instrText xml:space="preserve"> CITATION Kea14 \l 2057 </w:instrText>
          </w:r>
          <w:r w:rsidR="00D11FB4">
            <w:rPr>
              <w:rFonts w:ascii="Arial" w:hAnsi="Arial" w:cs="Arial"/>
              <w:sz w:val="24"/>
              <w:szCs w:val="24"/>
              <w:lang w:eastAsia="en-GB"/>
            </w:rPr>
            <w:fldChar w:fldCharType="separate"/>
          </w:r>
          <w:r w:rsidR="00745BB5" w:rsidRPr="00745BB5">
            <w:rPr>
              <w:rFonts w:ascii="Arial" w:hAnsi="Arial" w:cs="Arial"/>
              <w:noProof/>
              <w:sz w:val="24"/>
              <w:szCs w:val="24"/>
              <w:lang w:eastAsia="en-GB"/>
            </w:rPr>
            <w:t>(Keatinge, 2014)</w:t>
          </w:r>
          <w:r w:rsidR="00D11FB4">
            <w:rPr>
              <w:rFonts w:ascii="Arial" w:hAnsi="Arial" w:cs="Arial"/>
              <w:sz w:val="24"/>
              <w:szCs w:val="24"/>
              <w:lang w:eastAsia="en-GB"/>
            </w:rPr>
            <w:fldChar w:fldCharType="end"/>
          </w:r>
        </w:sdtContent>
      </w:sdt>
      <w:r w:rsidR="00D11FB4">
        <w:rPr>
          <w:rFonts w:ascii="Arial" w:hAnsi="Arial" w:cs="Arial"/>
          <w:sz w:val="24"/>
          <w:szCs w:val="24"/>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After the fines it received in 2012 HSBC conducted a global review of its banking relationships and as a result closed the accounts of higher risk cli</w:t>
      </w:r>
      <w:r w:rsidR="00565FCF">
        <w:rPr>
          <w:rFonts w:ascii="Arial" w:hAnsi="Arial" w:cs="Arial"/>
          <w:sz w:val="24"/>
          <w:szCs w:val="24"/>
          <w:lang w:eastAsia="en-GB"/>
        </w:rPr>
        <w:t xml:space="preserve">ents </w:t>
      </w:r>
      <w:sdt>
        <w:sdtPr>
          <w:rPr>
            <w:rFonts w:ascii="Arial" w:hAnsi="Arial" w:cs="Arial"/>
            <w:sz w:val="24"/>
            <w:szCs w:val="24"/>
            <w:lang w:eastAsia="en-GB"/>
          </w:rPr>
          <w:id w:val="1237210377"/>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 CITATION Gre14 \l 2057 </w:instrText>
          </w:r>
          <w:r w:rsidR="00565FCF">
            <w:rPr>
              <w:rFonts w:ascii="Arial" w:hAnsi="Arial" w:cs="Arial"/>
              <w:sz w:val="24"/>
              <w:szCs w:val="24"/>
              <w:lang w:eastAsia="en-GB"/>
            </w:rPr>
            <w:fldChar w:fldCharType="separate"/>
          </w:r>
          <w:r w:rsidR="00745BB5" w:rsidRPr="00745BB5">
            <w:rPr>
              <w:rFonts w:ascii="Arial" w:hAnsi="Arial" w:cs="Arial"/>
              <w:noProof/>
              <w:sz w:val="24"/>
              <w:szCs w:val="24"/>
              <w:lang w:eastAsia="en-GB"/>
            </w:rPr>
            <w:t>(Green, 2014)</w:t>
          </w:r>
          <w:r w:rsidR="00565FCF">
            <w:rPr>
              <w:rFonts w:ascii="Arial" w:hAnsi="Arial" w:cs="Arial"/>
              <w:sz w:val="24"/>
              <w:szCs w:val="24"/>
              <w:lang w:eastAsia="en-GB"/>
            </w:rPr>
            <w:fldChar w:fldCharType="end"/>
          </w:r>
        </w:sdtContent>
      </w:sdt>
      <w:r w:rsidRPr="00E275AA">
        <w:rPr>
          <w:rFonts w:ascii="Arial" w:hAnsi="Arial" w:cs="Arial"/>
          <w:sz w:val="24"/>
          <w:szCs w:val="24"/>
          <w:lang w:eastAsia="en-GB"/>
        </w:rPr>
        <w:t xml:space="preserve"> Following this review in 2014 HSBC was accused of discrimination against Muslim groups for closing the accounts of several high profile Muslim organisations. The Finsbury Park Mosque, Ummanah welfare trust and the Cordoba Fountain were told that they no longer fitted the bank's “risk appetite”. HSBC also closed the bank accounts of the Cordoba foundation’s Chief Executive's wife and children. The Ummanah Welfare Trust which provided emergency aid in Syria had its bank account closed by HSBC and had also had it bank accounts closed by Barclays in 2008. HSBC commented that the account closures were part of a global review in which they had exited business and personal relationships with customers in seventy different countries and was not targeted at Islamic charities.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Similarly the Cage group had its account terminated by Co-op and Barclays after its Director was suspected of having links with terrorism. Even after the charges were cleared and the Treasury confirmed that the Director had no financial restrictions placed on him, the charity’s account was not re-opened. Director of Cage believed this was another example of discrimina</w:t>
      </w:r>
      <w:r w:rsidR="00565FCF">
        <w:rPr>
          <w:rFonts w:ascii="Arial" w:hAnsi="Arial" w:cs="Arial"/>
          <w:sz w:val="24"/>
          <w:szCs w:val="24"/>
          <w:lang w:eastAsia="en-GB"/>
        </w:rPr>
        <w:t xml:space="preserve">tion against Muslim groups </w:t>
      </w:r>
      <w:sdt>
        <w:sdtPr>
          <w:rPr>
            <w:rFonts w:ascii="Arial" w:hAnsi="Arial" w:cs="Arial"/>
            <w:sz w:val="24"/>
            <w:szCs w:val="24"/>
            <w:lang w:eastAsia="en-GB"/>
          </w:rPr>
          <w:id w:val="2145154609"/>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 CITATION Ram14 \l 2057 </w:instrText>
          </w:r>
          <w:r w:rsidR="00565FCF">
            <w:rPr>
              <w:rFonts w:ascii="Arial" w:hAnsi="Arial" w:cs="Arial"/>
              <w:sz w:val="24"/>
              <w:szCs w:val="24"/>
              <w:lang w:eastAsia="en-GB"/>
            </w:rPr>
            <w:fldChar w:fldCharType="separate"/>
          </w:r>
          <w:r w:rsidR="00745BB5" w:rsidRPr="00745BB5">
            <w:rPr>
              <w:rFonts w:ascii="Arial" w:hAnsi="Arial" w:cs="Arial"/>
              <w:noProof/>
              <w:sz w:val="24"/>
              <w:szCs w:val="24"/>
              <w:lang w:eastAsia="en-GB"/>
            </w:rPr>
            <w:t>(Ramesh, 2014)</w:t>
          </w:r>
          <w:r w:rsidR="00565FCF">
            <w:rPr>
              <w:rFonts w:ascii="Arial" w:hAnsi="Arial" w:cs="Arial"/>
              <w:sz w:val="24"/>
              <w:szCs w:val="24"/>
              <w:lang w:eastAsia="en-GB"/>
            </w:rPr>
            <w:fldChar w:fldCharType="end"/>
          </w:r>
        </w:sdtContent>
      </w:sdt>
      <w:r w:rsidR="00565FCF">
        <w:rPr>
          <w:rFonts w:ascii="Arial" w:hAnsi="Arial" w:cs="Arial"/>
          <w:sz w:val="24"/>
          <w:szCs w:val="24"/>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Similarly HHUG a support group for families that had been affected by UK anti-terror legislation had its accounts closed by Lloyds which meant that direct debits paid by the charity's supporters could not be received and the organisation lost a significant amount of revenue.</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There are reports of churches, mosques and other religious groups that collect cash donations from their congregations have found it more difficult to access banking. Some have alleged that the closure of bank accounts has curtailed their ability to fre</w:t>
      </w:r>
      <w:r w:rsidR="00565FCF">
        <w:rPr>
          <w:rFonts w:ascii="Arial" w:hAnsi="Arial" w:cs="Arial"/>
          <w:sz w:val="24"/>
          <w:szCs w:val="24"/>
          <w:lang w:eastAsia="en-GB"/>
        </w:rPr>
        <w:t xml:space="preserve">ely exercise their religion </w:t>
      </w:r>
      <w:sdt>
        <w:sdtPr>
          <w:rPr>
            <w:rFonts w:ascii="Arial" w:hAnsi="Arial" w:cs="Arial"/>
            <w:sz w:val="24"/>
            <w:szCs w:val="24"/>
            <w:lang w:eastAsia="en-GB"/>
          </w:rPr>
          <w:id w:val="1040096547"/>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 CITATION Ten15 \l 2057 </w:instrText>
          </w:r>
          <w:r w:rsidR="00565FCF">
            <w:rPr>
              <w:rFonts w:ascii="Arial" w:hAnsi="Arial" w:cs="Arial"/>
              <w:sz w:val="24"/>
              <w:szCs w:val="24"/>
              <w:lang w:eastAsia="en-GB"/>
            </w:rPr>
            <w:fldChar w:fldCharType="separate"/>
          </w:r>
          <w:r w:rsidR="00745BB5" w:rsidRPr="00745BB5">
            <w:rPr>
              <w:rFonts w:ascii="Arial" w:hAnsi="Arial" w:cs="Arial"/>
              <w:noProof/>
              <w:sz w:val="24"/>
              <w:szCs w:val="24"/>
              <w:lang w:eastAsia="en-GB"/>
            </w:rPr>
            <w:t>(Tendy, 2015)</w:t>
          </w:r>
          <w:r w:rsidR="00565FCF">
            <w:rPr>
              <w:rFonts w:ascii="Arial" w:hAnsi="Arial" w:cs="Arial"/>
              <w:sz w:val="24"/>
              <w:szCs w:val="24"/>
              <w:lang w:eastAsia="en-GB"/>
            </w:rPr>
            <w:fldChar w:fldCharType="end"/>
          </w:r>
        </w:sdtContent>
      </w:sdt>
      <w:r w:rsidRPr="00E275AA">
        <w:rPr>
          <w:rFonts w:ascii="Arial" w:hAnsi="Arial" w:cs="Arial"/>
          <w:sz w:val="24"/>
          <w:szCs w:val="24"/>
          <w:lang w:eastAsia="en-GB"/>
        </w:rPr>
        <w:t>.  A survey in the UK showed that other faith based groups had faced similar difficulties in accessing finance and it was their charitable status rather than their links with Islam that had led to th</w:t>
      </w:r>
      <w:r w:rsidR="00565FCF">
        <w:rPr>
          <w:rFonts w:ascii="Arial" w:hAnsi="Arial" w:cs="Arial"/>
          <w:sz w:val="24"/>
          <w:szCs w:val="24"/>
          <w:lang w:eastAsia="en-GB"/>
        </w:rPr>
        <w:t xml:space="preserve">eir accounts being closed </w:t>
      </w:r>
      <w:sdt>
        <w:sdtPr>
          <w:rPr>
            <w:rFonts w:ascii="Arial" w:hAnsi="Arial" w:cs="Arial"/>
            <w:sz w:val="24"/>
            <w:szCs w:val="24"/>
            <w:lang w:eastAsia="en-GB"/>
          </w:rPr>
          <w:id w:val="-1802601041"/>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CITATION Met15 \t  \l 2057 </w:instrText>
          </w:r>
          <w:r w:rsidR="00565FCF">
            <w:rPr>
              <w:rFonts w:ascii="Arial" w:hAnsi="Arial" w:cs="Arial"/>
              <w:sz w:val="24"/>
              <w:szCs w:val="24"/>
              <w:lang w:eastAsia="en-GB"/>
            </w:rPr>
            <w:fldChar w:fldCharType="separate"/>
          </w:r>
          <w:r w:rsidR="00745BB5" w:rsidRPr="00745BB5">
            <w:rPr>
              <w:rFonts w:ascii="Arial" w:hAnsi="Arial" w:cs="Arial"/>
              <w:noProof/>
              <w:sz w:val="24"/>
              <w:szCs w:val="24"/>
              <w:lang w:eastAsia="en-GB"/>
            </w:rPr>
            <w:t>(Metcalfe-Hough, Keatinge, &amp; Pantuliano, 2015)</w:t>
          </w:r>
          <w:r w:rsidR="00565FCF">
            <w:rPr>
              <w:rFonts w:ascii="Arial" w:hAnsi="Arial" w:cs="Arial"/>
              <w:sz w:val="24"/>
              <w:szCs w:val="24"/>
              <w:lang w:eastAsia="en-GB"/>
            </w:rPr>
            <w:fldChar w:fldCharType="end"/>
          </w:r>
        </w:sdtContent>
      </w:sdt>
      <w:r w:rsidR="00565FCF">
        <w:rPr>
          <w:rFonts w:ascii="Arial" w:hAnsi="Arial" w:cs="Arial"/>
          <w:sz w:val="24"/>
          <w:szCs w:val="24"/>
          <w:lang w:eastAsia="en-GB"/>
        </w:rPr>
        <w:t>.</w:t>
      </w:r>
      <w:r w:rsidRPr="00E275AA">
        <w:rPr>
          <w:rFonts w:ascii="Arial" w:hAnsi="Arial" w:cs="Arial"/>
          <w:sz w:val="24"/>
          <w:szCs w:val="24"/>
          <w:lang w:eastAsia="en-GB"/>
        </w:rPr>
        <w:t xml:space="preserve"> Moreover some groups understood that their accounts had been closed as a result of their links with high risk jurisdictions and have worked actively with the BBA and their banks to ensure that the banks understand their business and how they manage their money laundering risks.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bCs/>
          <w:sz w:val="24"/>
          <w:szCs w:val="24"/>
          <w:lang w:eastAsia="en-GB"/>
        </w:rPr>
      </w:pPr>
      <w:r w:rsidRPr="00E275AA">
        <w:rPr>
          <w:rFonts w:ascii="Arial" w:hAnsi="Arial" w:cs="Arial"/>
          <w:b/>
          <w:bCs/>
          <w:sz w:val="24"/>
          <w:szCs w:val="24"/>
          <w:lang w:eastAsia="en-GB"/>
        </w:rPr>
        <w:t>Correspondence banking</w:t>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bCs/>
          <w:sz w:val="24"/>
          <w:szCs w:val="24"/>
          <w:u w:val="single"/>
          <w:lang w:eastAsia="en-GB"/>
        </w:rPr>
        <w:br/>
      </w:r>
      <w:r w:rsidRPr="00E275AA">
        <w:rPr>
          <w:rFonts w:ascii="Arial" w:hAnsi="Arial" w:cs="Arial"/>
          <w:sz w:val="24"/>
          <w:szCs w:val="24"/>
          <w:lang w:eastAsia="en-GB"/>
        </w:rPr>
        <w:t>Similarly there is significant evidence to suggest that correspondent banking has been affected by de-risking with consequences for developing regions.  JP Morgan has cut ties with several of its correspondent banking partners in developing countries and since 2013 has not taken on any new correspon</w:t>
      </w:r>
      <w:r w:rsidR="00565FCF">
        <w:rPr>
          <w:rFonts w:ascii="Arial" w:hAnsi="Arial" w:cs="Arial"/>
          <w:sz w:val="24"/>
          <w:szCs w:val="24"/>
          <w:lang w:eastAsia="en-GB"/>
        </w:rPr>
        <w:t>dent banking relationships</w:t>
      </w:r>
      <w:sdt>
        <w:sdtPr>
          <w:rPr>
            <w:rFonts w:ascii="Arial" w:hAnsi="Arial" w:cs="Arial"/>
            <w:sz w:val="24"/>
            <w:szCs w:val="24"/>
            <w:lang w:eastAsia="en-GB"/>
          </w:rPr>
          <w:id w:val="2088100858"/>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 CITATION SIB14 \l 2057 </w:instrText>
          </w:r>
          <w:r w:rsidR="00565FCF">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(SIBOS, 2014)</w:t>
          </w:r>
          <w:r w:rsidR="00565FCF">
            <w:rPr>
              <w:rFonts w:ascii="Arial" w:hAnsi="Arial" w:cs="Arial"/>
              <w:sz w:val="24"/>
              <w:szCs w:val="24"/>
              <w:lang w:eastAsia="en-GB"/>
            </w:rPr>
            <w:fldChar w:fldCharType="end"/>
          </w:r>
        </w:sdtContent>
      </w:sdt>
      <w:r w:rsidR="00565FCF">
        <w:rPr>
          <w:rFonts w:ascii="Arial" w:hAnsi="Arial" w:cs="Arial"/>
          <w:sz w:val="24"/>
          <w:szCs w:val="24"/>
          <w:lang w:eastAsia="en-GB"/>
        </w:rPr>
        <w:t xml:space="preserve">. </w:t>
      </w:r>
      <w:r w:rsidRPr="00E275AA">
        <w:rPr>
          <w:rFonts w:ascii="Arial" w:hAnsi="Arial" w:cs="Arial"/>
          <w:sz w:val="24"/>
          <w:szCs w:val="24"/>
          <w:lang w:eastAsia="en-GB"/>
        </w:rPr>
        <w:t xml:space="preserve"> JP Morgan, HSBC and Citi groups are reported to have each cut correspondent bank servi</w:t>
      </w:r>
      <w:r w:rsidR="00565FCF">
        <w:rPr>
          <w:rFonts w:ascii="Arial" w:hAnsi="Arial" w:cs="Arial"/>
          <w:sz w:val="24"/>
          <w:szCs w:val="24"/>
          <w:lang w:eastAsia="en-GB"/>
        </w:rPr>
        <w:t xml:space="preserve">ce in over 30 jurisdictions </w:t>
      </w:r>
      <w:sdt>
        <w:sdtPr>
          <w:rPr>
            <w:rFonts w:ascii="Arial" w:hAnsi="Arial" w:cs="Arial"/>
            <w:sz w:val="24"/>
            <w:szCs w:val="24"/>
            <w:lang w:eastAsia="en-GB"/>
          </w:rPr>
          <w:id w:val="452981783"/>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 CITATION Tim15 \l 2057 </w:instrText>
          </w:r>
          <w:r w:rsidR="00565FCF">
            <w:rPr>
              <w:rFonts w:ascii="Arial" w:hAnsi="Arial" w:cs="Arial"/>
              <w:sz w:val="24"/>
              <w:szCs w:val="24"/>
              <w:lang w:eastAsia="en-GB"/>
            </w:rPr>
            <w:fldChar w:fldCharType="separate"/>
          </w:r>
          <w:r w:rsidR="00745BB5" w:rsidRPr="00745BB5">
            <w:rPr>
              <w:rFonts w:ascii="Arial" w:hAnsi="Arial" w:cs="Arial"/>
              <w:noProof/>
              <w:sz w:val="24"/>
              <w:szCs w:val="24"/>
              <w:lang w:eastAsia="en-GB"/>
            </w:rPr>
            <w:t>(Financial Times, 2015)</w:t>
          </w:r>
          <w:r w:rsidR="00565FCF">
            <w:rPr>
              <w:rFonts w:ascii="Arial" w:hAnsi="Arial" w:cs="Arial"/>
              <w:sz w:val="24"/>
              <w:szCs w:val="24"/>
              <w:lang w:eastAsia="en-GB"/>
            </w:rPr>
            <w:fldChar w:fldCharType="end"/>
          </w:r>
        </w:sdtContent>
      </w:sdt>
      <w:r w:rsidRPr="00E275AA">
        <w:rPr>
          <w:rFonts w:ascii="Arial" w:hAnsi="Arial" w:cs="Arial"/>
          <w:sz w:val="24"/>
          <w:szCs w:val="24"/>
          <w:lang w:eastAsia="en-GB"/>
        </w:rPr>
        <w:t xml:space="preserve"> Standard Chartered and BNP Paribas who hold licenses to clear US dollars have also terminated hundreds of correspondent banking relationships.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1D797C" w:rsidRDefault="00E275AA" w:rsidP="00E275AA">
      <w:pPr>
        <w:spacing w:before="0" w:after="0" w:line="480" w:lineRule="auto"/>
        <w:jc w:val="both"/>
        <w:rPr>
          <w:rFonts w:ascii="Arial" w:hAnsi="Arial" w:cs="Arial"/>
          <w:sz w:val="24"/>
          <w:szCs w:val="24"/>
          <w:shd w:val="clear" w:color="auto" w:fill="FFFFFF"/>
          <w:lang w:eastAsia="en-GB"/>
        </w:rPr>
      </w:pPr>
      <w:r w:rsidRPr="00E275AA">
        <w:rPr>
          <w:rFonts w:ascii="Arial" w:hAnsi="Arial" w:cs="Arial"/>
          <w:sz w:val="24"/>
          <w:szCs w:val="24"/>
          <w:lang w:eastAsia="en-GB"/>
        </w:rPr>
        <w:t xml:space="preserve">The Bank of America has exited its correspondent banking relationship with the Bank of Belize severely limiting international clearing services to the Central American and Caribbean region. The Bank of Belize is the country's largest lender and having lost its corresponding relationship means that it has been unable to process international wire transfers. These </w:t>
      </w:r>
      <w:r w:rsidR="001D797C" w:rsidRPr="00E275AA">
        <w:rPr>
          <w:rFonts w:ascii="Arial" w:hAnsi="Arial" w:cs="Arial"/>
          <w:sz w:val="24"/>
          <w:szCs w:val="24"/>
          <w:lang w:eastAsia="en-GB"/>
        </w:rPr>
        <w:t>now have</w:t>
      </w:r>
      <w:r w:rsidRPr="00E275AA">
        <w:rPr>
          <w:rFonts w:ascii="Arial" w:hAnsi="Arial" w:cs="Arial"/>
          <w:sz w:val="24"/>
          <w:szCs w:val="24"/>
          <w:lang w:eastAsia="en-GB"/>
        </w:rPr>
        <w:t xml:space="preserve"> to be proc</w:t>
      </w:r>
      <w:r w:rsidR="00565FCF">
        <w:rPr>
          <w:rFonts w:ascii="Arial" w:hAnsi="Arial" w:cs="Arial"/>
          <w:sz w:val="24"/>
          <w:szCs w:val="24"/>
          <w:lang w:eastAsia="en-GB"/>
        </w:rPr>
        <w:t xml:space="preserve">essed through the central bank </w:t>
      </w:r>
      <w:sdt>
        <w:sdtPr>
          <w:rPr>
            <w:rFonts w:ascii="Arial" w:hAnsi="Arial" w:cs="Arial"/>
            <w:sz w:val="24"/>
            <w:szCs w:val="24"/>
            <w:shd w:val="clear" w:color="auto" w:fill="FFFFFF"/>
            <w:lang w:eastAsia="en-GB"/>
          </w:rPr>
          <w:id w:val="-344016614"/>
          <w:citation/>
        </w:sdtPr>
        <w:sdtEndPr/>
        <w:sdtContent>
          <w:r w:rsidR="00565FCF" w:rsidRPr="001D797C">
            <w:rPr>
              <w:rFonts w:ascii="Arial" w:hAnsi="Arial" w:cs="Arial"/>
              <w:sz w:val="24"/>
              <w:szCs w:val="24"/>
              <w:shd w:val="clear" w:color="auto" w:fill="FFFFFF"/>
              <w:lang w:eastAsia="en-GB"/>
            </w:rPr>
            <w:fldChar w:fldCharType="begin"/>
          </w:r>
          <w:r w:rsidR="00565FCF" w:rsidRPr="001D797C">
            <w:rPr>
              <w:rFonts w:ascii="Arial" w:hAnsi="Arial" w:cs="Arial"/>
              <w:sz w:val="24"/>
              <w:szCs w:val="24"/>
              <w:shd w:val="clear" w:color="auto" w:fill="FFFFFF"/>
              <w:lang w:eastAsia="en-GB"/>
            </w:rPr>
            <w:instrText xml:space="preserve"> CITATION Mar15 \l 2057 </w:instrText>
          </w:r>
          <w:r w:rsidR="00565FCF" w:rsidRPr="001D797C">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(Marty, 2015)</w:t>
          </w:r>
          <w:r w:rsidR="00565FCF" w:rsidRPr="001D797C">
            <w:rPr>
              <w:rFonts w:ascii="Arial" w:hAnsi="Arial" w:cs="Arial"/>
              <w:sz w:val="24"/>
              <w:szCs w:val="24"/>
              <w:shd w:val="clear" w:color="auto" w:fill="FFFFFF"/>
              <w:lang w:eastAsia="en-GB"/>
            </w:rPr>
            <w:fldChar w:fldCharType="end"/>
          </w:r>
        </w:sdtContent>
      </w:sdt>
      <w:r w:rsidR="00565FCF" w:rsidRPr="001D797C">
        <w:rPr>
          <w:rFonts w:ascii="Arial" w:hAnsi="Arial" w:cs="Arial"/>
          <w:sz w:val="24"/>
          <w:szCs w:val="24"/>
          <w:shd w:val="clear" w:color="auto" w:fill="FFFFFF"/>
          <w:lang w:eastAsia="en-GB"/>
        </w:rPr>
        <w:t>.</w:t>
      </w:r>
    </w:p>
    <w:p w:rsidR="00565FCF" w:rsidRPr="001D797C" w:rsidRDefault="00565FCF" w:rsidP="00E275AA">
      <w:pPr>
        <w:spacing w:before="0" w:after="0" w:line="480" w:lineRule="auto"/>
        <w:jc w:val="both"/>
        <w:rPr>
          <w:rFonts w:ascii="Arial" w:hAnsi="Arial" w:cs="Arial"/>
          <w:sz w:val="24"/>
          <w:szCs w:val="24"/>
          <w:shd w:val="clear" w:color="auto" w:fill="FFFFFF"/>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BAML has admitted that the reduction in correspondence banking may mean that “</w:t>
      </w:r>
      <w:r w:rsidRPr="001D797C">
        <w:rPr>
          <w:rFonts w:ascii="Arial" w:hAnsi="Arial" w:cs="Arial"/>
          <w:sz w:val="24"/>
          <w:szCs w:val="24"/>
          <w:shd w:val="clear" w:color="auto" w:fill="FFFFFF"/>
          <w:lang w:eastAsia="en-GB"/>
        </w:rPr>
        <w:t>certain markets may effectively lose access to clearing services in major currencies.”</w:t>
      </w:r>
      <w:sdt>
        <w:sdtPr>
          <w:rPr>
            <w:rFonts w:ascii="Arial" w:hAnsi="Arial" w:cs="Arial"/>
            <w:sz w:val="24"/>
            <w:szCs w:val="24"/>
            <w:shd w:val="clear" w:color="auto" w:fill="FFFFFF"/>
            <w:lang w:eastAsia="en-GB"/>
          </w:rPr>
          <w:id w:val="1491905936"/>
          <w:citation/>
        </w:sdtPr>
        <w:sdtEndPr/>
        <w:sdtContent>
          <w:r w:rsidR="001D797C" w:rsidRPr="001D797C">
            <w:rPr>
              <w:rFonts w:ascii="Arial" w:hAnsi="Arial" w:cs="Arial"/>
              <w:sz w:val="24"/>
              <w:szCs w:val="24"/>
              <w:shd w:val="clear" w:color="auto" w:fill="FFFFFF"/>
              <w:lang w:eastAsia="en-GB"/>
            </w:rPr>
            <w:fldChar w:fldCharType="begin"/>
          </w:r>
          <w:r w:rsidR="001D797C" w:rsidRPr="001D797C">
            <w:rPr>
              <w:rFonts w:ascii="Arial" w:hAnsi="Arial" w:cs="Arial"/>
              <w:sz w:val="24"/>
              <w:szCs w:val="24"/>
              <w:shd w:val="clear" w:color="auto" w:fill="FFFFFF"/>
              <w:lang w:eastAsia="en-GB"/>
            </w:rPr>
            <w:instrText xml:space="preserve">CITATION Mov14 \l 2057 </w:instrText>
          </w:r>
          <w:r w:rsidR="001D797C" w:rsidRPr="001D797C">
            <w:rPr>
              <w:rFonts w:ascii="Arial" w:hAnsi="Arial" w:cs="Arial"/>
              <w:sz w:val="24"/>
              <w:szCs w:val="24"/>
              <w:shd w:val="clear" w:color="auto" w:fill="FFFFFF"/>
              <w:lang w:eastAsia="en-GB"/>
            </w:rPr>
            <w:fldChar w:fldCharType="separate"/>
          </w:r>
          <w:r w:rsidR="00745BB5">
            <w:rPr>
              <w:rFonts w:ascii="Arial" w:hAnsi="Arial" w:cs="Arial"/>
              <w:noProof/>
              <w:sz w:val="24"/>
              <w:szCs w:val="24"/>
              <w:shd w:val="clear" w:color="auto" w:fill="FFFFFF"/>
              <w:lang w:eastAsia="en-GB"/>
            </w:rPr>
            <w:t xml:space="preserve"> </w:t>
          </w:r>
          <w:r w:rsidR="00745BB5" w:rsidRPr="00745BB5">
            <w:rPr>
              <w:rFonts w:ascii="Arial" w:hAnsi="Arial" w:cs="Arial"/>
              <w:noProof/>
              <w:sz w:val="24"/>
              <w:szCs w:val="24"/>
              <w:shd w:val="clear" w:color="auto" w:fill="FFFFFF"/>
              <w:lang w:eastAsia="en-GB"/>
            </w:rPr>
            <w:t>(Swift, 2014)</w:t>
          </w:r>
          <w:r w:rsidR="001D797C" w:rsidRPr="001D797C">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xml:space="preserve"> In Belize the commercial banks have lost access to global clearing services and are now reliant on the central bank. This may be possible in Belize as a smaller country with less than average international trade links. However in many countries the central banks would not have the capacity to clear the volume of international transactions that the commercial banks process. Moreover central banks do not have the same capability to monitor transaction and conduct ‘know your customer’ assessments.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In a recent survey conducted by the BBA, 17 international banks had closed several thousand correspondent banking relationships since 2011. Two banks had terminated up to 20% of their corre</w:t>
      </w:r>
      <w:r w:rsidR="00565FCF">
        <w:rPr>
          <w:rFonts w:ascii="Arial" w:hAnsi="Arial" w:cs="Arial"/>
          <w:sz w:val="24"/>
          <w:szCs w:val="24"/>
          <w:lang w:eastAsia="en-GB"/>
        </w:rPr>
        <w:t xml:space="preserve">spondent banking relationships </w:t>
      </w:r>
      <w:sdt>
        <w:sdtPr>
          <w:rPr>
            <w:rFonts w:ascii="Arial" w:hAnsi="Arial" w:cs="Arial"/>
            <w:sz w:val="24"/>
            <w:szCs w:val="24"/>
            <w:lang w:eastAsia="en-GB"/>
          </w:rPr>
          <w:id w:val="-1301307529"/>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 CITATION Wal14 \l 2057 </w:instrText>
          </w:r>
          <w:r w:rsidR="00565FCF">
            <w:rPr>
              <w:rFonts w:ascii="Arial" w:hAnsi="Arial" w:cs="Arial"/>
              <w:sz w:val="24"/>
              <w:szCs w:val="24"/>
              <w:lang w:eastAsia="en-GB"/>
            </w:rPr>
            <w:fldChar w:fldCharType="separate"/>
          </w:r>
          <w:r w:rsidR="00745BB5" w:rsidRPr="00745BB5">
            <w:rPr>
              <w:rFonts w:ascii="Arial" w:hAnsi="Arial" w:cs="Arial"/>
              <w:noProof/>
              <w:sz w:val="24"/>
              <w:szCs w:val="24"/>
              <w:lang w:eastAsia="en-GB"/>
            </w:rPr>
            <w:t>(Walker, 2014)</w:t>
          </w:r>
          <w:r w:rsidR="00565FCF">
            <w:rPr>
              <w:rFonts w:ascii="Arial" w:hAnsi="Arial" w:cs="Arial"/>
              <w:sz w:val="24"/>
              <w:szCs w:val="24"/>
              <w:lang w:eastAsia="en-GB"/>
            </w:rPr>
            <w:fldChar w:fldCharType="end"/>
          </w:r>
        </w:sdtContent>
      </w:sdt>
      <w:r w:rsidR="00565FCF">
        <w:rPr>
          <w:rFonts w:ascii="Arial" w:hAnsi="Arial" w:cs="Arial"/>
          <w:sz w:val="24"/>
          <w:szCs w:val="24"/>
          <w:lang w:eastAsia="en-GB"/>
        </w:rPr>
        <w:t>.</w:t>
      </w:r>
      <w:r w:rsidRPr="00E275AA">
        <w:rPr>
          <w:rFonts w:ascii="Arial" w:hAnsi="Arial" w:cs="Arial"/>
          <w:sz w:val="24"/>
          <w:szCs w:val="24"/>
          <w:lang w:eastAsia="en-GB"/>
        </w:rPr>
        <w:t xml:space="preserve"> Citi bank have estimated that this has resulted in a $1.6 trillion decline in trade finance services, with significant reduction in Asia ($400bn) and </w:t>
      </w:r>
      <w:r w:rsidR="00565FCF">
        <w:rPr>
          <w:rFonts w:ascii="Arial" w:hAnsi="Arial" w:cs="Arial"/>
          <w:sz w:val="24"/>
          <w:szCs w:val="24"/>
          <w:lang w:eastAsia="en-GB"/>
        </w:rPr>
        <w:t xml:space="preserve">sub-Saharan Africa ($135bn) </w:t>
      </w:r>
      <w:sdt>
        <w:sdtPr>
          <w:rPr>
            <w:rFonts w:ascii="Arial" w:hAnsi="Arial" w:cs="Arial"/>
            <w:sz w:val="24"/>
            <w:szCs w:val="24"/>
            <w:lang w:eastAsia="en-GB"/>
          </w:rPr>
          <w:id w:val="1576865761"/>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 CITATION Lad15 \l 2057 </w:instrText>
          </w:r>
          <w:r w:rsidR="00565FCF">
            <w:rPr>
              <w:rFonts w:ascii="Arial" w:hAnsi="Arial" w:cs="Arial"/>
              <w:sz w:val="24"/>
              <w:szCs w:val="24"/>
              <w:lang w:eastAsia="en-GB"/>
            </w:rPr>
            <w:fldChar w:fldCharType="separate"/>
          </w:r>
          <w:r w:rsidR="00745BB5" w:rsidRPr="00745BB5">
            <w:rPr>
              <w:rFonts w:ascii="Arial" w:hAnsi="Arial" w:cs="Arial"/>
              <w:noProof/>
              <w:sz w:val="24"/>
              <w:szCs w:val="24"/>
              <w:lang w:eastAsia="en-GB"/>
            </w:rPr>
            <w:t>(Ladany, 2015)</w:t>
          </w:r>
          <w:r w:rsidR="00565FCF">
            <w:rPr>
              <w:rFonts w:ascii="Arial" w:hAnsi="Arial" w:cs="Arial"/>
              <w:sz w:val="24"/>
              <w:szCs w:val="24"/>
              <w:lang w:eastAsia="en-GB"/>
            </w:rPr>
            <w:fldChar w:fldCharType="end"/>
          </w:r>
        </w:sdtContent>
      </w:sdt>
      <w:r w:rsidR="00565FCF">
        <w:rPr>
          <w:rFonts w:ascii="Arial" w:hAnsi="Arial" w:cs="Arial"/>
          <w:sz w:val="24"/>
          <w:szCs w:val="24"/>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This is supported a survey from the International Council of Commerce that found over 100 banks  had exited corresponding banking relationships due to enhanced AML compliance costs. This survey also found that the middle east and sub-Saharan Africa and small-medium size businesses were most affected by the decline</w:t>
      </w:r>
      <w:r w:rsidR="00CF7BFF">
        <w:rPr>
          <w:rFonts w:ascii="Arial" w:hAnsi="Arial" w:cs="Arial"/>
          <w:sz w:val="24"/>
          <w:szCs w:val="24"/>
          <w:shd w:val="clear" w:color="auto" w:fill="FFFFFF"/>
          <w:lang w:eastAsia="en-GB"/>
        </w:rPr>
        <w:t xml:space="preserve">s in the correspondent banking </w:t>
      </w:r>
      <w:sdt>
        <w:sdtPr>
          <w:rPr>
            <w:rFonts w:ascii="Arial" w:hAnsi="Arial" w:cs="Arial"/>
            <w:sz w:val="24"/>
            <w:szCs w:val="24"/>
            <w:shd w:val="clear" w:color="auto" w:fill="FFFFFF"/>
            <w:lang w:eastAsia="en-GB"/>
          </w:rPr>
          <w:id w:val="1462844573"/>
          <w:citation/>
        </w:sdtPr>
        <w:sdtEndPr/>
        <w:sdtContent>
          <w:r w:rsidR="00CF7BFF">
            <w:rPr>
              <w:rFonts w:ascii="Arial" w:hAnsi="Arial" w:cs="Arial"/>
              <w:sz w:val="24"/>
              <w:szCs w:val="24"/>
              <w:shd w:val="clear" w:color="auto" w:fill="FFFFFF"/>
              <w:lang w:eastAsia="en-GB"/>
            </w:rPr>
            <w:fldChar w:fldCharType="begin"/>
          </w:r>
          <w:r w:rsidR="00CF7BFF">
            <w:rPr>
              <w:rFonts w:ascii="Arial" w:hAnsi="Arial" w:cs="Arial"/>
              <w:sz w:val="24"/>
              <w:szCs w:val="24"/>
              <w:shd w:val="clear" w:color="auto" w:fill="FFFFFF"/>
              <w:lang w:eastAsia="en-GB"/>
            </w:rPr>
            <w:instrText xml:space="preserve"> CITATION Arn14 \l 2057 </w:instrText>
          </w:r>
          <w:r w:rsidR="00CF7BFF">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(Arnold, 2014)</w:t>
          </w:r>
          <w:r w:rsidR="00CF7BFF">
            <w:rPr>
              <w:rFonts w:ascii="Arial" w:hAnsi="Arial" w:cs="Arial"/>
              <w:sz w:val="24"/>
              <w:szCs w:val="24"/>
              <w:shd w:val="clear" w:color="auto" w:fill="FFFFFF"/>
              <w:lang w:eastAsia="en-GB"/>
            </w:rPr>
            <w:fldChar w:fldCharType="end"/>
          </w:r>
        </w:sdtContent>
      </w:sdt>
      <w:r w:rsidR="00CF7BFF">
        <w:rPr>
          <w:rFonts w:ascii="Arial" w:hAnsi="Arial" w:cs="Arial"/>
          <w:sz w:val="24"/>
          <w:szCs w:val="24"/>
          <w:shd w:val="clear" w:color="auto" w:fill="FFFFFF"/>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shd w:val="clear" w:color="auto" w:fill="FFFFFF"/>
          <w:lang w:eastAsia="en-GB"/>
        </w:rPr>
        <w:t>Remittances</w:t>
      </w:r>
    </w:p>
    <w:p w:rsidR="00565FCF" w:rsidRPr="00E275AA" w:rsidRDefault="00E275AA" w:rsidP="00565FCF">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Most controversially de-risking has seen the closure of accounts for MSBs who handle the vast majority of global remittances. De-risking has been highly prevalent in this area with many banks exiting all relationships with MSB. In the UK, the Money Transmitters Association estimated that almost 85% of MSBs that process remittances internationally have lost t</w:t>
      </w:r>
      <w:r w:rsidR="00565FCF">
        <w:rPr>
          <w:rFonts w:ascii="Arial" w:hAnsi="Arial" w:cs="Arial"/>
          <w:sz w:val="24"/>
          <w:szCs w:val="24"/>
          <w:lang w:eastAsia="en-GB"/>
        </w:rPr>
        <w:t xml:space="preserve">heir banking relationships. </w:t>
      </w:r>
      <w:sdt>
        <w:sdtPr>
          <w:rPr>
            <w:rFonts w:ascii="Arial" w:hAnsi="Arial" w:cs="Arial"/>
            <w:sz w:val="24"/>
            <w:szCs w:val="24"/>
            <w:lang w:eastAsia="en-GB"/>
          </w:rPr>
          <w:id w:val="-142893355"/>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 CITATION Wal14 \l 2057 </w:instrText>
          </w:r>
          <w:r w:rsidR="00565FCF">
            <w:rPr>
              <w:rFonts w:ascii="Arial" w:hAnsi="Arial" w:cs="Arial"/>
              <w:sz w:val="24"/>
              <w:szCs w:val="24"/>
              <w:lang w:eastAsia="en-GB"/>
            </w:rPr>
            <w:fldChar w:fldCharType="separate"/>
          </w:r>
          <w:r w:rsidR="00745BB5" w:rsidRPr="00745BB5">
            <w:rPr>
              <w:rFonts w:ascii="Arial" w:hAnsi="Arial" w:cs="Arial"/>
              <w:noProof/>
              <w:sz w:val="24"/>
              <w:szCs w:val="24"/>
              <w:lang w:eastAsia="en-GB"/>
            </w:rPr>
            <w:t>(Walker, 2014)</w:t>
          </w:r>
          <w:r w:rsidR="00565FCF">
            <w:rPr>
              <w:rFonts w:ascii="Arial" w:hAnsi="Arial" w:cs="Arial"/>
              <w:sz w:val="24"/>
              <w:szCs w:val="24"/>
              <w:lang w:eastAsia="en-GB"/>
            </w:rPr>
            <w:fldChar w:fldCharType="end"/>
          </w:r>
        </w:sdtContent>
      </w:sdt>
      <w:sdt>
        <w:sdtPr>
          <w:rPr>
            <w:rFonts w:ascii="Arial" w:hAnsi="Arial" w:cs="Arial"/>
            <w:bCs/>
            <w:sz w:val="24"/>
            <w:szCs w:val="24"/>
            <w:u w:val="single"/>
            <w:shd w:val="clear" w:color="auto" w:fill="FFFFFF"/>
            <w:lang w:eastAsia="en-GB"/>
          </w:rPr>
          <w:id w:val="1193808481"/>
          <w:citation/>
        </w:sdtPr>
        <w:sdtEndPr/>
        <w:sdtContent>
          <w:r w:rsidR="00565FCF">
            <w:rPr>
              <w:rFonts w:ascii="Arial" w:hAnsi="Arial" w:cs="Arial"/>
              <w:bCs/>
              <w:sz w:val="24"/>
              <w:szCs w:val="24"/>
              <w:u w:val="single"/>
              <w:shd w:val="clear" w:color="auto" w:fill="FFFFFF"/>
              <w:lang w:eastAsia="en-GB"/>
            </w:rPr>
            <w:fldChar w:fldCharType="begin"/>
          </w:r>
          <w:r w:rsidR="00565FCF">
            <w:rPr>
              <w:rFonts w:ascii="Arial" w:hAnsi="Arial" w:cs="Arial"/>
              <w:bCs/>
              <w:sz w:val="24"/>
              <w:szCs w:val="24"/>
              <w:u w:val="single"/>
              <w:shd w:val="clear" w:color="auto" w:fill="FFFFFF"/>
              <w:lang w:eastAsia="en-GB"/>
            </w:rPr>
            <w:instrText xml:space="preserve"> CITATION The15 \l 2057 </w:instrText>
          </w:r>
          <w:r w:rsidR="00565FCF">
            <w:rPr>
              <w:rFonts w:ascii="Arial" w:hAnsi="Arial" w:cs="Arial"/>
              <w:bCs/>
              <w:sz w:val="24"/>
              <w:szCs w:val="24"/>
              <w:u w:val="single"/>
              <w:shd w:val="clear" w:color="auto" w:fill="FFFFFF"/>
              <w:lang w:eastAsia="en-GB"/>
            </w:rPr>
            <w:fldChar w:fldCharType="separate"/>
          </w:r>
          <w:r w:rsidR="00745BB5">
            <w:rPr>
              <w:rFonts w:ascii="Arial" w:hAnsi="Arial" w:cs="Arial"/>
              <w:bCs/>
              <w:noProof/>
              <w:sz w:val="24"/>
              <w:szCs w:val="24"/>
              <w:u w:val="single"/>
              <w:shd w:val="clear" w:color="auto" w:fill="FFFFFF"/>
              <w:lang w:eastAsia="en-GB"/>
            </w:rPr>
            <w:t xml:space="preserve"> </w:t>
          </w:r>
          <w:r w:rsidR="00745BB5" w:rsidRPr="00745BB5">
            <w:rPr>
              <w:rFonts w:ascii="Arial" w:hAnsi="Arial" w:cs="Arial"/>
              <w:noProof/>
              <w:sz w:val="24"/>
              <w:szCs w:val="24"/>
              <w:shd w:val="clear" w:color="auto" w:fill="FFFFFF"/>
              <w:lang w:eastAsia="en-GB"/>
            </w:rPr>
            <w:t>(The Commonwealth, 2015)</w:t>
          </w:r>
          <w:r w:rsidR="00565FCF">
            <w:rPr>
              <w:rFonts w:ascii="Arial" w:hAnsi="Arial" w:cs="Arial"/>
              <w:bCs/>
              <w:sz w:val="24"/>
              <w:szCs w:val="24"/>
              <w:u w:val="single"/>
              <w:shd w:val="clear" w:color="auto" w:fill="FFFFFF"/>
              <w:lang w:eastAsia="en-GB"/>
            </w:rPr>
            <w:fldChar w:fldCharType="end"/>
          </w:r>
        </w:sdtContent>
      </w:sdt>
      <w:r w:rsidR="00565FCF" w:rsidRPr="00565FCF">
        <w:rPr>
          <w:rFonts w:ascii="Arial" w:hAnsi="Arial" w:cs="Arial"/>
          <w:bCs/>
          <w:sz w:val="24"/>
          <w:szCs w:val="24"/>
          <w:shd w:val="clear" w:color="auto" w:fill="FFFFFF"/>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Barclays bank was the last major UK bank to offer services to MSBs. In 2013 it closed 250 MSBs accounts worldwide and withdrew services from 90 UK MSBs accounts.  These accounts helped facilitate the $23.6billion remittances that wer</w:t>
      </w:r>
      <w:r w:rsidR="00565FCF">
        <w:rPr>
          <w:rFonts w:ascii="Arial" w:hAnsi="Arial" w:cs="Arial"/>
          <w:sz w:val="24"/>
          <w:szCs w:val="24"/>
          <w:lang w:eastAsia="en-GB"/>
        </w:rPr>
        <w:t xml:space="preserve">e set from the UK in 2012 </w:t>
      </w:r>
      <w:sdt>
        <w:sdtPr>
          <w:rPr>
            <w:rFonts w:ascii="Arial" w:hAnsi="Arial" w:cs="Arial"/>
            <w:sz w:val="24"/>
            <w:szCs w:val="24"/>
            <w:lang w:eastAsia="en-GB"/>
          </w:rPr>
          <w:id w:val="515051282"/>
          <w:citation/>
        </w:sdtPr>
        <w:sdtEndPr/>
        <w:sdtContent>
          <w:r w:rsidR="00565FCF">
            <w:rPr>
              <w:rFonts w:ascii="Arial" w:hAnsi="Arial" w:cs="Arial"/>
              <w:sz w:val="24"/>
              <w:szCs w:val="24"/>
              <w:lang w:eastAsia="en-GB"/>
            </w:rPr>
            <w:fldChar w:fldCharType="begin"/>
          </w:r>
          <w:r w:rsidR="00565FCF">
            <w:rPr>
              <w:rFonts w:ascii="Arial" w:hAnsi="Arial" w:cs="Arial"/>
              <w:sz w:val="24"/>
              <w:szCs w:val="24"/>
              <w:lang w:eastAsia="en-GB"/>
            </w:rPr>
            <w:instrText xml:space="preserve"> CITATION Att15 \l 2057 </w:instrText>
          </w:r>
          <w:r w:rsidR="00565FCF">
            <w:rPr>
              <w:rFonts w:ascii="Arial" w:hAnsi="Arial" w:cs="Arial"/>
              <w:sz w:val="24"/>
              <w:szCs w:val="24"/>
              <w:lang w:eastAsia="en-GB"/>
            </w:rPr>
            <w:fldChar w:fldCharType="separate"/>
          </w:r>
          <w:r w:rsidR="00745BB5" w:rsidRPr="00745BB5">
            <w:rPr>
              <w:rFonts w:ascii="Arial" w:hAnsi="Arial" w:cs="Arial"/>
              <w:noProof/>
              <w:sz w:val="24"/>
              <w:szCs w:val="24"/>
              <w:lang w:eastAsia="en-GB"/>
            </w:rPr>
            <w:t>(Attridge, 2015)</w:t>
          </w:r>
          <w:r w:rsidR="00565FCF">
            <w:rPr>
              <w:rFonts w:ascii="Arial" w:hAnsi="Arial" w:cs="Arial"/>
              <w:sz w:val="24"/>
              <w:szCs w:val="24"/>
              <w:lang w:eastAsia="en-GB"/>
            </w:rPr>
            <w:fldChar w:fldCharType="end"/>
          </w:r>
        </w:sdtContent>
      </w:sdt>
      <w:r w:rsidR="00565FCF">
        <w:rPr>
          <w:rFonts w:ascii="Arial" w:hAnsi="Arial" w:cs="Arial"/>
          <w:sz w:val="24"/>
          <w:szCs w:val="24"/>
          <w:lang w:eastAsia="en-GB"/>
        </w:rPr>
        <w:t xml:space="preserve">. </w:t>
      </w:r>
      <w:r w:rsidRPr="00E275AA">
        <w:rPr>
          <w:rFonts w:ascii="Arial" w:hAnsi="Arial" w:cs="Arial"/>
          <w:sz w:val="24"/>
          <w:szCs w:val="24"/>
          <w:lang w:eastAsia="en-GB"/>
        </w:rPr>
        <w:t>As a result of these closures many individuals struggled to send remittances back to families abroad. This was particularly acute for Somali communities. Due to the civil war in Somalia the formal banking system had collapsed making MSBs the main source of financing into the country.</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$1,3 billion is remitted annual to Somalia and makes up 50% of its Gross National Income. The World Bank estimates that the over 40% of the population (approximately 5 million) rely on remittances from families abroad </w:t>
      </w:r>
      <w:r w:rsidR="008861F9">
        <w:rPr>
          <w:rFonts w:ascii="Arial" w:hAnsi="Arial" w:cs="Arial"/>
          <w:sz w:val="24"/>
          <w:szCs w:val="24"/>
          <w:lang w:eastAsia="en-GB"/>
        </w:rPr>
        <w:t xml:space="preserve">to meet their basic needs </w:t>
      </w:r>
      <w:sdt>
        <w:sdtPr>
          <w:rPr>
            <w:rFonts w:ascii="Arial" w:hAnsi="Arial" w:cs="Arial"/>
            <w:sz w:val="24"/>
            <w:szCs w:val="24"/>
            <w:lang w:eastAsia="en-GB"/>
          </w:rPr>
          <w:id w:val="1239597943"/>
          <w:citation/>
        </w:sdtPr>
        <w:sdtEndPr/>
        <w:sdtContent>
          <w:r w:rsidR="008861F9">
            <w:rPr>
              <w:rFonts w:ascii="Arial" w:hAnsi="Arial" w:cs="Arial"/>
              <w:sz w:val="24"/>
              <w:szCs w:val="24"/>
              <w:lang w:eastAsia="en-GB"/>
            </w:rPr>
            <w:fldChar w:fldCharType="begin"/>
          </w:r>
          <w:r w:rsidR="008861F9">
            <w:rPr>
              <w:rFonts w:ascii="Arial" w:hAnsi="Arial" w:cs="Arial"/>
              <w:sz w:val="24"/>
              <w:szCs w:val="24"/>
              <w:lang w:eastAsia="en-GB"/>
            </w:rPr>
            <w:instrText xml:space="preserve"> CITATION UKG15 \l 2057 </w:instrText>
          </w:r>
          <w:r w:rsidR="008861F9">
            <w:rPr>
              <w:rFonts w:ascii="Arial" w:hAnsi="Arial" w:cs="Arial"/>
              <w:sz w:val="24"/>
              <w:szCs w:val="24"/>
              <w:lang w:eastAsia="en-GB"/>
            </w:rPr>
            <w:fldChar w:fldCharType="separate"/>
          </w:r>
          <w:r w:rsidR="00745BB5" w:rsidRPr="00745BB5">
            <w:rPr>
              <w:rFonts w:ascii="Arial" w:hAnsi="Arial" w:cs="Arial"/>
              <w:noProof/>
              <w:sz w:val="24"/>
              <w:szCs w:val="24"/>
              <w:lang w:eastAsia="en-GB"/>
            </w:rPr>
            <w:t>(UK Government, 2015)</w:t>
          </w:r>
          <w:r w:rsidR="008861F9">
            <w:rPr>
              <w:rFonts w:ascii="Arial" w:hAnsi="Arial" w:cs="Arial"/>
              <w:sz w:val="24"/>
              <w:szCs w:val="24"/>
              <w:lang w:eastAsia="en-GB"/>
            </w:rPr>
            <w:fldChar w:fldCharType="end"/>
          </w:r>
        </w:sdtContent>
      </w:sdt>
      <w:r w:rsidR="008861F9">
        <w:rPr>
          <w:rFonts w:ascii="Arial" w:hAnsi="Arial" w:cs="Arial"/>
          <w:sz w:val="24"/>
          <w:szCs w:val="24"/>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In 2013, Dahabshiil the largest remitter to Somalia successfully won an injunction against Barclays for abuse of its dominant position in the market place. It argued that in closing its accounts it was unfairly pushing a competitor out of the market. As a result Dahabshiil had its account re-instated. Later this case was settled privately between the two companies which created a transitional period for the account to be closed so that Dahabshiil could make alternative banking arrangements. However it is worth noting that many other UK banks such as HSBC have also closed accounts of MSBs, so finding an alternative bank that will serve MSBs has bec</w:t>
      </w:r>
      <w:r w:rsidR="008861F9">
        <w:rPr>
          <w:rFonts w:ascii="Arial" w:hAnsi="Arial" w:cs="Arial"/>
          <w:sz w:val="24"/>
          <w:szCs w:val="24"/>
          <w:lang w:eastAsia="en-GB"/>
        </w:rPr>
        <w:t xml:space="preserve">ome increasingly difficult </w:t>
      </w:r>
      <w:sdt>
        <w:sdtPr>
          <w:rPr>
            <w:rFonts w:ascii="Arial" w:hAnsi="Arial" w:cs="Arial"/>
            <w:sz w:val="24"/>
            <w:szCs w:val="24"/>
            <w:lang w:eastAsia="en-GB"/>
          </w:rPr>
          <w:id w:val="-1312328518"/>
          <w:citation/>
        </w:sdtPr>
        <w:sdtEndPr/>
        <w:sdtContent>
          <w:r w:rsidR="008861F9">
            <w:rPr>
              <w:rFonts w:ascii="Arial" w:hAnsi="Arial" w:cs="Arial"/>
              <w:sz w:val="24"/>
              <w:szCs w:val="24"/>
              <w:lang w:eastAsia="en-GB"/>
            </w:rPr>
            <w:fldChar w:fldCharType="begin"/>
          </w:r>
          <w:r w:rsidR="008861F9">
            <w:rPr>
              <w:rFonts w:ascii="Arial" w:hAnsi="Arial" w:cs="Arial"/>
              <w:sz w:val="24"/>
              <w:szCs w:val="24"/>
              <w:lang w:eastAsia="en-GB"/>
            </w:rPr>
            <w:instrText xml:space="preserve">CITATION Met15 \t  \l 2057 </w:instrText>
          </w:r>
          <w:r w:rsidR="008861F9">
            <w:rPr>
              <w:rFonts w:ascii="Arial" w:hAnsi="Arial" w:cs="Arial"/>
              <w:sz w:val="24"/>
              <w:szCs w:val="24"/>
              <w:lang w:eastAsia="en-GB"/>
            </w:rPr>
            <w:fldChar w:fldCharType="separate"/>
          </w:r>
          <w:r w:rsidR="00745BB5" w:rsidRPr="00745BB5">
            <w:rPr>
              <w:rFonts w:ascii="Arial" w:hAnsi="Arial" w:cs="Arial"/>
              <w:noProof/>
              <w:sz w:val="24"/>
              <w:szCs w:val="24"/>
              <w:lang w:eastAsia="en-GB"/>
            </w:rPr>
            <w:t>(Metcalfe-Hough, Keatinge, &amp; Pantuliano, 2015)</w:t>
          </w:r>
          <w:r w:rsidR="008861F9">
            <w:rPr>
              <w:rFonts w:ascii="Arial" w:hAnsi="Arial" w:cs="Arial"/>
              <w:sz w:val="24"/>
              <w:szCs w:val="24"/>
              <w:lang w:eastAsia="en-GB"/>
            </w:rPr>
            <w:fldChar w:fldCharType="end"/>
          </w:r>
        </w:sdtContent>
      </w:sdt>
      <w:r w:rsidR="008861F9">
        <w:rPr>
          <w:rFonts w:ascii="Arial" w:hAnsi="Arial" w:cs="Arial"/>
          <w:sz w:val="24"/>
          <w:szCs w:val="24"/>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 publicity surrounding this case was enough to make the government review of the banking facilities for remittances between the UK and Somalia. As a result of this review the action group on cross border remittances was established in 2014 and has worked with World Bank to develop a “Safe Corridor” to ensure that funds can be moved transparently between the UK and Somalia. This is a clear example of a government initiative to correct for the unintended consequences of enhanced AML/CTF legislation.</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Similar problems have been experienced in the US where each week $1bn</w:t>
      </w:r>
      <w:r w:rsidR="00CF7BFF">
        <w:rPr>
          <w:rFonts w:ascii="Arial" w:hAnsi="Arial" w:cs="Arial"/>
          <w:sz w:val="24"/>
          <w:szCs w:val="24"/>
          <w:lang w:eastAsia="en-GB"/>
        </w:rPr>
        <w:t xml:space="preserve"> of remittances are sent abroad </w:t>
      </w:r>
      <w:sdt>
        <w:sdtPr>
          <w:rPr>
            <w:rFonts w:ascii="Arial" w:hAnsi="Arial" w:cs="Arial"/>
            <w:sz w:val="24"/>
            <w:szCs w:val="24"/>
            <w:lang w:eastAsia="en-GB"/>
          </w:rPr>
          <w:id w:val="-1192987416"/>
          <w:citation/>
        </w:sdtPr>
        <w:sdtEndPr/>
        <w:sdtContent>
          <w:r w:rsidR="00CF7BFF">
            <w:rPr>
              <w:rFonts w:ascii="Arial" w:hAnsi="Arial" w:cs="Arial"/>
              <w:sz w:val="24"/>
              <w:szCs w:val="24"/>
              <w:lang w:eastAsia="en-GB"/>
            </w:rPr>
            <w:fldChar w:fldCharType="begin"/>
          </w:r>
          <w:r w:rsidR="00CF7BFF">
            <w:rPr>
              <w:rFonts w:ascii="Arial" w:hAnsi="Arial" w:cs="Arial"/>
              <w:sz w:val="24"/>
              <w:szCs w:val="24"/>
              <w:lang w:eastAsia="en-GB"/>
            </w:rPr>
            <w:instrText xml:space="preserve"> CITATION Arn14 \l 2057 </w:instrText>
          </w:r>
          <w:r w:rsidR="00CF7BFF">
            <w:rPr>
              <w:rFonts w:ascii="Arial" w:hAnsi="Arial" w:cs="Arial"/>
              <w:sz w:val="24"/>
              <w:szCs w:val="24"/>
              <w:lang w:eastAsia="en-GB"/>
            </w:rPr>
            <w:fldChar w:fldCharType="separate"/>
          </w:r>
          <w:r w:rsidR="00745BB5" w:rsidRPr="00745BB5">
            <w:rPr>
              <w:rFonts w:ascii="Arial" w:hAnsi="Arial" w:cs="Arial"/>
              <w:noProof/>
              <w:sz w:val="24"/>
              <w:szCs w:val="24"/>
              <w:lang w:eastAsia="en-GB"/>
            </w:rPr>
            <w:t>(Arnold, 2014)</w:t>
          </w:r>
          <w:r w:rsidR="00CF7BFF">
            <w:rPr>
              <w:rFonts w:ascii="Arial" w:hAnsi="Arial" w:cs="Arial"/>
              <w:sz w:val="24"/>
              <w:szCs w:val="24"/>
              <w:lang w:eastAsia="en-GB"/>
            </w:rPr>
            <w:fldChar w:fldCharType="end"/>
          </w:r>
        </w:sdtContent>
      </w:sdt>
      <w:r w:rsidRPr="00CF7BFF">
        <w:rPr>
          <w:rFonts w:ascii="Arial" w:hAnsi="Arial" w:cs="Arial"/>
          <w:sz w:val="24"/>
          <w:szCs w:val="24"/>
          <w:lang w:eastAsia="en-GB"/>
        </w:rPr>
        <w:t>.</w:t>
      </w:r>
      <w:r w:rsidRPr="00E275AA">
        <w:rPr>
          <w:rFonts w:ascii="Arial" w:hAnsi="Arial" w:cs="Arial"/>
          <w:sz w:val="24"/>
          <w:szCs w:val="24"/>
          <w:lang w:eastAsia="en-GB"/>
        </w:rPr>
        <w:t xml:space="preserve"> Due to the increased regulation only the Merchant Bank of California still serve MS</w:t>
      </w:r>
      <w:r w:rsidR="008861F9">
        <w:rPr>
          <w:rFonts w:ascii="Arial" w:hAnsi="Arial" w:cs="Arial"/>
          <w:sz w:val="24"/>
          <w:szCs w:val="24"/>
          <w:lang w:eastAsia="en-GB"/>
        </w:rPr>
        <w:t xml:space="preserve">Bs that operate in Somalia </w:t>
      </w:r>
      <w:sdt>
        <w:sdtPr>
          <w:rPr>
            <w:rFonts w:ascii="Arial" w:hAnsi="Arial" w:cs="Arial"/>
            <w:sz w:val="24"/>
            <w:szCs w:val="24"/>
            <w:lang w:eastAsia="en-GB"/>
          </w:rPr>
          <w:id w:val="-944535114"/>
          <w:citation/>
        </w:sdtPr>
        <w:sdtEndPr/>
        <w:sdtContent>
          <w:r w:rsidR="008861F9">
            <w:rPr>
              <w:rFonts w:ascii="Arial" w:hAnsi="Arial" w:cs="Arial"/>
              <w:sz w:val="24"/>
              <w:szCs w:val="24"/>
              <w:lang w:eastAsia="en-GB"/>
            </w:rPr>
            <w:fldChar w:fldCharType="begin"/>
          </w:r>
          <w:r w:rsidR="008861F9">
            <w:rPr>
              <w:rFonts w:ascii="Arial" w:hAnsi="Arial" w:cs="Arial"/>
              <w:sz w:val="24"/>
              <w:szCs w:val="24"/>
              <w:lang w:eastAsia="en-GB"/>
            </w:rPr>
            <w:instrText xml:space="preserve"> CITATION Pau14 \l 2057 </w:instrText>
          </w:r>
          <w:r w:rsidR="008861F9">
            <w:rPr>
              <w:rFonts w:ascii="Arial" w:hAnsi="Arial" w:cs="Arial"/>
              <w:sz w:val="24"/>
              <w:szCs w:val="24"/>
              <w:lang w:eastAsia="en-GB"/>
            </w:rPr>
            <w:fldChar w:fldCharType="separate"/>
          </w:r>
          <w:r w:rsidR="00745BB5" w:rsidRPr="00745BB5">
            <w:rPr>
              <w:rFonts w:ascii="Arial" w:hAnsi="Arial" w:cs="Arial"/>
              <w:noProof/>
              <w:sz w:val="24"/>
              <w:szCs w:val="24"/>
              <w:lang w:eastAsia="en-GB"/>
            </w:rPr>
            <w:t>(Paul, 2014)</w:t>
          </w:r>
          <w:r w:rsidR="008861F9">
            <w:rPr>
              <w:rFonts w:ascii="Arial" w:hAnsi="Arial" w:cs="Arial"/>
              <w:sz w:val="24"/>
              <w:szCs w:val="24"/>
              <w:lang w:eastAsia="en-GB"/>
            </w:rPr>
            <w:fldChar w:fldCharType="end"/>
          </w:r>
        </w:sdtContent>
      </w:sdt>
      <w:r w:rsidR="008861F9">
        <w:rPr>
          <w:rFonts w:ascii="Arial" w:hAnsi="Arial" w:cs="Arial"/>
          <w:sz w:val="24"/>
          <w:szCs w:val="24"/>
          <w:lang w:eastAsia="en-GB"/>
        </w:rPr>
        <w:t>.</w:t>
      </w:r>
      <w:r w:rsidRPr="00E275AA">
        <w:rPr>
          <w:rFonts w:ascii="Arial" w:hAnsi="Arial" w:cs="Arial"/>
          <w:sz w:val="24"/>
          <w:szCs w:val="24"/>
          <w:lang w:eastAsia="en-GB"/>
        </w:rPr>
        <w:t xml:space="preserve"> According to Oxfam America this has meant that 80% of US remittances to Somalia have been stopped. The last remaining banks that are willing to provide accounts to MSBs do not have the capacity to provide banking to the other MSBs that have had their accounts closed. [64]This has stopped flow of remittances, increased the cost of sending remittances and reduced competition in the sector.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Comments from the US Treasury suggest that some US ban</w:t>
      </w:r>
      <w:r w:rsidRPr="008861F9">
        <w:rPr>
          <w:rFonts w:ascii="Arial" w:hAnsi="Arial" w:cs="Arial"/>
          <w:sz w:val="24"/>
          <w:szCs w:val="24"/>
          <w:lang w:eastAsia="en-GB"/>
        </w:rPr>
        <w:t>ks</w:t>
      </w:r>
      <w:r w:rsidRPr="00E275AA">
        <w:rPr>
          <w:rFonts w:ascii="Arial" w:hAnsi="Arial" w:cs="Arial"/>
          <w:sz w:val="24"/>
          <w:szCs w:val="24"/>
          <w:lang w:eastAsia="en-GB"/>
        </w:rPr>
        <w:t xml:space="preserve"> had chosen not to provide service to MSBs “regardless of </w:t>
      </w:r>
      <w:r w:rsidR="008861F9">
        <w:rPr>
          <w:rFonts w:ascii="Arial" w:hAnsi="Arial" w:cs="Arial"/>
          <w:sz w:val="24"/>
          <w:szCs w:val="24"/>
          <w:lang w:eastAsia="en-GB"/>
        </w:rPr>
        <w:t>[AML] risk” they actually posed</w:t>
      </w:r>
      <w:sdt>
        <w:sdtPr>
          <w:rPr>
            <w:rFonts w:ascii="Arial" w:hAnsi="Arial" w:cs="Arial"/>
            <w:sz w:val="24"/>
            <w:szCs w:val="24"/>
            <w:lang w:eastAsia="en-GB"/>
          </w:rPr>
          <w:id w:val="493310807"/>
          <w:citation/>
        </w:sdtPr>
        <w:sdtEndPr/>
        <w:sdtContent>
          <w:r w:rsidR="008861F9">
            <w:rPr>
              <w:rFonts w:ascii="Arial" w:hAnsi="Arial" w:cs="Arial"/>
              <w:sz w:val="24"/>
              <w:szCs w:val="24"/>
              <w:lang w:eastAsia="en-GB"/>
            </w:rPr>
            <w:fldChar w:fldCharType="begin"/>
          </w:r>
          <w:r w:rsidR="008861F9">
            <w:rPr>
              <w:rFonts w:ascii="Arial" w:hAnsi="Arial" w:cs="Arial"/>
              <w:sz w:val="24"/>
              <w:szCs w:val="24"/>
              <w:lang w:eastAsia="en-GB"/>
            </w:rPr>
            <w:instrText xml:space="preserve"> CITATION USD15 \l 2057 </w:instrText>
          </w:r>
          <w:r w:rsidR="008861F9">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(U.S. Department of the Treasury, 2015)</w:t>
          </w:r>
          <w:r w:rsidR="008861F9">
            <w:rPr>
              <w:rFonts w:ascii="Arial" w:hAnsi="Arial" w:cs="Arial"/>
              <w:sz w:val="24"/>
              <w:szCs w:val="24"/>
              <w:lang w:eastAsia="en-GB"/>
            </w:rPr>
            <w:fldChar w:fldCharType="end"/>
          </w:r>
        </w:sdtContent>
      </w:sdt>
      <w:r w:rsidR="008861F9">
        <w:rPr>
          <w:rFonts w:ascii="Arial" w:hAnsi="Arial" w:cs="Arial"/>
          <w:sz w:val="24"/>
          <w:szCs w:val="24"/>
          <w:lang w:eastAsia="en-GB"/>
        </w:rPr>
        <w:t>.</w:t>
      </w:r>
      <w:r w:rsidRPr="00E275AA">
        <w:rPr>
          <w:rFonts w:ascii="Arial" w:hAnsi="Arial" w:cs="Arial"/>
          <w:sz w:val="24"/>
          <w:szCs w:val="24"/>
          <w:lang w:eastAsia="en-GB"/>
        </w:rPr>
        <w:t xml:space="preserve"> This w</w:t>
      </w:r>
      <w:r w:rsidR="00FA3C2D">
        <w:rPr>
          <w:rFonts w:ascii="Arial" w:hAnsi="Arial" w:cs="Arial"/>
          <w:sz w:val="24"/>
          <w:szCs w:val="24"/>
          <w:lang w:eastAsia="en-GB"/>
        </w:rPr>
        <w:t>as supported by FinCEN</w:t>
      </w:r>
      <w:r w:rsidRPr="00E275AA">
        <w:rPr>
          <w:rFonts w:ascii="Arial" w:hAnsi="Arial" w:cs="Arial"/>
          <w:sz w:val="24"/>
          <w:szCs w:val="24"/>
          <w:lang w:eastAsia="en-GB"/>
        </w:rPr>
        <w:t xml:space="preserve"> which noted that banks were “indiscriminately terminating </w:t>
      </w:r>
      <w:r w:rsidR="00FD6F53">
        <w:rPr>
          <w:rFonts w:ascii="Arial" w:hAnsi="Arial" w:cs="Arial"/>
          <w:sz w:val="24"/>
          <w:szCs w:val="24"/>
          <w:lang w:eastAsia="en-GB"/>
        </w:rPr>
        <w:t>accounts of money transmitters”</w:t>
      </w:r>
      <w:sdt>
        <w:sdtPr>
          <w:rPr>
            <w:rFonts w:ascii="Arial" w:hAnsi="Arial" w:cs="Arial"/>
            <w:sz w:val="24"/>
            <w:szCs w:val="24"/>
            <w:lang w:eastAsia="en-GB"/>
          </w:rPr>
          <w:id w:val="955449164"/>
          <w:citation/>
        </w:sdtPr>
        <w:sdtEndPr/>
        <w:sdtContent>
          <w:r w:rsidR="00FD6F53">
            <w:rPr>
              <w:rFonts w:ascii="Arial" w:hAnsi="Arial" w:cs="Arial"/>
              <w:sz w:val="24"/>
              <w:szCs w:val="24"/>
              <w:lang w:eastAsia="en-GB"/>
            </w:rPr>
            <w:fldChar w:fldCharType="begin"/>
          </w:r>
          <w:r w:rsidR="00FD6F53">
            <w:rPr>
              <w:rFonts w:ascii="Arial" w:hAnsi="Arial" w:cs="Arial"/>
              <w:sz w:val="24"/>
              <w:szCs w:val="24"/>
              <w:lang w:eastAsia="en-GB"/>
            </w:rPr>
            <w:instrText xml:space="preserve"> CITATION Fin14a \l 2057 </w:instrText>
          </w:r>
          <w:r w:rsidR="00FD6F53">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(FinCEN, 2014)</w:t>
          </w:r>
          <w:r w:rsidR="00FD6F53">
            <w:rPr>
              <w:rFonts w:ascii="Arial" w:hAnsi="Arial" w:cs="Arial"/>
              <w:sz w:val="24"/>
              <w:szCs w:val="24"/>
              <w:lang w:eastAsia="en-GB"/>
            </w:rPr>
            <w:fldChar w:fldCharType="end"/>
          </w:r>
        </w:sdtContent>
      </w:sdt>
      <w:r w:rsidR="00FD6F53">
        <w:rPr>
          <w:rFonts w:ascii="Arial" w:hAnsi="Arial" w:cs="Arial"/>
          <w:sz w:val="24"/>
          <w:szCs w:val="24"/>
          <w:lang w:eastAsia="en-GB"/>
        </w:rPr>
        <w:t>.</w:t>
      </w:r>
      <w:r w:rsidRPr="00E275AA">
        <w:rPr>
          <w:rFonts w:ascii="Arial" w:hAnsi="Arial" w:cs="Arial"/>
          <w:sz w:val="24"/>
          <w:szCs w:val="24"/>
          <w:lang w:eastAsia="en-GB"/>
        </w:rPr>
        <w:t xml:space="preserve"> These are clear example</w:t>
      </w:r>
      <w:r w:rsidR="00FA3C2D">
        <w:rPr>
          <w:rFonts w:ascii="Arial" w:hAnsi="Arial" w:cs="Arial"/>
          <w:sz w:val="24"/>
          <w:szCs w:val="24"/>
          <w:lang w:eastAsia="en-GB"/>
        </w:rPr>
        <w:t>s</w:t>
      </w:r>
      <w:r w:rsidRPr="00E275AA">
        <w:rPr>
          <w:rFonts w:ascii="Arial" w:hAnsi="Arial" w:cs="Arial"/>
          <w:sz w:val="24"/>
          <w:szCs w:val="24"/>
          <w:lang w:eastAsia="en-GB"/>
        </w:rPr>
        <w:t xml:space="preserve"> of a disproportionate de-risking. When banks are not considering the risks that their customers pose but chose to exit the relationship as the cost of individual assessments are too high.</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Remittance businesses have also suffered in Australia and New Zealand. Australia’s remittances are estimated to be $A30billion annually. Following Australian regulators ASIC enforcement action against 2 MSBs for links with terrorist financing, three out of four of the large commercial ba</w:t>
      </w:r>
      <w:r w:rsidR="008861F9">
        <w:rPr>
          <w:rFonts w:ascii="Arial" w:hAnsi="Arial" w:cs="Arial"/>
          <w:sz w:val="24"/>
          <w:szCs w:val="24"/>
          <w:lang w:eastAsia="en-GB"/>
        </w:rPr>
        <w:t xml:space="preserve">nk have closed the MSB accounts </w:t>
      </w:r>
      <w:sdt>
        <w:sdtPr>
          <w:rPr>
            <w:rFonts w:ascii="Arial" w:hAnsi="Arial" w:cs="Arial"/>
            <w:sz w:val="24"/>
            <w:szCs w:val="24"/>
            <w:lang w:eastAsia="en-GB"/>
          </w:rPr>
          <w:id w:val="169770344"/>
          <w:citation/>
        </w:sdtPr>
        <w:sdtEndPr/>
        <w:sdtContent>
          <w:r w:rsidR="008861F9">
            <w:rPr>
              <w:rFonts w:ascii="Arial" w:hAnsi="Arial" w:cs="Arial"/>
              <w:sz w:val="24"/>
              <w:szCs w:val="24"/>
              <w:lang w:eastAsia="en-GB"/>
            </w:rPr>
            <w:fldChar w:fldCharType="begin"/>
          </w:r>
          <w:r w:rsidR="008861F9">
            <w:rPr>
              <w:rFonts w:ascii="Arial" w:hAnsi="Arial" w:cs="Arial"/>
              <w:sz w:val="24"/>
              <w:szCs w:val="24"/>
              <w:lang w:eastAsia="en-GB"/>
            </w:rPr>
            <w:instrText xml:space="preserve"> CITATION Pan14 \l 2057 </w:instrText>
          </w:r>
          <w:r w:rsidR="008861F9">
            <w:rPr>
              <w:rFonts w:ascii="Arial" w:hAnsi="Arial" w:cs="Arial"/>
              <w:sz w:val="24"/>
              <w:szCs w:val="24"/>
              <w:lang w:eastAsia="en-GB"/>
            </w:rPr>
            <w:fldChar w:fldCharType="separate"/>
          </w:r>
          <w:r w:rsidR="00745BB5" w:rsidRPr="00745BB5">
            <w:rPr>
              <w:rFonts w:ascii="Arial" w:hAnsi="Arial" w:cs="Arial"/>
              <w:noProof/>
              <w:sz w:val="24"/>
              <w:szCs w:val="24"/>
              <w:lang w:eastAsia="en-GB"/>
            </w:rPr>
            <w:t>(Pandey, 2014)</w:t>
          </w:r>
          <w:r w:rsidR="008861F9">
            <w:rPr>
              <w:rFonts w:ascii="Arial" w:hAnsi="Arial" w:cs="Arial"/>
              <w:sz w:val="24"/>
              <w:szCs w:val="24"/>
              <w:lang w:eastAsia="en-GB"/>
            </w:rPr>
            <w:fldChar w:fldCharType="end"/>
          </w:r>
        </w:sdtContent>
      </w:sdt>
      <w:r w:rsidR="008861F9">
        <w:rPr>
          <w:rFonts w:ascii="Arial" w:hAnsi="Arial" w:cs="Arial"/>
          <w:sz w:val="24"/>
          <w:szCs w:val="24"/>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This has also been legal action in Australia when Westpac the last remaining bank to offer service the accounts of the MSB’s planned to close their 5,5000 MSBs </w:t>
      </w:r>
      <w:r w:rsidR="008861F9">
        <w:rPr>
          <w:rFonts w:ascii="Arial" w:hAnsi="Arial" w:cs="Arial"/>
          <w:sz w:val="24"/>
          <w:szCs w:val="24"/>
          <w:lang w:eastAsia="en-GB"/>
        </w:rPr>
        <w:t>accounts.</w:t>
      </w:r>
      <w:r w:rsidRPr="00E275AA">
        <w:rPr>
          <w:rFonts w:ascii="Arial" w:hAnsi="Arial" w:cs="Arial"/>
          <w:sz w:val="24"/>
          <w:szCs w:val="24"/>
          <w:lang w:eastAsia="en-GB"/>
        </w:rPr>
        <w:t xml:space="preserve"> 24 MSBs have since successfully filed a class action against Westpac to extend the provision of banking services for a transitional period. However Westpac’s withdrawal from the MSB sector now mean that it is no longer possible to send remittances to Somalia.</w:t>
      </w:r>
      <w:r w:rsidR="008861F9">
        <w:rPr>
          <w:rFonts w:ascii="Arial" w:hAnsi="Arial" w:cs="Arial"/>
          <w:sz w:val="24"/>
          <w:szCs w:val="24"/>
          <w:lang w:eastAsia="en-GB"/>
        </w:rPr>
        <w:t xml:space="preserve"> </w:t>
      </w:r>
      <w:r w:rsidRPr="00E275AA">
        <w:rPr>
          <w:rFonts w:ascii="Arial" w:hAnsi="Arial" w:cs="Arial"/>
          <w:sz w:val="24"/>
          <w:szCs w:val="24"/>
          <w:lang w:eastAsia="en-GB"/>
        </w:rPr>
        <w:t>The knock on implications has meant that the cost sending of remittances has already increased by 2 percentage points. Here there is a potential conflict of interest as the large banks also offer international currency transactions however the cost of their fees in Australia is historically twice as high as those charged by the</w:t>
      </w:r>
      <w:r w:rsidR="008861F9">
        <w:rPr>
          <w:rFonts w:ascii="Arial" w:hAnsi="Arial" w:cs="Arial"/>
          <w:sz w:val="24"/>
          <w:szCs w:val="24"/>
          <w:lang w:eastAsia="en-GB"/>
        </w:rPr>
        <w:t xml:space="preserve"> money services businesses </w:t>
      </w:r>
      <w:sdt>
        <w:sdtPr>
          <w:rPr>
            <w:rFonts w:ascii="Arial" w:hAnsi="Arial" w:cs="Arial"/>
            <w:sz w:val="24"/>
            <w:szCs w:val="24"/>
            <w:lang w:eastAsia="en-GB"/>
          </w:rPr>
          <w:id w:val="1080098025"/>
          <w:citation/>
        </w:sdtPr>
        <w:sdtEndPr/>
        <w:sdtContent>
          <w:r w:rsidR="008861F9">
            <w:rPr>
              <w:rFonts w:ascii="Arial" w:hAnsi="Arial" w:cs="Arial"/>
              <w:sz w:val="24"/>
              <w:szCs w:val="24"/>
              <w:lang w:eastAsia="en-GB"/>
            </w:rPr>
            <w:fldChar w:fldCharType="begin"/>
          </w:r>
          <w:r w:rsidR="008861F9">
            <w:rPr>
              <w:rFonts w:ascii="Arial" w:hAnsi="Arial" w:cs="Arial"/>
              <w:sz w:val="24"/>
              <w:szCs w:val="24"/>
              <w:lang w:eastAsia="en-GB"/>
            </w:rPr>
            <w:instrText xml:space="preserve"> CITATION Sin14 \l 2057 </w:instrText>
          </w:r>
          <w:r w:rsidR="008861F9">
            <w:rPr>
              <w:rFonts w:ascii="Arial" w:hAnsi="Arial" w:cs="Arial"/>
              <w:sz w:val="24"/>
              <w:szCs w:val="24"/>
              <w:lang w:eastAsia="en-GB"/>
            </w:rPr>
            <w:fldChar w:fldCharType="separate"/>
          </w:r>
          <w:r w:rsidR="00745BB5" w:rsidRPr="00745BB5">
            <w:rPr>
              <w:rFonts w:ascii="Arial" w:hAnsi="Arial" w:cs="Arial"/>
              <w:noProof/>
              <w:sz w:val="24"/>
              <w:szCs w:val="24"/>
              <w:lang w:eastAsia="en-GB"/>
            </w:rPr>
            <w:t>(Singh, 2014)</w:t>
          </w:r>
          <w:r w:rsidR="008861F9">
            <w:rPr>
              <w:rFonts w:ascii="Arial" w:hAnsi="Arial" w:cs="Arial"/>
              <w:sz w:val="24"/>
              <w:szCs w:val="24"/>
              <w:lang w:eastAsia="en-GB"/>
            </w:rPr>
            <w:fldChar w:fldCharType="end"/>
          </w:r>
        </w:sdtContent>
      </w:sdt>
      <w:r w:rsidR="008861F9">
        <w:rPr>
          <w:rFonts w:ascii="Arial" w:hAnsi="Arial" w:cs="Arial"/>
          <w:sz w:val="24"/>
          <w:szCs w:val="24"/>
          <w:lang w:eastAsia="en-GB"/>
        </w:rPr>
        <w:t>.</w:t>
      </w:r>
    </w:p>
    <w:p w:rsidR="005B27F8" w:rsidRPr="00E275AA" w:rsidRDefault="005B27F8"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u w:val="single"/>
          <w:lang w:eastAsia="en-GB"/>
        </w:rPr>
        <w:t>Individuals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bCs/>
          <w:sz w:val="24"/>
          <w:szCs w:val="24"/>
          <w:u w:val="single"/>
          <w:shd w:val="clear" w:color="auto" w:fill="FFFFFF"/>
          <w:lang w:eastAsia="en-GB"/>
        </w:rPr>
      </w:pPr>
      <w:r w:rsidRPr="00E275AA">
        <w:rPr>
          <w:rFonts w:ascii="Arial" w:hAnsi="Arial" w:cs="Arial"/>
          <w:b/>
          <w:bCs/>
          <w:sz w:val="24"/>
          <w:szCs w:val="24"/>
          <w:u w:val="single"/>
          <w:shd w:val="clear" w:color="auto" w:fill="FFFFFF"/>
          <w:lang w:eastAsia="en-GB"/>
        </w:rPr>
        <w:t>Politically Exposed Persons</w:t>
      </w:r>
    </w:p>
    <w:p w:rsidR="00E275AA" w:rsidRPr="00E275AA" w:rsidRDefault="00E275AA" w:rsidP="00E275AA">
      <w:pPr>
        <w:spacing w:before="0" w:after="0" w:line="480" w:lineRule="auto"/>
        <w:jc w:val="both"/>
        <w:rPr>
          <w:rFonts w:ascii="Arial" w:hAnsi="Arial" w:cs="Arial"/>
          <w:b/>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There is also evidence to suggest that banks have reduced their exposure to PEPs. JP Morgan faced criticism when it cl</w:t>
      </w:r>
      <w:r w:rsidR="000814AC">
        <w:rPr>
          <w:rFonts w:ascii="Arial" w:hAnsi="Arial" w:cs="Arial"/>
          <w:sz w:val="24"/>
          <w:szCs w:val="24"/>
          <w:shd w:val="clear" w:color="auto" w:fill="FFFFFF"/>
          <w:lang w:eastAsia="en-GB"/>
        </w:rPr>
        <w:t>osed the account of José</w:t>
      </w:r>
      <w:r w:rsidRPr="00E275AA">
        <w:rPr>
          <w:rFonts w:ascii="Arial" w:hAnsi="Arial" w:cs="Arial"/>
          <w:sz w:val="24"/>
          <w:szCs w:val="24"/>
          <w:shd w:val="clear" w:color="auto" w:fill="FFFFFF"/>
          <w:lang w:eastAsia="en-GB"/>
        </w:rPr>
        <w:t xml:space="preserve"> Ocampo, the former foreign minister in Columbia as the bank reduced its exposure to</w:t>
      </w:r>
      <w:r w:rsidRPr="00E275AA">
        <w:rPr>
          <w:rFonts w:ascii="Arial" w:hAnsi="Arial" w:cs="Arial"/>
          <w:color w:val="FF0000"/>
          <w:sz w:val="24"/>
          <w:szCs w:val="24"/>
          <w:shd w:val="clear" w:color="auto" w:fill="FFFFFF"/>
          <w:lang w:eastAsia="en-GB"/>
        </w:rPr>
        <w:t xml:space="preserve"> </w:t>
      </w:r>
      <w:r w:rsidRPr="00E275AA">
        <w:rPr>
          <w:rFonts w:ascii="Arial" w:hAnsi="Arial" w:cs="Arial"/>
          <w:sz w:val="24"/>
          <w:szCs w:val="24"/>
          <w:shd w:val="clear" w:color="auto" w:fill="FFFFFF"/>
          <w:lang w:eastAsia="en-GB"/>
        </w:rPr>
        <w:t>foreign diplomats. This was part of a review that was estimated to have affected 3500 private wealth customers including form</w:t>
      </w:r>
      <w:r w:rsidR="000814AC">
        <w:rPr>
          <w:rFonts w:ascii="Arial" w:hAnsi="Arial" w:cs="Arial"/>
          <w:sz w:val="24"/>
          <w:szCs w:val="24"/>
          <w:shd w:val="clear" w:color="auto" w:fill="FFFFFF"/>
          <w:lang w:eastAsia="en-GB"/>
        </w:rPr>
        <w:t xml:space="preserve">er diplomats and UN staff. </w:t>
      </w:r>
      <w:sdt>
        <w:sdtPr>
          <w:rPr>
            <w:rFonts w:ascii="Arial" w:hAnsi="Arial" w:cs="Arial"/>
            <w:sz w:val="24"/>
            <w:szCs w:val="24"/>
            <w:lang w:eastAsia="en-GB"/>
          </w:rPr>
          <w:id w:val="-269317483"/>
          <w:citation/>
        </w:sdtPr>
        <w:sdtEndPr/>
        <w:sdtContent>
          <w:r w:rsidR="000814AC">
            <w:rPr>
              <w:rFonts w:ascii="Arial" w:hAnsi="Arial" w:cs="Arial"/>
              <w:sz w:val="24"/>
              <w:szCs w:val="24"/>
              <w:lang w:eastAsia="en-GB"/>
            </w:rPr>
            <w:fldChar w:fldCharType="begin"/>
          </w:r>
          <w:r w:rsidR="000814AC">
            <w:rPr>
              <w:rFonts w:ascii="Arial" w:hAnsi="Arial" w:cs="Arial"/>
              <w:sz w:val="24"/>
              <w:szCs w:val="24"/>
              <w:lang w:eastAsia="en-GB"/>
            </w:rPr>
            <w:instrText xml:space="preserve"> CITATION OBr14 \l 2057 </w:instrText>
          </w:r>
          <w:r w:rsidR="000814AC">
            <w:rPr>
              <w:rFonts w:ascii="Arial" w:hAnsi="Arial" w:cs="Arial"/>
              <w:sz w:val="24"/>
              <w:szCs w:val="24"/>
              <w:lang w:eastAsia="en-GB"/>
            </w:rPr>
            <w:fldChar w:fldCharType="separate"/>
          </w:r>
          <w:r w:rsidR="00745BB5" w:rsidRPr="00745BB5">
            <w:rPr>
              <w:rFonts w:ascii="Arial" w:hAnsi="Arial" w:cs="Arial"/>
              <w:noProof/>
              <w:sz w:val="24"/>
              <w:szCs w:val="24"/>
              <w:lang w:eastAsia="en-GB"/>
            </w:rPr>
            <w:t>(O'Brien, 2014)</w:t>
          </w:r>
          <w:r w:rsidR="000814AC">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HSBC, after it was fined in 2012, wrote to over 40 consulates and embassies in the UK terminating their banking relationships. This included diplomats from the Vatican, Benin and Papa New Guinea who reported diffic</w:t>
      </w:r>
      <w:r w:rsidR="00886DB3">
        <w:rPr>
          <w:rFonts w:ascii="Arial" w:hAnsi="Arial" w:cs="Arial"/>
          <w:sz w:val="24"/>
          <w:szCs w:val="24"/>
          <w:shd w:val="clear" w:color="auto" w:fill="FFFFFF"/>
          <w:lang w:eastAsia="en-GB"/>
        </w:rPr>
        <w:t xml:space="preserve">ulties finding other banks </w:t>
      </w:r>
      <w:sdt>
        <w:sdtPr>
          <w:rPr>
            <w:rFonts w:ascii="Arial" w:hAnsi="Arial" w:cs="Arial"/>
            <w:sz w:val="24"/>
            <w:szCs w:val="24"/>
            <w:shd w:val="clear" w:color="auto" w:fill="FFFFFF"/>
            <w:lang w:eastAsia="en-GB"/>
          </w:rPr>
          <w:id w:val="88125994"/>
          <w:citation/>
        </w:sdtPr>
        <w:sdtEndPr/>
        <w:sdtContent>
          <w:r w:rsidR="00886DB3">
            <w:rPr>
              <w:rFonts w:ascii="Arial" w:hAnsi="Arial" w:cs="Arial"/>
              <w:sz w:val="24"/>
              <w:szCs w:val="24"/>
              <w:shd w:val="clear" w:color="auto" w:fill="FFFFFF"/>
              <w:lang w:eastAsia="en-GB"/>
            </w:rPr>
            <w:fldChar w:fldCharType="begin"/>
          </w:r>
          <w:r w:rsidR="00886DB3">
            <w:rPr>
              <w:rFonts w:ascii="Arial" w:hAnsi="Arial" w:cs="Arial"/>
              <w:sz w:val="24"/>
              <w:szCs w:val="24"/>
              <w:shd w:val="clear" w:color="auto" w:fill="FFFFFF"/>
              <w:lang w:eastAsia="en-GB"/>
            </w:rPr>
            <w:instrText xml:space="preserve"> CITATION RT14 \l 2057 </w:instrText>
          </w:r>
          <w:r w:rsidR="00886DB3">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(RT, 2014)</w:t>
          </w:r>
          <w:r w:rsidR="00886DB3">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xml:space="preserve"> This was part of the so called six filter assessment that HSBC had rolled out over their client base to determine where it would continue to do business. Originally HSBC used a 5 filters (international connectivity, economic development, profitability, cost efficiency, liquidity) to decide whether </w:t>
      </w:r>
      <w:r w:rsidR="00886DB3">
        <w:rPr>
          <w:rFonts w:ascii="Arial" w:hAnsi="Arial" w:cs="Arial"/>
          <w:sz w:val="24"/>
          <w:szCs w:val="24"/>
          <w:shd w:val="clear" w:color="auto" w:fill="FFFFFF"/>
          <w:lang w:eastAsia="en-GB"/>
        </w:rPr>
        <w:t xml:space="preserve">to continue a relationship </w:t>
      </w:r>
      <w:sdt>
        <w:sdtPr>
          <w:rPr>
            <w:rFonts w:ascii="Arial" w:hAnsi="Arial" w:cs="Arial"/>
            <w:sz w:val="24"/>
            <w:szCs w:val="24"/>
            <w:shd w:val="clear" w:color="auto" w:fill="FFFFFF"/>
            <w:lang w:eastAsia="en-GB"/>
          </w:rPr>
          <w:id w:val="-1487074641"/>
          <w:citation/>
        </w:sdtPr>
        <w:sdtEndPr/>
        <w:sdtContent>
          <w:r w:rsidR="00886DB3">
            <w:rPr>
              <w:rFonts w:ascii="Arial" w:hAnsi="Arial" w:cs="Arial"/>
              <w:sz w:val="24"/>
              <w:szCs w:val="24"/>
              <w:shd w:val="clear" w:color="auto" w:fill="FFFFFF"/>
              <w:lang w:eastAsia="en-GB"/>
            </w:rPr>
            <w:fldChar w:fldCharType="begin"/>
          </w:r>
          <w:r w:rsidR="00886DB3">
            <w:rPr>
              <w:rFonts w:ascii="Arial" w:hAnsi="Arial" w:cs="Arial"/>
              <w:sz w:val="24"/>
              <w:szCs w:val="24"/>
              <w:shd w:val="clear" w:color="auto" w:fill="FFFFFF"/>
              <w:lang w:eastAsia="en-GB"/>
            </w:rPr>
            <w:instrText xml:space="preserve"> CITATION Har13 \l 2057 </w:instrText>
          </w:r>
          <w:r w:rsidR="00886DB3">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(Hart, 2013)</w:t>
          </w:r>
          <w:r w:rsidR="00886DB3">
            <w:rPr>
              <w:rFonts w:ascii="Arial" w:hAnsi="Arial" w:cs="Arial"/>
              <w:sz w:val="24"/>
              <w:szCs w:val="24"/>
              <w:shd w:val="clear" w:color="auto" w:fill="FFFFFF"/>
              <w:lang w:eastAsia="en-GB"/>
            </w:rPr>
            <w:fldChar w:fldCharType="end"/>
          </w:r>
        </w:sdtContent>
      </w:sdt>
      <w:r w:rsidR="00886DB3">
        <w:rPr>
          <w:rFonts w:ascii="Arial" w:hAnsi="Arial" w:cs="Arial"/>
          <w:sz w:val="24"/>
          <w:szCs w:val="24"/>
          <w:shd w:val="clear" w:color="auto" w:fill="FFFFFF"/>
          <w:lang w:eastAsia="en-GB"/>
        </w:rPr>
        <w:t>.</w:t>
      </w:r>
      <w:r w:rsidRPr="00E275AA">
        <w:rPr>
          <w:rFonts w:ascii="Arial" w:hAnsi="Arial" w:cs="Arial"/>
          <w:sz w:val="24"/>
          <w:szCs w:val="24"/>
          <w:shd w:val="clear" w:color="auto" w:fill="FFFFFF"/>
          <w:lang w:eastAsia="en-GB"/>
        </w:rPr>
        <w:t> HSBC later added a sixth filter to detect countries, clients and relationships that could cause issues from a regulatory or ethical perspective as well as investin</w:t>
      </w:r>
      <w:r w:rsidRPr="00E275AA">
        <w:rPr>
          <w:rFonts w:ascii="Arial" w:hAnsi="Arial" w:cs="Arial"/>
          <w:sz w:val="24"/>
          <w:szCs w:val="24"/>
          <w:lang w:eastAsia="en-GB"/>
        </w:rPr>
        <w:t>g $700million to improve the ‘</w:t>
      </w:r>
      <w:r w:rsidR="00886DB3">
        <w:rPr>
          <w:rFonts w:ascii="Arial" w:hAnsi="Arial" w:cs="Arial"/>
          <w:sz w:val="24"/>
          <w:szCs w:val="24"/>
          <w:lang w:eastAsia="en-GB"/>
        </w:rPr>
        <w:t xml:space="preserve">know your customer’ checks. </w:t>
      </w:r>
      <w:sdt>
        <w:sdtPr>
          <w:rPr>
            <w:rFonts w:ascii="Arial" w:hAnsi="Arial" w:cs="Arial"/>
            <w:sz w:val="24"/>
            <w:szCs w:val="24"/>
            <w:lang w:eastAsia="en-GB"/>
          </w:rPr>
          <w:id w:val="432324590"/>
          <w:citation/>
        </w:sdtPr>
        <w:sdtEndPr/>
        <w:sdtContent>
          <w:r w:rsidR="00886DB3">
            <w:rPr>
              <w:rFonts w:ascii="Arial" w:hAnsi="Arial" w:cs="Arial"/>
              <w:sz w:val="24"/>
              <w:szCs w:val="24"/>
              <w:lang w:eastAsia="en-GB"/>
            </w:rPr>
            <w:fldChar w:fldCharType="begin"/>
          </w:r>
          <w:r w:rsidR="00886DB3">
            <w:rPr>
              <w:rFonts w:ascii="Arial" w:hAnsi="Arial" w:cs="Arial"/>
              <w:sz w:val="24"/>
              <w:szCs w:val="24"/>
              <w:lang w:eastAsia="en-GB"/>
            </w:rPr>
            <w:instrText xml:space="preserve"> CITATION Rea14 \l 2057 </w:instrText>
          </w:r>
          <w:r w:rsidR="00886DB3">
            <w:rPr>
              <w:rFonts w:ascii="Arial" w:hAnsi="Arial" w:cs="Arial"/>
              <w:sz w:val="24"/>
              <w:szCs w:val="24"/>
              <w:lang w:eastAsia="en-GB"/>
            </w:rPr>
            <w:fldChar w:fldCharType="separate"/>
          </w:r>
          <w:r w:rsidR="00745BB5" w:rsidRPr="00745BB5">
            <w:rPr>
              <w:rFonts w:ascii="Arial" w:hAnsi="Arial" w:cs="Arial"/>
              <w:noProof/>
              <w:sz w:val="24"/>
              <w:szCs w:val="24"/>
              <w:lang w:eastAsia="en-GB"/>
            </w:rPr>
            <w:t>(Ready-Made Investment Digest, 2014)</w:t>
          </w:r>
          <w:r w:rsidR="00886DB3">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 xml:space="preserve">In the UK an FSA thematic review found ¾ of </w:t>
      </w:r>
      <w:r w:rsidR="000814AC">
        <w:rPr>
          <w:rFonts w:ascii="Arial" w:hAnsi="Arial" w:cs="Arial"/>
          <w:sz w:val="24"/>
          <w:szCs w:val="24"/>
          <w:shd w:val="clear" w:color="auto" w:fill="FFFFFF"/>
          <w:lang w:eastAsia="en-GB"/>
        </w:rPr>
        <w:t xml:space="preserve">the banks they had inspected </w:t>
      </w:r>
      <w:r w:rsidR="00FD6F53" w:rsidRPr="00E275AA">
        <w:rPr>
          <w:rFonts w:ascii="Arial" w:hAnsi="Arial" w:cs="Arial"/>
          <w:sz w:val="24"/>
          <w:szCs w:val="24"/>
          <w:shd w:val="clear" w:color="auto" w:fill="FFFFFF"/>
          <w:lang w:eastAsia="en-GB"/>
        </w:rPr>
        <w:t>were</w:t>
      </w:r>
      <w:r w:rsidRPr="00E275AA">
        <w:rPr>
          <w:rFonts w:ascii="Arial" w:hAnsi="Arial" w:cs="Arial"/>
          <w:sz w:val="24"/>
          <w:szCs w:val="24"/>
          <w:shd w:val="clear" w:color="auto" w:fill="FFFFFF"/>
          <w:lang w:eastAsia="en-GB"/>
        </w:rPr>
        <w:t xml:space="preserve"> not effectively managing their relationships with PEPs. They </w:t>
      </w:r>
      <w:r w:rsidR="00FD6F53" w:rsidRPr="00E275AA">
        <w:rPr>
          <w:rFonts w:ascii="Arial" w:hAnsi="Arial" w:cs="Arial"/>
          <w:sz w:val="24"/>
          <w:szCs w:val="24"/>
          <w:shd w:val="clear" w:color="auto" w:fill="FFFFFF"/>
          <w:lang w:eastAsia="en-GB"/>
        </w:rPr>
        <w:t>found that</w:t>
      </w:r>
      <w:r w:rsidRPr="00E275AA">
        <w:rPr>
          <w:rFonts w:ascii="Arial" w:hAnsi="Arial" w:cs="Arial"/>
          <w:sz w:val="24"/>
          <w:szCs w:val="24"/>
          <w:shd w:val="clear" w:color="auto" w:fill="FFFFFF"/>
          <w:lang w:eastAsia="en-GB"/>
        </w:rPr>
        <w:t xml:space="preserve"> banks were not correctly identifying individuals as PEP and challenging them on their sources of income and account usa</w:t>
      </w:r>
      <w:r w:rsidRPr="00FD6F53">
        <w:rPr>
          <w:rFonts w:ascii="Arial" w:hAnsi="Arial" w:cs="Arial"/>
          <w:sz w:val="24"/>
          <w:szCs w:val="24"/>
          <w:shd w:val="clear" w:color="auto" w:fill="FFFFFF"/>
          <w:lang w:eastAsia="en-GB"/>
        </w:rPr>
        <w:t>ge</w:t>
      </w:r>
      <w:r w:rsidRPr="00E275AA">
        <w:rPr>
          <w:rFonts w:ascii="Arial" w:hAnsi="Arial" w:cs="Arial"/>
          <w:sz w:val="24"/>
          <w:szCs w:val="24"/>
          <w:shd w:val="clear" w:color="auto" w:fill="FFFFFF"/>
          <w:lang w:eastAsia="en-GB"/>
        </w:rPr>
        <w:t>.</w:t>
      </w:r>
      <w:sdt>
        <w:sdtPr>
          <w:rPr>
            <w:rFonts w:ascii="Arial" w:hAnsi="Arial" w:cs="Arial"/>
            <w:sz w:val="24"/>
            <w:szCs w:val="24"/>
            <w:shd w:val="clear" w:color="auto" w:fill="FFFFFF"/>
            <w:lang w:eastAsia="en-GB"/>
          </w:rPr>
          <w:id w:val="941961370"/>
          <w:citation/>
        </w:sdtPr>
        <w:sdtEndPr/>
        <w:sdtContent>
          <w:r w:rsidR="00FD6F53">
            <w:rPr>
              <w:rFonts w:ascii="Arial" w:hAnsi="Arial" w:cs="Arial"/>
              <w:sz w:val="24"/>
              <w:szCs w:val="24"/>
              <w:shd w:val="clear" w:color="auto" w:fill="FFFFFF"/>
              <w:lang w:eastAsia="en-GB"/>
            </w:rPr>
            <w:fldChar w:fldCharType="begin"/>
          </w:r>
          <w:r w:rsidR="00FD6F53">
            <w:rPr>
              <w:rFonts w:ascii="Arial" w:hAnsi="Arial" w:cs="Arial"/>
              <w:sz w:val="24"/>
              <w:szCs w:val="24"/>
              <w:shd w:val="clear" w:color="auto" w:fill="FFFFFF"/>
              <w:lang w:eastAsia="en-GB"/>
            </w:rPr>
            <w:instrText xml:space="preserve"> CITATION Fin13a \l 2057 </w:instrText>
          </w:r>
          <w:r w:rsidR="00FD6F53">
            <w:rPr>
              <w:rFonts w:ascii="Arial" w:hAnsi="Arial" w:cs="Arial"/>
              <w:sz w:val="24"/>
              <w:szCs w:val="24"/>
              <w:shd w:val="clear" w:color="auto" w:fill="FFFFFF"/>
              <w:lang w:eastAsia="en-GB"/>
            </w:rPr>
            <w:fldChar w:fldCharType="separate"/>
          </w:r>
          <w:r w:rsidR="00745BB5">
            <w:rPr>
              <w:rFonts w:ascii="Arial" w:hAnsi="Arial" w:cs="Arial"/>
              <w:noProof/>
              <w:sz w:val="24"/>
              <w:szCs w:val="24"/>
              <w:shd w:val="clear" w:color="auto" w:fill="FFFFFF"/>
              <w:lang w:eastAsia="en-GB"/>
            </w:rPr>
            <w:t xml:space="preserve"> </w:t>
          </w:r>
          <w:r w:rsidR="00745BB5" w:rsidRPr="00745BB5">
            <w:rPr>
              <w:rFonts w:ascii="Arial" w:hAnsi="Arial" w:cs="Arial"/>
              <w:noProof/>
              <w:sz w:val="24"/>
              <w:szCs w:val="24"/>
              <w:shd w:val="clear" w:color="auto" w:fill="FFFFFF"/>
              <w:lang w:eastAsia="en-GB"/>
            </w:rPr>
            <w:t>(Financial Conduct Authority, 2013)</w:t>
          </w:r>
          <w:r w:rsidR="00FD6F53">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xml:space="preserve"> G</w:t>
      </w:r>
      <w:r w:rsidR="000814AC">
        <w:rPr>
          <w:rFonts w:ascii="Arial" w:hAnsi="Arial" w:cs="Arial"/>
          <w:sz w:val="24"/>
          <w:szCs w:val="24"/>
          <w:shd w:val="clear" w:color="auto" w:fill="FFFFFF"/>
          <w:lang w:eastAsia="en-GB"/>
        </w:rPr>
        <w:t xml:space="preserve">iven the widespread poor practice that the regulators </w:t>
      </w:r>
      <w:r w:rsidR="000814AC" w:rsidRPr="00E275AA">
        <w:rPr>
          <w:rFonts w:ascii="Arial" w:hAnsi="Arial" w:cs="Arial"/>
          <w:sz w:val="24"/>
          <w:szCs w:val="24"/>
          <w:shd w:val="clear" w:color="auto" w:fill="FFFFFF"/>
          <w:lang w:eastAsia="en-GB"/>
        </w:rPr>
        <w:t>found</w:t>
      </w:r>
      <w:r w:rsidRPr="00E275AA">
        <w:rPr>
          <w:rFonts w:ascii="Arial" w:hAnsi="Arial" w:cs="Arial"/>
          <w:sz w:val="24"/>
          <w:szCs w:val="24"/>
          <w:shd w:val="clear" w:color="auto" w:fill="FFFFFF"/>
          <w:lang w:eastAsia="en-GB"/>
        </w:rPr>
        <w:t xml:space="preserve"> it was not surprising that several UK banks decided to close the accounts of PEPs in the UK.</w:t>
      </w:r>
      <w:r w:rsidR="00FD6F53">
        <w:rPr>
          <w:rFonts w:ascii="Arial" w:hAnsi="Arial" w:cs="Arial"/>
          <w:sz w:val="24"/>
          <w:szCs w:val="24"/>
          <w:shd w:val="clear" w:color="auto" w:fill="FFFFFF"/>
          <w:lang w:eastAsia="en-GB"/>
        </w:rPr>
        <w:t xml:space="preserve"> </w:t>
      </w:r>
      <w:r w:rsidRPr="00E275AA">
        <w:rPr>
          <w:rFonts w:ascii="Arial" w:hAnsi="Arial" w:cs="Arial"/>
          <w:sz w:val="24"/>
          <w:szCs w:val="24"/>
          <w:shd w:val="clear" w:color="auto" w:fill="FFFFFF"/>
          <w:lang w:eastAsia="en-GB"/>
        </w:rPr>
        <w:t xml:space="preserve">The issue was raised in the House </w:t>
      </w:r>
      <w:r w:rsidRPr="00FD6F53">
        <w:rPr>
          <w:rFonts w:ascii="Arial" w:hAnsi="Arial" w:cs="Arial"/>
          <w:sz w:val="24"/>
          <w:szCs w:val="24"/>
          <w:shd w:val="clear" w:color="auto" w:fill="FFFFFF"/>
          <w:lang w:eastAsia="en-GB"/>
        </w:rPr>
        <w:t xml:space="preserve">of Lords </w:t>
      </w:r>
      <w:r w:rsidRPr="00E275AA">
        <w:rPr>
          <w:rFonts w:ascii="Arial" w:hAnsi="Arial" w:cs="Arial"/>
          <w:sz w:val="24"/>
          <w:szCs w:val="24"/>
          <w:shd w:val="clear" w:color="auto" w:fill="FFFFFF"/>
          <w:lang w:eastAsia="en-GB"/>
        </w:rPr>
        <w:t>when domestic peers were included in the definition of PEP. Several family members of the House of Lo</w:t>
      </w:r>
      <w:r w:rsidRPr="00FD6F53">
        <w:rPr>
          <w:rFonts w:ascii="Arial" w:hAnsi="Arial" w:cs="Arial"/>
          <w:sz w:val="24"/>
          <w:szCs w:val="24"/>
          <w:shd w:val="clear" w:color="auto" w:fill="FFFFFF"/>
          <w:lang w:eastAsia="en-GB"/>
        </w:rPr>
        <w:t>rds</w:t>
      </w:r>
      <w:r w:rsidRPr="00E275AA">
        <w:rPr>
          <w:rFonts w:ascii="Arial" w:hAnsi="Arial" w:cs="Arial"/>
          <w:sz w:val="24"/>
          <w:szCs w:val="24"/>
          <w:shd w:val="clear" w:color="auto" w:fill="FFFFFF"/>
          <w:lang w:eastAsia="en-GB"/>
        </w:rPr>
        <w:t xml:space="preserve"> had been unable to open accounts, change the names on accounts, access accounts abroad, use ATMs or enact a power of attorney. However overall these cases seem to be fairly low with the Financial Ombudsman only receiving 80/50,000 complaints on the subject of the treatment of PEPs. This a small percentage of the 150,000 PEP that are estimated to reside in the UK</w:t>
      </w:r>
      <w:r w:rsidR="00FD6F53">
        <w:rPr>
          <w:rFonts w:ascii="Arial" w:hAnsi="Arial" w:cs="Arial"/>
          <w:sz w:val="24"/>
          <w:szCs w:val="24"/>
          <w:shd w:val="clear" w:color="auto" w:fill="FFFFFF"/>
          <w:lang w:eastAsia="en-GB"/>
        </w:rPr>
        <w:t xml:space="preserve"> </w:t>
      </w:r>
      <w:sdt>
        <w:sdtPr>
          <w:rPr>
            <w:rFonts w:ascii="Arial" w:hAnsi="Arial" w:cs="Arial"/>
            <w:sz w:val="24"/>
            <w:szCs w:val="24"/>
            <w:lang w:eastAsia="en-GB"/>
          </w:rPr>
          <w:id w:val="-1366816846"/>
          <w:citation/>
        </w:sdtPr>
        <w:sdtEndPr/>
        <w:sdtContent>
          <w:r w:rsidR="00FD6F53" w:rsidRPr="00FD6F53">
            <w:rPr>
              <w:rFonts w:ascii="Arial" w:hAnsi="Arial" w:cs="Arial"/>
              <w:sz w:val="24"/>
              <w:szCs w:val="24"/>
              <w:lang w:eastAsia="en-GB"/>
            </w:rPr>
            <w:fldChar w:fldCharType="begin"/>
          </w:r>
          <w:r w:rsidR="00FD6F53" w:rsidRPr="00FD6F53">
            <w:rPr>
              <w:rFonts w:ascii="Arial" w:hAnsi="Arial" w:cs="Arial"/>
              <w:sz w:val="24"/>
              <w:szCs w:val="24"/>
              <w:lang w:eastAsia="en-GB"/>
            </w:rPr>
            <w:instrText xml:space="preserve"> CITATION Hou14 \l 2057 </w:instrText>
          </w:r>
          <w:r w:rsidR="00FD6F53" w:rsidRPr="00FD6F53">
            <w:rPr>
              <w:rFonts w:ascii="Arial" w:hAnsi="Arial" w:cs="Arial"/>
              <w:sz w:val="24"/>
              <w:szCs w:val="24"/>
              <w:lang w:eastAsia="en-GB"/>
            </w:rPr>
            <w:fldChar w:fldCharType="separate"/>
          </w:r>
          <w:r w:rsidR="00745BB5" w:rsidRPr="00745BB5">
            <w:rPr>
              <w:rFonts w:ascii="Arial" w:hAnsi="Arial" w:cs="Arial"/>
              <w:noProof/>
              <w:sz w:val="24"/>
              <w:szCs w:val="24"/>
              <w:lang w:eastAsia="en-GB"/>
            </w:rPr>
            <w:t>(House of Lords, 2014)</w:t>
          </w:r>
          <w:r w:rsidR="00FD6F53" w:rsidRPr="00FD6F53">
            <w:rPr>
              <w:rFonts w:ascii="Arial" w:hAnsi="Arial" w:cs="Arial"/>
              <w:sz w:val="24"/>
              <w:szCs w:val="24"/>
              <w:lang w:eastAsia="en-GB"/>
            </w:rPr>
            <w:fldChar w:fldCharType="end"/>
          </w:r>
        </w:sdtContent>
      </w:sdt>
      <w:r w:rsidRPr="00FD6F53">
        <w:rPr>
          <w:rFonts w:ascii="Arial" w:hAnsi="Arial" w:cs="Arial"/>
          <w:sz w:val="24"/>
          <w:szCs w:val="24"/>
          <w:lang w:eastAsia="en-GB"/>
        </w:rPr>
        <w:t xml:space="preserve"> FATF specifically clarified in a statement that r</w:t>
      </w:r>
      <w:r w:rsidRPr="00E275AA">
        <w:rPr>
          <w:rFonts w:ascii="Arial" w:hAnsi="Arial" w:cs="Arial"/>
          <w:sz w:val="24"/>
          <w:szCs w:val="24"/>
          <w:lang w:eastAsia="en-GB"/>
        </w:rPr>
        <w:t>efusing a business relationship because of a person is a PEP is contrary to the spirit of the FATF recommendations and urged banks to take a more risk-based approach.</w:t>
      </w:r>
      <w:sdt>
        <w:sdtPr>
          <w:rPr>
            <w:rFonts w:ascii="Arial" w:hAnsi="Arial" w:cs="Arial"/>
            <w:sz w:val="24"/>
            <w:szCs w:val="24"/>
            <w:lang w:eastAsia="en-GB"/>
          </w:rPr>
          <w:id w:val="-2034257524"/>
          <w:citation/>
        </w:sdtPr>
        <w:sdtEndPr/>
        <w:sdtContent>
          <w:r w:rsidR="00FD6F53">
            <w:rPr>
              <w:rFonts w:ascii="Arial" w:hAnsi="Arial" w:cs="Arial"/>
              <w:sz w:val="24"/>
              <w:szCs w:val="24"/>
              <w:lang w:eastAsia="en-GB"/>
            </w:rPr>
            <w:fldChar w:fldCharType="begin"/>
          </w:r>
          <w:r w:rsidR="00FD6F53">
            <w:rPr>
              <w:rFonts w:ascii="Arial" w:hAnsi="Arial" w:cs="Arial"/>
              <w:sz w:val="24"/>
              <w:szCs w:val="24"/>
              <w:lang w:eastAsia="en-GB"/>
            </w:rPr>
            <w:instrText xml:space="preserve"> CITATION Fin12 \l 2057 </w:instrText>
          </w:r>
          <w:r w:rsidR="00FD6F53">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(Financial Action Task Force, 2012)</w:t>
          </w:r>
          <w:r w:rsidR="00FD6F53">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u w:val="single"/>
          <w:shd w:val="clear" w:color="auto" w:fill="FFFFFF"/>
          <w:lang w:eastAsia="en-GB"/>
        </w:rPr>
        <w:t>Ethnic minorities</w:t>
      </w:r>
    </w:p>
    <w:p w:rsidR="00E275AA" w:rsidRPr="00E275AA" w:rsidRDefault="00E275AA" w:rsidP="00E275AA">
      <w:pPr>
        <w:spacing w:before="0" w:after="0" w:line="480" w:lineRule="auto"/>
        <w:jc w:val="both"/>
        <w:rPr>
          <w:rFonts w:ascii="Arial" w:hAnsi="Arial" w:cs="Arial"/>
          <w:sz w:val="24"/>
          <w:szCs w:val="24"/>
          <w:shd w:val="clear" w:color="auto" w:fill="FFFFFF"/>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Moreover the BBC reported that hundreds of individuals from ethnic minority background had had their accounts closed at short notice with little</w:t>
      </w:r>
      <w:r w:rsidR="001D220E">
        <w:rPr>
          <w:rFonts w:ascii="Arial" w:hAnsi="Arial" w:cs="Arial"/>
          <w:sz w:val="24"/>
          <w:szCs w:val="24"/>
          <w:shd w:val="clear" w:color="auto" w:fill="FFFFFF"/>
          <w:lang w:eastAsia="en-GB"/>
        </w:rPr>
        <w:t xml:space="preserve"> explanation from the banks </w:t>
      </w:r>
      <w:sdt>
        <w:sdtPr>
          <w:rPr>
            <w:rFonts w:ascii="Arial" w:hAnsi="Arial" w:cs="Arial"/>
            <w:sz w:val="24"/>
            <w:szCs w:val="24"/>
            <w:shd w:val="clear" w:color="auto" w:fill="FFFFFF"/>
            <w:lang w:eastAsia="en-GB"/>
          </w:rPr>
          <w:id w:val="1551101674"/>
          <w:citation/>
        </w:sdtPr>
        <w:sdtEndPr/>
        <w:sdtContent>
          <w:r w:rsidR="001D220E">
            <w:rPr>
              <w:rFonts w:ascii="Arial" w:hAnsi="Arial" w:cs="Arial"/>
              <w:sz w:val="24"/>
              <w:szCs w:val="24"/>
              <w:shd w:val="clear" w:color="auto" w:fill="FFFFFF"/>
              <w:lang w:eastAsia="en-GB"/>
            </w:rPr>
            <w:fldChar w:fldCharType="begin"/>
          </w:r>
          <w:r w:rsidR="001D220E">
            <w:rPr>
              <w:rFonts w:ascii="Arial" w:hAnsi="Arial" w:cs="Arial"/>
              <w:sz w:val="24"/>
              <w:szCs w:val="24"/>
              <w:shd w:val="clear" w:color="auto" w:fill="FFFFFF"/>
              <w:lang w:eastAsia="en-GB"/>
            </w:rPr>
            <w:instrText xml:space="preserve"> CITATION How13 \l 2057 </w:instrText>
          </w:r>
          <w:r w:rsidR="001D220E">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(Howard, 2013)</w:t>
          </w:r>
          <w:r w:rsidR="001D220E">
            <w:rPr>
              <w:rFonts w:ascii="Arial" w:hAnsi="Arial" w:cs="Arial"/>
              <w:sz w:val="24"/>
              <w:szCs w:val="24"/>
              <w:shd w:val="clear" w:color="auto" w:fill="FFFFFF"/>
              <w:lang w:eastAsia="en-GB"/>
            </w:rPr>
            <w:fldChar w:fldCharType="end"/>
          </w:r>
        </w:sdtContent>
      </w:sdt>
      <w:r w:rsidR="001D220E">
        <w:rPr>
          <w:rFonts w:ascii="Arial" w:hAnsi="Arial" w:cs="Arial"/>
          <w:sz w:val="24"/>
          <w:szCs w:val="24"/>
          <w:shd w:val="clear" w:color="auto" w:fill="FFFFFF"/>
          <w:lang w:eastAsia="en-GB"/>
        </w:rPr>
        <w:t>.</w:t>
      </w:r>
      <w:r w:rsidRPr="00E275AA">
        <w:rPr>
          <w:rFonts w:ascii="Arial" w:hAnsi="Arial" w:cs="Arial"/>
          <w:sz w:val="24"/>
          <w:szCs w:val="24"/>
          <w:shd w:val="clear" w:color="auto" w:fill="FFFFFF"/>
          <w:lang w:eastAsia="en-GB"/>
        </w:rPr>
        <w:t>There are specific examples of individuals from Iranian backgrounds having had their accounts closed or suspended. A high profile case of this was Iraj Hashi an eminent Iranian economics professor and his wife had their accounts closed by NatWest despite have 40 years of good banking records. Natwest confirmed that they would never close a client’s account based on their nationality. However there have also been other reports individuals of Iranian heritage having their account cl</w:t>
      </w:r>
      <w:r w:rsidRPr="00A738B0">
        <w:rPr>
          <w:rFonts w:ascii="Arial" w:hAnsi="Arial" w:cs="Arial"/>
          <w:sz w:val="24"/>
          <w:szCs w:val="24"/>
          <w:shd w:val="clear" w:color="auto" w:fill="FFFFFF"/>
          <w:lang w:eastAsia="en-GB"/>
        </w:rPr>
        <w:t>osed</w:t>
      </w:r>
      <w:r w:rsidRPr="00E275AA">
        <w:rPr>
          <w:rFonts w:ascii="Arial" w:hAnsi="Arial" w:cs="Arial"/>
          <w:sz w:val="24"/>
          <w:szCs w:val="24"/>
          <w:shd w:val="clear" w:color="auto" w:fill="FFFFFF"/>
          <w:lang w:eastAsia="en-GB"/>
        </w:rPr>
        <w:t xml:space="preserve">. </w:t>
      </w:r>
      <w:sdt>
        <w:sdtPr>
          <w:rPr>
            <w:rFonts w:ascii="Arial" w:hAnsi="Arial" w:cs="Arial"/>
            <w:sz w:val="24"/>
            <w:szCs w:val="24"/>
            <w:shd w:val="clear" w:color="auto" w:fill="FFFFFF"/>
            <w:lang w:eastAsia="en-GB"/>
          </w:rPr>
          <w:id w:val="-821120123"/>
          <w:citation/>
        </w:sdtPr>
        <w:sdtEndPr/>
        <w:sdtContent>
          <w:r w:rsidR="00A738B0">
            <w:rPr>
              <w:rFonts w:ascii="Arial" w:hAnsi="Arial" w:cs="Arial"/>
              <w:sz w:val="24"/>
              <w:szCs w:val="24"/>
              <w:shd w:val="clear" w:color="auto" w:fill="FFFFFF"/>
              <w:lang w:eastAsia="en-GB"/>
            </w:rPr>
            <w:fldChar w:fldCharType="begin"/>
          </w:r>
          <w:r w:rsidR="00A738B0">
            <w:rPr>
              <w:rFonts w:ascii="Arial" w:hAnsi="Arial" w:cs="Arial"/>
              <w:sz w:val="24"/>
              <w:szCs w:val="24"/>
              <w:shd w:val="clear" w:color="auto" w:fill="FFFFFF"/>
              <w:lang w:eastAsia="en-GB"/>
            </w:rPr>
            <w:instrText xml:space="preserve"> CITATION Raw13 \l 2057 </w:instrText>
          </w:r>
          <w:r w:rsidR="00A738B0">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(Rawlinson, Lewis, Field, Howsam, Collison, &amp; Allan, 2013)</w:t>
          </w:r>
          <w:r w:rsidR="00A738B0">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xml:space="preserve">The Iranian national television channel had its accounts frozen by NatWest in 2011 without explanation. Similarly </w:t>
      </w:r>
      <w:r w:rsidRPr="00E275AA">
        <w:rPr>
          <w:rFonts w:ascii="Arial" w:hAnsi="Arial" w:cs="Arial"/>
          <w:sz w:val="24"/>
          <w:szCs w:val="24"/>
          <w:lang w:eastAsia="en-GB"/>
        </w:rPr>
        <w:t>Justice for Iran, a group that documents human rights violations in Iran was unable to open a bank account in the UK as they had</w:t>
      </w:r>
      <w:r w:rsidR="001D220E">
        <w:rPr>
          <w:rFonts w:ascii="Arial" w:hAnsi="Arial" w:cs="Arial"/>
          <w:sz w:val="24"/>
          <w:szCs w:val="24"/>
          <w:lang w:eastAsia="en-GB"/>
        </w:rPr>
        <w:t xml:space="preserve"> Iran in their company name</w:t>
      </w:r>
      <w:sdt>
        <w:sdtPr>
          <w:rPr>
            <w:rFonts w:ascii="Arial" w:hAnsi="Arial" w:cs="Arial"/>
            <w:sz w:val="24"/>
            <w:szCs w:val="24"/>
            <w:lang w:eastAsia="en-GB"/>
          </w:rPr>
          <w:id w:val="-155305306"/>
          <w:citation/>
        </w:sdtPr>
        <w:sdtEndPr/>
        <w:sdtContent>
          <w:r w:rsidR="001D220E">
            <w:rPr>
              <w:rFonts w:ascii="Arial" w:hAnsi="Arial" w:cs="Arial"/>
              <w:sz w:val="24"/>
              <w:szCs w:val="24"/>
              <w:lang w:eastAsia="en-GB"/>
            </w:rPr>
            <w:fldChar w:fldCharType="begin"/>
          </w:r>
          <w:r w:rsidR="001D220E">
            <w:rPr>
              <w:rFonts w:ascii="Arial" w:hAnsi="Arial" w:cs="Arial"/>
              <w:sz w:val="24"/>
              <w:szCs w:val="24"/>
              <w:lang w:eastAsia="en-GB"/>
            </w:rPr>
            <w:instrText xml:space="preserve"> CITATION Deh14 \l 2057 </w:instrText>
          </w:r>
          <w:r w:rsidR="001D220E">
            <w:rPr>
              <w:rFonts w:ascii="Arial" w:hAnsi="Arial" w:cs="Arial"/>
              <w:sz w:val="24"/>
              <w:szCs w:val="24"/>
              <w:lang w:eastAsia="en-GB"/>
            </w:rPr>
            <w:fldChar w:fldCharType="separate"/>
          </w:r>
          <w:r w:rsidR="00745BB5">
            <w:rPr>
              <w:rFonts w:ascii="Arial" w:hAnsi="Arial" w:cs="Arial"/>
              <w:noProof/>
              <w:sz w:val="24"/>
              <w:szCs w:val="24"/>
              <w:lang w:eastAsia="en-GB"/>
            </w:rPr>
            <w:t xml:space="preserve"> </w:t>
          </w:r>
          <w:r w:rsidR="00745BB5" w:rsidRPr="00745BB5">
            <w:rPr>
              <w:rFonts w:ascii="Arial" w:hAnsi="Arial" w:cs="Arial"/>
              <w:noProof/>
              <w:sz w:val="24"/>
              <w:szCs w:val="24"/>
              <w:lang w:eastAsia="en-GB"/>
            </w:rPr>
            <w:t>(Dehghan, 2014)</w:t>
          </w:r>
          <w:r w:rsidR="001D220E">
            <w:rPr>
              <w:rFonts w:ascii="Arial" w:hAnsi="Arial" w:cs="Arial"/>
              <w:sz w:val="24"/>
              <w:szCs w:val="24"/>
              <w:lang w:eastAsia="en-GB"/>
            </w:rPr>
            <w:fldChar w:fldCharType="end"/>
          </w:r>
        </w:sdtContent>
      </w:sdt>
      <w:r w:rsidR="001D220E">
        <w:rPr>
          <w:rFonts w:ascii="Arial" w:hAnsi="Arial" w:cs="Arial"/>
          <w:sz w:val="24"/>
          <w:szCs w:val="24"/>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 xml:space="preserve">Barclays as part of its on-going review of risk in the Middle East closed over 500 account in the United Arab Emirates to comply with local regulatory standards. On asking why the accounts had been closed one individual had been told explicitly it was because he was Iranian. More generally Barclays have retracted business in the region closing a number of branches and focusing on investment banking and wealth management.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 xml:space="preserve">There is an on-going class action against three large high street banks for discrimination against 20 of their Iranian clients. In this case the banks gave evidence to the courts stating that these accounts been linked with a business that had made payments to Iran. Whilst this case is on-going RBS has suspended the closure of the accounts pending the outcome of the trial.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In the US several Iranian college students had their accounts suspended and launche</w:t>
      </w:r>
      <w:r w:rsidR="001D220E">
        <w:rPr>
          <w:rFonts w:ascii="Arial" w:hAnsi="Arial" w:cs="Arial"/>
          <w:sz w:val="24"/>
          <w:szCs w:val="24"/>
          <w:shd w:val="clear" w:color="auto" w:fill="FFFFFF"/>
          <w:lang w:eastAsia="en-GB"/>
        </w:rPr>
        <w:t>d a Facebook campaign in protest</w:t>
      </w:r>
      <w:r w:rsidR="00FD6F53">
        <w:rPr>
          <w:rFonts w:ascii="Arial" w:hAnsi="Arial" w:cs="Arial"/>
          <w:sz w:val="24"/>
          <w:szCs w:val="24"/>
          <w:shd w:val="clear" w:color="auto" w:fill="FFFFFF"/>
          <w:lang w:eastAsia="en-GB"/>
        </w:rPr>
        <w:t xml:space="preserve"> </w:t>
      </w:r>
      <w:sdt>
        <w:sdtPr>
          <w:rPr>
            <w:rFonts w:ascii="Arial" w:hAnsi="Arial" w:cs="Arial"/>
            <w:sz w:val="24"/>
            <w:szCs w:val="24"/>
            <w:shd w:val="clear" w:color="auto" w:fill="FFFFFF"/>
            <w:lang w:eastAsia="en-GB"/>
          </w:rPr>
          <w:id w:val="613331950"/>
          <w:citation/>
        </w:sdtPr>
        <w:sdtEndPr/>
        <w:sdtContent>
          <w:r w:rsidR="00FD6F53">
            <w:rPr>
              <w:rFonts w:ascii="Arial" w:hAnsi="Arial" w:cs="Arial"/>
              <w:sz w:val="24"/>
              <w:szCs w:val="24"/>
              <w:shd w:val="clear" w:color="auto" w:fill="FFFFFF"/>
              <w:lang w:eastAsia="en-GB"/>
            </w:rPr>
            <w:fldChar w:fldCharType="begin"/>
          </w:r>
          <w:r w:rsidR="00FD6F53">
            <w:rPr>
              <w:rFonts w:ascii="Arial" w:hAnsi="Arial" w:cs="Arial"/>
              <w:sz w:val="24"/>
              <w:szCs w:val="24"/>
              <w:shd w:val="clear" w:color="auto" w:fill="FFFFFF"/>
              <w:lang w:eastAsia="en-GB"/>
            </w:rPr>
            <w:instrText xml:space="preserve">CITATION RSB13 \l 2057 </w:instrText>
          </w:r>
          <w:r w:rsidR="00FD6F53">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(Moore E. , 2013)</w:t>
          </w:r>
          <w:r w:rsidR="00FD6F53">
            <w:rPr>
              <w:rFonts w:ascii="Arial" w:hAnsi="Arial" w:cs="Arial"/>
              <w:sz w:val="24"/>
              <w:szCs w:val="24"/>
              <w:shd w:val="clear" w:color="auto" w:fill="FFFFFF"/>
              <w:lang w:eastAsia="en-GB"/>
            </w:rPr>
            <w:fldChar w:fldCharType="end"/>
          </w:r>
        </w:sdtContent>
      </w:sdt>
      <w:r w:rsidR="00FD6F53">
        <w:rPr>
          <w:rFonts w:ascii="Arial" w:hAnsi="Arial" w:cs="Arial"/>
          <w:sz w:val="24"/>
          <w:szCs w:val="24"/>
          <w:shd w:val="clear" w:color="auto" w:fill="FFFFFF"/>
          <w:lang w:eastAsia="en-GB"/>
        </w:rPr>
        <w:t>.</w:t>
      </w:r>
      <w:r w:rsidR="001D220E">
        <w:rPr>
          <w:rFonts w:ascii="Arial" w:hAnsi="Arial" w:cs="Arial"/>
          <w:sz w:val="24"/>
          <w:szCs w:val="24"/>
          <w:shd w:val="clear" w:color="auto" w:fill="FFFFFF"/>
          <w:lang w:eastAsia="en-GB"/>
        </w:rPr>
        <w:t xml:space="preserve"> </w:t>
      </w:r>
      <w:r w:rsidRPr="00E275AA">
        <w:rPr>
          <w:rFonts w:ascii="Arial" w:hAnsi="Arial" w:cs="Arial"/>
          <w:sz w:val="24"/>
          <w:szCs w:val="24"/>
          <w:shd w:val="clear" w:color="auto" w:fill="FFFFFF"/>
          <w:lang w:eastAsia="en-GB"/>
        </w:rPr>
        <w:t xml:space="preserve">The Bank of Hawaii has been similarly sued for discrimination </w:t>
      </w:r>
      <w:r w:rsidR="00FD6F53" w:rsidRPr="00E275AA">
        <w:rPr>
          <w:rFonts w:ascii="Arial" w:hAnsi="Arial" w:cs="Arial"/>
          <w:sz w:val="24"/>
          <w:szCs w:val="24"/>
          <w:shd w:val="clear" w:color="auto" w:fill="FFFFFF"/>
          <w:lang w:eastAsia="en-GB"/>
        </w:rPr>
        <w:t>a</w:t>
      </w:r>
      <w:r w:rsidR="00FD6F53">
        <w:rPr>
          <w:rFonts w:ascii="Arial" w:hAnsi="Arial" w:cs="Arial"/>
          <w:sz w:val="24"/>
          <w:szCs w:val="24"/>
          <w:shd w:val="clear" w:color="auto" w:fill="FFFFFF"/>
          <w:lang w:eastAsia="en-GB"/>
        </w:rPr>
        <w:t>gainst Iranian</w:t>
      </w:r>
      <w:r w:rsidR="001D220E">
        <w:rPr>
          <w:rFonts w:ascii="Arial" w:hAnsi="Arial" w:cs="Arial"/>
          <w:sz w:val="24"/>
          <w:szCs w:val="24"/>
          <w:shd w:val="clear" w:color="auto" w:fill="FFFFFF"/>
          <w:lang w:eastAsia="en-GB"/>
        </w:rPr>
        <w:t xml:space="preserve"> Americans </w:t>
      </w:r>
      <w:sdt>
        <w:sdtPr>
          <w:rPr>
            <w:rFonts w:ascii="Arial" w:hAnsi="Arial" w:cs="Arial"/>
            <w:sz w:val="24"/>
            <w:szCs w:val="24"/>
            <w:shd w:val="clear" w:color="auto" w:fill="FFFFFF"/>
            <w:lang w:eastAsia="en-GB"/>
          </w:rPr>
          <w:id w:val="-954941641"/>
          <w:citation/>
        </w:sdtPr>
        <w:sdtEndPr/>
        <w:sdtContent>
          <w:r w:rsidR="001D220E">
            <w:rPr>
              <w:rFonts w:ascii="Arial" w:hAnsi="Arial" w:cs="Arial"/>
              <w:sz w:val="24"/>
              <w:szCs w:val="24"/>
              <w:shd w:val="clear" w:color="auto" w:fill="FFFFFF"/>
              <w:lang w:eastAsia="en-GB"/>
            </w:rPr>
            <w:fldChar w:fldCharType="begin"/>
          </w:r>
          <w:r w:rsidR="001D220E">
            <w:rPr>
              <w:rFonts w:ascii="Arial" w:hAnsi="Arial" w:cs="Arial"/>
              <w:sz w:val="24"/>
              <w:szCs w:val="24"/>
              <w:shd w:val="clear" w:color="auto" w:fill="FFFFFF"/>
              <w:lang w:eastAsia="en-GB"/>
            </w:rPr>
            <w:instrText xml:space="preserve"> CITATION The14 \l 2057 </w:instrText>
          </w:r>
          <w:r w:rsidR="001D220E">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(The Isaac Brock Society, 2014)</w:t>
          </w:r>
          <w:r w:rsidR="001D220E">
            <w:rPr>
              <w:rFonts w:ascii="Arial" w:hAnsi="Arial" w:cs="Arial"/>
              <w:sz w:val="24"/>
              <w:szCs w:val="24"/>
              <w:shd w:val="clear" w:color="auto" w:fill="FFFFFF"/>
              <w:lang w:eastAsia="en-GB"/>
            </w:rPr>
            <w:fldChar w:fldCharType="end"/>
          </w:r>
        </w:sdtContent>
      </w:sdt>
      <w:r w:rsidR="001D220E">
        <w:rPr>
          <w:rFonts w:ascii="Arial" w:hAnsi="Arial" w:cs="Arial"/>
          <w:sz w:val="24"/>
          <w:szCs w:val="24"/>
          <w:shd w:val="clear" w:color="auto" w:fill="FFFFFF"/>
          <w:lang w:eastAsia="en-GB"/>
        </w:rPr>
        <w:t>.</w:t>
      </w:r>
      <w:r w:rsidRPr="00E275AA">
        <w:rPr>
          <w:rFonts w:ascii="Arial" w:hAnsi="Arial" w:cs="Arial"/>
          <w:sz w:val="24"/>
          <w:szCs w:val="24"/>
          <w:shd w:val="clear" w:color="auto" w:fill="FFFFFF"/>
          <w:lang w:eastAsia="en-GB"/>
        </w:rPr>
        <w:t>  These incidents have led the National Iranian Council to state that US banks are discrimina</w:t>
      </w:r>
      <w:r w:rsidR="00977714">
        <w:rPr>
          <w:rFonts w:ascii="Arial" w:hAnsi="Arial" w:cs="Arial"/>
          <w:sz w:val="24"/>
          <w:szCs w:val="24"/>
          <w:shd w:val="clear" w:color="auto" w:fill="FFFFFF"/>
          <w:lang w:eastAsia="en-GB"/>
        </w:rPr>
        <w:t xml:space="preserve">ting against Iranian nationals </w:t>
      </w:r>
      <w:r w:rsidRPr="00E275AA">
        <w:rPr>
          <w:rFonts w:ascii="Arial" w:hAnsi="Arial" w:cs="Arial"/>
          <w:sz w:val="24"/>
          <w:szCs w:val="24"/>
          <w:shd w:val="clear" w:color="auto" w:fill="FFFFFF"/>
          <w:lang w:eastAsia="en-GB"/>
        </w:rPr>
        <w:t xml:space="preserve"> Similar reports of Iranians </w:t>
      </w:r>
      <w:r w:rsidRPr="00A95C6D">
        <w:rPr>
          <w:rFonts w:ascii="Arial" w:hAnsi="Arial" w:cs="Arial"/>
          <w:sz w:val="24"/>
          <w:szCs w:val="24"/>
          <w:shd w:val="clear" w:color="auto" w:fill="FFFFFF"/>
          <w:lang w:eastAsia="en-GB"/>
        </w:rPr>
        <w:t xml:space="preserve">account closures have been reported in Canada where 14 account from various banks  were reported to have been closed to students of Iranian background in Montreal at short notice. </w:t>
      </w:r>
      <w:sdt>
        <w:sdtPr>
          <w:rPr>
            <w:rFonts w:ascii="Arial" w:hAnsi="Arial" w:cs="Arial"/>
            <w:sz w:val="24"/>
            <w:szCs w:val="24"/>
            <w:shd w:val="clear" w:color="auto" w:fill="FFFFFF"/>
            <w:lang w:eastAsia="en-GB"/>
          </w:rPr>
          <w:id w:val="1765960706"/>
          <w:citation/>
        </w:sdtPr>
        <w:sdtEndPr/>
        <w:sdtContent>
          <w:r w:rsidR="00A95C6D" w:rsidRPr="00A95C6D">
            <w:rPr>
              <w:rFonts w:ascii="Arial" w:hAnsi="Arial" w:cs="Arial"/>
              <w:sz w:val="24"/>
              <w:szCs w:val="24"/>
              <w:shd w:val="clear" w:color="auto" w:fill="FFFFFF"/>
              <w:lang w:eastAsia="en-GB"/>
            </w:rPr>
            <w:fldChar w:fldCharType="begin"/>
          </w:r>
          <w:r w:rsidR="00A95C6D" w:rsidRPr="00A95C6D">
            <w:rPr>
              <w:rFonts w:ascii="Arial" w:hAnsi="Arial" w:cs="Arial"/>
              <w:sz w:val="24"/>
              <w:szCs w:val="24"/>
              <w:shd w:val="clear" w:color="auto" w:fill="FFFFFF"/>
              <w:lang w:val="en-US" w:eastAsia="en-GB"/>
            </w:rPr>
            <w:instrText xml:space="preserve">CITATION Ber14 \t  \l 1033 </w:instrText>
          </w:r>
          <w:r w:rsidR="00A95C6D" w:rsidRPr="00A95C6D">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val="en-US" w:eastAsia="en-GB"/>
            </w:rPr>
            <w:t>(Bernstien, 2014)</w:t>
          </w:r>
          <w:r w:rsidR="00A95C6D" w:rsidRPr="00A95C6D">
            <w:rPr>
              <w:rFonts w:ascii="Arial" w:hAnsi="Arial" w:cs="Arial"/>
              <w:sz w:val="24"/>
              <w:szCs w:val="24"/>
              <w:shd w:val="clear" w:color="auto" w:fill="FFFFFF"/>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In Minneapolis there are reports that from 2012-2013 that TCF bank closed the accounts of individuals with Muslim sounding names despite having clean banking records and never sending mon</w:t>
      </w:r>
      <w:r w:rsidR="00977714">
        <w:rPr>
          <w:rFonts w:ascii="Arial" w:hAnsi="Arial" w:cs="Arial"/>
          <w:sz w:val="24"/>
          <w:szCs w:val="24"/>
          <w:shd w:val="clear" w:color="auto" w:fill="FFFFFF"/>
          <w:lang w:eastAsia="en-GB"/>
        </w:rPr>
        <w:t xml:space="preserve">ey abroad </w:t>
      </w:r>
      <w:sdt>
        <w:sdtPr>
          <w:rPr>
            <w:rFonts w:ascii="Arial" w:hAnsi="Arial" w:cs="Arial"/>
            <w:sz w:val="24"/>
            <w:szCs w:val="24"/>
            <w:shd w:val="clear" w:color="auto" w:fill="FFFFFF"/>
            <w:lang w:eastAsia="en-GB"/>
          </w:rPr>
          <w:id w:val="-2007347923"/>
          <w:citation/>
        </w:sdtPr>
        <w:sdtEndPr/>
        <w:sdtContent>
          <w:r w:rsidR="00977714">
            <w:rPr>
              <w:rFonts w:ascii="Arial" w:hAnsi="Arial" w:cs="Arial"/>
              <w:sz w:val="24"/>
              <w:szCs w:val="24"/>
              <w:shd w:val="clear" w:color="auto" w:fill="FFFFFF"/>
              <w:lang w:eastAsia="en-GB"/>
            </w:rPr>
            <w:fldChar w:fldCharType="begin"/>
          </w:r>
          <w:r w:rsidR="00977714">
            <w:rPr>
              <w:rFonts w:ascii="Arial" w:hAnsi="Arial" w:cs="Arial"/>
              <w:sz w:val="24"/>
              <w:szCs w:val="24"/>
              <w:shd w:val="clear" w:color="auto" w:fill="FFFFFF"/>
              <w:lang w:eastAsia="en-GB"/>
            </w:rPr>
            <w:instrText xml:space="preserve"> CITATION Har15 \l 2057 </w:instrText>
          </w:r>
          <w:r w:rsidR="00977714">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(Harb, 2015)</w:t>
          </w:r>
          <w:r w:rsidR="00977714">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xml:space="preserve"> One former bank manager has reported that a high street bank would regularly refuse to open bank account for potential customer if they came from East Timor, Sudan, Iran or Pakis</w:t>
      </w:r>
      <w:r w:rsidR="001D220E">
        <w:rPr>
          <w:rFonts w:ascii="Arial" w:hAnsi="Arial" w:cs="Arial"/>
          <w:sz w:val="24"/>
          <w:szCs w:val="24"/>
          <w:shd w:val="clear" w:color="auto" w:fill="FFFFFF"/>
          <w:lang w:eastAsia="en-GB"/>
        </w:rPr>
        <w:t>tan.</w:t>
      </w:r>
      <w:r w:rsidRPr="00E275AA">
        <w:rPr>
          <w:rFonts w:ascii="Arial" w:hAnsi="Arial" w:cs="Arial"/>
          <w:sz w:val="24"/>
          <w:szCs w:val="24"/>
          <w:shd w:val="clear" w:color="auto" w:fill="FFFFFF"/>
          <w:lang w:eastAsia="en-GB"/>
        </w:rPr>
        <w:t xml:space="preserve"> These were all countries that were rated as high risk. He went on to remark that accounts would also be closed if existing customers were discovered to hold passports from these countries.</w:t>
      </w:r>
    </w:p>
    <w:p w:rsidR="00E275AA" w:rsidRPr="00977714" w:rsidRDefault="00E275AA" w:rsidP="00E275AA">
      <w:pPr>
        <w:spacing w:before="0" w:after="0" w:line="480" w:lineRule="auto"/>
        <w:jc w:val="both"/>
        <w:rPr>
          <w:rFonts w:ascii="Arial" w:hAnsi="Arial" w:cs="Arial"/>
          <w:sz w:val="24"/>
          <w:szCs w:val="24"/>
          <w:shd w:val="clear" w:color="auto" w:fill="FFFFFF"/>
          <w:lang w:eastAsia="en-GB"/>
        </w:rPr>
      </w:pPr>
      <w:r w:rsidRPr="00E275AA">
        <w:rPr>
          <w:rFonts w:ascii="Arial" w:hAnsi="Arial" w:cs="Arial"/>
          <w:sz w:val="24"/>
          <w:szCs w:val="24"/>
          <w:shd w:val="clear" w:color="auto" w:fill="FFFFFF"/>
          <w:lang w:eastAsia="en-GB"/>
        </w:rPr>
        <w:t>There are also reports of a number of Syrian students having had their accounts closed by HSBC as a result of increased regulatory attention on countries on the sanctions lists. HSBC have said that they are discontinuing relatio</w:t>
      </w:r>
      <w:r w:rsidRPr="00977714">
        <w:rPr>
          <w:rFonts w:ascii="Arial" w:hAnsi="Arial" w:cs="Arial"/>
          <w:sz w:val="24"/>
          <w:szCs w:val="24"/>
          <w:shd w:val="clear" w:color="auto" w:fill="FFFFFF"/>
          <w:lang w:eastAsia="en-GB"/>
        </w:rPr>
        <w:t xml:space="preserve">nships </w:t>
      </w:r>
      <w:r w:rsidRPr="00E275AA">
        <w:rPr>
          <w:rFonts w:ascii="Arial" w:hAnsi="Arial" w:cs="Arial"/>
          <w:sz w:val="24"/>
          <w:szCs w:val="24"/>
          <w:shd w:val="clear" w:color="auto" w:fill="FFFFFF"/>
          <w:lang w:eastAsia="en-GB"/>
        </w:rPr>
        <w:t xml:space="preserve">with customers from listed sanction regimes where they have insufficient information to fulfil the </w:t>
      </w:r>
      <w:r w:rsidR="00977714">
        <w:rPr>
          <w:rFonts w:ascii="Arial" w:hAnsi="Arial" w:cs="Arial"/>
          <w:sz w:val="24"/>
          <w:szCs w:val="24"/>
          <w:shd w:val="clear" w:color="auto" w:fill="FFFFFF"/>
          <w:lang w:eastAsia="en-GB"/>
        </w:rPr>
        <w:t xml:space="preserve">know you customer requirements </w:t>
      </w:r>
      <w:sdt>
        <w:sdtPr>
          <w:rPr>
            <w:rFonts w:ascii="Arial" w:hAnsi="Arial" w:cs="Arial"/>
            <w:sz w:val="24"/>
            <w:szCs w:val="24"/>
            <w:shd w:val="clear" w:color="auto" w:fill="FFFFFF"/>
            <w:lang w:eastAsia="en-GB"/>
          </w:rPr>
          <w:id w:val="637151562"/>
          <w:citation/>
        </w:sdtPr>
        <w:sdtEndPr/>
        <w:sdtContent>
          <w:r w:rsidR="00977714">
            <w:rPr>
              <w:rFonts w:ascii="Arial" w:hAnsi="Arial" w:cs="Arial"/>
              <w:sz w:val="24"/>
              <w:szCs w:val="24"/>
              <w:shd w:val="clear" w:color="auto" w:fill="FFFFFF"/>
              <w:lang w:eastAsia="en-GB"/>
            </w:rPr>
            <w:fldChar w:fldCharType="begin"/>
          </w:r>
          <w:r w:rsidR="00977714">
            <w:rPr>
              <w:rFonts w:ascii="Arial" w:hAnsi="Arial" w:cs="Arial"/>
              <w:sz w:val="24"/>
              <w:szCs w:val="24"/>
              <w:shd w:val="clear" w:color="auto" w:fill="FFFFFF"/>
              <w:lang w:eastAsia="en-GB"/>
            </w:rPr>
            <w:instrText xml:space="preserve"> CITATION Hun13 \l 2057 </w:instrText>
          </w:r>
          <w:r w:rsidR="00977714">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(Hunter, 2013)</w:t>
          </w:r>
          <w:r w:rsidR="00977714">
            <w:rPr>
              <w:rFonts w:ascii="Arial" w:hAnsi="Arial" w:cs="Arial"/>
              <w:sz w:val="24"/>
              <w:szCs w:val="24"/>
              <w:shd w:val="clear" w:color="auto" w:fill="FFFFFF"/>
              <w:lang w:eastAsia="en-GB"/>
            </w:rPr>
            <w:fldChar w:fldCharType="end"/>
          </w:r>
        </w:sdtContent>
      </w:sdt>
      <w:r w:rsidR="00977714">
        <w:rPr>
          <w:rFonts w:ascii="Arial" w:hAnsi="Arial" w:cs="Arial"/>
          <w:sz w:val="24"/>
          <w:szCs w:val="24"/>
          <w:shd w:val="clear" w:color="auto" w:fill="FFFFFF"/>
          <w:lang w:eastAsia="en-GB"/>
        </w:rPr>
        <w:t xml:space="preserve">. </w:t>
      </w:r>
      <w:r w:rsidRPr="00E275AA">
        <w:rPr>
          <w:rFonts w:ascii="Arial" w:hAnsi="Arial" w:cs="Arial"/>
          <w:sz w:val="24"/>
          <w:szCs w:val="24"/>
          <w:shd w:val="clear" w:color="auto" w:fill="FFFFFF"/>
          <w:lang w:eastAsia="en-GB"/>
        </w:rPr>
        <w:t xml:space="preserve">Individuals from Zimbabwe have also found it difficult to </w:t>
      </w:r>
      <w:r w:rsidR="00977714">
        <w:rPr>
          <w:rFonts w:ascii="Arial" w:hAnsi="Arial" w:cs="Arial"/>
          <w:sz w:val="24"/>
          <w:szCs w:val="24"/>
          <w:shd w:val="clear" w:color="auto" w:fill="FFFFFF"/>
          <w:lang w:eastAsia="en-GB"/>
        </w:rPr>
        <w:t>keep bank account at HSBC</w:t>
      </w:r>
      <w:sdt>
        <w:sdtPr>
          <w:rPr>
            <w:rFonts w:ascii="Arial" w:hAnsi="Arial" w:cs="Arial"/>
            <w:sz w:val="24"/>
            <w:szCs w:val="24"/>
            <w:shd w:val="clear" w:color="auto" w:fill="FFFFFF"/>
            <w:lang w:eastAsia="en-GB"/>
          </w:rPr>
          <w:id w:val="1465319526"/>
          <w:citation/>
        </w:sdtPr>
        <w:sdtEndPr/>
        <w:sdtContent>
          <w:r w:rsidR="00977714" w:rsidRPr="00977714">
            <w:rPr>
              <w:rFonts w:ascii="Arial" w:hAnsi="Arial" w:cs="Arial"/>
              <w:sz w:val="24"/>
              <w:szCs w:val="24"/>
              <w:shd w:val="clear" w:color="auto" w:fill="FFFFFF"/>
              <w:lang w:eastAsia="en-GB"/>
            </w:rPr>
            <w:fldChar w:fldCharType="begin"/>
          </w:r>
          <w:r w:rsidR="00977714" w:rsidRPr="00977714">
            <w:rPr>
              <w:rFonts w:ascii="Arial" w:hAnsi="Arial" w:cs="Arial"/>
              <w:sz w:val="24"/>
              <w:szCs w:val="24"/>
              <w:shd w:val="clear" w:color="auto" w:fill="FFFFFF"/>
              <w:lang w:eastAsia="en-GB"/>
            </w:rPr>
            <w:instrText xml:space="preserve"> CITATION New13 \l 2057 </w:instrText>
          </w:r>
          <w:r w:rsidR="00977714" w:rsidRPr="00977714">
            <w:rPr>
              <w:rFonts w:ascii="Arial" w:hAnsi="Arial" w:cs="Arial"/>
              <w:sz w:val="24"/>
              <w:szCs w:val="24"/>
              <w:shd w:val="clear" w:color="auto" w:fill="FFFFFF"/>
              <w:lang w:eastAsia="en-GB"/>
            </w:rPr>
            <w:fldChar w:fldCharType="separate"/>
          </w:r>
          <w:r w:rsidR="00745BB5">
            <w:rPr>
              <w:rFonts w:ascii="Arial" w:hAnsi="Arial" w:cs="Arial"/>
              <w:noProof/>
              <w:sz w:val="24"/>
              <w:szCs w:val="24"/>
              <w:shd w:val="clear" w:color="auto" w:fill="FFFFFF"/>
              <w:lang w:eastAsia="en-GB"/>
            </w:rPr>
            <w:t xml:space="preserve"> </w:t>
          </w:r>
          <w:r w:rsidR="00745BB5" w:rsidRPr="00745BB5">
            <w:rPr>
              <w:rFonts w:ascii="Arial" w:hAnsi="Arial" w:cs="Arial"/>
              <w:noProof/>
              <w:sz w:val="24"/>
              <w:szCs w:val="24"/>
              <w:shd w:val="clear" w:color="auto" w:fill="FFFFFF"/>
              <w:lang w:eastAsia="en-GB"/>
            </w:rPr>
            <w:t>(News Day, 2013)</w:t>
          </w:r>
          <w:r w:rsidR="00977714" w:rsidRPr="00977714">
            <w:rPr>
              <w:rFonts w:ascii="Arial" w:hAnsi="Arial" w:cs="Arial"/>
              <w:sz w:val="24"/>
              <w:szCs w:val="24"/>
              <w:shd w:val="clear" w:color="auto" w:fill="FFFFFF"/>
              <w:lang w:eastAsia="en-GB"/>
            </w:rPr>
            <w:fldChar w:fldCharType="end"/>
          </w:r>
        </w:sdtContent>
      </w:sdt>
      <w:r w:rsidR="00977714">
        <w:rPr>
          <w:rFonts w:ascii="Arial" w:hAnsi="Arial" w:cs="Arial"/>
          <w:sz w:val="24"/>
          <w:szCs w:val="24"/>
          <w:shd w:val="clear" w:color="auto" w:fill="FFFFFF"/>
          <w:lang w:eastAsia="en-GB"/>
        </w:rPr>
        <w:t>.</w:t>
      </w:r>
    </w:p>
    <w:p w:rsidR="00E275AA" w:rsidRPr="00E275AA" w:rsidRDefault="0050639D" w:rsidP="00E275AA">
      <w:pPr>
        <w:spacing w:before="0" w:after="0" w:line="480" w:lineRule="auto"/>
        <w:jc w:val="both"/>
        <w:rPr>
          <w:rFonts w:ascii="Arial" w:hAnsi="Arial" w:cs="Arial"/>
          <w:b/>
          <w:sz w:val="24"/>
          <w:szCs w:val="24"/>
          <w:shd w:val="clear" w:color="auto" w:fill="00FF00"/>
          <w:lang w:eastAsia="en-GB"/>
        </w:rPr>
      </w:pPr>
      <w:r>
        <w:rPr>
          <w:rFonts w:ascii="Arial" w:hAnsi="Arial" w:cs="Arial"/>
          <w:sz w:val="24"/>
          <w:szCs w:val="24"/>
          <w:lang w:eastAsia="en-GB"/>
        </w:rPr>
        <w:t xml:space="preserve">This chapter has evaluated the available evidence of the extent to which de-risking has taken place. De-risking seems to have intensified from 2012-2015 with growing concerns about discrimination in banking. We have seen that this de-risking in not just a British phenomenon but has also occurred in in Canada, the US, Australia and New Zealand. Whilst these accounts are anecdotal there seems to be similar de-risking approached developed across these countries. This has had profound affects for both individuals and businesses as correspondent banking relationships and money service businesses have had their accounts closed. Most concerning has been the impact of de-risking on remittance payments which explored further in Chapter 4. </w:t>
      </w:r>
    </w:p>
    <w:p w:rsidR="00E275AA" w:rsidRPr="00E275AA" w:rsidRDefault="00E275AA" w:rsidP="00E275AA">
      <w:pPr>
        <w:pBdr>
          <w:bottom w:val="single" w:sz="8" w:space="4" w:color="4F81BD"/>
        </w:pBdr>
        <w:spacing w:before="0" w:after="300" w:line="480" w:lineRule="auto"/>
        <w:contextualSpacing/>
        <w:rPr>
          <w:rFonts w:ascii="Cambria" w:hAnsi="Cambria"/>
          <w:color w:val="17365D"/>
          <w:spacing w:val="5"/>
          <w:kern w:val="28"/>
          <w:sz w:val="52"/>
          <w:szCs w:val="52"/>
          <w:lang w:eastAsia="en-GB"/>
        </w:rPr>
      </w:pPr>
    </w:p>
    <w:p w:rsidR="00E275AA" w:rsidRPr="00E275AA" w:rsidRDefault="00E275AA" w:rsidP="00E275AA">
      <w:pPr>
        <w:pBdr>
          <w:bottom w:val="single" w:sz="8" w:space="4" w:color="4F81BD"/>
        </w:pBdr>
        <w:spacing w:before="0" w:after="300" w:line="480" w:lineRule="auto"/>
        <w:contextualSpacing/>
        <w:rPr>
          <w:rFonts w:ascii="Cambria" w:hAnsi="Cambria"/>
          <w:color w:val="17365D"/>
          <w:spacing w:val="5"/>
          <w:kern w:val="28"/>
          <w:sz w:val="52"/>
          <w:szCs w:val="52"/>
          <w:lang w:eastAsia="en-GB"/>
        </w:rPr>
      </w:pPr>
      <w:r w:rsidRPr="00E275AA">
        <w:rPr>
          <w:rFonts w:ascii="Cambria" w:hAnsi="Cambria"/>
          <w:bCs/>
          <w:color w:val="17365D"/>
          <w:spacing w:val="5"/>
          <w:kern w:val="28"/>
          <w:sz w:val="52"/>
          <w:szCs w:val="52"/>
          <w:u w:val="single"/>
          <w:shd w:val="clear" w:color="auto" w:fill="FFFFFF"/>
          <w:lang w:eastAsia="en-GB"/>
        </w:rPr>
        <w:t>Chapter 4 Consequences of de-risking</w:t>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We have seen in the previous chapter whilst it has been difficult to estimate the scale of de-risking there is a significant amount of anecdotal evidence that suggests that it has been fairly widespread. Moreover it is clear that the large banks are taking a more cautious approach to risk in the light of regulatory focus on AML and TF controls. We have seen how the systematic review of existing client books has result the termination of “higher risk account” across the world and that this has caused significant problems for certain groups of customers. The next chapter will look at the unintended consequences of the termination of these accounts.</w:t>
      </w:r>
      <w:r w:rsidRPr="00E275AA">
        <w:rPr>
          <w:rFonts w:ascii="Arial" w:hAnsi="Arial" w:cs="Arial"/>
          <w:sz w:val="24"/>
          <w:szCs w:val="24"/>
          <w:lang w:eastAsia="en-GB"/>
        </w:rPr>
        <w:t xml:space="preserve"> Whilst a more vigilant approach to AML and CTF reduces the risk in the formal banking system, de-risking displaces risk and had several unintended consequences.</w:t>
      </w:r>
      <w:r w:rsidRPr="00E275AA">
        <w:rPr>
          <w:rFonts w:ascii="Arial" w:hAnsi="Arial" w:cs="Arial"/>
          <w:sz w:val="24"/>
          <w:szCs w:val="24"/>
          <w:lang w:eastAsia="en-GB"/>
        </w:rPr>
        <w:br/>
      </w:r>
      <w:r w:rsidRPr="00E275AA">
        <w:rPr>
          <w:rFonts w:ascii="Arial" w:hAnsi="Arial" w:cs="Arial"/>
          <w:sz w:val="24"/>
          <w:szCs w:val="24"/>
          <w:lang w:eastAsia="en-GB"/>
        </w:rPr>
        <w:br/>
      </w: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sz w:val="24"/>
          <w:szCs w:val="24"/>
          <w:u w:val="single"/>
          <w:shd w:val="clear" w:color="auto" w:fill="FFFFFF"/>
          <w:lang w:eastAsia="en-GB"/>
        </w:rPr>
        <w:t>Unbanked parts of the world</w:t>
      </w:r>
    </w:p>
    <w:p w:rsidR="00E275AA" w:rsidRPr="00E275AA" w:rsidRDefault="00E275AA" w:rsidP="00E275AA">
      <w:pPr>
        <w:spacing w:before="0" w:after="0" w:line="480" w:lineRule="auto"/>
        <w:jc w:val="both"/>
        <w:rPr>
          <w:rFonts w:ascii="Arial" w:hAnsi="Arial" w:cs="Arial"/>
          <w:sz w:val="24"/>
          <w:szCs w:val="24"/>
          <w:shd w:val="clear" w:color="auto" w:fill="FFFFFF"/>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Concerns about de-risking have become so strong that they have made it to the agenda at the G20. Mark Carney raised concerns that de-risking was leaving “parts of the world un-banked or less actively banked”. These concerns were echoed by Sir Sherard Cowper Coles a senior adviser at HSBC who said that de-risking could leave parts of the world “cut off from the global banking sector”. He went on to comment “</w:t>
      </w:r>
      <w:r w:rsidRPr="00E275AA">
        <w:rPr>
          <w:rFonts w:ascii="Arial" w:hAnsi="Arial" w:cs="Arial"/>
          <w:sz w:val="24"/>
          <w:szCs w:val="24"/>
          <w:lang w:eastAsia="en-GB"/>
        </w:rPr>
        <w:t>there may be a public interest benefit in these withd</w:t>
      </w:r>
      <w:r w:rsidR="00A738B0">
        <w:rPr>
          <w:rFonts w:ascii="Arial" w:hAnsi="Arial" w:cs="Arial"/>
          <w:sz w:val="24"/>
          <w:szCs w:val="24"/>
          <w:lang w:eastAsia="en-GB"/>
        </w:rPr>
        <w:t xml:space="preserve">rawals, there may also be cost” </w:t>
      </w:r>
      <w:sdt>
        <w:sdtPr>
          <w:rPr>
            <w:rFonts w:ascii="Arial" w:hAnsi="Arial" w:cs="Arial"/>
            <w:sz w:val="24"/>
            <w:szCs w:val="24"/>
            <w:lang w:eastAsia="en-GB"/>
          </w:rPr>
          <w:id w:val="-1084215855"/>
          <w:citation/>
        </w:sdtPr>
        <w:sdtEndPr/>
        <w:sdtContent>
          <w:r w:rsidR="00A738B0">
            <w:rPr>
              <w:rFonts w:ascii="Arial" w:hAnsi="Arial" w:cs="Arial"/>
              <w:sz w:val="24"/>
              <w:szCs w:val="24"/>
              <w:lang w:eastAsia="en-GB"/>
            </w:rPr>
            <w:fldChar w:fldCharType="begin"/>
          </w:r>
          <w:r w:rsidR="00A738B0">
            <w:rPr>
              <w:rFonts w:ascii="Arial" w:hAnsi="Arial" w:cs="Arial"/>
              <w:sz w:val="24"/>
              <w:szCs w:val="24"/>
              <w:lang w:eastAsia="en-GB"/>
            </w:rPr>
            <w:instrText xml:space="preserve"> CITATION Arn14 \l 2057 </w:instrText>
          </w:r>
          <w:r w:rsidR="00A738B0">
            <w:rPr>
              <w:rFonts w:ascii="Arial" w:hAnsi="Arial" w:cs="Arial"/>
              <w:sz w:val="24"/>
              <w:szCs w:val="24"/>
              <w:lang w:eastAsia="en-GB"/>
            </w:rPr>
            <w:fldChar w:fldCharType="separate"/>
          </w:r>
          <w:r w:rsidR="00745BB5" w:rsidRPr="00745BB5">
            <w:rPr>
              <w:rFonts w:ascii="Arial" w:hAnsi="Arial" w:cs="Arial"/>
              <w:noProof/>
              <w:sz w:val="24"/>
              <w:szCs w:val="24"/>
              <w:lang w:eastAsia="en-GB"/>
            </w:rPr>
            <w:t>(Arnold, 2014)</w:t>
          </w:r>
          <w:r w:rsidR="00A738B0">
            <w:rPr>
              <w:rFonts w:ascii="Arial" w:hAnsi="Arial" w:cs="Arial"/>
              <w:sz w:val="24"/>
              <w:szCs w:val="24"/>
              <w:lang w:eastAsia="en-GB"/>
            </w:rPr>
            <w:fldChar w:fldCharType="end"/>
          </w:r>
        </w:sdtContent>
      </w:sdt>
      <w:r w:rsidRPr="00E275AA">
        <w:rPr>
          <w:rFonts w:ascii="Arial" w:hAnsi="Arial" w:cs="Arial"/>
          <w:sz w:val="24"/>
          <w:szCs w:val="24"/>
          <w:lang w:eastAsia="en-GB"/>
        </w:rPr>
        <w:t xml:space="preserve"> This reminded us of the tension between wanting to reduce the risk that financial system is used to facilitate crime and terrorism but also wanting to ensure that we do not increase financial exclusion.</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 sharp decline in global correspondent banking has left some developing countries without access to the international financial community. Mark Carney has warned that this could lead to financial abandon</w:t>
      </w:r>
      <w:r w:rsidR="002E5746">
        <w:rPr>
          <w:rFonts w:ascii="Arial" w:hAnsi="Arial" w:cs="Arial"/>
          <w:sz w:val="24"/>
          <w:szCs w:val="24"/>
          <w:lang w:eastAsia="en-GB"/>
        </w:rPr>
        <w:t xml:space="preserve">ment for certain countries </w:t>
      </w:r>
      <w:sdt>
        <w:sdtPr>
          <w:rPr>
            <w:rFonts w:ascii="Arial" w:hAnsi="Arial" w:cs="Arial"/>
            <w:sz w:val="24"/>
            <w:szCs w:val="24"/>
            <w:lang w:eastAsia="en-GB"/>
          </w:rPr>
          <w:id w:val="349456114"/>
          <w:citation/>
        </w:sdtPr>
        <w:sdtEndPr/>
        <w:sdtContent>
          <w:r w:rsidR="002E5746">
            <w:rPr>
              <w:rFonts w:ascii="Arial" w:hAnsi="Arial" w:cs="Arial"/>
              <w:sz w:val="24"/>
              <w:szCs w:val="24"/>
              <w:lang w:eastAsia="en-GB"/>
            </w:rPr>
            <w:fldChar w:fldCharType="begin"/>
          </w:r>
          <w:r w:rsidR="002E5746">
            <w:rPr>
              <w:rFonts w:ascii="Arial" w:hAnsi="Arial" w:cs="Arial"/>
              <w:sz w:val="24"/>
              <w:szCs w:val="24"/>
              <w:lang w:eastAsia="en-GB"/>
            </w:rPr>
            <w:instrText xml:space="preserve"> CITATION Car15 \l 2057 </w:instrText>
          </w:r>
          <w:r w:rsidR="002E5746">
            <w:rPr>
              <w:rFonts w:ascii="Arial" w:hAnsi="Arial" w:cs="Arial"/>
              <w:sz w:val="24"/>
              <w:szCs w:val="24"/>
              <w:lang w:eastAsia="en-GB"/>
            </w:rPr>
            <w:fldChar w:fldCharType="separate"/>
          </w:r>
          <w:r w:rsidR="00745BB5" w:rsidRPr="00745BB5">
            <w:rPr>
              <w:rFonts w:ascii="Arial" w:hAnsi="Arial" w:cs="Arial"/>
              <w:noProof/>
              <w:sz w:val="24"/>
              <w:szCs w:val="24"/>
              <w:lang w:eastAsia="en-GB"/>
            </w:rPr>
            <w:t>(Carney &amp; Badre, 2015)</w:t>
          </w:r>
          <w:r w:rsidR="002E5746">
            <w:rPr>
              <w:rFonts w:ascii="Arial" w:hAnsi="Arial" w:cs="Arial"/>
              <w:sz w:val="24"/>
              <w:szCs w:val="24"/>
              <w:lang w:eastAsia="en-GB"/>
            </w:rPr>
            <w:fldChar w:fldCharType="end"/>
          </w:r>
        </w:sdtContent>
      </w:sdt>
      <w:r w:rsidR="002E5746">
        <w:rPr>
          <w:rFonts w:ascii="Arial" w:hAnsi="Arial" w:cs="Arial"/>
          <w:sz w:val="24"/>
          <w:szCs w:val="24"/>
          <w:lang w:eastAsia="en-GB"/>
        </w:rPr>
        <w:t xml:space="preserve">. </w:t>
      </w:r>
      <w:r w:rsidRPr="00E275AA">
        <w:rPr>
          <w:rFonts w:ascii="Arial" w:hAnsi="Arial" w:cs="Arial"/>
          <w:sz w:val="24"/>
          <w:szCs w:val="24"/>
          <w:lang w:eastAsia="en-GB"/>
        </w:rPr>
        <w:t>We have already seen that in Belize the decline in correspondence banking has meant that funds have had to be cleared through the central bank. This requires the public central bank to take over the monitoring of customers and financial transactions. Economist have warned that most central banks in developing nations are not equipped to conduct the same standards of customer due diligence as the large international banks. Moreover several central banks would struggle to process the same volume of transactions as the commercial banks. Moving compliance and oversight of financial transactions in developing countries to the central banks would reduce the quality of AML/CTF controls and increase the risk of the financial systems being misused. It also would require a significant investment from the central banks to upgrade their current facilities to meet international standards. Arguably the cost of monitoring transactions for suspicious activity would then fall back to public administration. However the ability of central banks to undertake detailed customer due diligence would be extremely expensive. In developing nations this public money arguably could be better spent on other initiatives.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Moreover the G20 have significant concerns about the impact of de-risking on MSBs and the unintended consequences for remittances to developing nations. As MSB struggling to access to clearing banks the cost of sending remittances is likely to increase. This has already been seen in Somalia. This is at odds with the G20 goal of reducing the average global cost of remitt</w:t>
      </w:r>
      <w:r w:rsidR="00977714">
        <w:rPr>
          <w:rFonts w:ascii="Arial" w:hAnsi="Arial" w:cs="Arial"/>
          <w:sz w:val="24"/>
          <w:szCs w:val="24"/>
          <w:lang w:eastAsia="en-GB"/>
        </w:rPr>
        <w:t xml:space="preserve">ances to developing countries </w:t>
      </w:r>
      <w:sdt>
        <w:sdtPr>
          <w:rPr>
            <w:rFonts w:ascii="Arial" w:hAnsi="Arial" w:cs="Arial"/>
            <w:sz w:val="24"/>
            <w:szCs w:val="24"/>
            <w:lang w:eastAsia="en-GB"/>
          </w:rPr>
          <w:id w:val="29625062"/>
          <w:citation/>
        </w:sdtPr>
        <w:sdtEndPr/>
        <w:sdtContent>
          <w:r w:rsidR="00977714">
            <w:rPr>
              <w:rFonts w:ascii="Arial" w:hAnsi="Arial" w:cs="Arial"/>
              <w:sz w:val="24"/>
              <w:szCs w:val="24"/>
              <w:lang w:eastAsia="en-GB"/>
            </w:rPr>
            <w:fldChar w:fldCharType="begin"/>
          </w:r>
          <w:r w:rsidR="00977714">
            <w:rPr>
              <w:rFonts w:ascii="Arial" w:hAnsi="Arial" w:cs="Arial"/>
              <w:sz w:val="24"/>
              <w:szCs w:val="24"/>
              <w:lang w:eastAsia="en-GB"/>
            </w:rPr>
            <w:instrText xml:space="preserve"> CITATION G2014 \l 2057 </w:instrText>
          </w:r>
          <w:r w:rsidR="00977714">
            <w:rPr>
              <w:rFonts w:ascii="Arial" w:hAnsi="Arial" w:cs="Arial"/>
              <w:sz w:val="24"/>
              <w:szCs w:val="24"/>
              <w:lang w:eastAsia="en-GB"/>
            </w:rPr>
            <w:fldChar w:fldCharType="separate"/>
          </w:r>
          <w:r w:rsidR="00745BB5" w:rsidRPr="00745BB5">
            <w:rPr>
              <w:rFonts w:ascii="Arial" w:hAnsi="Arial" w:cs="Arial"/>
              <w:noProof/>
              <w:sz w:val="24"/>
              <w:szCs w:val="24"/>
              <w:lang w:eastAsia="en-GB"/>
            </w:rPr>
            <w:t>(G20, 2014)</w:t>
          </w:r>
          <w:r w:rsidR="00977714">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 volumes of remittances that are able to be tran</w:t>
      </w:r>
      <w:r w:rsidR="002E5746">
        <w:rPr>
          <w:rFonts w:ascii="Arial" w:hAnsi="Arial" w:cs="Arial"/>
          <w:sz w:val="24"/>
          <w:szCs w:val="24"/>
          <w:lang w:eastAsia="en-GB"/>
        </w:rPr>
        <w:t xml:space="preserve">smitted are also likely to fall </w:t>
      </w:r>
      <w:sdt>
        <w:sdtPr>
          <w:rPr>
            <w:rFonts w:ascii="Arial" w:hAnsi="Arial" w:cs="Arial"/>
            <w:sz w:val="24"/>
            <w:szCs w:val="24"/>
            <w:lang w:eastAsia="en-GB"/>
          </w:rPr>
          <w:id w:val="276772592"/>
          <w:citation/>
        </w:sdtPr>
        <w:sdtEndPr/>
        <w:sdtContent>
          <w:r w:rsidR="002E5746">
            <w:rPr>
              <w:rFonts w:ascii="Arial" w:hAnsi="Arial" w:cs="Arial"/>
              <w:sz w:val="24"/>
              <w:szCs w:val="24"/>
              <w:lang w:eastAsia="en-GB"/>
            </w:rPr>
            <w:fldChar w:fldCharType="begin"/>
          </w:r>
          <w:r w:rsidR="002E5746">
            <w:rPr>
              <w:rFonts w:ascii="Arial" w:hAnsi="Arial" w:cs="Arial"/>
              <w:sz w:val="24"/>
              <w:szCs w:val="24"/>
              <w:lang w:eastAsia="en-GB"/>
            </w:rPr>
            <w:instrText xml:space="preserve"> CITATION Kea14 \l 2057 </w:instrText>
          </w:r>
          <w:r w:rsidR="002E5746">
            <w:rPr>
              <w:rFonts w:ascii="Arial" w:hAnsi="Arial" w:cs="Arial"/>
              <w:sz w:val="24"/>
              <w:szCs w:val="24"/>
              <w:lang w:eastAsia="en-GB"/>
            </w:rPr>
            <w:fldChar w:fldCharType="separate"/>
          </w:r>
          <w:r w:rsidR="00745BB5" w:rsidRPr="00745BB5">
            <w:rPr>
              <w:rFonts w:ascii="Arial" w:hAnsi="Arial" w:cs="Arial"/>
              <w:noProof/>
              <w:sz w:val="24"/>
              <w:szCs w:val="24"/>
              <w:lang w:eastAsia="en-GB"/>
            </w:rPr>
            <w:t>(Keatinge, 2014)</w:t>
          </w:r>
          <w:r w:rsidR="002E5746">
            <w:rPr>
              <w:rFonts w:ascii="Arial" w:hAnsi="Arial" w:cs="Arial"/>
              <w:sz w:val="24"/>
              <w:szCs w:val="24"/>
              <w:lang w:eastAsia="en-GB"/>
            </w:rPr>
            <w:fldChar w:fldCharType="end"/>
          </w:r>
        </w:sdtContent>
      </w:sdt>
      <w:r w:rsidR="002E5746">
        <w:rPr>
          <w:rFonts w:ascii="Arial" w:hAnsi="Arial" w:cs="Arial"/>
          <w:sz w:val="24"/>
          <w:szCs w:val="24"/>
          <w:lang w:eastAsia="en-GB"/>
        </w:rPr>
        <w:t>.</w:t>
      </w:r>
      <w:r w:rsidRPr="00E275AA">
        <w:rPr>
          <w:rFonts w:ascii="Arial" w:hAnsi="Arial" w:cs="Arial"/>
          <w:sz w:val="24"/>
          <w:szCs w:val="24"/>
          <w:lang w:eastAsia="en-GB"/>
        </w:rPr>
        <w:t xml:space="preserve"> Many high risk AML/CTF countries are extremely dependant on the remittances. In Tajikistan for example remittances constitute 42% of the national GDP. In Lebanon (which is considered a high risk terrorist jurisdiction), remittances make up 17% of the national GDP. As a result of de-risking these incomes are likely to fall and have widespread economic consequences for individual’s dependant remittances as source of income.</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Many considered that the US banking system is now “hyper-vigilant” when it comes to de-risking. This is of particular concern to global remittances as the US is the world's remitter and send $123 billion abroad each year. Remittances have been a driver of sustainable growth in many countries and the G20 are concerned that de-banking will cut flow of remittances significantly, holding back and potentially shrinking developing economies. This could have unintended consequences for the financial stability of are</w:t>
      </w:r>
      <w:r w:rsidR="002E5746">
        <w:rPr>
          <w:rFonts w:ascii="Arial" w:hAnsi="Arial" w:cs="Arial"/>
          <w:sz w:val="24"/>
          <w:szCs w:val="24"/>
          <w:lang w:eastAsia="en-GB"/>
        </w:rPr>
        <w:t xml:space="preserve">as dependant of remittances </w:t>
      </w:r>
      <w:sdt>
        <w:sdtPr>
          <w:rPr>
            <w:rFonts w:ascii="Arial" w:hAnsi="Arial" w:cs="Arial"/>
            <w:sz w:val="24"/>
            <w:szCs w:val="24"/>
            <w:lang w:eastAsia="en-GB"/>
          </w:rPr>
          <w:id w:val="1771428357"/>
          <w:citation/>
        </w:sdtPr>
        <w:sdtEndPr/>
        <w:sdtContent>
          <w:r w:rsidR="002E5746">
            <w:rPr>
              <w:rFonts w:ascii="Arial" w:hAnsi="Arial" w:cs="Arial"/>
              <w:sz w:val="24"/>
              <w:szCs w:val="24"/>
              <w:lang w:eastAsia="en-GB"/>
            </w:rPr>
            <w:fldChar w:fldCharType="begin"/>
          </w:r>
          <w:r w:rsidR="002E5746">
            <w:rPr>
              <w:rFonts w:ascii="Arial" w:hAnsi="Arial" w:cs="Arial"/>
              <w:sz w:val="24"/>
              <w:szCs w:val="24"/>
              <w:lang w:eastAsia="en-GB"/>
            </w:rPr>
            <w:instrText xml:space="preserve"> CITATION Kea14 \l 2057 </w:instrText>
          </w:r>
          <w:r w:rsidR="002E5746">
            <w:rPr>
              <w:rFonts w:ascii="Arial" w:hAnsi="Arial" w:cs="Arial"/>
              <w:sz w:val="24"/>
              <w:szCs w:val="24"/>
              <w:lang w:eastAsia="en-GB"/>
            </w:rPr>
            <w:fldChar w:fldCharType="separate"/>
          </w:r>
          <w:r w:rsidR="00745BB5" w:rsidRPr="00745BB5">
            <w:rPr>
              <w:rFonts w:ascii="Arial" w:hAnsi="Arial" w:cs="Arial"/>
              <w:noProof/>
              <w:sz w:val="24"/>
              <w:szCs w:val="24"/>
              <w:lang w:eastAsia="en-GB"/>
            </w:rPr>
            <w:t>(Keatinge, 2014)</w:t>
          </w:r>
          <w:r w:rsidR="002E5746">
            <w:rPr>
              <w:rFonts w:ascii="Arial" w:hAnsi="Arial" w:cs="Arial"/>
              <w:sz w:val="24"/>
              <w:szCs w:val="24"/>
              <w:lang w:eastAsia="en-GB"/>
            </w:rPr>
            <w:fldChar w:fldCharType="end"/>
          </w:r>
        </w:sdtContent>
      </w:sdt>
      <w:r w:rsidRPr="00E275AA">
        <w:rPr>
          <w:rFonts w:ascii="Arial" w:hAnsi="Arial" w:cs="Arial"/>
          <w:sz w:val="24"/>
          <w:szCs w:val="24"/>
          <w:lang w:eastAsia="en-GB"/>
        </w:rPr>
        <w:t xml:space="preserve"> and de-stabilise areas already vulnerable t</w:t>
      </w:r>
      <w:r w:rsidR="00A738B0">
        <w:rPr>
          <w:rFonts w:ascii="Arial" w:hAnsi="Arial" w:cs="Arial"/>
          <w:sz w:val="24"/>
          <w:szCs w:val="24"/>
          <w:lang w:eastAsia="en-GB"/>
        </w:rPr>
        <w:t xml:space="preserve">o terrorism and financial crime </w:t>
      </w:r>
      <w:sdt>
        <w:sdtPr>
          <w:rPr>
            <w:rFonts w:ascii="Arial" w:hAnsi="Arial" w:cs="Arial"/>
            <w:sz w:val="24"/>
            <w:szCs w:val="24"/>
            <w:lang w:eastAsia="en-GB"/>
          </w:rPr>
          <w:id w:val="1007488040"/>
          <w:citation/>
        </w:sdtPr>
        <w:sdtEndPr/>
        <w:sdtContent>
          <w:r w:rsidR="00A738B0">
            <w:rPr>
              <w:rFonts w:ascii="Arial" w:hAnsi="Arial" w:cs="Arial"/>
              <w:sz w:val="24"/>
              <w:szCs w:val="24"/>
              <w:lang w:eastAsia="en-GB"/>
            </w:rPr>
            <w:fldChar w:fldCharType="begin"/>
          </w:r>
          <w:r w:rsidR="00A738B0">
            <w:rPr>
              <w:rFonts w:ascii="Arial" w:hAnsi="Arial" w:cs="Arial"/>
              <w:sz w:val="24"/>
              <w:szCs w:val="24"/>
              <w:lang w:eastAsia="en-GB"/>
            </w:rPr>
            <w:instrText xml:space="preserve"> CITATION Cul14 \l 2057 </w:instrText>
          </w:r>
          <w:r w:rsidR="00A738B0">
            <w:rPr>
              <w:rFonts w:ascii="Arial" w:hAnsi="Arial" w:cs="Arial"/>
              <w:sz w:val="24"/>
              <w:szCs w:val="24"/>
              <w:lang w:eastAsia="en-GB"/>
            </w:rPr>
            <w:fldChar w:fldCharType="separate"/>
          </w:r>
          <w:r w:rsidR="00745BB5" w:rsidRPr="00745BB5">
            <w:rPr>
              <w:rFonts w:ascii="Arial" w:hAnsi="Arial" w:cs="Arial"/>
              <w:noProof/>
              <w:sz w:val="24"/>
              <w:szCs w:val="24"/>
              <w:lang w:eastAsia="en-GB"/>
            </w:rPr>
            <w:t>(Cull, 2014)</w:t>
          </w:r>
          <w:r w:rsidR="00A738B0">
            <w:rPr>
              <w:rFonts w:ascii="Arial" w:hAnsi="Arial" w:cs="Arial"/>
              <w:sz w:val="24"/>
              <w:szCs w:val="24"/>
              <w:lang w:eastAsia="en-GB"/>
            </w:rPr>
            <w:fldChar w:fldCharType="end"/>
          </w:r>
        </w:sdtContent>
      </w:sdt>
      <w:r w:rsidR="00A738B0">
        <w:rPr>
          <w:rFonts w:ascii="Arial" w:hAnsi="Arial" w:cs="Arial"/>
          <w:sz w:val="24"/>
          <w:szCs w:val="24"/>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Moreover if the cost of sending remittances through money transfer businesses increases and becomes more difficult, many will look to alternative informal solutions in the shadow economy to send remittances. Networks such as Hawalas are often used to transmit remittances cheaply and circumnavigate exchange controls but are also used to finance illegal activities. The enhanced used of underground banking system will mean that more transactions will pass unrecorded and unmonitored. This means transparency and visibility will be reduced and the transactions that were previously monitored by the banks able to detect and report suspicious activity reports will be processed illegally. In this sense whilst the risk that the formal banking is miss-used may have been decreased, the risk has in essence just been displaced. This risk has been identified by FAFT that state “de-risking” could introduce risk and opacity to the global financial system by forcing certain entities and persons into less regulated or unregulated channels.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shd w:val="clear" w:color="auto" w:fill="FFFFFF"/>
          <w:lang w:eastAsia="en-GB"/>
        </w:rPr>
      </w:pPr>
      <w:r w:rsidRPr="00E275AA">
        <w:rPr>
          <w:rFonts w:ascii="Arial" w:hAnsi="Arial" w:cs="Arial"/>
          <w:sz w:val="24"/>
          <w:szCs w:val="24"/>
          <w:lang w:eastAsia="en-GB"/>
        </w:rPr>
        <w:t xml:space="preserve">De-risking poses </w:t>
      </w:r>
      <w:r w:rsidRPr="00E275AA">
        <w:rPr>
          <w:rFonts w:ascii="Arial" w:hAnsi="Arial" w:cs="Arial"/>
          <w:sz w:val="24"/>
          <w:szCs w:val="24"/>
          <w:shd w:val="clear" w:color="auto" w:fill="FFFFFF"/>
          <w:lang w:eastAsia="en-GB"/>
        </w:rPr>
        <w:t>other direct cost for developing countries dependant on international aid. It has become more difficult for charities working in higher risk jurisdictions to process transactions, collect and distribute funding.  There are several examples of this causing delays in aid reaching beneficiary zones and causing projects to collapse. In some cases large donations have had to be returned as they could not be cleared in time, other donation</w:t>
      </w:r>
      <w:r w:rsidR="002E5746">
        <w:rPr>
          <w:rFonts w:ascii="Arial" w:hAnsi="Arial" w:cs="Arial"/>
          <w:sz w:val="24"/>
          <w:szCs w:val="24"/>
          <w:shd w:val="clear" w:color="auto" w:fill="FFFFFF"/>
          <w:lang w:eastAsia="en-GB"/>
        </w:rPr>
        <w:t xml:space="preserve">s have been blocked completely </w:t>
      </w:r>
      <w:sdt>
        <w:sdtPr>
          <w:rPr>
            <w:rFonts w:ascii="Arial" w:hAnsi="Arial" w:cs="Arial"/>
            <w:sz w:val="24"/>
            <w:szCs w:val="24"/>
            <w:shd w:val="clear" w:color="auto" w:fill="FFFFFF"/>
            <w:lang w:eastAsia="en-GB"/>
          </w:rPr>
          <w:id w:val="-1453473761"/>
          <w:citation/>
        </w:sdtPr>
        <w:sdtEndPr/>
        <w:sdtContent>
          <w:r w:rsidR="002E5746">
            <w:rPr>
              <w:rFonts w:ascii="Arial" w:hAnsi="Arial" w:cs="Arial"/>
              <w:sz w:val="24"/>
              <w:szCs w:val="24"/>
              <w:shd w:val="clear" w:color="auto" w:fill="FFFFFF"/>
              <w:lang w:eastAsia="en-GB"/>
            </w:rPr>
            <w:fldChar w:fldCharType="begin"/>
          </w:r>
          <w:r w:rsidR="002E5746">
            <w:rPr>
              <w:rFonts w:ascii="Arial" w:hAnsi="Arial" w:cs="Arial"/>
              <w:sz w:val="24"/>
              <w:szCs w:val="24"/>
              <w:shd w:val="clear" w:color="auto" w:fill="FFFFFF"/>
              <w:lang w:eastAsia="en-GB"/>
            </w:rPr>
            <w:instrText xml:space="preserve"> CITATION Kea14 \l 2057 </w:instrText>
          </w:r>
          <w:r w:rsidR="002E5746">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(Keatinge, 2014)</w:t>
          </w:r>
          <w:r w:rsidR="002E5746">
            <w:rPr>
              <w:rFonts w:ascii="Arial" w:hAnsi="Arial" w:cs="Arial"/>
              <w:sz w:val="24"/>
              <w:szCs w:val="24"/>
              <w:shd w:val="clear" w:color="auto" w:fill="FFFFFF"/>
              <w:lang w:eastAsia="en-GB"/>
            </w:rPr>
            <w:fldChar w:fldCharType="end"/>
          </w:r>
        </w:sdtContent>
      </w:sdt>
      <w:r w:rsidR="002E5746">
        <w:rPr>
          <w:rFonts w:ascii="Arial" w:hAnsi="Arial" w:cs="Arial"/>
          <w:sz w:val="24"/>
          <w:szCs w:val="24"/>
          <w:shd w:val="clear" w:color="auto" w:fill="FFFFFF"/>
          <w:lang w:eastAsia="en-GB"/>
        </w:rPr>
        <w:t xml:space="preserve">. </w:t>
      </w:r>
      <w:r w:rsidRPr="00E275AA">
        <w:rPr>
          <w:rFonts w:ascii="Arial" w:hAnsi="Arial" w:cs="Arial"/>
          <w:sz w:val="24"/>
          <w:szCs w:val="24"/>
          <w:shd w:val="clear" w:color="auto" w:fill="FFFFFF"/>
          <w:lang w:eastAsia="en-GB"/>
        </w:rPr>
        <w:t>The cost for some charities of processing transactions has increased as they have had to route funds through several different countries. All of these issues take away available funding from aid programmes in vulnerable areas of the world. In the UK, the public campaign that raised £23 million in emergency funding for Syria, found it difficult to move the aid into the country due to the international regulations and sanctions list. A number of Syrian banks had had their assets frozen and many international banks have pulled their services out of a region making it difficult to tr</w:t>
      </w:r>
      <w:r w:rsidR="002E5746">
        <w:rPr>
          <w:rFonts w:ascii="Arial" w:hAnsi="Arial" w:cs="Arial"/>
          <w:sz w:val="24"/>
          <w:szCs w:val="24"/>
          <w:shd w:val="clear" w:color="auto" w:fill="FFFFFF"/>
          <w:lang w:eastAsia="en-GB"/>
        </w:rPr>
        <w:t xml:space="preserve">ansfer funds into the region </w:t>
      </w:r>
      <w:sdt>
        <w:sdtPr>
          <w:rPr>
            <w:rFonts w:ascii="Arial" w:hAnsi="Arial" w:cs="Arial"/>
            <w:sz w:val="24"/>
            <w:szCs w:val="24"/>
            <w:shd w:val="clear" w:color="auto" w:fill="FFFFFF"/>
            <w:lang w:eastAsia="en-GB"/>
          </w:rPr>
          <w:id w:val="1163358925"/>
          <w:citation/>
        </w:sdtPr>
        <w:sdtEndPr/>
        <w:sdtContent>
          <w:r w:rsidR="002E5746">
            <w:rPr>
              <w:rFonts w:ascii="Arial" w:hAnsi="Arial" w:cs="Arial"/>
              <w:sz w:val="24"/>
              <w:szCs w:val="24"/>
              <w:shd w:val="clear" w:color="auto" w:fill="FFFFFF"/>
              <w:lang w:eastAsia="en-GB"/>
            </w:rPr>
            <w:fldChar w:fldCharType="begin"/>
          </w:r>
          <w:r w:rsidR="002E5746">
            <w:rPr>
              <w:rFonts w:ascii="Arial" w:hAnsi="Arial" w:cs="Arial"/>
              <w:sz w:val="24"/>
              <w:szCs w:val="24"/>
              <w:shd w:val="clear" w:color="auto" w:fill="FFFFFF"/>
              <w:lang w:eastAsia="en-GB"/>
            </w:rPr>
            <w:instrText xml:space="preserve"> CITATION BBA13 \l 2057 </w:instrText>
          </w:r>
          <w:r w:rsidR="002E5746">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(BBA, 2013)</w:t>
          </w:r>
          <w:r w:rsidR="002E5746">
            <w:rPr>
              <w:rFonts w:ascii="Arial" w:hAnsi="Arial" w:cs="Arial"/>
              <w:sz w:val="24"/>
              <w:szCs w:val="24"/>
              <w:shd w:val="clear" w:color="auto" w:fill="FFFFFF"/>
              <w:lang w:eastAsia="en-GB"/>
            </w:rPr>
            <w:fldChar w:fldCharType="end"/>
          </w:r>
        </w:sdtContent>
      </w:sdt>
      <w:r w:rsidR="002E5746">
        <w:rPr>
          <w:rFonts w:ascii="Arial" w:hAnsi="Arial" w:cs="Arial"/>
          <w:sz w:val="24"/>
          <w:szCs w:val="24"/>
          <w:shd w:val="clear" w:color="auto" w:fill="FFFFFF"/>
          <w:lang w:eastAsia="en-GB"/>
        </w:rPr>
        <w:t>.</w:t>
      </w:r>
      <w:r w:rsidRPr="00E275AA">
        <w:rPr>
          <w:rFonts w:ascii="Arial" w:hAnsi="Arial" w:cs="Arial"/>
          <w:sz w:val="24"/>
          <w:szCs w:val="24"/>
          <w:shd w:val="clear" w:color="auto" w:fill="FFFFFF"/>
          <w:lang w:eastAsia="en-GB"/>
        </w:rPr>
        <w:t xml:space="preserve"> The BBA has worked with the disaster emergency committee to produce a guide to helps charities operating in high risk regions. This is a good example of public/ private collaboration to tackle the unintended consequences of de-risking. As it becomes more difficult to move legitimate funding into the region there is the risk that charities also look to alternative methods of financing such as </w:t>
      </w:r>
      <w:r w:rsidR="002E5746">
        <w:rPr>
          <w:rFonts w:ascii="Arial" w:hAnsi="Arial" w:cs="Arial"/>
          <w:sz w:val="24"/>
          <w:szCs w:val="24"/>
          <w:shd w:val="clear" w:color="auto" w:fill="FFFFFF"/>
          <w:lang w:eastAsia="en-GB"/>
        </w:rPr>
        <w:t xml:space="preserve">couriering cash across borders </w:t>
      </w:r>
      <w:sdt>
        <w:sdtPr>
          <w:rPr>
            <w:rFonts w:ascii="Arial" w:hAnsi="Arial" w:cs="Arial"/>
            <w:sz w:val="24"/>
            <w:szCs w:val="24"/>
            <w:shd w:val="clear" w:color="auto" w:fill="FFFFFF"/>
            <w:lang w:eastAsia="en-GB"/>
          </w:rPr>
          <w:id w:val="-2097082039"/>
          <w:citation/>
        </w:sdtPr>
        <w:sdtEndPr/>
        <w:sdtContent>
          <w:r w:rsidR="002E5746">
            <w:rPr>
              <w:rFonts w:ascii="Arial" w:hAnsi="Arial" w:cs="Arial"/>
              <w:sz w:val="24"/>
              <w:szCs w:val="24"/>
              <w:shd w:val="clear" w:color="auto" w:fill="FFFFFF"/>
              <w:lang w:eastAsia="en-GB"/>
            </w:rPr>
            <w:fldChar w:fldCharType="begin"/>
          </w:r>
          <w:r w:rsidR="002E5746">
            <w:rPr>
              <w:rFonts w:ascii="Arial" w:hAnsi="Arial" w:cs="Arial"/>
              <w:sz w:val="24"/>
              <w:szCs w:val="24"/>
              <w:shd w:val="clear" w:color="auto" w:fill="FFFFFF"/>
              <w:lang w:eastAsia="en-GB"/>
            </w:rPr>
            <w:instrText xml:space="preserve">CITATION Bar15 \t  \l 2057 </w:instrText>
          </w:r>
          <w:r w:rsidR="002E5746">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(Barret, 2015)</w:t>
          </w:r>
          <w:r w:rsidR="002E5746">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xml:space="preserve"> This again reduces transparency and increases the opportunities for charitable funds to be misappropriated.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 xml:space="preserve">In the UK the FCA has commented on the adverse effects of de-risking and warns that an overly cautious approach to AML/CTF is a damaging the growth in certain financial markets as well as limiting consumer choice in the domestic </w:t>
      </w:r>
      <w:r w:rsidRPr="0042422B">
        <w:rPr>
          <w:rFonts w:ascii="Arial" w:hAnsi="Arial" w:cs="Arial"/>
          <w:sz w:val="24"/>
          <w:szCs w:val="24"/>
          <w:shd w:val="clear" w:color="auto" w:fill="FFFFFF"/>
          <w:lang w:eastAsia="en-GB"/>
        </w:rPr>
        <w:t>market.</w:t>
      </w:r>
      <w:r w:rsidRPr="00E275AA">
        <w:rPr>
          <w:rFonts w:ascii="Arial" w:hAnsi="Arial" w:cs="Arial"/>
          <w:sz w:val="24"/>
          <w:szCs w:val="24"/>
          <w:shd w:val="clear" w:color="auto" w:fill="FFFFFF"/>
          <w:lang w:eastAsia="en-GB"/>
        </w:rPr>
        <w:t xml:space="preserve"> </w:t>
      </w:r>
      <w:sdt>
        <w:sdtPr>
          <w:rPr>
            <w:rFonts w:ascii="Arial" w:hAnsi="Arial" w:cs="Arial"/>
            <w:sz w:val="24"/>
            <w:szCs w:val="24"/>
            <w:shd w:val="clear" w:color="auto" w:fill="FFFFFF"/>
            <w:lang w:eastAsia="en-GB"/>
          </w:rPr>
          <w:id w:val="1986428117"/>
          <w:citation/>
        </w:sdtPr>
        <w:sdtEndPr/>
        <w:sdtContent>
          <w:r w:rsidR="00A738B0">
            <w:rPr>
              <w:rFonts w:ascii="Arial" w:hAnsi="Arial" w:cs="Arial"/>
              <w:sz w:val="24"/>
              <w:szCs w:val="24"/>
              <w:shd w:val="clear" w:color="auto" w:fill="FFFFFF"/>
              <w:lang w:eastAsia="en-GB"/>
            </w:rPr>
            <w:fldChar w:fldCharType="begin"/>
          </w:r>
          <w:r w:rsidR="00A738B0">
            <w:rPr>
              <w:rFonts w:ascii="Arial" w:hAnsi="Arial" w:cs="Arial"/>
              <w:sz w:val="24"/>
              <w:szCs w:val="24"/>
              <w:shd w:val="clear" w:color="auto" w:fill="FFFFFF"/>
              <w:lang w:eastAsia="en-GB"/>
            </w:rPr>
            <w:instrText xml:space="preserve"> CITATION FCA151 \l 2057 </w:instrText>
          </w:r>
          <w:r w:rsidR="00A738B0">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(FCA, 2015)</w:t>
          </w:r>
          <w:r w:rsidR="00A738B0">
            <w:rPr>
              <w:rFonts w:ascii="Arial" w:hAnsi="Arial" w:cs="Arial"/>
              <w:sz w:val="24"/>
              <w:szCs w:val="24"/>
              <w:shd w:val="clear" w:color="auto" w:fill="FFFFFF"/>
              <w:lang w:eastAsia="en-GB"/>
            </w:rPr>
            <w:fldChar w:fldCharType="end"/>
          </w:r>
        </w:sdtContent>
      </w:sdt>
      <w:r w:rsidR="0042422B">
        <w:rPr>
          <w:rFonts w:ascii="Arial" w:hAnsi="Arial" w:cs="Arial"/>
          <w:sz w:val="24"/>
          <w:szCs w:val="24"/>
          <w:shd w:val="clear" w:color="auto" w:fill="FFFFFF"/>
          <w:lang w:eastAsia="en-GB"/>
        </w:rPr>
        <w:t xml:space="preserve"> .</w:t>
      </w:r>
      <w:r w:rsidRPr="00E275AA">
        <w:rPr>
          <w:rFonts w:ascii="Arial" w:hAnsi="Arial" w:cs="Arial"/>
          <w:sz w:val="24"/>
          <w:szCs w:val="24"/>
          <w:shd w:val="clear" w:color="auto" w:fill="FFFFFF"/>
          <w:lang w:eastAsia="en-GB"/>
        </w:rPr>
        <w:t xml:space="preserve">On one hand banks choosing to move out of certain market segments could increase competition in banking and allow for new opportunities for smaller banks and new entrants. However many of these smaller </w:t>
      </w:r>
      <w:r w:rsidR="0042422B" w:rsidRPr="00E275AA">
        <w:rPr>
          <w:rFonts w:ascii="Arial" w:hAnsi="Arial" w:cs="Arial"/>
          <w:sz w:val="24"/>
          <w:szCs w:val="24"/>
          <w:shd w:val="clear" w:color="auto" w:fill="FFFFFF"/>
          <w:lang w:eastAsia="en-GB"/>
        </w:rPr>
        <w:t>operators have</w:t>
      </w:r>
      <w:r w:rsidRPr="00E275AA">
        <w:rPr>
          <w:rFonts w:ascii="Arial" w:hAnsi="Arial" w:cs="Arial"/>
          <w:sz w:val="24"/>
          <w:szCs w:val="24"/>
          <w:shd w:val="clear" w:color="auto" w:fill="FFFFFF"/>
          <w:lang w:eastAsia="en-GB"/>
        </w:rPr>
        <w:t xml:space="preserve"> not invested in automated screen capabilities and have less stri</w:t>
      </w:r>
      <w:r w:rsidR="002E5746">
        <w:rPr>
          <w:rFonts w:ascii="Arial" w:hAnsi="Arial" w:cs="Arial"/>
          <w:sz w:val="24"/>
          <w:szCs w:val="24"/>
          <w:shd w:val="clear" w:color="auto" w:fill="FFFFFF"/>
          <w:lang w:eastAsia="en-GB"/>
        </w:rPr>
        <w:t xml:space="preserve">ngent AML/CTF controls in place </w:t>
      </w:r>
      <w:sdt>
        <w:sdtPr>
          <w:rPr>
            <w:rFonts w:ascii="Arial" w:hAnsi="Arial" w:cs="Arial"/>
            <w:sz w:val="24"/>
            <w:szCs w:val="24"/>
            <w:shd w:val="clear" w:color="auto" w:fill="FFFFFF"/>
            <w:lang w:eastAsia="en-GB"/>
          </w:rPr>
          <w:id w:val="1255939944"/>
          <w:citation/>
        </w:sdtPr>
        <w:sdtEndPr/>
        <w:sdtContent>
          <w:r w:rsidR="002E5746">
            <w:rPr>
              <w:rFonts w:ascii="Arial" w:hAnsi="Arial" w:cs="Arial"/>
              <w:sz w:val="24"/>
              <w:szCs w:val="24"/>
              <w:shd w:val="clear" w:color="auto" w:fill="FFFFFF"/>
              <w:lang w:eastAsia="en-GB"/>
            </w:rPr>
            <w:fldChar w:fldCharType="begin"/>
          </w:r>
          <w:r w:rsidR="002E5746">
            <w:rPr>
              <w:rFonts w:ascii="Arial" w:hAnsi="Arial" w:cs="Arial"/>
              <w:sz w:val="24"/>
              <w:szCs w:val="24"/>
              <w:shd w:val="clear" w:color="auto" w:fill="FFFFFF"/>
              <w:lang w:eastAsia="en-GB"/>
            </w:rPr>
            <w:instrText xml:space="preserve"> CITATION McK14 \l 2057 </w:instrText>
          </w:r>
          <w:r w:rsidR="002E5746">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(McKendry, 2014)</w:t>
          </w:r>
          <w:r w:rsidR="002E5746">
            <w:rPr>
              <w:rFonts w:ascii="Arial" w:hAnsi="Arial" w:cs="Arial"/>
              <w:sz w:val="24"/>
              <w:szCs w:val="24"/>
              <w:shd w:val="clear" w:color="auto" w:fill="FFFFFF"/>
              <w:lang w:eastAsia="en-GB"/>
            </w:rPr>
            <w:fldChar w:fldCharType="end"/>
          </w:r>
        </w:sdtContent>
      </w:sdt>
      <w:r w:rsidR="002E5746">
        <w:rPr>
          <w:rFonts w:ascii="Arial" w:hAnsi="Arial" w:cs="Arial"/>
          <w:sz w:val="24"/>
          <w:szCs w:val="24"/>
          <w:shd w:val="clear" w:color="auto" w:fill="FFFFFF"/>
          <w:lang w:eastAsia="en-GB"/>
        </w:rPr>
        <w:t xml:space="preserve">. </w:t>
      </w:r>
      <w:r w:rsidRPr="00E275AA">
        <w:rPr>
          <w:rFonts w:ascii="Arial" w:hAnsi="Arial" w:cs="Arial"/>
          <w:sz w:val="24"/>
          <w:szCs w:val="24"/>
          <w:lang w:eastAsia="en-GB"/>
        </w:rPr>
        <w:t>Again this has not reduced the amount of risk in the banking sector but displaced it to financial institutions that are worse place to identify it.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shd w:val="clear" w:color="auto" w:fill="FFFFFF"/>
          <w:lang w:eastAsia="en-GB"/>
        </w:rPr>
      </w:pPr>
      <w:r w:rsidRPr="00E275AA">
        <w:rPr>
          <w:rFonts w:ascii="Arial" w:hAnsi="Arial" w:cs="Arial"/>
          <w:sz w:val="24"/>
          <w:szCs w:val="24"/>
          <w:lang w:eastAsia="en-GB"/>
        </w:rPr>
        <w:t>The obvious consequence of de-risking is the service disruption for legitimate financial customers from enhanced due diligence and account screening.  </w:t>
      </w:r>
      <w:r w:rsidRPr="00E275AA">
        <w:rPr>
          <w:rFonts w:ascii="Arial" w:hAnsi="Arial" w:cs="Arial"/>
          <w:sz w:val="24"/>
          <w:szCs w:val="24"/>
          <w:shd w:val="clear" w:color="auto" w:fill="FFFFFF"/>
          <w:lang w:eastAsia="en-GB"/>
        </w:rPr>
        <w:t>FATF have warned that an overzealous application of their rules could exclude legitimate business to be excluded from the financial sector. This could have significant implications for the economic recovery in the UK</w:t>
      </w:r>
    </w:p>
    <w:p w:rsidR="00E275AA" w:rsidRPr="00E275AA" w:rsidRDefault="00E275AA" w:rsidP="00E275AA">
      <w:pPr>
        <w:spacing w:before="0" w:after="0" w:line="480" w:lineRule="auto"/>
        <w:jc w:val="both"/>
        <w:rPr>
          <w:rFonts w:ascii="Arial" w:hAnsi="Arial" w:cs="Arial"/>
          <w:sz w:val="24"/>
          <w:szCs w:val="24"/>
          <w:shd w:val="clear" w:color="auto" w:fill="FFFFFF"/>
          <w:lang w:eastAsia="en-GB"/>
        </w:rPr>
      </w:pPr>
    </w:p>
    <w:p w:rsidR="00E275AA" w:rsidRPr="00E275AA" w:rsidRDefault="00E275AA" w:rsidP="00E275AA">
      <w:pPr>
        <w:pBdr>
          <w:bottom w:val="single" w:sz="8" w:space="4" w:color="4F81BD"/>
        </w:pBdr>
        <w:spacing w:before="0" w:after="300" w:line="480" w:lineRule="auto"/>
        <w:contextualSpacing/>
        <w:rPr>
          <w:rFonts w:ascii="Cambria" w:hAnsi="Cambria"/>
          <w:b/>
          <w:color w:val="17365D"/>
          <w:spacing w:val="5"/>
          <w:kern w:val="28"/>
          <w:sz w:val="52"/>
          <w:szCs w:val="52"/>
          <w:lang w:eastAsia="en-GB"/>
        </w:rPr>
      </w:pPr>
      <w:r w:rsidRPr="00E275AA">
        <w:rPr>
          <w:rFonts w:ascii="Cambria" w:hAnsi="Cambria"/>
          <w:b/>
          <w:bCs/>
          <w:color w:val="17365D"/>
          <w:spacing w:val="5"/>
          <w:kern w:val="28"/>
          <w:sz w:val="52"/>
          <w:szCs w:val="52"/>
          <w:u w:val="single"/>
          <w:lang w:eastAsia="en-GB"/>
        </w:rPr>
        <w:t>Chapter 5 –De-risking and Financial Inclusion</w:t>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One of the largest unintended consequences of de-risking has been the impact on financial inclusion. Financial exclusion is defined as “the inability, difficulty or reluctance of particular groups to access mainstream financial services’ [109] In chapter 3 this essay looked at anecdotes of groups of customers that had had their banking relationships terminated and or had been prevented from accessing financial services.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In the UK an FCA report  commented that “ a bank with previously identified AML failings had closed over 200 higher risk relationships, of which only two appeared to involve suspicious activity</w:t>
      </w:r>
      <w:r w:rsidR="0042422B" w:rsidRPr="0042422B">
        <w:rPr>
          <w:rFonts w:ascii="Arial" w:hAnsi="Arial" w:cs="Arial"/>
          <w:sz w:val="24"/>
          <w:szCs w:val="24"/>
          <w:lang w:eastAsia="en-GB"/>
        </w:rPr>
        <w:t>”</w:t>
      </w:r>
      <w:r w:rsidRPr="00E275AA">
        <w:rPr>
          <w:rFonts w:ascii="Arial" w:hAnsi="Arial" w:cs="Arial"/>
          <w:sz w:val="24"/>
          <w:szCs w:val="24"/>
          <w:lang w:eastAsia="en-GB"/>
        </w:rPr>
        <w:t xml:space="preserve"> </w:t>
      </w:r>
      <w:sdt>
        <w:sdtPr>
          <w:rPr>
            <w:rFonts w:ascii="Arial" w:hAnsi="Arial" w:cs="Arial"/>
            <w:sz w:val="24"/>
            <w:szCs w:val="24"/>
            <w:lang w:eastAsia="en-GB"/>
          </w:rPr>
          <w:id w:val="-1380086033"/>
          <w:citation/>
        </w:sdtPr>
        <w:sdtEndPr/>
        <w:sdtContent>
          <w:r w:rsidR="0042422B">
            <w:rPr>
              <w:rFonts w:ascii="Arial" w:hAnsi="Arial" w:cs="Arial"/>
              <w:sz w:val="24"/>
              <w:szCs w:val="24"/>
              <w:lang w:eastAsia="en-GB"/>
            </w:rPr>
            <w:fldChar w:fldCharType="begin"/>
          </w:r>
          <w:r w:rsidR="0042422B">
            <w:rPr>
              <w:rFonts w:ascii="Arial" w:hAnsi="Arial" w:cs="Arial"/>
              <w:sz w:val="24"/>
              <w:szCs w:val="24"/>
              <w:lang w:eastAsia="en-GB"/>
            </w:rPr>
            <w:instrText xml:space="preserve"> CITATION Fia14 \l 2057 </w:instrText>
          </w:r>
          <w:r w:rsidR="0042422B">
            <w:rPr>
              <w:rFonts w:ascii="Arial" w:hAnsi="Arial" w:cs="Arial"/>
              <w:sz w:val="24"/>
              <w:szCs w:val="24"/>
              <w:lang w:eastAsia="en-GB"/>
            </w:rPr>
            <w:fldChar w:fldCharType="separate"/>
          </w:r>
          <w:r w:rsidR="00745BB5" w:rsidRPr="00745BB5">
            <w:rPr>
              <w:rFonts w:ascii="Arial" w:hAnsi="Arial" w:cs="Arial"/>
              <w:noProof/>
              <w:sz w:val="24"/>
              <w:szCs w:val="24"/>
              <w:lang w:eastAsia="en-GB"/>
            </w:rPr>
            <w:t>(Fiancial Action Taskforce Plenary, 2014)</w:t>
          </w:r>
          <w:r w:rsidR="0042422B">
            <w:rPr>
              <w:rFonts w:ascii="Arial" w:hAnsi="Arial" w:cs="Arial"/>
              <w:sz w:val="24"/>
              <w:szCs w:val="24"/>
              <w:lang w:eastAsia="en-GB"/>
            </w:rPr>
            <w:fldChar w:fldCharType="end"/>
          </w:r>
        </w:sdtContent>
      </w:sdt>
      <w:r w:rsidR="0042422B">
        <w:rPr>
          <w:rFonts w:ascii="Arial" w:hAnsi="Arial" w:cs="Arial"/>
          <w:sz w:val="24"/>
          <w:szCs w:val="24"/>
          <w:lang w:eastAsia="en-GB"/>
        </w:rPr>
        <w:t xml:space="preserve">. </w:t>
      </w:r>
      <w:r w:rsidRPr="00E275AA">
        <w:rPr>
          <w:rFonts w:ascii="Arial" w:hAnsi="Arial" w:cs="Arial"/>
          <w:sz w:val="24"/>
          <w:szCs w:val="24"/>
          <w:lang w:eastAsia="en-GB"/>
        </w:rPr>
        <w:t>This is a clear example of the disproportionate de-risking, where the accounts of 198 people have been closed without any indication of suspicious activity. This is supported by the comments of the chairman of HSBC who was reported to have said that an “an observable and growing danger of disproportionate risk aversion</w:t>
      </w:r>
      <w:r w:rsidR="0042422B">
        <w:rPr>
          <w:rFonts w:ascii="Arial" w:hAnsi="Arial" w:cs="Arial"/>
          <w:sz w:val="24"/>
          <w:szCs w:val="24"/>
          <w:lang w:eastAsia="en-GB"/>
        </w:rPr>
        <w:t xml:space="preserve"> creeping into decision-making” </w:t>
      </w:r>
      <w:sdt>
        <w:sdtPr>
          <w:rPr>
            <w:rFonts w:ascii="Arial" w:hAnsi="Arial" w:cs="Arial"/>
            <w:sz w:val="24"/>
            <w:szCs w:val="24"/>
            <w:lang w:eastAsia="en-GB"/>
          </w:rPr>
          <w:id w:val="-1156683846"/>
          <w:citation/>
        </w:sdtPr>
        <w:sdtEndPr/>
        <w:sdtContent>
          <w:r w:rsidR="0042422B">
            <w:rPr>
              <w:rFonts w:ascii="Arial" w:hAnsi="Arial" w:cs="Arial"/>
              <w:sz w:val="24"/>
              <w:szCs w:val="24"/>
              <w:lang w:eastAsia="en-GB"/>
            </w:rPr>
            <w:fldChar w:fldCharType="begin"/>
          </w:r>
          <w:r w:rsidR="0042422B">
            <w:rPr>
              <w:rFonts w:ascii="Arial" w:hAnsi="Arial" w:cs="Arial"/>
              <w:sz w:val="24"/>
              <w:szCs w:val="24"/>
              <w:lang w:eastAsia="en-GB"/>
            </w:rPr>
            <w:instrText xml:space="preserve"> CITATION Arn14 \l 2057 </w:instrText>
          </w:r>
          <w:r w:rsidR="0042422B">
            <w:rPr>
              <w:rFonts w:ascii="Arial" w:hAnsi="Arial" w:cs="Arial"/>
              <w:sz w:val="24"/>
              <w:szCs w:val="24"/>
              <w:lang w:eastAsia="en-GB"/>
            </w:rPr>
            <w:fldChar w:fldCharType="separate"/>
          </w:r>
          <w:r w:rsidR="00745BB5" w:rsidRPr="00745BB5">
            <w:rPr>
              <w:rFonts w:ascii="Arial" w:hAnsi="Arial" w:cs="Arial"/>
              <w:noProof/>
              <w:sz w:val="24"/>
              <w:szCs w:val="24"/>
              <w:lang w:eastAsia="en-GB"/>
            </w:rPr>
            <w:t>(Arnold, 2014)</w:t>
          </w:r>
          <w:r w:rsidR="0042422B">
            <w:rPr>
              <w:rFonts w:ascii="Arial" w:hAnsi="Arial" w:cs="Arial"/>
              <w:sz w:val="24"/>
              <w:szCs w:val="24"/>
              <w:lang w:eastAsia="en-GB"/>
            </w:rPr>
            <w:fldChar w:fldCharType="end"/>
          </w:r>
        </w:sdtContent>
      </w:sdt>
      <w:r w:rsidR="0042422B">
        <w:rPr>
          <w:rFonts w:ascii="Arial" w:hAnsi="Arial" w:cs="Arial"/>
          <w:sz w:val="24"/>
          <w:szCs w:val="24"/>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 xml:space="preserve">The OCC in the US has clarified that it does not </w:t>
      </w:r>
      <w:r w:rsidRPr="00E275AA">
        <w:rPr>
          <w:rFonts w:ascii="Arial" w:hAnsi="Arial" w:cs="Arial"/>
          <w:iCs/>
          <w:sz w:val="24"/>
          <w:szCs w:val="24"/>
          <w:shd w:val="clear" w:color="auto" w:fill="FFFFFF"/>
          <w:lang w:eastAsia="en-GB"/>
        </w:rPr>
        <w:t>“encourage banks to engage in the termination of entire categories of customer accounts without regard to the risks presented by an individual customer or the bank’s ability to manage the risk”.</w:t>
      </w:r>
      <w:r w:rsidRPr="00E275AA">
        <w:rPr>
          <w:rFonts w:ascii="Arial" w:hAnsi="Arial" w:cs="Arial"/>
          <w:sz w:val="24"/>
          <w:szCs w:val="24"/>
          <w:shd w:val="clear" w:color="auto" w:fill="FFFFFF"/>
          <w:lang w:eastAsia="en-GB"/>
        </w:rPr>
        <w:t xml:space="preserve"> That is customer risks should be evaluated on an individual basis and that effective risk management should not translate into wholesale de-risking.</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Similarly the FCA has stated that de-risking is a commercial decision for banks but their decisions should not unduly impede legitimate access to financial services or financial inclusion. The FCA</w:t>
      </w:r>
      <w:r w:rsidRPr="00E275AA">
        <w:rPr>
          <w:rFonts w:ascii="Arial" w:hAnsi="Arial" w:cs="Arial"/>
          <w:iCs/>
          <w:sz w:val="24"/>
          <w:szCs w:val="24"/>
          <w:shd w:val="clear" w:color="auto" w:fill="FFFFFF"/>
          <w:lang w:eastAsia="en-GB"/>
        </w:rPr>
        <w:t xml:space="preserve"> has specified that where firms believe they cannot manage a customer’s financial crime risk effectively it should not maintain or enter that business relationship</w:t>
      </w:r>
      <w:r w:rsidRPr="00E275AA">
        <w:rPr>
          <w:rFonts w:ascii="Arial" w:hAnsi="Arial" w:cs="Arial"/>
          <w:sz w:val="24"/>
          <w:szCs w:val="24"/>
          <w:shd w:val="clear" w:color="auto" w:fill="FFFFFF"/>
          <w:lang w:eastAsia="en-GB"/>
        </w:rPr>
        <w:t xml:space="preserve"> but expects that </w:t>
      </w:r>
      <w:r w:rsidRPr="00E275AA">
        <w:rPr>
          <w:rFonts w:ascii="Arial" w:hAnsi="Arial" w:cs="Arial"/>
          <w:iCs/>
          <w:sz w:val="24"/>
          <w:szCs w:val="24"/>
          <w:shd w:val="clear" w:color="auto" w:fill="FFFFFF"/>
          <w:lang w:eastAsia="en-GB"/>
        </w:rPr>
        <w:t>“there should be relatively few cases where it is necessary to decline business relationships because of anti-money laundering requirements”.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The FCA has also gone further and said “firms need to access the social cost of withdrawing from products and areas as part of a de-risking process against the wider policy obje</w:t>
      </w:r>
      <w:r w:rsidR="002E5746">
        <w:rPr>
          <w:rFonts w:ascii="Arial" w:hAnsi="Arial" w:cs="Arial"/>
          <w:sz w:val="24"/>
          <w:szCs w:val="24"/>
          <w:shd w:val="clear" w:color="auto" w:fill="FFFFFF"/>
          <w:lang w:eastAsia="en-GB"/>
        </w:rPr>
        <w:t xml:space="preserve">ctive of financial inclusion” </w:t>
      </w:r>
      <w:sdt>
        <w:sdtPr>
          <w:rPr>
            <w:rFonts w:ascii="Arial" w:hAnsi="Arial" w:cs="Arial"/>
            <w:sz w:val="24"/>
            <w:szCs w:val="24"/>
            <w:shd w:val="clear" w:color="auto" w:fill="FFFFFF"/>
            <w:lang w:eastAsia="en-GB"/>
          </w:rPr>
          <w:id w:val="507719024"/>
          <w:citation/>
        </w:sdtPr>
        <w:sdtEndPr/>
        <w:sdtContent>
          <w:r w:rsidR="002E5746">
            <w:rPr>
              <w:rFonts w:ascii="Arial" w:hAnsi="Arial" w:cs="Arial"/>
              <w:sz w:val="24"/>
              <w:szCs w:val="24"/>
              <w:shd w:val="clear" w:color="auto" w:fill="FFFFFF"/>
              <w:lang w:eastAsia="en-GB"/>
            </w:rPr>
            <w:fldChar w:fldCharType="begin"/>
          </w:r>
          <w:r w:rsidR="002E5746">
            <w:rPr>
              <w:rFonts w:ascii="Arial" w:hAnsi="Arial" w:cs="Arial"/>
              <w:sz w:val="24"/>
              <w:szCs w:val="24"/>
              <w:shd w:val="clear" w:color="auto" w:fill="FFFFFF"/>
              <w:lang w:eastAsia="en-GB"/>
            </w:rPr>
            <w:instrText xml:space="preserve"> CITATION Fin142 \l 2057 </w:instrText>
          </w:r>
          <w:r w:rsidR="002E5746">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(Financial Conduct Authority, 2014)</w:t>
          </w:r>
          <w:r w:rsidR="002E5746">
            <w:rPr>
              <w:rFonts w:ascii="Arial" w:hAnsi="Arial" w:cs="Arial"/>
              <w:sz w:val="24"/>
              <w:szCs w:val="24"/>
              <w:shd w:val="clear" w:color="auto" w:fill="FFFFFF"/>
              <w:lang w:eastAsia="en-GB"/>
            </w:rPr>
            <w:fldChar w:fldCharType="end"/>
          </w:r>
        </w:sdtContent>
      </w:sdt>
      <w:r w:rsidR="002E5746">
        <w:rPr>
          <w:rFonts w:ascii="Arial" w:hAnsi="Arial" w:cs="Arial"/>
          <w:sz w:val="24"/>
          <w:szCs w:val="24"/>
          <w:shd w:val="clear" w:color="auto" w:fill="FFFFFF"/>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Here the FCA is expecting banks to consider the social cost of their business decisions. As commercial entities there is a question as to have far banks should have to consider the social cost of their actions. The extent to which financial inclusion is considered a responsibility for bank is dependent on the public opinion and varies amongst countries.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The European Commission has stated that all European citizens should be able to access and use a basic payments account. Providers of basic bank accounts are expected by the commission to write to their customers to explain why they have been unable to open except for reasons of public security. The commission also requires that</w:t>
      </w:r>
      <w:r w:rsidRPr="00E275AA">
        <w:rPr>
          <w:rFonts w:ascii="Arial" w:hAnsi="Arial" w:cs="Arial"/>
          <w:iCs/>
          <w:color w:val="FF0000"/>
          <w:sz w:val="24"/>
          <w:szCs w:val="24"/>
          <w:shd w:val="clear" w:color="auto" w:fill="FFFFFF"/>
          <w:lang w:eastAsia="en-GB"/>
        </w:rPr>
        <w:t xml:space="preserve"> </w:t>
      </w:r>
      <w:r w:rsidRPr="00E275AA">
        <w:rPr>
          <w:rFonts w:ascii="Arial" w:hAnsi="Arial" w:cs="Arial"/>
          <w:iCs/>
          <w:sz w:val="24"/>
          <w:szCs w:val="24"/>
          <w:shd w:val="clear" w:color="auto" w:fill="FFFFFF"/>
          <w:lang w:eastAsia="en-GB"/>
        </w:rPr>
        <w:t xml:space="preserve">a competent authority monitors the implementation of its recommendations and provides a resolution mechanism for disputes surrounding basic bank accounts.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In Belgium the 25 major banks volunteered to offer every citizen a bank account that provides withdrawals, transfers and bank statements. This was based on grounds that “normal life is impossible without an account”</w:t>
      </w:r>
      <w:r w:rsidRPr="00E275AA">
        <w:rPr>
          <w:rFonts w:ascii="Arial" w:hAnsi="Arial" w:cs="Arial"/>
          <w:bCs/>
          <w:iCs/>
          <w:sz w:val="24"/>
          <w:szCs w:val="24"/>
          <w:shd w:val="clear" w:color="auto" w:fill="FFFFFF"/>
          <w:lang w:eastAsia="en-GB"/>
        </w:rPr>
        <w:t>[101]</w:t>
      </w:r>
      <w:r w:rsidRPr="00E275AA">
        <w:rPr>
          <w:rFonts w:ascii="Arial" w:hAnsi="Arial" w:cs="Arial"/>
          <w:iCs/>
          <w:sz w:val="24"/>
          <w:szCs w:val="24"/>
          <w:shd w:val="clear" w:color="auto" w:fill="FFFFFF"/>
          <w:lang w:eastAsia="en-GB"/>
        </w:rPr>
        <w:t xml:space="preserve"> After finding that money laundering regulations “excluded people with administrative status issues” Belgium concluded that the voluntary code had failed to increase levels of financial inclusion sufficiently.</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Consequently Belgium adopted a law requiring the provision of basic banking services for all consumers for less than 12 euros. This law is overseen by a body that reviews all account closures and reasons for denial of service to customers. It can also settle disputes for unjustified closures and issu</w:t>
      </w:r>
      <w:r w:rsidR="0042422B">
        <w:rPr>
          <w:rFonts w:ascii="Arial" w:hAnsi="Arial" w:cs="Arial"/>
          <w:iCs/>
          <w:sz w:val="24"/>
          <w:szCs w:val="24"/>
          <w:shd w:val="clear" w:color="auto" w:fill="FFFFFF"/>
          <w:lang w:eastAsia="en-GB"/>
        </w:rPr>
        <w:t xml:space="preserve">e fines to non-compliant banks </w:t>
      </w:r>
      <w:sdt>
        <w:sdtPr>
          <w:rPr>
            <w:rFonts w:ascii="Arial" w:hAnsi="Arial" w:cs="Arial"/>
            <w:iCs/>
            <w:sz w:val="24"/>
            <w:szCs w:val="24"/>
            <w:shd w:val="clear" w:color="auto" w:fill="FFFFFF"/>
            <w:lang w:eastAsia="en-GB"/>
          </w:rPr>
          <w:id w:val="-1895121250"/>
          <w:citation/>
        </w:sdtPr>
        <w:sdtEndPr/>
        <w:sdtContent>
          <w:r w:rsidR="0042422B">
            <w:rPr>
              <w:rFonts w:ascii="Arial" w:hAnsi="Arial" w:cs="Arial"/>
              <w:iCs/>
              <w:sz w:val="24"/>
              <w:szCs w:val="24"/>
              <w:shd w:val="clear" w:color="auto" w:fill="FFFFFF"/>
              <w:lang w:eastAsia="en-GB"/>
            </w:rPr>
            <w:fldChar w:fldCharType="begin"/>
          </w:r>
          <w:r w:rsidR="0042422B">
            <w:rPr>
              <w:rFonts w:ascii="Arial" w:hAnsi="Arial" w:cs="Arial"/>
              <w:iCs/>
              <w:sz w:val="24"/>
              <w:szCs w:val="24"/>
              <w:shd w:val="clear" w:color="auto" w:fill="FFFFFF"/>
              <w:lang w:eastAsia="en-GB"/>
            </w:rPr>
            <w:instrText xml:space="preserve"> CITATION Bay14 \l 2057 </w:instrText>
          </w:r>
          <w:r w:rsidR="0042422B">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(Bayot, Disneur, &amp; Kempson, 2014)</w:t>
          </w:r>
          <w:r w:rsidR="0042422B">
            <w:rPr>
              <w:rFonts w:ascii="Arial" w:hAnsi="Arial" w:cs="Arial"/>
              <w:iCs/>
              <w:sz w:val="24"/>
              <w:szCs w:val="24"/>
              <w:shd w:val="clear" w:color="auto" w:fill="FFFFFF"/>
              <w:lang w:eastAsia="en-GB"/>
            </w:rPr>
            <w:fldChar w:fldCharType="end"/>
          </w:r>
        </w:sdtContent>
      </w:sdt>
      <w:r w:rsidR="0042422B">
        <w:rPr>
          <w:rFonts w:ascii="Arial" w:hAnsi="Arial" w:cs="Arial"/>
          <w:iCs/>
          <w:sz w:val="24"/>
          <w:szCs w:val="24"/>
          <w:shd w:val="clear" w:color="auto" w:fill="FFFFFF"/>
          <w:lang w:eastAsia="en-GB"/>
        </w:rPr>
        <w:t>.</w:t>
      </w:r>
      <w:r w:rsidRPr="00E275AA">
        <w:rPr>
          <w:rFonts w:ascii="Arial" w:hAnsi="Arial" w:cs="Arial"/>
          <w:iCs/>
          <w:sz w:val="24"/>
          <w:szCs w:val="24"/>
          <w:shd w:val="clear" w:color="auto" w:fill="FFFFFF"/>
          <w:lang w:eastAsia="en-GB"/>
        </w:rPr>
        <w:t xml:space="preserve"> Customers also have recourse to take legal action against termination of bank account closures.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In Belgium the law was supplemented by a compensatory fund for any bank that had to take on a disproportionate amount of unprofitable clients. To date this fund has not been used. In Belgium banking is assumed to be</w:t>
      </w:r>
      <w:r w:rsidRPr="00E275AA">
        <w:rPr>
          <w:rFonts w:ascii="Arial" w:hAnsi="Arial" w:cs="Arial"/>
          <w:iCs/>
          <w:color w:val="FF0000"/>
          <w:sz w:val="24"/>
          <w:szCs w:val="24"/>
          <w:shd w:val="clear" w:color="auto" w:fill="FFFFFF"/>
          <w:lang w:eastAsia="en-GB"/>
        </w:rPr>
        <w:t xml:space="preserve"> </w:t>
      </w:r>
      <w:r w:rsidRPr="00E275AA">
        <w:rPr>
          <w:rFonts w:ascii="Arial" w:hAnsi="Arial" w:cs="Arial"/>
          <w:iCs/>
          <w:sz w:val="24"/>
          <w:szCs w:val="24"/>
          <w:shd w:val="clear" w:color="auto" w:fill="FFFFFF"/>
          <w:lang w:eastAsia="en-GB"/>
        </w:rPr>
        <w:t>a public good and the cost of it is provision is covered by the private sector only to the extent that it profitable for them to do so. After this point the Belgian government has committed to subsidise the cost of banking to unbanked individuals.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In the Netherlands a voluntary code of conduct is in place between banks to offer basic banking services to citizens over the age of 18. Under the code bank accounts can only be terminated in “serious circumstances such as abuse” after giving 30 </w:t>
      </w:r>
      <w:r w:rsidRPr="00FA3C2D">
        <w:rPr>
          <w:rFonts w:ascii="Arial" w:hAnsi="Arial" w:cs="Arial"/>
          <w:iCs/>
          <w:sz w:val="24"/>
          <w:szCs w:val="24"/>
          <w:shd w:val="clear" w:color="auto" w:fill="FFFFFF"/>
          <w:lang w:eastAsia="en-GB"/>
        </w:rPr>
        <w:t xml:space="preserve">days’ notice. Accounts are available to everyone that can validate their identity </w:t>
      </w:r>
      <w:sdt>
        <w:sdtPr>
          <w:rPr>
            <w:rFonts w:ascii="Arial" w:hAnsi="Arial" w:cs="Arial"/>
            <w:iCs/>
            <w:sz w:val="24"/>
            <w:szCs w:val="24"/>
            <w:shd w:val="clear" w:color="auto" w:fill="FFFFFF"/>
            <w:lang w:eastAsia="en-GB"/>
          </w:rPr>
          <w:id w:val="364341983"/>
          <w:citation/>
        </w:sdtPr>
        <w:sdtEndPr/>
        <w:sdtContent>
          <w:r w:rsidR="00FA3C2D" w:rsidRPr="00FA3C2D">
            <w:rPr>
              <w:rFonts w:ascii="Arial" w:hAnsi="Arial" w:cs="Arial"/>
              <w:iCs/>
              <w:sz w:val="24"/>
              <w:szCs w:val="24"/>
              <w:shd w:val="clear" w:color="auto" w:fill="FFFFFF"/>
              <w:lang w:eastAsia="en-GB"/>
            </w:rPr>
            <w:fldChar w:fldCharType="begin"/>
          </w:r>
          <w:r w:rsidR="00FA3C2D" w:rsidRPr="00FA3C2D">
            <w:rPr>
              <w:rFonts w:ascii="Arial" w:hAnsi="Arial" w:cs="Arial"/>
              <w:bCs/>
              <w:iCs/>
              <w:sz w:val="24"/>
              <w:szCs w:val="24"/>
              <w:shd w:val="clear" w:color="auto" w:fill="FFFFFF"/>
              <w:lang w:val="en-US" w:eastAsia="en-GB"/>
            </w:rPr>
            <w:instrText xml:space="preserve"> CITATION Eur08 \l 1033 </w:instrText>
          </w:r>
          <w:r w:rsidR="00FA3C2D" w:rsidRPr="00FA3C2D">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val="en-US" w:eastAsia="en-GB"/>
            </w:rPr>
            <w:t>(European Commission, 2008)</w:t>
          </w:r>
          <w:r w:rsidR="00FA3C2D" w:rsidRPr="00FA3C2D">
            <w:rPr>
              <w:rFonts w:ascii="Arial" w:hAnsi="Arial" w:cs="Arial"/>
              <w:iCs/>
              <w:sz w:val="24"/>
              <w:szCs w:val="24"/>
              <w:shd w:val="clear" w:color="auto" w:fill="FFFFFF"/>
              <w:lang w:eastAsia="en-GB"/>
            </w:rPr>
            <w:fldChar w:fldCharType="end"/>
          </w:r>
        </w:sdtContent>
      </w:sdt>
      <w:r w:rsidR="00FA3C2D">
        <w:rPr>
          <w:rFonts w:ascii="Arial" w:hAnsi="Arial" w:cs="Arial"/>
          <w:iCs/>
          <w:sz w:val="24"/>
          <w:szCs w:val="24"/>
          <w:shd w:val="clear" w:color="auto" w:fill="FFFFFF"/>
          <w:lang w:eastAsia="en-GB"/>
        </w:rPr>
        <w:t xml:space="preserve">. </w:t>
      </w:r>
      <w:r w:rsidRPr="00FA3C2D">
        <w:rPr>
          <w:rFonts w:ascii="Arial" w:hAnsi="Arial" w:cs="Arial"/>
          <w:iCs/>
          <w:sz w:val="24"/>
          <w:szCs w:val="24"/>
          <w:shd w:val="clear" w:color="auto" w:fill="FFFFFF"/>
          <w:lang w:eastAsia="en-GB"/>
        </w:rPr>
        <w:t>This is also supported by a monitoring by the Dutch</w:t>
      </w:r>
      <w:r w:rsidRPr="00E275AA">
        <w:rPr>
          <w:rFonts w:ascii="Arial" w:hAnsi="Arial" w:cs="Arial"/>
          <w:iCs/>
          <w:sz w:val="24"/>
          <w:szCs w:val="24"/>
          <w:shd w:val="clear" w:color="auto" w:fill="FFFFFF"/>
          <w:lang w:eastAsia="en-GB"/>
        </w:rPr>
        <w:t xml:space="preserve"> Banking authority.</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shd w:val="clear" w:color="auto" w:fill="FFFFFF"/>
          <w:lang w:eastAsia="en-GB"/>
        </w:rPr>
      </w:pPr>
      <w:r w:rsidRPr="00E275AA">
        <w:rPr>
          <w:rFonts w:ascii="Arial" w:hAnsi="Arial" w:cs="Arial"/>
          <w:iCs/>
          <w:sz w:val="24"/>
          <w:szCs w:val="24"/>
          <w:shd w:val="clear" w:color="auto" w:fill="FFFFFF"/>
          <w:lang w:eastAsia="en-GB"/>
        </w:rPr>
        <w:t>In Canada a similar outcome is achieved through legislation. The access to basic banking regulation gives Canadian banks an obligation to provide basic ban</w:t>
      </w:r>
      <w:r w:rsidR="002E5746">
        <w:rPr>
          <w:rFonts w:ascii="Arial" w:hAnsi="Arial" w:cs="Arial"/>
          <w:iCs/>
          <w:sz w:val="24"/>
          <w:szCs w:val="24"/>
          <w:shd w:val="clear" w:color="auto" w:fill="FFFFFF"/>
          <w:lang w:eastAsia="en-GB"/>
        </w:rPr>
        <w:t xml:space="preserve">king services to its customers </w:t>
      </w:r>
      <w:sdt>
        <w:sdtPr>
          <w:rPr>
            <w:rFonts w:ascii="Arial" w:hAnsi="Arial" w:cs="Arial"/>
            <w:iCs/>
            <w:sz w:val="24"/>
            <w:szCs w:val="24"/>
            <w:shd w:val="clear" w:color="auto" w:fill="FFFFFF"/>
            <w:lang w:eastAsia="en-GB"/>
          </w:rPr>
          <w:id w:val="80113666"/>
          <w:citation/>
        </w:sdtPr>
        <w:sdtEndPr/>
        <w:sdtContent>
          <w:r w:rsidR="002E5746">
            <w:rPr>
              <w:rFonts w:ascii="Arial" w:hAnsi="Arial" w:cs="Arial"/>
              <w:iCs/>
              <w:sz w:val="24"/>
              <w:szCs w:val="24"/>
              <w:shd w:val="clear" w:color="auto" w:fill="FFFFFF"/>
              <w:lang w:eastAsia="en-GB"/>
            </w:rPr>
            <w:fldChar w:fldCharType="begin"/>
          </w:r>
          <w:r w:rsidR="002E5746">
            <w:rPr>
              <w:rFonts w:ascii="Arial" w:hAnsi="Arial" w:cs="Arial"/>
              <w:iCs/>
              <w:sz w:val="24"/>
              <w:szCs w:val="24"/>
              <w:shd w:val="clear" w:color="auto" w:fill="FFFFFF"/>
              <w:lang w:eastAsia="en-GB"/>
            </w:rPr>
            <w:instrText xml:space="preserve"> CITATION Can15 \l 2057 </w:instrText>
          </w:r>
          <w:r w:rsidR="002E5746">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(Canada, 2015)</w:t>
          </w:r>
          <w:r w:rsidR="002E5746">
            <w:rPr>
              <w:rFonts w:ascii="Arial" w:hAnsi="Arial" w:cs="Arial"/>
              <w:iCs/>
              <w:sz w:val="24"/>
              <w:szCs w:val="24"/>
              <w:shd w:val="clear" w:color="auto" w:fill="FFFFFF"/>
              <w:lang w:eastAsia="en-GB"/>
            </w:rPr>
            <w:fldChar w:fldCharType="end"/>
          </w:r>
        </w:sdtContent>
      </w:sdt>
      <w:r w:rsidR="002E5746">
        <w:rPr>
          <w:rFonts w:ascii="Arial" w:hAnsi="Arial" w:cs="Arial"/>
          <w:iCs/>
          <w:sz w:val="24"/>
          <w:szCs w:val="24"/>
          <w:shd w:val="clear" w:color="auto" w:fill="FFFFFF"/>
          <w:lang w:eastAsia="en-GB"/>
        </w:rPr>
        <w:t xml:space="preserve">. </w:t>
      </w:r>
      <w:r w:rsidRPr="00E275AA">
        <w:rPr>
          <w:rFonts w:ascii="Arial" w:hAnsi="Arial" w:cs="Arial"/>
          <w:iCs/>
          <w:sz w:val="24"/>
          <w:szCs w:val="24"/>
          <w:shd w:val="clear" w:color="auto" w:fill="FFFFFF"/>
          <w:lang w:eastAsia="en-GB"/>
        </w:rPr>
        <w:t xml:space="preserve">Banks can refuse to open accounts only if it has, “reasonable grounds to suspect that the account will be used for illegal activities”. However this regulation gives no instructions about the responsibilities of banks when they are considering closing accounts. </w:t>
      </w:r>
      <w:r w:rsidRPr="00E275AA">
        <w:rPr>
          <w:rFonts w:ascii="Arial" w:hAnsi="Arial" w:cs="Arial"/>
          <w:sz w:val="24"/>
          <w:szCs w:val="24"/>
          <w:shd w:val="clear" w:color="auto" w:fill="FFFFFF"/>
          <w:lang w:eastAsia="en-GB"/>
        </w:rPr>
        <w:t>No successful cases have been brought against banks for the non-provision of services or the termination of existing relationships. The regulation also does not cover commercial accounts and only offers</w:t>
      </w:r>
      <w:r w:rsidRPr="00E275AA">
        <w:rPr>
          <w:rFonts w:ascii="Arial" w:hAnsi="Arial" w:cs="Arial"/>
          <w:color w:val="FF0000"/>
          <w:sz w:val="24"/>
          <w:szCs w:val="24"/>
          <w:shd w:val="clear" w:color="auto" w:fill="FFFFFF"/>
          <w:lang w:eastAsia="en-GB"/>
        </w:rPr>
        <w:t xml:space="preserve"> </w:t>
      </w:r>
      <w:r w:rsidRPr="00E275AA">
        <w:rPr>
          <w:rFonts w:ascii="Arial" w:hAnsi="Arial" w:cs="Arial"/>
          <w:sz w:val="24"/>
          <w:szCs w:val="24"/>
          <w:shd w:val="clear" w:color="auto" w:fill="FFFFFF"/>
          <w:lang w:eastAsia="en-GB"/>
        </w:rPr>
        <w:t>protection for retail customers.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903111" w:rsidP="00E275AA">
      <w:pPr>
        <w:spacing w:before="0" w:after="0" w:line="480" w:lineRule="auto"/>
        <w:jc w:val="both"/>
        <w:rPr>
          <w:rFonts w:ascii="Arial" w:hAnsi="Arial" w:cs="Arial"/>
          <w:sz w:val="24"/>
          <w:szCs w:val="24"/>
          <w:lang w:eastAsia="en-GB"/>
        </w:rPr>
      </w:pPr>
      <w:r>
        <w:rPr>
          <w:rFonts w:ascii="Arial" w:hAnsi="Arial" w:cs="Arial"/>
          <w:sz w:val="24"/>
          <w:szCs w:val="24"/>
          <w:shd w:val="clear" w:color="auto" w:fill="FFFFFF"/>
          <w:lang w:eastAsia="en-GB"/>
        </w:rPr>
        <w:t xml:space="preserve">In a significant Canadian case, </w:t>
      </w:r>
      <w:sdt>
        <w:sdtPr>
          <w:rPr>
            <w:rFonts w:ascii="Arial" w:hAnsi="Arial" w:cs="Arial"/>
            <w:sz w:val="24"/>
            <w:szCs w:val="24"/>
            <w:shd w:val="clear" w:color="auto" w:fill="FFFFFF"/>
            <w:lang w:eastAsia="en-GB"/>
          </w:rPr>
          <w:id w:val="-1880616211"/>
          <w:citation/>
        </w:sdtPr>
        <w:sdtEndPr/>
        <w:sdtContent>
          <w:r>
            <w:rPr>
              <w:rFonts w:ascii="Arial" w:hAnsi="Arial" w:cs="Arial"/>
              <w:sz w:val="24"/>
              <w:szCs w:val="24"/>
              <w:shd w:val="clear" w:color="auto" w:fill="FFFFFF"/>
              <w:lang w:eastAsia="en-GB"/>
            </w:rPr>
            <w:fldChar w:fldCharType="begin"/>
          </w:r>
          <w:r>
            <w:rPr>
              <w:rFonts w:ascii="Arial" w:hAnsi="Arial" w:cs="Arial"/>
              <w:sz w:val="24"/>
              <w:szCs w:val="24"/>
              <w:shd w:val="clear" w:color="auto" w:fill="FFFFFF"/>
              <w:lang w:eastAsia="en-GB"/>
            </w:rPr>
            <w:instrText xml:space="preserve"> CITATION RCG11 \l 2057 </w:instrText>
          </w:r>
          <w:r>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(RCG Forex Service Corp. v. HSBC Bank Canada, 2011)</w:t>
          </w:r>
          <w:r>
            <w:rPr>
              <w:rFonts w:ascii="Arial" w:hAnsi="Arial" w:cs="Arial"/>
              <w:sz w:val="24"/>
              <w:szCs w:val="24"/>
              <w:shd w:val="clear" w:color="auto" w:fill="FFFFFF"/>
              <w:lang w:eastAsia="en-GB"/>
            </w:rPr>
            <w:fldChar w:fldCharType="end"/>
          </w:r>
        </w:sdtContent>
      </w:sdt>
      <w:r w:rsidR="00E275AA" w:rsidRPr="00E275AA">
        <w:rPr>
          <w:rFonts w:ascii="Arial" w:hAnsi="Arial" w:cs="Arial"/>
          <w:sz w:val="24"/>
          <w:szCs w:val="24"/>
          <w:shd w:val="clear" w:color="auto" w:fill="FFFFFF"/>
          <w:lang w:eastAsia="en-GB"/>
        </w:rPr>
        <w:t>HSBC closed Forex’s account as it was considered a higher risk customer. HSBC wished to close the account so that it could reduce its exposure to regulatory risk</w:t>
      </w:r>
      <w:r w:rsidR="00380A42">
        <w:rPr>
          <w:rFonts w:ascii="Arial" w:hAnsi="Arial" w:cs="Arial"/>
          <w:sz w:val="24"/>
          <w:szCs w:val="24"/>
          <w:shd w:val="clear" w:color="auto" w:fill="FFFFFF"/>
          <w:lang w:eastAsia="en-GB"/>
        </w:rPr>
        <w:t xml:space="preserve"> </w:t>
      </w:r>
      <w:sdt>
        <w:sdtPr>
          <w:rPr>
            <w:rFonts w:ascii="Arial" w:hAnsi="Arial" w:cs="Arial"/>
            <w:sz w:val="24"/>
            <w:szCs w:val="24"/>
            <w:shd w:val="clear" w:color="auto" w:fill="FFFFFF"/>
            <w:lang w:eastAsia="en-GB"/>
          </w:rPr>
          <w:id w:val="-1898496989"/>
          <w:citation/>
        </w:sdtPr>
        <w:sdtEndPr/>
        <w:sdtContent>
          <w:r w:rsidR="00380A42">
            <w:rPr>
              <w:rFonts w:ascii="Arial" w:hAnsi="Arial" w:cs="Arial"/>
              <w:sz w:val="24"/>
              <w:szCs w:val="24"/>
              <w:shd w:val="clear" w:color="auto" w:fill="FFFFFF"/>
              <w:lang w:eastAsia="en-GB"/>
            </w:rPr>
            <w:fldChar w:fldCharType="begin"/>
          </w:r>
          <w:r w:rsidR="00380A42" w:rsidRPr="00380A42">
            <w:rPr>
              <w:rFonts w:ascii="Arial" w:hAnsi="Arial" w:cs="Arial"/>
              <w:sz w:val="24"/>
              <w:szCs w:val="24"/>
              <w:shd w:val="clear" w:color="auto" w:fill="FFFFFF"/>
              <w:lang w:eastAsia="en-GB"/>
            </w:rPr>
            <w:instrText xml:space="preserve"> CITATION RCG11 \l 2057 </w:instrText>
          </w:r>
          <w:r w:rsidR="00380A42">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(RCG Forex Service Corp. v. HSBC Bank Canada, 2011)</w:t>
          </w:r>
          <w:r w:rsidR="00380A42">
            <w:rPr>
              <w:rFonts w:ascii="Arial" w:hAnsi="Arial" w:cs="Arial"/>
              <w:sz w:val="24"/>
              <w:szCs w:val="24"/>
              <w:shd w:val="clear" w:color="auto" w:fill="FFFFFF"/>
              <w:lang w:eastAsia="en-GB"/>
            </w:rPr>
            <w:fldChar w:fldCharType="end"/>
          </w:r>
        </w:sdtContent>
      </w:sdt>
      <w:r w:rsidR="00380A42">
        <w:rPr>
          <w:rFonts w:ascii="Arial" w:hAnsi="Arial" w:cs="Arial"/>
          <w:sz w:val="24"/>
          <w:szCs w:val="24"/>
          <w:shd w:val="clear" w:color="auto" w:fill="FFFFFF"/>
          <w:lang w:eastAsia="en-GB"/>
        </w:rPr>
        <w:t xml:space="preserve"> </w:t>
      </w:r>
      <w:r w:rsidR="00E275AA" w:rsidRPr="00E275AA">
        <w:rPr>
          <w:rFonts w:ascii="Arial" w:hAnsi="Arial" w:cs="Arial"/>
          <w:sz w:val="24"/>
          <w:szCs w:val="24"/>
          <w:shd w:val="clear" w:color="auto" w:fill="FFFFFF"/>
          <w:lang w:eastAsia="en-GB"/>
        </w:rPr>
        <w:t>The judge ruled that HSBC was entitled to do so as the terms and conditions specified that HSBC has the right to terminate the account without notice. This is a clear case of HSBC de-risking its client base even when it did not have grounds to suspect that the account was being misused</w:t>
      </w:r>
      <w:r w:rsidR="00380A42">
        <w:rPr>
          <w:rFonts w:ascii="Arial" w:hAnsi="Arial" w:cs="Arial"/>
          <w:sz w:val="24"/>
          <w:szCs w:val="24"/>
          <w:shd w:val="clear" w:color="auto" w:fill="FFFFFF"/>
          <w:lang w:eastAsia="en-GB"/>
        </w:rPr>
        <w:t xml:space="preserve"> </w:t>
      </w:r>
      <w:sdt>
        <w:sdtPr>
          <w:rPr>
            <w:rFonts w:ascii="Arial" w:hAnsi="Arial" w:cs="Arial"/>
            <w:sz w:val="24"/>
            <w:szCs w:val="24"/>
            <w:shd w:val="clear" w:color="auto" w:fill="FFFFFF"/>
            <w:lang w:eastAsia="en-GB"/>
          </w:rPr>
          <w:id w:val="-1917004795"/>
          <w:citation/>
        </w:sdtPr>
        <w:sdtEndPr/>
        <w:sdtContent>
          <w:r w:rsidR="00380A42">
            <w:rPr>
              <w:rFonts w:ascii="Arial" w:hAnsi="Arial" w:cs="Arial"/>
              <w:sz w:val="24"/>
              <w:szCs w:val="24"/>
              <w:shd w:val="clear" w:color="auto" w:fill="FFFFFF"/>
              <w:lang w:eastAsia="en-GB"/>
            </w:rPr>
            <w:fldChar w:fldCharType="begin"/>
          </w:r>
          <w:r w:rsidR="00380A42" w:rsidRPr="00380A42">
            <w:rPr>
              <w:rFonts w:ascii="Arial" w:hAnsi="Arial" w:cs="Arial"/>
              <w:sz w:val="24"/>
              <w:szCs w:val="24"/>
              <w:shd w:val="clear" w:color="auto" w:fill="FFFFFF"/>
              <w:lang w:eastAsia="en-GB"/>
            </w:rPr>
            <w:instrText xml:space="preserve"> CITATION RCG11 \l 2057 </w:instrText>
          </w:r>
          <w:r w:rsidR="00380A42">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(RCG Forex Service Corp. v. HSBC Bank Canada, 2011)</w:t>
          </w:r>
          <w:r w:rsidR="00380A42">
            <w:rPr>
              <w:rFonts w:ascii="Arial" w:hAnsi="Arial" w:cs="Arial"/>
              <w:sz w:val="24"/>
              <w:szCs w:val="24"/>
              <w:shd w:val="clear" w:color="auto" w:fill="FFFFFF"/>
              <w:lang w:eastAsia="en-GB"/>
            </w:rPr>
            <w:fldChar w:fldCharType="end"/>
          </w:r>
        </w:sdtContent>
      </w:sdt>
      <w:r w:rsidR="00380A42">
        <w:rPr>
          <w:rFonts w:ascii="Arial" w:hAnsi="Arial" w:cs="Arial"/>
          <w:sz w:val="24"/>
          <w:szCs w:val="24"/>
          <w:shd w:val="clear" w:color="auto" w:fill="FFFFFF"/>
          <w:lang w:eastAsia="en-GB"/>
        </w:rPr>
        <w:t xml:space="preserve">. </w:t>
      </w:r>
      <w:r w:rsidR="00E275AA" w:rsidRPr="00E275AA">
        <w:rPr>
          <w:rFonts w:ascii="Arial" w:hAnsi="Arial" w:cs="Arial"/>
          <w:sz w:val="24"/>
          <w:szCs w:val="24"/>
          <w:shd w:val="clear" w:color="auto" w:fill="FFFFFF"/>
          <w:lang w:eastAsia="en-GB"/>
        </w:rPr>
        <w:t>In this case HSBC did not have to demonstrate that it had closed the account as a result of “sound commercial decision” due to the terms and conditions in its contract.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All the tested cases in Canada have supported a bank's right to terminate business relationships. The courts have ruled that bank accounts are subject to contractual law and as such the terms and conditions of the account are the only relevant factor to consider. This has included the bank's right to terminate accounts without notice if the terms an</w:t>
      </w:r>
      <w:r w:rsidR="00903111">
        <w:rPr>
          <w:rFonts w:ascii="Arial" w:hAnsi="Arial" w:cs="Arial"/>
          <w:sz w:val="24"/>
          <w:szCs w:val="24"/>
          <w:shd w:val="clear" w:color="auto" w:fill="FFFFFF"/>
          <w:lang w:eastAsia="en-GB"/>
        </w:rPr>
        <w:t xml:space="preserve">d conditions provide for this </w:t>
      </w:r>
      <w:sdt>
        <w:sdtPr>
          <w:rPr>
            <w:rFonts w:ascii="Arial" w:hAnsi="Arial" w:cs="Arial"/>
            <w:sz w:val="24"/>
            <w:szCs w:val="24"/>
            <w:shd w:val="clear" w:color="auto" w:fill="FFFFFF"/>
            <w:lang w:eastAsia="en-GB"/>
          </w:rPr>
          <w:id w:val="458533923"/>
          <w:citation/>
        </w:sdtPr>
        <w:sdtEndPr/>
        <w:sdtContent>
          <w:r w:rsidR="00903111">
            <w:rPr>
              <w:rFonts w:ascii="Arial" w:hAnsi="Arial" w:cs="Arial"/>
              <w:sz w:val="24"/>
              <w:szCs w:val="24"/>
              <w:shd w:val="clear" w:color="auto" w:fill="FFFFFF"/>
              <w:lang w:eastAsia="en-GB"/>
            </w:rPr>
            <w:fldChar w:fldCharType="begin"/>
          </w:r>
          <w:r w:rsidR="00903111">
            <w:rPr>
              <w:rFonts w:ascii="Arial" w:hAnsi="Arial" w:cs="Arial"/>
              <w:sz w:val="24"/>
              <w:szCs w:val="24"/>
              <w:shd w:val="clear" w:color="auto" w:fill="FFFFFF"/>
              <w:lang w:eastAsia="en-GB"/>
            </w:rPr>
            <w:instrText xml:space="preserve"> CITATION McM11 \l 2057 </w:instrText>
          </w:r>
          <w:r w:rsidR="00903111">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(McMillan, 2011)</w:t>
          </w:r>
          <w:r w:rsidR="00903111">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It is not expected that banks continue to do business with clients that they n</w:t>
      </w:r>
      <w:r w:rsidR="00903111">
        <w:rPr>
          <w:rFonts w:ascii="Arial" w:hAnsi="Arial" w:cs="Arial"/>
          <w:sz w:val="24"/>
          <w:szCs w:val="24"/>
          <w:shd w:val="clear" w:color="auto" w:fill="FFFFFF"/>
          <w:lang w:eastAsia="en-GB"/>
        </w:rPr>
        <w:t xml:space="preserve">o longer wish do business with </w:t>
      </w:r>
      <w:sdt>
        <w:sdtPr>
          <w:rPr>
            <w:rFonts w:ascii="Arial" w:hAnsi="Arial" w:cs="Arial"/>
            <w:sz w:val="24"/>
            <w:szCs w:val="24"/>
            <w:shd w:val="clear" w:color="auto" w:fill="FFFFFF"/>
            <w:lang w:eastAsia="en-GB"/>
          </w:rPr>
          <w:id w:val="1550879878"/>
          <w:citation/>
        </w:sdtPr>
        <w:sdtEndPr/>
        <w:sdtContent>
          <w:r w:rsidR="00903111">
            <w:rPr>
              <w:rFonts w:ascii="Arial" w:hAnsi="Arial" w:cs="Arial"/>
              <w:sz w:val="24"/>
              <w:szCs w:val="24"/>
              <w:shd w:val="clear" w:color="auto" w:fill="FFFFFF"/>
              <w:lang w:eastAsia="en-GB"/>
            </w:rPr>
            <w:fldChar w:fldCharType="begin"/>
          </w:r>
          <w:r w:rsidR="00903111">
            <w:rPr>
              <w:rFonts w:ascii="Arial" w:hAnsi="Arial" w:cs="Arial"/>
              <w:sz w:val="24"/>
              <w:szCs w:val="24"/>
              <w:shd w:val="clear" w:color="auto" w:fill="FFFFFF"/>
              <w:lang w:eastAsia="en-GB"/>
            </w:rPr>
            <w:instrText xml:space="preserve"> CITATION McM11 \l 2057 </w:instrText>
          </w:r>
          <w:r w:rsidR="00903111">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(McMillan, 2011)</w:t>
          </w:r>
          <w:r w:rsidR="00903111">
            <w:rPr>
              <w:rFonts w:ascii="Arial" w:hAnsi="Arial" w:cs="Arial"/>
              <w:sz w:val="24"/>
              <w:szCs w:val="24"/>
              <w:shd w:val="clear" w:color="auto" w:fill="FFFFFF"/>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rPr>
          <w:rFonts w:ascii="Arial" w:hAnsi="Arial" w:cs="Arial"/>
          <w:b/>
          <w:sz w:val="24"/>
          <w:szCs w:val="24"/>
          <w:lang w:eastAsia="en-GB"/>
        </w:rPr>
      </w:pPr>
      <w:r w:rsidRPr="00E275AA">
        <w:rPr>
          <w:rFonts w:ascii="Arial" w:hAnsi="Arial" w:cs="Arial"/>
          <w:b/>
          <w:bCs/>
          <w:sz w:val="24"/>
          <w:szCs w:val="24"/>
          <w:u w:val="single"/>
          <w:lang w:eastAsia="en-GB"/>
        </w:rPr>
        <w:t xml:space="preserve">UK Financial Inclusion </w:t>
      </w:r>
      <w:r w:rsidRPr="00E275AA">
        <w:rPr>
          <w:rFonts w:ascii="Arial" w:hAnsi="Arial" w:cs="Arial"/>
          <w:b/>
          <w:bCs/>
          <w:sz w:val="24"/>
          <w:szCs w:val="24"/>
          <w:u w:val="single"/>
          <w:lang w:eastAsia="en-GB"/>
        </w:rPr>
        <w:br/>
      </w:r>
    </w:p>
    <w:p w:rsidR="00E275AA" w:rsidRPr="00E275AA" w:rsidRDefault="00E275AA" w:rsidP="00E275AA">
      <w:pPr>
        <w:spacing w:before="0" w:after="0" w:line="480" w:lineRule="auto"/>
        <w:jc w:val="both"/>
        <w:rPr>
          <w:rFonts w:ascii="Arial" w:hAnsi="Arial" w:cs="Arial"/>
          <w:iCs/>
          <w:sz w:val="24"/>
          <w:szCs w:val="24"/>
          <w:shd w:val="clear" w:color="auto" w:fill="FFFFFF"/>
          <w:lang w:eastAsia="en-GB"/>
        </w:rPr>
      </w:pPr>
      <w:r w:rsidRPr="00E275AA">
        <w:rPr>
          <w:rFonts w:ascii="Arial" w:hAnsi="Arial" w:cs="Arial"/>
          <w:iCs/>
          <w:sz w:val="24"/>
          <w:szCs w:val="24"/>
          <w:shd w:val="clear" w:color="auto" w:fill="FFFFFF"/>
          <w:lang w:eastAsia="en-GB"/>
        </w:rPr>
        <w:t xml:space="preserve">The UK scores well internationally on measures of financial inclusion, such that 98.9% of all adult older than 15 have access to a bank account. This is significantly higher than in the US where 93.58% of adults have access to a bank account. You might have expected concentrated de-risking from 2011-2014 would have increasing the number of individuals that are financially excluded. However in the UK financial inclusion has increased since 2011 when </w:t>
      </w:r>
      <w:r w:rsidRPr="00903111">
        <w:rPr>
          <w:rFonts w:ascii="Arial" w:hAnsi="Arial" w:cs="Arial"/>
          <w:iCs/>
          <w:sz w:val="24"/>
          <w:szCs w:val="24"/>
          <w:shd w:val="clear" w:color="auto" w:fill="FFFFFF"/>
          <w:lang w:eastAsia="en-GB"/>
        </w:rPr>
        <w:t>only 97%</w:t>
      </w:r>
      <w:r w:rsidRPr="00E275AA">
        <w:rPr>
          <w:rFonts w:ascii="Arial" w:hAnsi="Arial" w:cs="Arial"/>
          <w:iCs/>
          <w:sz w:val="24"/>
          <w:szCs w:val="24"/>
          <w:shd w:val="clear" w:color="auto" w:fill="FFFFFF"/>
          <w:lang w:eastAsia="en-GB"/>
        </w:rPr>
        <w:t xml:space="preserve"> of adults had access to a bank account. This suggests that de-risking has not had widespread impact on personal current accounts and has not lead to a net general increase in financial exclusion in </w:t>
      </w:r>
    </w:p>
    <w:p w:rsidR="00E275AA" w:rsidRPr="00E275AA" w:rsidRDefault="00903111" w:rsidP="00E275AA">
      <w:pPr>
        <w:spacing w:before="0" w:after="0" w:line="480" w:lineRule="auto"/>
        <w:rPr>
          <w:rFonts w:ascii="Arial" w:hAnsi="Arial" w:cs="Arial"/>
          <w:sz w:val="24"/>
          <w:szCs w:val="24"/>
          <w:lang w:eastAsia="en-GB"/>
        </w:rPr>
      </w:pPr>
      <w:r>
        <w:rPr>
          <w:rFonts w:ascii="Arial" w:hAnsi="Arial" w:cs="Arial"/>
          <w:iCs/>
          <w:sz w:val="24"/>
          <w:szCs w:val="24"/>
          <w:shd w:val="clear" w:color="auto" w:fill="FFFFFF"/>
          <w:lang w:eastAsia="en-GB"/>
        </w:rPr>
        <w:t>the UK</w:t>
      </w:r>
      <w:r w:rsidR="00E275AA" w:rsidRPr="00E275AA">
        <w:rPr>
          <w:rFonts w:ascii="Arial" w:hAnsi="Arial" w:cs="Arial"/>
          <w:iCs/>
          <w:sz w:val="24"/>
          <w:szCs w:val="24"/>
          <w:shd w:val="clear" w:color="auto" w:fill="FFFFFF"/>
          <w:lang w:eastAsia="en-GB"/>
        </w:rPr>
        <w:t xml:space="preserve">  </w:t>
      </w:r>
      <w:sdt>
        <w:sdtPr>
          <w:rPr>
            <w:rFonts w:ascii="Arial" w:hAnsi="Arial" w:cs="Arial"/>
            <w:iCs/>
            <w:sz w:val="24"/>
            <w:szCs w:val="24"/>
            <w:shd w:val="clear" w:color="auto" w:fill="FFFFFF"/>
            <w:lang w:eastAsia="en-GB"/>
          </w:rPr>
          <w:id w:val="-1569024765"/>
          <w:citation/>
        </w:sdtPr>
        <w:sdtEndPr/>
        <w:sdtContent>
          <w:r>
            <w:rPr>
              <w:rFonts w:ascii="Arial" w:hAnsi="Arial" w:cs="Arial"/>
              <w:iCs/>
              <w:sz w:val="24"/>
              <w:szCs w:val="24"/>
              <w:shd w:val="clear" w:color="auto" w:fill="FFFFFF"/>
              <w:lang w:eastAsia="en-GB"/>
            </w:rPr>
            <w:fldChar w:fldCharType="begin"/>
          </w:r>
          <w:r>
            <w:rPr>
              <w:rFonts w:ascii="Arial" w:hAnsi="Arial" w:cs="Arial"/>
              <w:iCs/>
              <w:sz w:val="24"/>
              <w:szCs w:val="24"/>
              <w:shd w:val="clear" w:color="auto" w:fill="FFFFFF"/>
              <w:lang w:eastAsia="en-GB"/>
            </w:rPr>
            <w:instrText xml:space="preserve">CITATION The4a \l 2057 </w:instrText>
          </w:r>
          <w:r>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(World Bank, 2014)</w:t>
          </w:r>
          <w:r>
            <w:rPr>
              <w:rFonts w:ascii="Arial" w:hAnsi="Arial" w:cs="Arial"/>
              <w:iCs/>
              <w:sz w:val="24"/>
              <w:szCs w:val="24"/>
              <w:shd w:val="clear" w:color="auto" w:fill="FFFFFF"/>
              <w:lang w:eastAsia="en-GB"/>
            </w:rPr>
            <w:fldChar w:fldCharType="end"/>
          </w:r>
        </w:sdtContent>
      </w:sdt>
      <w:r>
        <w:rPr>
          <w:rFonts w:ascii="Arial" w:hAnsi="Arial" w:cs="Arial"/>
          <w:iCs/>
          <w:sz w:val="24"/>
          <w:szCs w:val="24"/>
          <w:shd w:val="clear" w:color="auto" w:fill="FFFFFF"/>
          <w:lang w:eastAsia="en-GB"/>
        </w:rPr>
        <w:t>.</w:t>
      </w:r>
      <w:r w:rsidR="00E275AA" w:rsidRPr="00E275AA">
        <w:rPr>
          <w:rFonts w:ascii="Arial" w:hAnsi="Arial" w:cs="Arial"/>
          <w:iCs/>
          <w:sz w:val="24"/>
          <w:szCs w:val="24"/>
          <w:shd w:val="clear" w:color="auto" w:fill="FFFFFF"/>
          <w:lang w:eastAsia="en-GB"/>
        </w:rPr>
        <w:br/>
      </w: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In 2005 there were </w:t>
      </w:r>
      <w:r w:rsidR="00903111">
        <w:rPr>
          <w:rFonts w:ascii="Arial" w:hAnsi="Arial" w:cs="Arial"/>
          <w:iCs/>
          <w:sz w:val="24"/>
          <w:szCs w:val="24"/>
          <w:shd w:val="clear" w:color="auto" w:fill="FFFFFF"/>
          <w:lang w:eastAsia="en-GB"/>
        </w:rPr>
        <w:t xml:space="preserve">3 million unbanked individuals </w:t>
      </w:r>
      <w:sdt>
        <w:sdtPr>
          <w:rPr>
            <w:rFonts w:ascii="Arial" w:hAnsi="Arial" w:cs="Arial"/>
            <w:iCs/>
            <w:sz w:val="24"/>
            <w:szCs w:val="24"/>
            <w:shd w:val="clear" w:color="auto" w:fill="FFFFFF"/>
            <w:lang w:eastAsia="en-GB"/>
          </w:rPr>
          <w:id w:val="511967512"/>
          <w:citation/>
        </w:sdtPr>
        <w:sdtEndPr/>
        <w:sdtContent>
          <w:r w:rsidR="00903111">
            <w:rPr>
              <w:rFonts w:ascii="Arial" w:hAnsi="Arial" w:cs="Arial"/>
              <w:iCs/>
              <w:sz w:val="24"/>
              <w:szCs w:val="24"/>
              <w:shd w:val="clear" w:color="auto" w:fill="FFFFFF"/>
              <w:lang w:eastAsia="en-GB"/>
            </w:rPr>
            <w:fldChar w:fldCharType="begin"/>
          </w:r>
          <w:r w:rsidR="00903111">
            <w:rPr>
              <w:rFonts w:ascii="Arial" w:hAnsi="Arial" w:cs="Arial"/>
              <w:iCs/>
              <w:sz w:val="24"/>
              <w:szCs w:val="24"/>
              <w:shd w:val="clear" w:color="auto" w:fill="FFFFFF"/>
              <w:lang w:eastAsia="en-GB"/>
            </w:rPr>
            <w:instrText xml:space="preserve"> CITATION Woo14 \l 2057 </w:instrText>
          </w:r>
          <w:r w:rsidR="00903111">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(Woolhouse, 2014)</w:t>
          </w:r>
          <w:r w:rsidR="00903111">
            <w:rPr>
              <w:rFonts w:ascii="Arial" w:hAnsi="Arial" w:cs="Arial"/>
              <w:iCs/>
              <w:sz w:val="24"/>
              <w:szCs w:val="24"/>
              <w:shd w:val="clear" w:color="auto" w:fill="FFFFFF"/>
              <w:lang w:eastAsia="en-GB"/>
            </w:rPr>
            <w:fldChar w:fldCharType="end"/>
          </w:r>
        </w:sdtContent>
      </w:sdt>
      <w:r w:rsidR="00903111">
        <w:rPr>
          <w:rFonts w:ascii="Arial" w:hAnsi="Arial" w:cs="Arial"/>
          <w:iCs/>
          <w:sz w:val="24"/>
          <w:szCs w:val="24"/>
          <w:shd w:val="clear" w:color="auto" w:fill="FFFFFF"/>
          <w:lang w:eastAsia="en-GB"/>
        </w:rPr>
        <w:t xml:space="preserve">. </w:t>
      </w:r>
      <w:r w:rsidRPr="00E275AA">
        <w:rPr>
          <w:rFonts w:ascii="Arial" w:hAnsi="Arial" w:cs="Arial"/>
          <w:iCs/>
          <w:sz w:val="24"/>
          <w:szCs w:val="24"/>
          <w:shd w:val="clear" w:color="auto" w:fill="FFFFFF"/>
          <w:lang w:eastAsia="en-GB"/>
        </w:rPr>
        <w:t>In 2014 this had fallen to 1.87 million adults. Of these 1.87 million only 1 million wanted access to a bank account. This suggests that a maximum of 1 million individuals in the UK are financially excluded</w:t>
      </w:r>
      <w:sdt>
        <w:sdtPr>
          <w:rPr>
            <w:rFonts w:ascii="Arial" w:hAnsi="Arial" w:cs="Arial"/>
            <w:iCs/>
            <w:sz w:val="24"/>
            <w:szCs w:val="24"/>
            <w:shd w:val="clear" w:color="auto" w:fill="FFFFFF"/>
            <w:lang w:eastAsia="en-GB"/>
          </w:rPr>
          <w:id w:val="-1568342499"/>
          <w:citation/>
        </w:sdtPr>
        <w:sdtEndPr/>
        <w:sdtContent>
          <w:r w:rsidR="00903111">
            <w:rPr>
              <w:rFonts w:ascii="Arial" w:hAnsi="Arial" w:cs="Arial"/>
              <w:iCs/>
              <w:sz w:val="24"/>
              <w:szCs w:val="24"/>
              <w:shd w:val="clear" w:color="auto" w:fill="FFFFFF"/>
              <w:lang w:eastAsia="en-GB"/>
            </w:rPr>
            <w:fldChar w:fldCharType="begin"/>
          </w:r>
          <w:r w:rsidR="00903111">
            <w:rPr>
              <w:rFonts w:ascii="Arial" w:hAnsi="Arial" w:cs="Arial"/>
              <w:iCs/>
              <w:sz w:val="24"/>
              <w:szCs w:val="24"/>
              <w:shd w:val="clear" w:color="auto" w:fill="FFFFFF"/>
              <w:lang w:eastAsia="en-GB"/>
            </w:rPr>
            <w:instrText xml:space="preserve"> CITATION Mit08 \l 2057 </w:instrText>
          </w:r>
          <w:r w:rsidR="00903111">
            <w:rPr>
              <w:rFonts w:ascii="Arial" w:hAnsi="Arial" w:cs="Arial"/>
              <w:iCs/>
              <w:sz w:val="24"/>
              <w:szCs w:val="24"/>
              <w:shd w:val="clear" w:color="auto" w:fill="FFFFFF"/>
              <w:lang w:eastAsia="en-GB"/>
            </w:rPr>
            <w:fldChar w:fldCharType="separate"/>
          </w:r>
          <w:r w:rsidR="00745BB5">
            <w:rPr>
              <w:rFonts w:ascii="Arial" w:hAnsi="Arial" w:cs="Arial"/>
              <w:iCs/>
              <w:noProof/>
              <w:sz w:val="24"/>
              <w:szCs w:val="24"/>
              <w:shd w:val="clear" w:color="auto" w:fill="FFFFFF"/>
              <w:lang w:eastAsia="en-GB"/>
            </w:rPr>
            <w:t xml:space="preserve"> </w:t>
          </w:r>
          <w:r w:rsidR="00745BB5" w:rsidRPr="00745BB5">
            <w:rPr>
              <w:rFonts w:ascii="Arial" w:hAnsi="Arial" w:cs="Arial"/>
              <w:noProof/>
              <w:sz w:val="24"/>
              <w:szCs w:val="24"/>
              <w:shd w:val="clear" w:color="auto" w:fill="FFFFFF"/>
              <w:lang w:eastAsia="en-GB"/>
            </w:rPr>
            <w:t>(Mitton, 2008)</w:t>
          </w:r>
          <w:r w:rsidR="00903111">
            <w:rPr>
              <w:rFonts w:ascii="Arial" w:hAnsi="Arial" w:cs="Arial"/>
              <w:iCs/>
              <w:sz w:val="24"/>
              <w:szCs w:val="24"/>
              <w:shd w:val="clear" w:color="auto" w:fill="FFFFFF"/>
              <w:lang w:eastAsia="en-GB"/>
            </w:rPr>
            <w:fldChar w:fldCharType="end"/>
          </w:r>
        </w:sdtContent>
      </w:sdt>
      <w:r w:rsidRPr="00E275AA">
        <w:rPr>
          <w:rFonts w:ascii="Arial" w:hAnsi="Arial" w:cs="Arial"/>
          <w:iCs/>
          <w:sz w:val="24"/>
          <w:szCs w:val="24"/>
          <w:shd w:val="clear" w:color="auto" w:fill="FFFFFF"/>
          <w:lang w:eastAsia="en-GB"/>
        </w:rPr>
        <w:t>. There are many drivers of financial exclusion and de-risking alone will not account for the total amount of people that are financially excluded, however it may have had a disproportionately concentrated effect on particular communities and businesses.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Before de-risking was first reported in 2009, ethnic minorities in the UK were considered to be particularly vu</w:t>
      </w:r>
      <w:r w:rsidR="00903111">
        <w:rPr>
          <w:rFonts w:ascii="Arial" w:hAnsi="Arial" w:cs="Arial"/>
          <w:iCs/>
          <w:sz w:val="24"/>
          <w:szCs w:val="24"/>
          <w:shd w:val="clear" w:color="auto" w:fill="FFFFFF"/>
          <w:lang w:eastAsia="en-GB"/>
        </w:rPr>
        <w:t xml:space="preserve">lnerable to financial exclusion </w:t>
      </w:r>
      <w:sdt>
        <w:sdtPr>
          <w:rPr>
            <w:rFonts w:ascii="Arial" w:hAnsi="Arial" w:cs="Arial"/>
            <w:iCs/>
            <w:sz w:val="24"/>
            <w:szCs w:val="24"/>
            <w:shd w:val="clear" w:color="auto" w:fill="FFFFFF"/>
            <w:lang w:eastAsia="en-GB"/>
          </w:rPr>
          <w:id w:val="-1303223444"/>
          <w:citation/>
        </w:sdtPr>
        <w:sdtEndPr/>
        <w:sdtContent>
          <w:r w:rsidR="00903111">
            <w:rPr>
              <w:rFonts w:ascii="Arial" w:hAnsi="Arial" w:cs="Arial"/>
              <w:iCs/>
              <w:sz w:val="24"/>
              <w:szCs w:val="24"/>
              <w:shd w:val="clear" w:color="auto" w:fill="FFFFFF"/>
              <w:lang w:eastAsia="en-GB"/>
            </w:rPr>
            <w:fldChar w:fldCharType="begin"/>
          </w:r>
          <w:r w:rsidR="00903111">
            <w:rPr>
              <w:rFonts w:ascii="Arial" w:hAnsi="Arial" w:cs="Arial"/>
              <w:iCs/>
              <w:sz w:val="24"/>
              <w:szCs w:val="24"/>
              <w:shd w:val="clear" w:color="auto" w:fill="FFFFFF"/>
              <w:lang w:eastAsia="en-GB"/>
            </w:rPr>
            <w:instrText xml:space="preserve"> CITATION Mit08 \l 2057 </w:instrText>
          </w:r>
          <w:r w:rsidR="00903111">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(Mitton, 2008)</w:t>
          </w:r>
          <w:r w:rsidR="00903111">
            <w:rPr>
              <w:rFonts w:ascii="Arial" w:hAnsi="Arial" w:cs="Arial"/>
              <w:iCs/>
              <w:sz w:val="24"/>
              <w:szCs w:val="24"/>
              <w:shd w:val="clear" w:color="auto" w:fill="FFFFFF"/>
              <w:lang w:eastAsia="en-GB"/>
            </w:rPr>
            <w:fldChar w:fldCharType="end"/>
          </w:r>
        </w:sdtContent>
      </w:sdt>
      <w:r w:rsidR="00903111">
        <w:rPr>
          <w:rFonts w:ascii="Arial" w:hAnsi="Arial" w:cs="Arial"/>
          <w:iCs/>
          <w:sz w:val="24"/>
          <w:szCs w:val="24"/>
          <w:shd w:val="clear" w:color="auto" w:fill="FFFFFF"/>
          <w:lang w:eastAsia="en-GB"/>
        </w:rPr>
        <w:t xml:space="preserve">. </w:t>
      </w:r>
      <w:r w:rsidRPr="00E275AA">
        <w:rPr>
          <w:rFonts w:ascii="Arial" w:hAnsi="Arial" w:cs="Arial"/>
          <w:iCs/>
          <w:sz w:val="24"/>
          <w:szCs w:val="24"/>
          <w:shd w:val="clear" w:color="auto" w:fill="FFFFFF"/>
          <w:lang w:eastAsia="en-GB"/>
        </w:rPr>
        <w:t>62% of individuals that were unbanked in 2005 were of Asian or Black, in this group Afro-Caribbean, Bangladeshi and Pakistani were most unli</w:t>
      </w:r>
      <w:r w:rsidR="00BD41FF">
        <w:rPr>
          <w:rFonts w:ascii="Arial" w:hAnsi="Arial" w:cs="Arial"/>
          <w:iCs/>
          <w:sz w:val="24"/>
          <w:szCs w:val="24"/>
          <w:shd w:val="clear" w:color="auto" w:fill="FFFFFF"/>
          <w:lang w:eastAsia="en-GB"/>
        </w:rPr>
        <w:t>kely to be financially excluded</w:t>
      </w:r>
      <w:r w:rsidRPr="00E275AA">
        <w:rPr>
          <w:rFonts w:ascii="Arial" w:hAnsi="Arial" w:cs="Arial"/>
          <w:iCs/>
          <w:sz w:val="24"/>
          <w:szCs w:val="24"/>
          <w:shd w:val="clear" w:color="auto" w:fill="FFFFFF"/>
          <w:lang w:eastAsia="en-GB"/>
        </w:rPr>
        <w:t xml:space="preserve"> </w:t>
      </w:r>
      <w:sdt>
        <w:sdtPr>
          <w:rPr>
            <w:rFonts w:ascii="Arial" w:hAnsi="Arial" w:cs="Arial"/>
            <w:bCs/>
            <w:iCs/>
            <w:sz w:val="24"/>
            <w:szCs w:val="24"/>
            <w:shd w:val="clear" w:color="auto" w:fill="FFFFFF"/>
            <w:lang w:eastAsia="en-GB"/>
          </w:rPr>
          <w:id w:val="-45910857"/>
          <w:citation/>
        </w:sdtPr>
        <w:sdtEndPr/>
        <w:sdtContent>
          <w:r w:rsidR="00BD41FF">
            <w:rPr>
              <w:rFonts w:ascii="Arial" w:hAnsi="Arial" w:cs="Arial"/>
              <w:bCs/>
              <w:iCs/>
              <w:sz w:val="24"/>
              <w:szCs w:val="24"/>
              <w:shd w:val="clear" w:color="auto" w:fill="FFFFFF"/>
              <w:lang w:eastAsia="en-GB"/>
            </w:rPr>
            <w:fldChar w:fldCharType="begin"/>
          </w:r>
          <w:r w:rsidR="00BD41FF">
            <w:rPr>
              <w:rFonts w:ascii="Arial" w:hAnsi="Arial" w:cs="Arial"/>
              <w:bCs/>
              <w:iCs/>
              <w:sz w:val="24"/>
              <w:szCs w:val="24"/>
              <w:shd w:val="clear" w:color="auto" w:fill="FFFFFF"/>
              <w:lang w:eastAsia="en-GB"/>
            </w:rPr>
            <w:instrText xml:space="preserve"> CITATION Kem12 \l 2057 </w:instrText>
          </w:r>
          <w:r w:rsidR="00BD41FF">
            <w:rPr>
              <w:rFonts w:ascii="Arial" w:hAnsi="Arial" w:cs="Arial"/>
              <w:bCs/>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(Kempson &amp; Collard , 2012)</w:t>
          </w:r>
          <w:r w:rsidR="00BD41FF">
            <w:rPr>
              <w:rFonts w:ascii="Arial" w:hAnsi="Arial" w:cs="Arial"/>
              <w:bCs/>
              <w:iCs/>
              <w:sz w:val="24"/>
              <w:szCs w:val="24"/>
              <w:shd w:val="clear" w:color="auto" w:fill="FFFFFF"/>
              <w:lang w:eastAsia="en-GB"/>
            </w:rPr>
            <w:fldChar w:fldCharType="end"/>
          </w:r>
        </w:sdtContent>
      </w:sdt>
      <w:r w:rsidRPr="00E275AA">
        <w:rPr>
          <w:rFonts w:ascii="Arial" w:hAnsi="Arial" w:cs="Arial"/>
          <w:iCs/>
          <w:sz w:val="24"/>
          <w:szCs w:val="24"/>
          <w:shd w:val="clear" w:color="auto" w:fill="FFFFFF"/>
          <w:lang w:eastAsia="en-GB"/>
        </w:rPr>
        <w:t xml:space="preserve"> Women of ethnic minorities in the UK were more likely to be financially exclude</w:t>
      </w:r>
      <w:r w:rsidR="008B2DAA">
        <w:rPr>
          <w:rFonts w:ascii="Arial" w:hAnsi="Arial" w:cs="Arial"/>
          <w:iCs/>
          <w:sz w:val="24"/>
          <w:szCs w:val="24"/>
          <w:shd w:val="clear" w:color="auto" w:fill="FFFFFF"/>
          <w:lang w:eastAsia="en-GB"/>
        </w:rPr>
        <w:t>d than their male counterparts</w:t>
      </w:r>
      <w:sdt>
        <w:sdtPr>
          <w:rPr>
            <w:rFonts w:ascii="Arial" w:hAnsi="Arial" w:cs="Arial"/>
            <w:iCs/>
            <w:sz w:val="24"/>
            <w:szCs w:val="24"/>
            <w:shd w:val="clear" w:color="auto" w:fill="FFFFFF"/>
            <w:lang w:eastAsia="en-GB"/>
          </w:rPr>
          <w:id w:val="-1701319840"/>
          <w:citation/>
        </w:sdtPr>
        <w:sdtEndPr/>
        <w:sdtContent>
          <w:r w:rsidR="008B2DAA">
            <w:rPr>
              <w:rFonts w:ascii="Arial" w:hAnsi="Arial" w:cs="Arial"/>
              <w:iCs/>
              <w:sz w:val="24"/>
              <w:szCs w:val="24"/>
              <w:shd w:val="clear" w:color="auto" w:fill="FFFFFF"/>
              <w:lang w:eastAsia="en-GB"/>
            </w:rPr>
            <w:fldChar w:fldCharType="begin"/>
          </w:r>
          <w:r w:rsidR="008B2DAA">
            <w:rPr>
              <w:rFonts w:ascii="Arial" w:hAnsi="Arial" w:cs="Arial"/>
              <w:iCs/>
              <w:sz w:val="24"/>
              <w:szCs w:val="24"/>
              <w:shd w:val="clear" w:color="auto" w:fill="FFFFFF"/>
              <w:lang w:val="en-US" w:eastAsia="en-GB"/>
            </w:rPr>
            <w:instrText xml:space="preserve"> CITATION Toy08 \l 1033 </w:instrText>
          </w:r>
          <w:r w:rsidR="008B2DAA">
            <w:rPr>
              <w:rFonts w:ascii="Arial" w:hAnsi="Arial" w:cs="Arial"/>
              <w:iCs/>
              <w:sz w:val="24"/>
              <w:szCs w:val="24"/>
              <w:shd w:val="clear" w:color="auto" w:fill="FFFFFF"/>
              <w:lang w:eastAsia="en-GB"/>
            </w:rPr>
            <w:fldChar w:fldCharType="separate"/>
          </w:r>
          <w:r w:rsidR="00745BB5">
            <w:rPr>
              <w:rFonts w:ascii="Arial" w:hAnsi="Arial" w:cs="Arial"/>
              <w:iCs/>
              <w:noProof/>
              <w:sz w:val="24"/>
              <w:szCs w:val="24"/>
              <w:shd w:val="clear" w:color="auto" w:fill="FFFFFF"/>
              <w:lang w:val="en-US" w:eastAsia="en-GB"/>
            </w:rPr>
            <w:t xml:space="preserve"> </w:t>
          </w:r>
          <w:r w:rsidR="00745BB5" w:rsidRPr="00745BB5">
            <w:rPr>
              <w:rFonts w:ascii="Arial" w:hAnsi="Arial" w:cs="Arial"/>
              <w:noProof/>
              <w:sz w:val="24"/>
              <w:szCs w:val="24"/>
              <w:shd w:val="clear" w:color="auto" w:fill="FFFFFF"/>
              <w:lang w:val="en-US" w:eastAsia="en-GB"/>
            </w:rPr>
            <w:t>(Toynbee Hall, 2008)</w:t>
          </w:r>
          <w:r w:rsidR="008B2DAA">
            <w:rPr>
              <w:rFonts w:ascii="Arial" w:hAnsi="Arial" w:cs="Arial"/>
              <w:iCs/>
              <w:sz w:val="24"/>
              <w:szCs w:val="24"/>
              <w:shd w:val="clear" w:color="auto" w:fill="FFFFFF"/>
              <w:lang w:eastAsia="en-GB"/>
            </w:rPr>
            <w:fldChar w:fldCharType="end"/>
          </w:r>
        </w:sdtContent>
      </w:sdt>
      <w:r w:rsidR="008B2DAA">
        <w:rPr>
          <w:rFonts w:ascii="Arial" w:hAnsi="Arial" w:cs="Arial"/>
          <w:iCs/>
          <w:sz w:val="24"/>
          <w:szCs w:val="24"/>
          <w:shd w:val="clear" w:color="auto" w:fill="FFFFFF"/>
          <w:lang w:eastAsia="en-GB"/>
        </w:rPr>
        <w:t>.</w:t>
      </w:r>
      <w:r w:rsidRPr="00E275AA">
        <w:rPr>
          <w:rFonts w:ascii="Arial" w:hAnsi="Arial" w:cs="Arial"/>
          <w:iCs/>
          <w:sz w:val="24"/>
          <w:szCs w:val="24"/>
          <w:shd w:val="clear" w:color="auto" w:fill="FFFFFF"/>
          <w:lang w:eastAsia="en-GB"/>
        </w:rPr>
        <w:t xml:space="preserve"> A European wide study showed that migrant populations were more likely to be-unbanked and that financial exclusion in the UK was closely linked with social exclusion. </w:t>
      </w:r>
      <w:sdt>
        <w:sdtPr>
          <w:rPr>
            <w:rFonts w:ascii="Arial" w:hAnsi="Arial" w:cs="Arial"/>
            <w:iCs/>
            <w:sz w:val="24"/>
            <w:szCs w:val="24"/>
            <w:shd w:val="clear" w:color="auto" w:fill="FFFFFF"/>
            <w:lang w:eastAsia="en-GB"/>
          </w:rPr>
          <w:id w:val="1942795802"/>
          <w:citation/>
        </w:sdtPr>
        <w:sdtEndPr/>
        <w:sdtContent>
          <w:r w:rsidR="008B2DAA">
            <w:rPr>
              <w:rFonts w:ascii="Arial" w:hAnsi="Arial" w:cs="Arial"/>
              <w:iCs/>
              <w:sz w:val="24"/>
              <w:szCs w:val="24"/>
              <w:shd w:val="clear" w:color="auto" w:fill="FFFFFF"/>
              <w:lang w:eastAsia="en-GB"/>
            </w:rPr>
            <w:fldChar w:fldCharType="begin"/>
          </w:r>
          <w:r w:rsidR="008B2DAA">
            <w:rPr>
              <w:rFonts w:ascii="Arial" w:hAnsi="Arial" w:cs="Arial"/>
              <w:iCs/>
              <w:sz w:val="24"/>
              <w:szCs w:val="24"/>
              <w:shd w:val="clear" w:color="auto" w:fill="FFFFFF"/>
              <w:lang w:val="en-US" w:eastAsia="en-GB"/>
            </w:rPr>
            <w:instrText xml:space="preserve"> CITATION Eur08 \l 1033 </w:instrText>
          </w:r>
          <w:r w:rsidR="008B2DAA">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val="en-US" w:eastAsia="en-GB"/>
            </w:rPr>
            <w:t>(European Commission, 2008)</w:t>
          </w:r>
          <w:r w:rsidR="008B2DAA">
            <w:rPr>
              <w:rFonts w:ascii="Arial" w:hAnsi="Arial" w:cs="Arial"/>
              <w:iCs/>
              <w:sz w:val="24"/>
              <w:szCs w:val="24"/>
              <w:shd w:val="clear" w:color="auto" w:fill="FFFFFF"/>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As a result in the UK a voluntary code was established by the Banking Code Standards Board, a predecessor to the Financial Conduct Authority. The 2005 code of conduct details the standards of the conduct that are expected for banks that provide basic bank accounts. </w:t>
      </w:r>
      <w:sdt>
        <w:sdtPr>
          <w:rPr>
            <w:rFonts w:ascii="Arial" w:hAnsi="Arial" w:cs="Arial"/>
            <w:iCs/>
            <w:sz w:val="24"/>
            <w:szCs w:val="24"/>
            <w:shd w:val="clear" w:color="auto" w:fill="FFFFFF"/>
            <w:lang w:eastAsia="en-GB"/>
          </w:rPr>
          <w:id w:val="-514686359"/>
          <w:citation/>
        </w:sdtPr>
        <w:sdtEndPr/>
        <w:sdtContent>
          <w:r w:rsidR="008B2DAA">
            <w:rPr>
              <w:rFonts w:ascii="Arial" w:hAnsi="Arial" w:cs="Arial"/>
              <w:iCs/>
              <w:sz w:val="24"/>
              <w:szCs w:val="24"/>
              <w:shd w:val="clear" w:color="auto" w:fill="FFFFFF"/>
              <w:lang w:eastAsia="en-GB"/>
            </w:rPr>
            <w:fldChar w:fldCharType="begin"/>
          </w:r>
          <w:r w:rsidR="008B2DAA">
            <w:rPr>
              <w:rFonts w:ascii="Arial" w:hAnsi="Arial" w:cs="Arial"/>
              <w:bCs/>
              <w:iCs/>
              <w:sz w:val="24"/>
              <w:szCs w:val="24"/>
              <w:shd w:val="clear" w:color="auto" w:fill="FFFFFF"/>
              <w:lang w:val="en-US" w:eastAsia="en-GB"/>
            </w:rPr>
            <w:instrText xml:space="preserve"> CITATION Toy08 \l 1033 </w:instrText>
          </w:r>
          <w:r w:rsidR="008B2DAA">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val="en-US" w:eastAsia="en-GB"/>
            </w:rPr>
            <w:t>(Toynbee Hall, 2008)</w:t>
          </w:r>
          <w:r w:rsidR="008B2DAA">
            <w:rPr>
              <w:rFonts w:ascii="Arial" w:hAnsi="Arial" w:cs="Arial"/>
              <w:iCs/>
              <w:sz w:val="24"/>
              <w:szCs w:val="24"/>
              <w:shd w:val="clear" w:color="auto" w:fill="FFFFFF"/>
              <w:lang w:eastAsia="en-GB"/>
            </w:rPr>
            <w:fldChar w:fldCharType="end"/>
          </w:r>
        </w:sdtContent>
      </w:sdt>
      <w:r w:rsidRPr="00E275AA">
        <w:rPr>
          <w:rFonts w:ascii="Arial" w:hAnsi="Arial" w:cs="Arial"/>
          <w:iCs/>
          <w:sz w:val="24"/>
          <w:szCs w:val="24"/>
          <w:shd w:val="clear" w:color="auto" w:fill="FFFFFF"/>
          <w:lang w:eastAsia="en-GB"/>
        </w:rPr>
        <w:t xml:space="preserve"> However this was a voluntary code, and contained no direct requirement for banks to provide basic bank accounts as they are generally loss making</w:t>
      </w:r>
      <w:r w:rsidR="00903111">
        <w:rPr>
          <w:rFonts w:ascii="Arial" w:hAnsi="Arial" w:cs="Arial"/>
          <w:iCs/>
          <w:sz w:val="24"/>
          <w:szCs w:val="24"/>
          <w:shd w:val="clear" w:color="auto" w:fill="FFFFFF"/>
          <w:lang w:eastAsia="en-GB"/>
        </w:rPr>
        <w:t>.</w:t>
      </w:r>
      <w:r w:rsidRPr="00E275AA">
        <w:rPr>
          <w:rFonts w:ascii="Arial" w:hAnsi="Arial" w:cs="Arial"/>
          <w:iCs/>
          <w:sz w:val="24"/>
          <w:szCs w:val="24"/>
          <w:shd w:val="clear" w:color="auto" w:fill="FFFFFF"/>
          <w:lang w:eastAsia="en-GB"/>
        </w:rPr>
        <w:t xml:space="preserve">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In 2003 Universal banking was rolled out across the UK which meant that pensioners and benefit claimants would have to open the basic bank account to receive state payments. This meant from 2003-2008 an average of 50,000 accounts were opened a month. The closure of basic accounts without reason at short notice was fairly common in 2008 and disproportionately affected individuals that did not speak English as a first language and were not British citizens. This suggests that even before banks started to review their customer relationships 2012, basic bank account customers from minority groups were more likely to involuntarily have their accounts closed.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Similarly in 2014 the government announced a basic bank account agreement which required providers to offer fee-free bank accounts to customers that were in-eligible for other accounts. This is a voluntary agreement that has been subscribed to by 90% of UK banks and will come into operation by the end of 2015 </w:t>
      </w:r>
      <w:sdt>
        <w:sdtPr>
          <w:rPr>
            <w:rFonts w:ascii="Arial" w:hAnsi="Arial" w:cs="Arial"/>
            <w:iCs/>
            <w:sz w:val="24"/>
            <w:szCs w:val="24"/>
            <w:shd w:val="clear" w:color="auto" w:fill="FFFFFF"/>
            <w:lang w:eastAsia="en-GB"/>
          </w:rPr>
          <w:id w:val="-772079282"/>
          <w:citation/>
        </w:sdtPr>
        <w:sdtEndPr/>
        <w:sdtContent>
          <w:r w:rsidR="0083179C">
            <w:rPr>
              <w:rFonts w:ascii="Arial" w:hAnsi="Arial" w:cs="Arial"/>
              <w:iCs/>
              <w:sz w:val="24"/>
              <w:szCs w:val="24"/>
              <w:shd w:val="clear" w:color="auto" w:fill="FFFFFF"/>
              <w:lang w:eastAsia="en-GB"/>
            </w:rPr>
            <w:fldChar w:fldCharType="begin"/>
          </w:r>
          <w:r w:rsidR="0083179C">
            <w:rPr>
              <w:rFonts w:ascii="Arial" w:hAnsi="Arial" w:cs="Arial"/>
              <w:bCs/>
              <w:iCs/>
              <w:sz w:val="24"/>
              <w:szCs w:val="24"/>
              <w:shd w:val="clear" w:color="auto" w:fill="FFFFFF"/>
              <w:lang w:eastAsia="en-GB"/>
            </w:rPr>
            <w:instrText xml:space="preserve"> CITATION UKG14 \l 2057 </w:instrText>
          </w:r>
          <w:r w:rsidR="0083179C">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(UK Government, 2014)</w:t>
          </w:r>
          <w:r w:rsidR="0083179C">
            <w:rPr>
              <w:rFonts w:ascii="Arial" w:hAnsi="Arial" w:cs="Arial"/>
              <w:iCs/>
              <w:sz w:val="24"/>
              <w:szCs w:val="24"/>
              <w:shd w:val="clear" w:color="auto" w:fill="FFFFFF"/>
              <w:lang w:eastAsia="en-GB"/>
            </w:rPr>
            <w:fldChar w:fldCharType="end"/>
          </w:r>
        </w:sdtContent>
      </w:sdt>
      <w:r w:rsidR="0083179C">
        <w:rPr>
          <w:rFonts w:ascii="Arial" w:hAnsi="Arial" w:cs="Arial"/>
          <w:iCs/>
          <w:sz w:val="24"/>
          <w:szCs w:val="24"/>
          <w:shd w:val="clear" w:color="auto" w:fill="FFFFFF"/>
          <w:lang w:eastAsia="en-GB"/>
        </w:rPr>
        <w:t xml:space="preserve">. </w:t>
      </w:r>
      <w:r w:rsidRPr="00E275AA">
        <w:rPr>
          <w:rFonts w:ascii="Arial" w:hAnsi="Arial" w:cs="Arial"/>
          <w:iCs/>
          <w:sz w:val="24"/>
          <w:szCs w:val="24"/>
          <w:shd w:val="clear" w:color="auto" w:fill="FFFFFF"/>
          <w:lang w:eastAsia="en-GB"/>
        </w:rPr>
        <w:t>Banks can refuse to offer customers accounts if they believe that they will be used for illegal activities or it might break applicable laws or regulations. Providers can close a basic bank account if it “is concerned that a customer has or will use the account unlawfully”. The provision and closure of basic bank accounts wil</w:t>
      </w:r>
      <w:r w:rsidR="0083179C">
        <w:rPr>
          <w:rFonts w:ascii="Arial" w:hAnsi="Arial" w:cs="Arial"/>
          <w:iCs/>
          <w:sz w:val="24"/>
          <w:szCs w:val="24"/>
          <w:shd w:val="clear" w:color="auto" w:fill="FFFFFF"/>
          <w:lang w:eastAsia="en-GB"/>
        </w:rPr>
        <w:t xml:space="preserve">l be monitored by the Treasury </w:t>
      </w:r>
      <w:sdt>
        <w:sdtPr>
          <w:rPr>
            <w:rFonts w:ascii="Arial" w:hAnsi="Arial" w:cs="Arial"/>
            <w:iCs/>
            <w:sz w:val="24"/>
            <w:szCs w:val="24"/>
            <w:shd w:val="clear" w:color="auto" w:fill="FFFFFF"/>
            <w:lang w:eastAsia="en-GB"/>
          </w:rPr>
          <w:id w:val="-1084677179"/>
          <w:citation/>
        </w:sdtPr>
        <w:sdtEndPr/>
        <w:sdtContent>
          <w:r w:rsidR="0083179C">
            <w:rPr>
              <w:rFonts w:ascii="Arial" w:hAnsi="Arial" w:cs="Arial"/>
              <w:iCs/>
              <w:sz w:val="24"/>
              <w:szCs w:val="24"/>
              <w:shd w:val="clear" w:color="auto" w:fill="FFFFFF"/>
              <w:lang w:eastAsia="en-GB"/>
            </w:rPr>
            <w:fldChar w:fldCharType="begin"/>
          </w:r>
          <w:r w:rsidR="0083179C">
            <w:rPr>
              <w:rFonts w:ascii="Arial" w:hAnsi="Arial" w:cs="Arial"/>
              <w:iCs/>
              <w:sz w:val="24"/>
              <w:szCs w:val="24"/>
              <w:shd w:val="clear" w:color="auto" w:fill="FFFFFF"/>
              <w:lang w:eastAsia="en-GB"/>
            </w:rPr>
            <w:instrText xml:space="preserve"> CITATION UKG14 \l 2057 </w:instrText>
          </w:r>
          <w:r w:rsidR="0083179C">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(UK Government, 2014)</w:t>
          </w:r>
          <w:r w:rsidR="0083179C">
            <w:rPr>
              <w:rFonts w:ascii="Arial" w:hAnsi="Arial" w:cs="Arial"/>
              <w:iCs/>
              <w:sz w:val="24"/>
              <w:szCs w:val="24"/>
              <w:shd w:val="clear" w:color="auto" w:fill="FFFFFF"/>
              <w:lang w:eastAsia="en-GB"/>
            </w:rPr>
            <w:fldChar w:fldCharType="end"/>
          </w:r>
        </w:sdtContent>
      </w:sdt>
      <w:r w:rsidR="0083179C">
        <w:rPr>
          <w:rFonts w:ascii="Arial" w:hAnsi="Arial" w:cs="Arial"/>
          <w:iCs/>
          <w:sz w:val="24"/>
          <w:szCs w:val="24"/>
          <w:shd w:val="clear" w:color="auto" w:fill="FFFFFF"/>
          <w:lang w:eastAsia="en-GB"/>
        </w:rPr>
        <w:t>.</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In the UK as in Canada account closures are still considered a commercial decision. Firms are under no obligation to continue to service accounts if they do not believe tha</w:t>
      </w:r>
      <w:r w:rsidR="0083179C">
        <w:rPr>
          <w:rFonts w:ascii="Arial" w:hAnsi="Arial" w:cs="Arial"/>
          <w:iCs/>
          <w:sz w:val="24"/>
          <w:szCs w:val="24"/>
          <w:shd w:val="clear" w:color="auto" w:fill="FFFFFF"/>
          <w:lang w:eastAsia="en-GB"/>
        </w:rPr>
        <w:t xml:space="preserve">t it is “appropriate to do so” </w:t>
      </w:r>
      <w:sdt>
        <w:sdtPr>
          <w:rPr>
            <w:rFonts w:ascii="Arial" w:hAnsi="Arial" w:cs="Arial"/>
            <w:iCs/>
            <w:sz w:val="24"/>
            <w:szCs w:val="24"/>
            <w:shd w:val="clear" w:color="auto" w:fill="FFFFFF"/>
            <w:lang w:eastAsia="en-GB"/>
          </w:rPr>
          <w:id w:val="-2080895548"/>
          <w:citation/>
        </w:sdtPr>
        <w:sdtEndPr/>
        <w:sdtContent>
          <w:r w:rsidR="0083179C">
            <w:rPr>
              <w:rFonts w:ascii="Arial" w:hAnsi="Arial" w:cs="Arial"/>
              <w:iCs/>
              <w:sz w:val="24"/>
              <w:szCs w:val="24"/>
              <w:shd w:val="clear" w:color="auto" w:fill="FFFFFF"/>
              <w:lang w:eastAsia="en-GB"/>
            </w:rPr>
            <w:fldChar w:fldCharType="begin"/>
          </w:r>
          <w:r w:rsidR="0083179C">
            <w:rPr>
              <w:rFonts w:ascii="Arial" w:hAnsi="Arial" w:cs="Arial"/>
              <w:iCs/>
              <w:sz w:val="24"/>
              <w:szCs w:val="24"/>
              <w:shd w:val="clear" w:color="auto" w:fill="FFFFFF"/>
              <w:lang w:eastAsia="en-GB"/>
            </w:rPr>
            <w:instrText xml:space="preserve"> CITATION Fin05 \l 2057 </w:instrText>
          </w:r>
          <w:r w:rsidR="0083179C">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(Financial Ombudsman Service, 2005)</w:t>
          </w:r>
          <w:r w:rsidR="0083179C">
            <w:rPr>
              <w:rFonts w:ascii="Arial" w:hAnsi="Arial" w:cs="Arial"/>
              <w:iCs/>
              <w:sz w:val="24"/>
              <w:szCs w:val="24"/>
              <w:shd w:val="clear" w:color="auto" w:fill="FFFFFF"/>
              <w:lang w:eastAsia="en-GB"/>
            </w:rPr>
            <w:fldChar w:fldCharType="end"/>
          </w:r>
        </w:sdtContent>
      </w:sdt>
      <w:r w:rsidRPr="00E275AA">
        <w:rPr>
          <w:rFonts w:ascii="Arial" w:hAnsi="Arial" w:cs="Arial"/>
          <w:iCs/>
          <w:sz w:val="24"/>
          <w:szCs w:val="24"/>
          <w:shd w:val="clear" w:color="auto" w:fill="FFFFFF"/>
          <w:lang w:eastAsia="en-GB"/>
        </w:rPr>
        <w:t xml:space="preserve"> The new free-fee banking agreement will not change this as it is a voluntary code of conduct, however the fact that HMT will be reviewing the number of basic bank accounts closures will increase transparency around account closures. Bank are expected to be able demonstrate that they closed the accounts as they were concerned that customers would use the account unlawfully.  It is important to note that this review will not require the submission of data for other types of personal current accounts or business accounts.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For all account closures the Financial Ombudsman (FOS) recommends that accounts should not be closed for “un-proper reasons” such as</w:t>
      </w:r>
      <w:r w:rsidR="0083179C">
        <w:rPr>
          <w:rFonts w:ascii="Arial" w:hAnsi="Arial" w:cs="Arial"/>
          <w:iCs/>
          <w:sz w:val="24"/>
          <w:szCs w:val="24"/>
          <w:shd w:val="clear" w:color="auto" w:fill="FFFFFF"/>
          <w:lang w:eastAsia="en-GB"/>
        </w:rPr>
        <w:t xml:space="preserve"> unfair bias or discrimination </w:t>
      </w:r>
      <w:sdt>
        <w:sdtPr>
          <w:rPr>
            <w:rFonts w:ascii="Arial" w:hAnsi="Arial" w:cs="Arial"/>
            <w:iCs/>
            <w:sz w:val="24"/>
            <w:szCs w:val="24"/>
            <w:shd w:val="clear" w:color="auto" w:fill="FFFFFF"/>
            <w:lang w:eastAsia="en-GB"/>
          </w:rPr>
          <w:id w:val="836044962"/>
          <w:citation/>
        </w:sdtPr>
        <w:sdtEndPr/>
        <w:sdtContent>
          <w:r w:rsidR="0083179C">
            <w:rPr>
              <w:rFonts w:ascii="Arial" w:hAnsi="Arial" w:cs="Arial"/>
              <w:iCs/>
              <w:sz w:val="24"/>
              <w:szCs w:val="24"/>
              <w:shd w:val="clear" w:color="auto" w:fill="FFFFFF"/>
              <w:lang w:eastAsia="en-GB"/>
            </w:rPr>
            <w:fldChar w:fldCharType="begin"/>
          </w:r>
          <w:r w:rsidR="0083179C">
            <w:rPr>
              <w:rFonts w:ascii="Arial" w:hAnsi="Arial" w:cs="Arial"/>
              <w:iCs/>
              <w:sz w:val="24"/>
              <w:szCs w:val="24"/>
              <w:shd w:val="clear" w:color="auto" w:fill="FFFFFF"/>
              <w:lang w:eastAsia="en-GB"/>
            </w:rPr>
            <w:instrText xml:space="preserve"> CITATION Fin04 \l 2057 </w:instrText>
          </w:r>
          <w:r w:rsidR="0083179C">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(Financial Ombudsman Service, 2004)</w:t>
          </w:r>
          <w:r w:rsidR="0083179C">
            <w:rPr>
              <w:rFonts w:ascii="Arial" w:hAnsi="Arial" w:cs="Arial"/>
              <w:iCs/>
              <w:sz w:val="24"/>
              <w:szCs w:val="24"/>
              <w:shd w:val="clear" w:color="auto" w:fill="FFFFFF"/>
              <w:lang w:eastAsia="en-GB"/>
            </w:rPr>
            <w:fldChar w:fldCharType="end"/>
          </w:r>
        </w:sdtContent>
      </w:sdt>
      <w:r w:rsidR="0083179C">
        <w:rPr>
          <w:rFonts w:ascii="Arial" w:hAnsi="Arial" w:cs="Arial"/>
          <w:iCs/>
          <w:sz w:val="24"/>
          <w:szCs w:val="24"/>
          <w:shd w:val="clear" w:color="auto" w:fill="FFFFFF"/>
          <w:lang w:eastAsia="en-GB"/>
        </w:rPr>
        <w:t xml:space="preserve">. </w:t>
      </w:r>
      <w:r w:rsidRPr="00E275AA">
        <w:rPr>
          <w:rFonts w:ascii="Arial" w:hAnsi="Arial" w:cs="Arial"/>
          <w:iCs/>
          <w:sz w:val="24"/>
          <w:szCs w:val="24"/>
          <w:shd w:val="clear" w:color="auto" w:fill="FFFFFF"/>
          <w:lang w:eastAsia="en-GB"/>
        </w:rPr>
        <w:t xml:space="preserve">They found in favour of a Somali individual who having presented his passport was refused an account due to the “problems with the current terrorist situation”. He was offered £750 in compensation for inconvenience and distress caused. </w:t>
      </w:r>
      <w:sdt>
        <w:sdtPr>
          <w:rPr>
            <w:rFonts w:ascii="Arial" w:hAnsi="Arial" w:cs="Arial"/>
            <w:iCs/>
            <w:sz w:val="24"/>
            <w:szCs w:val="24"/>
            <w:shd w:val="clear" w:color="auto" w:fill="FFFFFF"/>
            <w:lang w:eastAsia="en-GB"/>
          </w:rPr>
          <w:id w:val="-1055775618"/>
          <w:citation/>
        </w:sdtPr>
        <w:sdtEndPr/>
        <w:sdtContent>
          <w:r w:rsidR="0083179C">
            <w:rPr>
              <w:rFonts w:ascii="Arial" w:hAnsi="Arial" w:cs="Arial"/>
              <w:iCs/>
              <w:sz w:val="24"/>
              <w:szCs w:val="24"/>
              <w:shd w:val="clear" w:color="auto" w:fill="FFFFFF"/>
              <w:lang w:eastAsia="en-GB"/>
            </w:rPr>
            <w:fldChar w:fldCharType="begin"/>
          </w:r>
          <w:r w:rsidR="0083179C">
            <w:rPr>
              <w:rFonts w:ascii="Arial" w:hAnsi="Arial" w:cs="Arial"/>
              <w:iCs/>
              <w:sz w:val="24"/>
              <w:szCs w:val="24"/>
              <w:shd w:val="clear" w:color="auto" w:fill="FFFFFF"/>
              <w:lang w:eastAsia="en-GB"/>
            </w:rPr>
            <w:instrText xml:space="preserve"> CITATION Fin04 \l 2057 </w:instrText>
          </w:r>
          <w:r w:rsidR="0083179C">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(Financial Ombudsman Service, 2004)</w:t>
          </w:r>
          <w:r w:rsidR="0083179C">
            <w:rPr>
              <w:rFonts w:ascii="Arial" w:hAnsi="Arial" w:cs="Arial"/>
              <w:iCs/>
              <w:sz w:val="24"/>
              <w:szCs w:val="24"/>
              <w:shd w:val="clear" w:color="auto" w:fill="FFFFFF"/>
              <w:lang w:eastAsia="en-GB"/>
            </w:rPr>
            <w:fldChar w:fldCharType="end"/>
          </w:r>
        </w:sdtContent>
      </w:sdt>
      <w:r w:rsidR="0083179C">
        <w:rPr>
          <w:rFonts w:ascii="Arial" w:hAnsi="Arial" w:cs="Arial"/>
          <w:iCs/>
          <w:sz w:val="24"/>
          <w:szCs w:val="24"/>
          <w:shd w:val="clear" w:color="auto" w:fill="FFFFFF"/>
          <w:lang w:eastAsia="en-GB"/>
        </w:rPr>
        <w:t xml:space="preserve">. </w:t>
      </w:r>
      <w:r w:rsidRPr="00E275AA">
        <w:rPr>
          <w:rFonts w:ascii="Arial" w:hAnsi="Arial" w:cs="Arial"/>
          <w:iCs/>
          <w:sz w:val="24"/>
          <w:szCs w:val="24"/>
          <w:shd w:val="clear" w:color="auto" w:fill="FFFFFF"/>
          <w:lang w:eastAsia="en-GB"/>
        </w:rPr>
        <w:t xml:space="preserve">This is an interesting case as Somalia is considered a high risk AML jurisdiction. It is not clear what grounds the FOS decided the bank actions were discriminatory, or whether this case involved a basic bank account. However under the basic bank account agreement banks would have to have concerns that the customer would use the account unlawfully to refuse an application. This is higher standard of proof than would be required for the refusal of general personal current accounts where it is still considered a commercial decision. It also offers insight into the level of compensation deemed appropriate for racial discrimination when opening accounts.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To date no UK case law tests whether refusing to open an account or exit existing relationships for “higher risk” customers is considered discriminatory. The case that offers the most insight is Shah vs HSBC 2010. HSBC filed a suspicious activity report against Shah and refused to process his transactions as they believed they were connected to money laundering. They subsequently asked him to close his HSBC account. The original hearing found in HSBC’s favour as the bank had acted in good faith and had the right due to a clause in it terms and conditions to act without Mr Shah's consent. The appeal hearing later stated that the bank was in an “unenviable position” where they risked being prosecuted for breaching the Proceeds of Crime Act if they had continued to process a transaction that was considered suspicious. They also risked being sued by customers for any delay and damages caused by refusing to process the funds. This case was crucial in determining the level of evidence that a bank needs in order to act against a customer's wishes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The case established that a bank “must think there is a possibility, which is more than fanciful, that the relevant facts exist. A vague feeling of unease would not suffice. But the statute does not require the suspicion to be ‘clear’ or ‘firmly grounded and targeted on specific facts’ or based on ‘reasonable grounds’”. Banks must only be able to evidence the fact that they had suspicions at the time and that these suspicious were sufficiently documented.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We have seen that banks have closed accounts not on the suspicion that the account have been misused but because they are considered high risk. Moreover we have seen that in Canada the courts have ruled that banks have the right to end business relationships without reason or explanation as long as it is covered in the terms and conditions even if customers are not considered to be higher risk.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This is supported by the New Zealand ombudsman who stated that a fundamental part of a banking relationship is the ability of “either party to end it at any time”.</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In the US a plaintiff brought a discrimination case against JP Morgan for the closure of </w:t>
      </w:r>
      <w:r w:rsidR="0083179C">
        <w:rPr>
          <w:rFonts w:ascii="Arial" w:hAnsi="Arial" w:cs="Arial"/>
          <w:iCs/>
          <w:sz w:val="24"/>
          <w:szCs w:val="24"/>
          <w:shd w:val="clear" w:color="auto" w:fill="FFFFFF"/>
          <w:lang w:eastAsia="en-GB"/>
        </w:rPr>
        <w:t xml:space="preserve">his accounts </w:t>
      </w:r>
      <w:sdt>
        <w:sdtPr>
          <w:rPr>
            <w:rFonts w:ascii="Arial" w:hAnsi="Arial" w:cs="Arial"/>
            <w:iCs/>
            <w:sz w:val="24"/>
            <w:szCs w:val="24"/>
            <w:shd w:val="clear" w:color="auto" w:fill="FFFFFF"/>
            <w:lang w:eastAsia="en-GB"/>
          </w:rPr>
          <w:id w:val="862097262"/>
          <w:citation/>
        </w:sdtPr>
        <w:sdtEndPr/>
        <w:sdtContent>
          <w:r w:rsidR="0083179C">
            <w:rPr>
              <w:rFonts w:ascii="Arial" w:hAnsi="Arial" w:cs="Arial"/>
              <w:iCs/>
              <w:sz w:val="24"/>
              <w:szCs w:val="24"/>
              <w:shd w:val="clear" w:color="auto" w:fill="FFFFFF"/>
              <w:lang w:eastAsia="en-GB"/>
            </w:rPr>
            <w:fldChar w:fldCharType="begin"/>
          </w:r>
          <w:r w:rsidR="0083179C">
            <w:rPr>
              <w:rFonts w:ascii="Arial" w:hAnsi="Arial" w:cs="Arial"/>
              <w:iCs/>
              <w:sz w:val="24"/>
              <w:szCs w:val="24"/>
              <w:shd w:val="clear" w:color="auto" w:fill="FFFFFF"/>
              <w:lang w:eastAsia="en-GB"/>
            </w:rPr>
            <w:instrText xml:space="preserve"> CITATION KHU14 \l 2057 </w:instrText>
          </w:r>
          <w:r w:rsidR="0083179C">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(KHUDHIR V. JP MORGAN CHASE BANK, 2014)</w:t>
          </w:r>
          <w:r w:rsidR="0083179C">
            <w:rPr>
              <w:rFonts w:ascii="Arial" w:hAnsi="Arial" w:cs="Arial"/>
              <w:iCs/>
              <w:sz w:val="24"/>
              <w:szCs w:val="24"/>
              <w:shd w:val="clear" w:color="auto" w:fill="FFFFFF"/>
              <w:lang w:eastAsia="en-GB"/>
            </w:rPr>
            <w:fldChar w:fldCharType="end"/>
          </w:r>
        </w:sdtContent>
      </w:sdt>
      <w:r w:rsidR="0083179C">
        <w:rPr>
          <w:rFonts w:ascii="Arial" w:hAnsi="Arial" w:cs="Arial"/>
          <w:iCs/>
          <w:sz w:val="24"/>
          <w:szCs w:val="24"/>
          <w:shd w:val="clear" w:color="auto" w:fill="FFFFFF"/>
          <w:lang w:eastAsia="en-GB"/>
        </w:rPr>
        <w:t xml:space="preserve">. </w:t>
      </w:r>
      <w:r w:rsidRPr="00E275AA">
        <w:rPr>
          <w:rFonts w:ascii="Arial" w:hAnsi="Arial" w:cs="Arial"/>
          <w:iCs/>
          <w:sz w:val="24"/>
          <w:szCs w:val="24"/>
          <w:shd w:val="clear" w:color="auto" w:fill="FFFFFF"/>
          <w:lang w:eastAsia="en-GB"/>
        </w:rPr>
        <w:t xml:space="preserve">A court in Michigan found that there was insufficient factual evidence to demonstrate that the bank “intentionally interfered with or impaired the plaintiff's contractual right on the basis of race”. This case concluded that the plaintiff had to do more than “guess” at why his account had been closed and needed evidence to show that his account had been closed due to race. </w:t>
      </w:r>
      <w:sdt>
        <w:sdtPr>
          <w:rPr>
            <w:rFonts w:ascii="Arial" w:hAnsi="Arial" w:cs="Arial"/>
            <w:iCs/>
            <w:sz w:val="24"/>
            <w:szCs w:val="24"/>
            <w:shd w:val="clear" w:color="auto" w:fill="FFFFFF"/>
            <w:lang w:eastAsia="en-GB"/>
          </w:rPr>
          <w:id w:val="-1782410545"/>
          <w:citation/>
        </w:sdtPr>
        <w:sdtEndPr/>
        <w:sdtContent>
          <w:r w:rsidR="0083179C">
            <w:rPr>
              <w:rFonts w:ascii="Arial" w:hAnsi="Arial" w:cs="Arial"/>
              <w:iCs/>
              <w:sz w:val="24"/>
              <w:szCs w:val="24"/>
              <w:shd w:val="clear" w:color="auto" w:fill="FFFFFF"/>
              <w:lang w:eastAsia="en-GB"/>
            </w:rPr>
            <w:fldChar w:fldCharType="begin"/>
          </w:r>
          <w:r w:rsidR="0083179C">
            <w:rPr>
              <w:rFonts w:ascii="Arial" w:hAnsi="Arial" w:cs="Arial"/>
              <w:iCs/>
              <w:sz w:val="24"/>
              <w:szCs w:val="24"/>
              <w:shd w:val="clear" w:color="auto" w:fill="FFFFFF"/>
              <w:lang w:eastAsia="en-GB"/>
            </w:rPr>
            <w:instrText xml:space="preserve"> CITATION KHU14 \l 2057 </w:instrText>
          </w:r>
          <w:r w:rsidR="0083179C">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(KHUDHIR V. JP MORGAN CHASE BANK, 2014)</w:t>
          </w:r>
          <w:r w:rsidR="0083179C">
            <w:rPr>
              <w:rFonts w:ascii="Arial" w:hAnsi="Arial" w:cs="Arial"/>
              <w:iCs/>
              <w:sz w:val="24"/>
              <w:szCs w:val="24"/>
              <w:shd w:val="clear" w:color="auto" w:fill="FFFFFF"/>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BD41FF" w:rsidRDefault="00E275AA" w:rsidP="00E275AA">
      <w:pPr>
        <w:spacing w:before="0" w:after="0" w:line="480" w:lineRule="auto"/>
        <w:jc w:val="both"/>
        <w:rPr>
          <w:rFonts w:ascii="Arial" w:hAnsi="Arial" w:cs="Arial"/>
          <w:sz w:val="24"/>
          <w:szCs w:val="24"/>
          <w:shd w:val="clear" w:color="auto" w:fill="FFFFFF"/>
          <w:lang w:eastAsia="en-GB"/>
        </w:rPr>
      </w:pPr>
      <w:r w:rsidRPr="00E275AA">
        <w:rPr>
          <w:rFonts w:ascii="Arial" w:hAnsi="Arial" w:cs="Arial"/>
          <w:sz w:val="24"/>
          <w:szCs w:val="24"/>
          <w:shd w:val="clear" w:color="auto" w:fill="FFFFFF"/>
          <w:lang w:eastAsia="en-GB"/>
        </w:rPr>
        <w:t>However a court of appeal has overturned a decision by the District Court of Eastern Michigan who dismissed claims that Huntingdon bank unlawfully discriminated against 25 Arab Americans who had their account closed without due reason.</w:t>
      </w:r>
      <w:r w:rsidR="009E730E">
        <w:rPr>
          <w:rFonts w:ascii="Arial" w:hAnsi="Arial" w:cs="Arial"/>
          <w:sz w:val="24"/>
          <w:szCs w:val="24"/>
          <w:shd w:val="clear" w:color="auto" w:fill="FFFFFF"/>
          <w:lang w:eastAsia="en-GB"/>
        </w:rPr>
        <w:t xml:space="preserve"> T</w:t>
      </w:r>
      <w:r w:rsidRPr="00E275AA">
        <w:rPr>
          <w:rFonts w:ascii="Arial" w:hAnsi="Arial" w:cs="Arial"/>
          <w:sz w:val="24"/>
          <w:szCs w:val="24"/>
          <w:shd w:val="clear" w:color="auto" w:fill="FFFFFF"/>
          <w:lang w:eastAsia="en-GB"/>
        </w:rPr>
        <w:t xml:space="preserve">he attorney heard from 150 Arab Americans who had also had their accounts closed. The court decided that the lack of “alternative explanation for the account closures” led to the plausible inference that the plaintiffs </w:t>
      </w:r>
      <w:r w:rsidR="00BD41FF">
        <w:rPr>
          <w:rFonts w:ascii="Arial" w:hAnsi="Arial" w:cs="Arial"/>
          <w:sz w:val="24"/>
          <w:szCs w:val="24"/>
          <w:shd w:val="clear" w:color="auto" w:fill="FFFFFF"/>
          <w:lang w:eastAsia="en-GB"/>
        </w:rPr>
        <w:t xml:space="preserve">faced unlawful discrimination </w:t>
      </w:r>
      <w:sdt>
        <w:sdtPr>
          <w:rPr>
            <w:rFonts w:ascii="Arial" w:hAnsi="Arial" w:cs="Arial"/>
            <w:sz w:val="24"/>
            <w:szCs w:val="24"/>
            <w:shd w:val="clear" w:color="auto" w:fill="FFFFFF"/>
            <w:lang w:eastAsia="en-GB"/>
          </w:rPr>
          <w:id w:val="1492754398"/>
          <w:citation/>
        </w:sdtPr>
        <w:sdtEndPr/>
        <w:sdtContent>
          <w:r w:rsidR="00BD41FF">
            <w:rPr>
              <w:rFonts w:ascii="Arial" w:hAnsi="Arial" w:cs="Arial"/>
              <w:sz w:val="24"/>
              <w:szCs w:val="24"/>
              <w:shd w:val="clear" w:color="auto" w:fill="FFFFFF"/>
              <w:lang w:eastAsia="en-GB"/>
            </w:rPr>
            <w:fldChar w:fldCharType="begin"/>
          </w:r>
          <w:r w:rsidR="00BD41FF">
            <w:rPr>
              <w:rFonts w:ascii="Arial" w:hAnsi="Arial" w:cs="Arial"/>
              <w:sz w:val="24"/>
              <w:szCs w:val="24"/>
              <w:shd w:val="clear" w:color="auto" w:fill="FFFFFF"/>
              <w:lang w:eastAsia="en-GB"/>
            </w:rPr>
            <w:instrText xml:space="preserve"> CITATION ELH14 \l 2057 </w:instrText>
          </w:r>
          <w:r w:rsidR="00BD41FF">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(EL-HALLANI v HUNTINGTON NATIONAL BANK, 2014)</w:t>
          </w:r>
          <w:r w:rsidR="00BD41FF">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xml:space="preserve"> </w:t>
      </w:r>
      <w:r w:rsidR="00BD41FF" w:rsidRPr="00E275AA">
        <w:rPr>
          <w:rFonts w:ascii="Arial" w:hAnsi="Arial" w:cs="Arial"/>
          <w:sz w:val="24"/>
          <w:szCs w:val="24"/>
          <w:shd w:val="clear" w:color="auto" w:fill="FFFFFF"/>
          <w:lang w:eastAsia="en-GB"/>
        </w:rPr>
        <w:t xml:space="preserve"> </w:t>
      </w:r>
      <w:r w:rsidRPr="00E275AA">
        <w:rPr>
          <w:rFonts w:ascii="Arial" w:hAnsi="Arial" w:cs="Arial"/>
          <w:sz w:val="24"/>
          <w:szCs w:val="24"/>
          <w:shd w:val="clear" w:color="auto" w:fill="FFFFFF"/>
          <w:lang w:eastAsia="en-GB"/>
        </w:rPr>
        <w:t>This was compounded by evidence from a former employee of the bank who testified that a large number of customers had had their accounts closed that were of middle eastern descent who had previously had had a good working relationship with the bank.</w:t>
      </w:r>
      <w:r w:rsidR="00BD41FF" w:rsidRPr="00BD41FF">
        <w:rPr>
          <w:rFonts w:ascii="Arial" w:hAnsi="Arial" w:cs="Arial"/>
          <w:sz w:val="24"/>
          <w:szCs w:val="24"/>
          <w:shd w:val="clear" w:color="auto" w:fill="FFFFFF"/>
          <w:lang w:eastAsia="en-GB"/>
        </w:rPr>
        <w:t xml:space="preserve"> </w:t>
      </w:r>
      <w:sdt>
        <w:sdtPr>
          <w:rPr>
            <w:rFonts w:ascii="Arial" w:hAnsi="Arial" w:cs="Arial"/>
            <w:sz w:val="24"/>
            <w:szCs w:val="24"/>
            <w:shd w:val="clear" w:color="auto" w:fill="FFFFFF"/>
            <w:lang w:eastAsia="en-GB"/>
          </w:rPr>
          <w:id w:val="312224954"/>
          <w:citation/>
        </w:sdtPr>
        <w:sdtEndPr/>
        <w:sdtContent>
          <w:r w:rsidR="00BD41FF">
            <w:rPr>
              <w:rFonts w:ascii="Arial" w:hAnsi="Arial" w:cs="Arial"/>
              <w:sz w:val="24"/>
              <w:szCs w:val="24"/>
              <w:shd w:val="clear" w:color="auto" w:fill="FFFFFF"/>
              <w:lang w:eastAsia="en-GB"/>
            </w:rPr>
            <w:fldChar w:fldCharType="begin"/>
          </w:r>
          <w:r w:rsidR="00BD41FF" w:rsidRPr="00BD41FF">
            <w:rPr>
              <w:rFonts w:ascii="Arial" w:hAnsi="Arial" w:cs="Arial"/>
              <w:sz w:val="24"/>
              <w:szCs w:val="24"/>
              <w:shd w:val="clear" w:color="auto" w:fill="FFFFFF"/>
              <w:lang w:eastAsia="en-GB"/>
            </w:rPr>
            <w:instrText xml:space="preserve"> CITATION Har15 \l 2057 </w:instrText>
          </w:r>
          <w:r w:rsidR="00BD41FF">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(Harb, 2015)</w:t>
          </w:r>
          <w:r w:rsidR="00BD41FF">
            <w:rPr>
              <w:rFonts w:ascii="Arial" w:hAnsi="Arial" w:cs="Arial"/>
              <w:sz w:val="24"/>
              <w:szCs w:val="24"/>
              <w:shd w:val="clear" w:color="auto" w:fill="FFFFFF"/>
              <w:lang w:eastAsia="en-GB"/>
            </w:rPr>
            <w:fldChar w:fldCharType="end"/>
          </w:r>
        </w:sdtContent>
      </w:sdt>
      <w:r w:rsidRPr="00E275AA">
        <w:rPr>
          <w:rFonts w:ascii="Arial" w:hAnsi="Arial" w:cs="Arial"/>
          <w:sz w:val="24"/>
          <w:szCs w:val="24"/>
          <w:shd w:val="clear" w:color="auto" w:fill="FFFFFF"/>
          <w:lang w:eastAsia="en-GB"/>
        </w:rPr>
        <w:t xml:space="preserve">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BD41FF" w:rsidRDefault="00E275AA" w:rsidP="00E275AA">
      <w:pPr>
        <w:spacing w:before="0" w:after="0" w:line="480" w:lineRule="auto"/>
        <w:jc w:val="both"/>
        <w:rPr>
          <w:rFonts w:ascii="Arial" w:hAnsi="Arial" w:cs="Arial"/>
          <w:sz w:val="24"/>
          <w:szCs w:val="24"/>
          <w:shd w:val="clear" w:color="auto" w:fill="FFFFFF"/>
          <w:lang w:eastAsia="en-GB"/>
        </w:rPr>
      </w:pPr>
      <w:r w:rsidRPr="00E275AA">
        <w:rPr>
          <w:rFonts w:ascii="Arial" w:hAnsi="Arial" w:cs="Arial"/>
          <w:sz w:val="24"/>
          <w:szCs w:val="24"/>
          <w:shd w:val="clear" w:color="auto" w:fill="FFFFFF"/>
          <w:lang w:eastAsia="en-GB"/>
        </w:rPr>
        <w:t>These two cases require different standards of evidence to determine whether the closure of</w:t>
      </w:r>
      <w:r w:rsidR="004618E1">
        <w:rPr>
          <w:rFonts w:ascii="Arial" w:hAnsi="Arial" w:cs="Arial"/>
          <w:sz w:val="24"/>
          <w:szCs w:val="24"/>
          <w:shd w:val="clear" w:color="auto" w:fill="FFFFFF"/>
          <w:lang w:eastAsia="en-GB"/>
        </w:rPr>
        <w:t xml:space="preserve"> account was discriminatory. In </w:t>
      </w:r>
      <w:sdt>
        <w:sdtPr>
          <w:rPr>
            <w:rFonts w:ascii="Arial" w:hAnsi="Arial" w:cs="Arial"/>
            <w:sz w:val="24"/>
            <w:szCs w:val="24"/>
            <w:shd w:val="clear" w:color="auto" w:fill="FFFFFF"/>
            <w:lang w:eastAsia="en-GB"/>
          </w:rPr>
          <w:id w:val="1968783023"/>
          <w:citation/>
        </w:sdtPr>
        <w:sdtEndPr/>
        <w:sdtContent>
          <w:r w:rsidR="004618E1" w:rsidRPr="00BD41FF">
            <w:rPr>
              <w:rFonts w:ascii="Arial" w:hAnsi="Arial" w:cs="Arial"/>
              <w:sz w:val="24"/>
              <w:szCs w:val="24"/>
              <w:shd w:val="clear" w:color="auto" w:fill="FFFFFF"/>
              <w:lang w:eastAsia="en-GB"/>
            </w:rPr>
            <w:fldChar w:fldCharType="begin"/>
          </w:r>
          <w:r w:rsidR="004618E1" w:rsidRPr="00BD41FF">
            <w:rPr>
              <w:rFonts w:ascii="Arial" w:hAnsi="Arial" w:cs="Arial"/>
              <w:sz w:val="24"/>
              <w:szCs w:val="24"/>
              <w:shd w:val="clear" w:color="auto" w:fill="FFFFFF"/>
              <w:lang w:eastAsia="en-GB"/>
            </w:rPr>
            <w:instrText xml:space="preserve"> CITATION KHU14 \l 2057 </w:instrText>
          </w:r>
          <w:r w:rsidR="004618E1" w:rsidRPr="00BD41FF">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(KHUDHIR V. JP MORGAN CHASE BANK, 2014)</w:t>
          </w:r>
          <w:r w:rsidR="004618E1" w:rsidRPr="00BD41FF">
            <w:rPr>
              <w:rFonts w:ascii="Arial" w:hAnsi="Arial" w:cs="Arial"/>
              <w:sz w:val="24"/>
              <w:szCs w:val="24"/>
              <w:shd w:val="clear" w:color="auto" w:fill="FFFFFF"/>
              <w:lang w:eastAsia="en-GB"/>
            </w:rPr>
            <w:fldChar w:fldCharType="end"/>
          </w:r>
        </w:sdtContent>
      </w:sdt>
      <w:r w:rsidR="00BD41FF" w:rsidRPr="00BD41FF">
        <w:rPr>
          <w:rFonts w:ascii="Arial" w:hAnsi="Arial" w:cs="Arial"/>
          <w:sz w:val="24"/>
          <w:szCs w:val="24"/>
          <w:shd w:val="clear" w:color="auto" w:fill="FFFFFF"/>
          <w:lang w:eastAsia="en-GB"/>
        </w:rPr>
        <w:t xml:space="preserve"> </w:t>
      </w:r>
      <w:r w:rsidRPr="00BD41FF">
        <w:rPr>
          <w:rFonts w:ascii="Arial" w:hAnsi="Arial" w:cs="Arial"/>
          <w:sz w:val="24"/>
          <w:szCs w:val="24"/>
          <w:shd w:val="clear" w:color="auto" w:fill="FFFFFF"/>
          <w:lang w:eastAsia="en-GB"/>
        </w:rPr>
        <w:t xml:space="preserve">the responsibility for providing evidence that the account had been closed because of racial discrimination rested with the plaintiff. In </w:t>
      </w:r>
      <w:sdt>
        <w:sdtPr>
          <w:rPr>
            <w:rFonts w:ascii="Arial" w:hAnsi="Arial" w:cs="Arial"/>
            <w:sz w:val="24"/>
            <w:szCs w:val="24"/>
            <w:shd w:val="clear" w:color="auto" w:fill="FFFFFF"/>
            <w:lang w:eastAsia="en-GB"/>
          </w:rPr>
          <w:id w:val="-1525628571"/>
          <w:citation/>
        </w:sdtPr>
        <w:sdtEndPr/>
        <w:sdtContent>
          <w:r w:rsidR="00BD41FF" w:rsidRPr="00BD41FF">
            <w:rPr>
              <w:rFonts w:ascii="Arial" w:hAnsi="Arial" w:cs="Arial"/>
              <w:sz w:val="24"/>
              <w:szCs w:val="24"/>
              <w:shd w:val="clear" w:color="auto" w:fill="FFFFFF"/>
              <w:lang w:eastAsia="en-GB"/>
            </w:rPr>
            <w:fldChar w:fldCharType="begin"/>
          </w:r>
          <w:r w:rsidR="00BD41FF" w:rsidRPr="00BD41FF">
            <w:rPr>
              <w:rFonts w:ascii="Arial" w:hAnsi="Arial" w:cs="Arial"/>
              <w:sz w:val="24"/>
              <w:szCs w:val="24"/>
              <w:shd w:val="clear" w:color="auto" w:fill="FFFFFF"/>
              <w:lang w:eastAsia="en-GB"/>
            </w:rPr>
            <w:instrText xml:space="preserve"> CITATION ELH14 \l 2057 </w:instrText>
          </w:r>
          <w:r w:rsidR="00BD41FF" w:rsidRPr="00BD41FF">
            <w:rPr>
              <w:rFonts w:ascii="Arial" w:hAnsi="Arial" w:cs="Arial"/>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(EL-HALLANI v HUNTINGTON NATIONAL BANK, 2014)</w:t>
          </w:r>
          <w:r w:rsidR="00BD41FF" w:rsidRPr="00BD41FF">
            <w:rPr>
              <w:rFonts w:ascii="Arial" w:hAnsi="Arial" w:cs="Arial"/>
              <w:sz w:val="24"/>
              <w:szCs w:val="24"/>
              <w:shd w:val="clear" w:color="auto" w:fill="FFFFFF"/>
              <w:lang w:eastAsia="en-GB"/>
            </w:rPr>
            <w:fldChar w:fldCharType="end"/>
          </w:r>
        </w:sdtContent>
      </w:sdt>
      <w:r w:rsidRPr="00BD41FF">
        <w:rPr>
          <w:rFonts w:ascii="Arial" w:hAnsi="Arial" w:cs="Arial"/>
          <w:sz w:val="24"/>
          <w:szCs w:val="24"/>
          <w:shd w:val="clear" w:color="auto" w:fill="FFFFFF"/>
          <w:lang w:eastAsia="en-GB"/>
        </w:rPr>
        <w:t xml:space="preserve"> the bank was unable to demonstrate that the account closures were not racially motivated and now face trial for discrimination. This is a reverse burden of proof. </w:t>
      </w:r>
      <w:r w:rsidRPr="00E275AA">
        <w:rPr>
          <w:rFonts w:ascii="Arial" w:hAnsi="Arial" w:cs="Arial"/>
          <w:sz w:val="24"/>
          <w:szCs w:val="24"/>
          <w:shd w:val="clear" w:color="auto" w:fill="FFFFFF"/>
          <w:lang w:eastAsia="en-GB"/>
        </w:rPr>
        <w:t>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BD41FF" w:rsidRDefault="00E275AA" w:rsidP="00E275AA">
      <w:pPr>
        <w:spacing w:before="0" w:after="0" w:line="480" w:lineRule="auto"/>
        <w:jc w:val="both"/>
        <w:rPr>
          <w:rFonts w:ascii="Arial" w:hAnsi="Arial" w:cs="Arial"/>
          <w:iCs/>
          <w:sz w:val="24"/>
          <w:szCs w:val="24"/>
          <w:shd w:val="clear" w:color="auto" w:fill="FFFFFF"/>
          <w:lang w:eastAsia="en-GB"/>
        </w:rPr>
      </w:pPr>
      <w:r w:rsidRPr="00E275AA">
        <w:rPr>
          <w:rFonts w:ascii="Arial" w:hAnsi="Arial" w:cs="Arial"/>
          <w:iCs/>
          <w:sz w:val="24"/>
          <w:szCs w:val="24"/>
          <w:shd w:val="clear" w:color="auto" w:fill="FFFFFF"/>
          <w:lang w:eastAsia="en-GB"/>
        </w:rPr>
        <w:t xml:space="preserve">Banks have an obligation not to “tip off” individuals when they have reported suspicious activity to an authority. As a result customers are often not given a reason for their account closures and bank would be unable to disclose why that had chosen to close accounts. As a </w:t>
      </w:r>
      <w:r w:rsidR="004618E1" w:rsidRPr="00E275AA">
        <w:rPr>
          <w:rFonts w:ascii="Arial" w:hAnsi="Arial" w:cs="Arial"/>
          <w:iCs/>
          <w:sz w:val="24"/>
          <w:szCs w:val="24"/>
          <w:shd w:val="clear" w:color="auto" w:fill="FFFFFF"/>
          <w:lang w:eastAsia="en-GB"/>
        </w:rPr>
        <w:t>result a</w:t>
      </w:r>
      <w:r w:rsidRPr="00E275AA">
        <w:rPr>
          <w:rFonts w:ascii="Arial" w:hAnsi="Arial" w:cs="Arial"/>
          <w:iCs/>
          <w:sz w:val="24"/>
          <w:szCs w:val="24"/>
          <w:shd w:val="clear" w:color="auto" w:fill="FFFFFF"/>
          <w:lang w:eastAsia="en-GB"/>
        </w:rPr>
        <w:t xml:space="preserve"> customer would find it difficult collect the level of evidence required in </w:t>
      </w:r>
      <w:sdt>
        <w:sdtPr>
          <w:rPr>
            <w:rFonts w:ascii="Arial" w:hAnsi="Arial" w:cs="Arial"/>
            <w:iCs/>
            <w:sz w:val="24"/>
            <w:szCs w:val="24"/>
            <w:shd w:val="clear" w:color="auto" w:fill="FFFFFF"/>
            <w:lang w:eastAsia="en-GB"/>
          </w:rPr>
          <w:id w:val="571855628"/>
          <w:citation/>
        </w:sdtPr>
        <w:sdtEndPr/>
        <w:sdtContent>
          <w:r w:rsidR="004618E1">
            <w:rPr>
              <w:rFonts w:ascii="Arial" w:hAnsi="Arial" w:cs="Arial"/>
              <w:iCs/>
              <w:sz w:val="24"/>
              <w:szCs w:val="24"/>
              <w:shd w:val="clear" w:color="auto" w:fill="FFFFFF"/>
              <w:lang w:eastAsia="en-GB"/>
            </w:rPr>
            <w:fldChar w:fldCharType="begin"/>
          </w:r>
          <w:r w:rsidR="004618E1">
            <w:rPr>
              <w:rFonts w:ascii="Arial" w:hAnsi="Arial" w:cs="Arial"/>
              <w:iCs/>
              <w:sz w:val="24"/>
              <w:szCs w:val="24"/>
              <w:shd w:val="clear" w:color="auto" w:fill="FFFFFF"/>
              <w:lang w:eastAsia="en-GB"/>
            </w:rPr>
            <w:instrText xml:space="preserve"> CITATION KHU14 \l 2057 </w:instrText>
          </w:r>
          <w:r w:rsidR="004618E1">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(KHUDHIR V. JP MORGAN CHASE BANK, 2014)</w:t>
          </w:r>
          <w:r w:rsidR="004618E1">
            <w:rPr>
              <w:rFonts w:ascii="Arial" w:hAnsi="Arial" w:cs="Arial"/>
              <w:iCs/>
              <w:sz w:val="24"/>
              <w:szCs w:val="24"/>
              <w:shd w:val="clear" w:color="auto" w:fill="FFFFFF"/>
              <w:lang w:eastAsia="en-GB"/>
            </w:rPr>
            <w:fldChar w:fldCharType="end"/>
          </w:r>
        </w:sdtContent>
      </w:sdt>
      <w:r w:rsidRPr="00E275AA">
        <w:rPr>
          <w:rFonts w:ascii="Arial" w:hAnsi="Arial" w:cs="Arial"/>
          <w:iCs/>
          <w:sz w:val="24"/>
          <w:szCs w:val="24"/>
          <w:shd w:val="clear" w:color="auto" w:fill="FFFFFF"/>
          <w:lang w:eastAsia="en-GB"/>
        </w:rPr>
        <w:t xml:space="preserve">to prove that discrimination had taken place. Similarly a bank is often unable to disclose why they have chosen to close accounts and may struggle to evidence the reasons for account closures as required in </w:t>
      </w:r>
      <w:sdt>
        <w:sdtPr>
          <w:rPr>
            <w:rFonts w:ascii="Arial" w:hAnsi="Arial" w:cs="Arial"/>
            <w:iCs/>
            <w:sz w:val="24"/>
            <w:szCs w:val="24"/>
            <w:shd w:val="clear" w:color="auto" w:fill="FFFFFF"/>
            <w:lang w:eastAsia="en-GB"/>
          </w:rPr>
          <w:id w:val="1981804107"/>
          <w:citation/>
        </w:sdtPr>
        <w:sdtEndPr/>
        <w:sdtContent>
          <w:r w:rsidR="00BD41FF">
            <w:rPr>
              <w:rFonts w:ascii="Arial" w:hAnsi="Arial" w:cs="Arial"/>
              <w:iCs/>
              <w:sz w:val="24"/>
              <w:szCs w:val="24"/>
              <w:shd w:val="clear" w:color="auto" w:fill="FFFFFF"/>
              <w:lang w:eastAsia="en-GB"/>
            </w:rPr>
            <w:fldChar w:fldCharType="begin"/>
          </w:r>
          <w:r w:rsidR="00BD41FF" w:rsidRPr="00BD41FF">
            <w:rPr>
              <w:rFonts w:ascii="Arial" w:hAnsi="Arial" w:cs="Arial"/>
              <w:iCs/>
              <w:sz w:val="24"/>
              <w:szCs w:val="24"/>
              <w:shd w:val="clear" w:color="auto" w:fill="FFFFFF"/>
              <w:lang w:eastAsia="en-GB"/>
            </w:rPr>
            <w:instrText xml:space="preserve"> CITATION ELH14 \l 2057 </w:instrText>
          </w:r>
          <w:r w:rsidR="00BD41FF">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(EL-HALLANI v HUNTINGTON NATIONAL BANK, 2014)</w:t>
          </w:r>
          <w:r w:rsidR="00BD41FF">
            <w:rPr>
              <w:rFonts w:ascii="Arial" w:hAnsi="Arial" w:cs="Arial"/>
              <w:iCs/>
              <w:sz w:val="24"/>
              <w:szCs w:val="24"/>
              <w:shd w:val="clear" w:color="auto" w:fill="FFFFFF"/>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Banks are under no general obligation to give reasons for account closures. As Shah vs HSBC demonstrates the level of evidence that a bank has to have to suspect that an account is being misused and act against a client's instructions is very low. The bank only has to think that the relevant facts exist not evidence that they do. As a result it is unlikely that the cases being brought against  3 high street banks for discrimination against their Iranian clients is unlikely to succeed and will depend heavily on the terms and conditions of the account and the relevant contractual law. However if the banks are required to prove that the closures were not racially motivated they may struggle to make public sufficient evidence for the jury to conclude that their action were not discriminatory. This was similar to the cases against Arab bank where its inability to make evidence public due to banking secrecy laws meant that the jury were allowed to conclude that it was guilty.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Regardless of whether the banks have acted in a discriminatory manner the difficulties that certain national group such as Iranian and Syrians have faced in opening and maintain bank account feeds a narrative of an Islamaphobia in the banking sector. Importantly, when individuals of these nationalities have not be given clear reasons for the closure of their accounts allegations of discrimination. In their study Maxwell demonstrates that instances of perceived discrimination against Muslims reduces British Muslims identification with the UK and increases an individual </w:t>
      </w:r>
      <w:r w:rsidR="00603C9E">
        <w:rPr>
          <w:rFonts w:ascii="Arial" w:hAnsi="Arial" w:cs="Arial"/>
          <w:sz w:val="24"/>
          <w:szCs w:val="24"/>
          <w:lang w:eastAsia="en-GB"/>
        </w:rPr>
        <w:t xml:space="preserve">susceptibility to radicalisation </w:t>
      </w:r>
      <w:sdt>
        <w:sdtPr>
          <w:rPr>
            <w:rFonts w:ascii="Arial" w:hAnsi="Arial" w:cs="Arial"/>
            <w:sz w:val="24"/>
            <w:szCs w:val="24"/>
            <w:lang w:eastAsia="en-GB"/>
          </w:rPr>
          <w:id w:val="2141614757"/>
          <w:citation/>
        </w:sdtPr>
        <w:sdtEndPr/>
        <w:sdtContent>
          <w:r w:rsidR="00603C9E">
            <w:rPr>
              <w:rFonts w:ascii="Arial" w:hAnsi="Arial" w:cs="Arial"/>
              <w:sz w:val="24"/>
              <w:szCs w:val="24"/>
              <w:lang w:eastAsia="en-GB"/>
            </w:rPr>
            <w:fldChar w:fldCharType="begin"/>
          </w:r>
          <w:r w:rsidR="00603C9E">
            <w:rPr>
              <w:rFonts w:ascii="Arial" w:hAnsi="Arial" w:cs="Arial"/>
              <w:sz w:val="24"/>
              <w:szCs w:val="24"/>
              <w:lang w:eastAsia="en-GB"/>
            </w:rPr>
            <w:instrText xml:space="preserve"> CITATION Max06 \l 2057 </w:instrText>
          </w:r>
          <w:r w:rsidR="00603C9E">
            <w:rPr>
              <w:rFonts w:ascii="Arial" w:hAnsi="Arial" w:cs="Arial"/>
              <w:sz w:val="24"/>
              <w:szCs w:val="24"/>
              <w:lang w:eastAsia="en-GB"/>
            </w:rPr>
            <w:fldChar w:fldCharType="separate"/>
          </w:r>
          <w:r w:rsidR="00745BB5" w:rsidRPr="00745BB5">
            <w:rPr>
              <w:rFonts w:ascii="Arial" w:hAnsi="Arial" w:cs="Arial"/>
              <w:noProof/>
              <w:sz w:val="24"/>
              <w:szCs w:val="24"/>
              <w:lang w:eastAsia="en-GB"/>
            </w:rPr>
            <w:t>(Maxwell, 2006)</w:t>
          </w:r>
          <w:r w:rsidR="00603C9E">
            <w:rPr>
              <w:rFonts w:ascii="Arial" w:hAnsi="Arial" w:cs="Arial"/>
              <w:sz w:val="24"/>
              <w:szCs w:val="24"/>
              <w:lang w:eastAsia="en-GB"/>
            </w:rPr>
            <w:fldChar w:fldCharType="end"/>
          </w:r>
        </w:sdtContent>
      </w:sdt>
      <w:r w:rsidR="00603C9E">
        <w:rPr>
          <w:rFonts w:ascii="Arial" w:hAnsi="Arial" w:cs="Arial"/>
          <w:sz w:val="24"/>
          <w:szCs w:val="24"/>
          <w:lang w:eastAsia="en-GB"/>
        </w:rPr>
        <w:t>.</w:t>
      </w:r>
      <w:r w:rsidRPr="00E275AA">
        <w:rPr>
          <w:rFonts w:ascii="Arial" w:hAnsi="Arial" w:cs="Arial"/>
          <w:sz w:val="24"/>
          <w:szCs w:val="24"/>
          <w:lang w:eastAsia="en-GB"/>
        </w:rPr>
        <w:t xml:space="preserve"> Indirectly de-risking may increase perceived discrimination and may contribute to a narrative that fosters radicalisation, indirectly increasing the threat of terrorism to the UK.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b/>
          <w:sz w:val="24"/>
          <w:szCs w:val="24"/>
          <w:lang w:eastAsia="en-GB"/>
        </w:rPr>
      </w:pPr>
      <w:r w:rsidRPr="00E275AA">
        <w:rPr>
          <w:rFonts w:ascii="Arial" w:hAnsi="Arial" w:cs="Arial"/>
          <w:b/>
          <w:bCs/>
          <w:iCs/>
          <w:sz w:val="24"/>
          <w:szCs w:val="24"/>
          <w:u w:val="single"/>
          <w:shd w:val="clear" w:color="auto" w:fill="FFFFFF"/>
          <w:lang w:eastAsia="en-GB"/>
        </w:rPr>
        <w:t xml:space="preserve">Banking as a public utility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shd w:val="clear" w:color="auto" w:fill="FFFFFF"/>
          <w:lang w:eastAsia="en-GB"/>
        </w:rPr>
        <w:t xml:space="preserve">Over the past ten years </w:t>
      </w:r>
      <w:r w:rsidRPr="00E275AA">
        <w:rPr>
          <w:rFonts w:ascii="Arial" w:hAnsi="Arial" w:cs="Arial"/>
          <w:iCs/>
          <w:sz w:val="24"/>
          <w:szCs w:val="24"/>
          <w:shd w:val="clear" w:color="auto" w:fill="FFFFFF"/>
          <w:lang w:eastAsia="en-GB"/>
        </w:rPr>
        <w:t>support for financial inclusion initiatives has grown in the UK and Europe. As a result levels of financial inclusion have increased significantly as banks through voluntary agreements have helped to roll out fee-free basic bank accounts. This is important as having a bank account is increasingly seen as a gateway to transactions in an increasingly digital economy. There are now very few jobs that still pay salaries in cash and as a result a bank account is increasingly seen as a “condition of employment” Declining cash usage has meant that the cost of cash transactions have increased and often bills and utilities are discounted when paid by direct debit.  However providing universal access to unbanked customers comes at a cost, one that at the moment, the banks in the UK have been willing to carry.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As the use of basic bank accounts has increased, banks have reduced services to “higher risk” customers to avoid regulatory penalties and indirect liability. As the reasons for account closures are not public some question whether the bank's have used higher regulatory requirements as a “fig leaf” for</w:t>
      </w:r>
      <w:r w:rsidRPr="00E275AA">
        <w:rPr>
          <w:rFonts w:ascii="Arial" w:hAnsi="Arial" w:cs="Arial"/>
          <w:iCs/>
          <w:color w:val="FF0000"/>
          <w:sz w:val="24"/>
          <w:szCs w:val="24"/>
          <w:shd w:val="clear" w:color="auto" w:fill="FFFFFF"/>
          <w:lang w:eastAsia="en-GB"/>
        </w:rPr>
        <w:t xml:space="preserve"> </w:t>
      </w:r>
      <w:r w:rsidRPr="00E275AA">
        <w:rPr>
          <w:rFonts w:ascii="Arial" w:hAnsi="Arial" w:cs="Arial"/>
          <w:iCs/>
          <w:sz w:val="24"/>
          <w:szCs w:val="24"/>
          <w:shd w:val="clear" w:color="auto" w:fill="FFFFFF"/>
          <w:lang w:eastAsia="en-GB"/>
        </w:rPr>
        <w:t xml:space="preserve">closing unprofitable accounts. In fact Martin Wheatley the former CEO of </w:t>
      </w:r>
      <w:r w:rsidRPr="00603C9E">
        <w:rPr>
          <w:rFonts w:ascii="Arial" w:hAnsi="Arial" w:cs="Arial"/>
          <w:sz w:val="24"/>
          <w:szCs w:val="24"/>
          <w:lang w:eastAsia="en-GB"/>
        </w:rPr>
        <w:t xml:space="preserve">the FCA questioned whether banks were using regulatory sanctions as an “excuse to avoid customers”. </w:t>
      </w:r>
      <w:sdt>
        <w:sdtPr>
          <w:rPr>
            <w:rFonts w:ascii="Arial" w:hAnsi="Arial" w:cs="Arial"/>
            <w:sz w:val="24"/>
            <w:szCs w:val="24"/>
            <w:lang w:eastAsia="en-GB"/>
          </w:rPr>
          <w:id w:val="2063588866"/>
          <w:citation/>
        </w:sdtPr>
        <w:sdtEndPr/>
        <w:sdtContent>
          <w:r w:rsidR="00603C9E">
            <w:rPr>
              <w:rFonts w:ascii="Arial" w:hAnsi="Arial" w:cs="Arial"/>
              <w:sz w:val="24"/>
              <w:szCs w:val="24"/>
              <w:lang w:eastAsia="en-GB"/>
            </w:rPr>
            <w:fldChar w:fldCharType="begin"/>
          </w:r>
          <w:r w:rsidR="00603C9E">
            <w:rPr>
              <w:rFonts w:ascii="Arial" w:hAnsi="Arial" w:cs="Arial"/>
              <w:sz w:val="24"/>
              <w:szCs w:val="24"/>
              <w:lang w:eastAsia="en-GB"/>
            </w:rPr>
            <w:instrText xml:space="preserve"> CITATION Jon15 \l 2057 </w:instrText>
          </w:r>
          <w:r w:rsidR="00603C9E">
            <w:rPr>
              <w:rFonts w:ascii="Arial" w:hAnsi="Arial" w:cs="Arial"/>
              <w:sz w:val="24"/>
              <w:szCs w:val="24"/>
              <w:lang w:eastAsia="en-GB"/>
            </w:rPr>
            <w:fldChar w:fldCharType="separate"/>
          </w:r>
          <w:r w:rsidR="00745BB5" w:rsidRPr="00745BB5">
            <w:rPr>
              <w:rFonts w:ascii="Arial" w:hAnsi="Arial" w:cs="Arial"/>
              <w:noProof/>
              <w:sz w:val="24"/>
              <w:szCs w:val="24"/>
              <w:lang w:eastAsia="en-GB"/>
            </w:rPr>
            <w:t>(Jones, 2015)</w:t>
          </w:r>
          <w:r w:rsidR="00603C9E">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iCs/>
          <w:sz w:val="24"/>
          <w:szCs w:val="24"/>
          <w:shd w:val="clear" w:color="auto" w:fill="FFFFFF"/>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Shah vs HSBC </w:t>
      </w:r>
      <w:r w:rsidR="00603C9E">
        <w:rPr>
          <w:rFonts w:ascii="Arial" w:hAnsi="Arial" w:cs="Arial"/>
          <w:iCs/>
          <w:sz w:val="24"/>
          <w:szCs w:val="24"/>
          <w:shd w:val="clear" w:color="auto" w:fill="FFFFFF"/>
          <w:lang w:eastAsia="en-GB"/>
        </w:rPr>
        <w:t xml:space="preserve">2010 </w:t>
      </w:r>
      <w:r w:rsidRPr="00E275AA">
        <w:rPr>
          <w:rFonts w:ascii="Arial" w:hAnsi="Arial" w:cs="Arial"/>
          <w:iCs/>
          <w:sz w:val="24"/>
          <w:szCs w:val="24"/>
          <w:shd w:val="clear" w:color="auto" w:fill="FFFFFF"/>
          <w:lang w:eastAsia="en-GB"/>
        </w:rPr>
        <w:t xml:space="preserve">demonstrates the importance of maintaining detailed records and reporting suspicious activity quickly to avoid being sued by customers for damages in delayed payments. This requires increased investments in screening and reporting technologies as well as on-going staff training costs.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With advanced screening technology banks are able to detect high risk customers before they may appear on any official sanctions lists. In these cases it is much of cheaper for the banks to close the existing banking relationships than for the banks to conduct further investigations into these individuals. It is not clear what is expected from a financial institution if they are detecting potential money launderers and terrorist financing before law enforcement agencies.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How far should the banks have to investigate the alerts generated by these electronic detection systems for customers that are not on the officially designated sanctions list before deciding to close an account. According to the limited case law provided by Shah vs HSBC</w:t>
      </w:r>
      <w:r w:rsidR="00603C9E">
        <w:rPr>
          <w:rFonts w:ascii="Arial" w:hAnsi="Arial" w:cs="Arial"/>
          <w:sz w:val="24"/>
          <w:szCs w:val="24"/>
          <w:lang w:eastAsia="en-GB"/>
        </w:rPr>
        <w:t xml:space="preserve"> 2010</w:t>
      </w:r>
      <w:r w:rsidRPr="00E275AA">
        <w:rPr>
          <w:rFonts w:ascii="Arial" w:hAnsi="Arial" w:cs="Arial"/>
          <w:sz w:val="24"/>
          <w:szCs w:val="24"/>
          <w:lang w:eastAsia="en-GB"/>
        </w:rPr>
        <w:t xml:space="preserve"> it would be sufficient for a bank to be able to demonstrate that it has suspicions about an account not that they were based on reasonable grounds. Acting on a high risk scoring from a system design to detect high risk accounts would probably be sufficient to demonstrate the bank has suspicions about the account and provide sufficient reason for a closure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Banks currently do not have a legal responsibility to investigate further and ensure that they are not unduly restricting banking access to individuals who are caught inadvertently</w:t>
      </w:r>
      <w:r w:rsidR="00603C9E">
        <w:rPr>
          <w:rFonts w:ascii="Arial" w:hAnsi="Arial" w:cs="Arial"/>
          <w:sz w:val="24"/>
          <w:szCs w:val="24"/>
          <w:lang w:eastAsia="en-GB"/>
        </w:rPr>
        <w:t xml:space="preserve"> by the screening systems. </w:t>
      </w:r>
      <w:sdt>
        <w:sdtPr>
          <w:rPr>
            <w:rFonts w:ascii="Arial" w:hAnsi="Arial" w:cs="Arial"/>
            <w:sz w:val="24"/>
            <w:szCs w:val="24"/>
            <w:lang w:eastAsia="en-GB"/>
          </w:rPr>
          <w:id w:val="1969852816"/>
          <w:citation/>
        </w:sdtPr>
        <w:sdtEndPr/>
        <w:sdtContent>
          <w:r w:rsidR="00603C9E">
            <w:rPr>
              <w:rFonts w:ascii="Arial" w:hAnsi="Arial" w:cs="Arial"/>
              <w:sz w:val="24"/>
              <w:szCs w:val="24"/>
              <w:lang w:eastAsia="en-GB"/>
            </w:rPr>
            <w:fldChar w:fldCharType="begin"/>
          </w:r>
          <w:r w:rsidR="00603C9E">
            <w:rPr>
              <w:rFonts w:ascii="Arial" w:hAnsi="Arial" w:cs="Arial"/>
              <w:sz w:val="24"/>
              <w:szCs w:val="24"/>
              <w:lang w:eastAsia="en-GB"/>
            </w:rPr>
            <w:instrText xml:space="preserve">CITATION Met15 \t  \l 2057 </w:instrText>
          </w:r>
          <w:r w:rsidR="00603C9E">
            <w:rPr>
              <w:rFonts w:ascii="Arial" w:hAnsi="Arial" w:cs="Arial"/>
              <w:sz w:val="24"/>
              <w:szCs w:val="24"/>
              <w:lang w:eastAsia="en-GB"/>
            </w:rPr>
            <w:fldChar w:fldCharType="separate"/>
          </w:r>
          <w:r w:rsidR="00745BB5" w:rsidRPr="00745BB5">
            <w:rPr>
              <w:rFonts w:ascii="Arial" w:hAnsi="Arial" w:cs="Arial"/>
              <w:noProof/>
              <w:sz w:val="24"/>
              <w:szCs w:val="24"/>
              <w:lang w:eastAsia="en-GB"/>
            </w:rPr>
            <w:t>(Metcalfe-Hough, Keatinge, &amp; Pantuliano, 2015)</w:t>
          </w:r>
          <w:r w:rsidR="00603C9E">
            <w:rPr>
              <w:rFonts w:ascii="Arial" w:hAnsi="Arial" w:cs="Arial"/>
              <w:sz w:val="24"/>
              <w:szCs w:val="24"/>
              <w:lang w:eastAsia="en-GB"/>
            </w:rPr>
            <w:fldChar w:fldCharType="end"/>
          </w:r>
        </w:sdtContent>
      </w:sdt>
      <w:r w:rsidRPr="00E275AA">
        <w:rPr>
          <w:rFonts w:ascii="Arial" w:hAnsi="Arial" w:cs="Arial"/>
          <w:sz w:val="24"/>
          <w:szCs w:val="24"/>
          <w:lang w:eastAsia="en-GB"/>
        </w:rPr>
        <w:t>This would require a change in regulatory law or for a new precedent to be set in case law. It would take concerted public pressure to create further changes in AML/CTF regulation as so many of the standards are set at an international level. Similarly it would require a case to prove that de-risking higher risk customer was discriminatory for banks to have to change their de-risking programmes.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pBdr>
          <w:bottom w:val="single" w:sz="8" w:space="4" w:color="4F81BD"/>
        </w:pBdr>
        <w:spacing w:before="0" w:after="300" w:line="480" w:lineRule="auto"/>
        <w:contextualSpacing/>
        <w:rPr>
          <w:rFonts w:ascii="Cambria" w:hAnsi="Cambria"/>
          <w:color w:val="17365D"/>
          <w:spacing w:val="5"/>
          <w:kern w:val="28"/>
          <w:sz w:val="52"/>
          <w:szCs w:val="52"/>
          <w:shd w:val="clear" w:color="auto" w:fill="FFFFFF"/>
          <w:lang w:eastAsia="en-GB"/>
        </w:rPr>
      </w:pPr>
      <w:r w:rsidRPr="00E275AA">
        <w:rPr>
          <w:rFonts w:ascii="Cambria" w:hAnsi="Cambria"/>
          <w:color w:val="17365D"/>
          <w:spacing w:val="5"/>
          <w:kern w:val="28"/>
          <w:sz w:val="52"/>
          <w:szCs w:val="52"/>
          <w:shd w:val="clear" w:color="auto" w:fill="FFFFFF"/>
          <w:lang w:eastAsia="en-GB"/>
        </w:rPr>
        <w:t xml:space="preserve">Chapter 6 - Policy options </w:t>
      </w:r>
    </w:p>
    <w:p w:rsidR="00E275AA" w:rsidRPr="00E275AA" w:rsidRDefault="00E275AA" w:rsidP="00E275AA">
      <w:pPr>
        <w:spacing w:before="0" w:after="0" w:line="480" w:lineRule="auto"/>
        <w:jc w:val="both"/>
        <w:rPr>
          <w:rFonts w:ascii="Arial" w:hAnsi="Arial" w:cs="Arial"/>
          <w:b/>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As a society we have to weigh the cost of potential financial exclusion against the need to protect our financial systems and tackle organised crime. We have to establish what cost we are willing to pay ensure that innocent individuals are not financial excluded by de-risking.</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At the moment this balance is difficult to determine as the extent of de-risking is currently unknown. From media reports we know that at least several thousand accounts have been closed. From studies of financial exclusion we know that there are a million individuals that want and can't currently access bank accounts. Somewhere between several thousand and a million customers will have been affected by de-risking in the UK and there is anecdotal evidence to suggest that this will disproportionately affect member of ethnic minorities. This upper limit of a million is likely to be reduced as fee-free basic banks </w:t>
      </w:r>
      <w:r w:rsidR="004618E1" w:rsidRPr="00E275AA">
        <w:rPr>
          <w:rFonts w:ascii="Arial" w:hAnsi="Arial" w:cs="Arial"/>
          <w:sz w:val="24"/>
          <w:szCs w:val="24"/>
          <w:lang w:eastAsia="en-GB"/>
        </w:rPr>
        <w:t>account is</w:t>
      </w:r>
      <w:r w:rsidRPr="00E275AA">
        <w:rPr>
          <w:rFonts w:ascii="Arial" w:hAnsi="Arial" w:cs="Arial"/>
          <w:sz w:val="24"/>
          <w:szCs w:val="24"/>
          <w:lang w:eastAsia="en-GB"/>
        </w:rPr>
        <w:t xml:space="preserve"> rolled out across the UK at the end of 2015.</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Furthermore they are limited ways of publically quantifying the benefits that monitoring, closing accounts and freezing the assets of criminals will have provided. This information is often classified and not-released publically.  </w:t>
      </w:r>
      <w:r w:rsidRPr="00E275AA">
        <w:rPr>
          <w:rFonts w:ascii="Arial" w:hAnsi="Arial" w:cs="Arial"/>
          <w:sz w:val="24"/>
          <w:szCs w:val="24"/>
          <w:shd w:val="clear" w:color="auto" w:fill="FFFFFF"/>
          <w:lang w:eastAsia="en-GB"/>
        </w:rPr>
        <w:t>As such it is difficult to determine the extent to which banks have disproportionately de-risked and how strongly there is a case for action.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However we know that de-risking has attracted a strong international regulatory response and has been described as the “antithesis of an appropriate risk-based approach”. FATF have stated that banks should only terminate relationships,</w:t>
      </w:r>
      <w:r w:rsidRPr="00E275AA">
        <w:rPr>
          <w:rFonts w:ascii="Arial" w:hAnsi="Arial" w:cs="Arial"/>
          <w:sz w:val="24"/>
          <w:szCs w:val="24"/>
          <w:lang w:eastAsia="en-GB"/>
        </w:rPr>
        <w:t xml:space="preserve"> “where the money-laundering and terrorist-financing risks cannot be mitigated.” It condones the “wholesale cutting loose of entire classes of customer, without taking into account, seriously and comprehensively, risk or risk mitigation measures for individual customers within a particular sector.”</w:t>
      </w:r>
      <w:r w:rsidR="004618E1">
        <w:rPr>
          <w:rFonts w:ascii="Arial" w:hAnsi="Arial" w:cs="Arial"/>
          <w:sz w:val="24"/>
          <w:szCs w:val="24"/>
          <w:lang w:eastAsia="en-GB"/>
        </w:rPr>
        <w:t xml:space="preserve"> </w:t>
      </w:r>
      <w:sdt>
        <w:sdtPr>
          <w:rPr>
            <w:rFonts w:ascii="Arial" w:hAnsi="Arial" w:cs="Arial"/>
            <w:sz w:val="24"/>
            <w:szCs w:val="24"/>
            <w:lang w:eastAsia="en-GB"/>
          </w:rPr>
          <w:id w:val="-721283452"/>
          <w:citation/>
        </w:sdtPr>
        <w:sdtEndPr/>
        <w:sdtContent>
          <w:r w:rsidR="004618E1">
            <w:rPr>
              <w:rFonts w:ascii="Arial" w:hAnsi="Arial" w:cs="Arial"/>
              <w:sz w:val="24"/>
              <w:szCs w:val="24"/>
              <w:lang w:eastAsia="en-GB"/>
            </w:rPr>
            <w:fldChar w:fldCharType="begin"/>
          </w:r>
          <w:r w:rsidR="004618E1">
            <w:rPr>
              <w:rFonts w:ascii="Arial" w:hAnsi="Arial" w:cs="Arial"/>
              <w:sz w:val="24"/>
              <w:szCs w:val="24"/>
              <w:lang w:eastAsia="en-GB"/>
            </w:rPr>
            <w:instrText xml:space="preserve"> CITATION Fin12 \l 2057 </w:instrText>
          </w:r>
          <w:r w:rsidR="004618E1">
            <w:rPr>
              <w:rFonts w:ascii="Arial" w:hAnsi="Arial" w:cs="Arial"/>
              <w:sz w:val="24"/>
              <w:szCs w:val="24"/>
              <w:lang w:eastAsia="en-GB"/>
            </w:rPr>
            <w:fldChar w:fldCharType="separate"/>
          </w:r>
          <w:r w:rsidR="00745BB5" w:rsidRPr="00745BB5">
            <w:rPr>
              <w:rFonts w:ascii="Arial" w:hAnsi="Arial" w:cs="Arial"/>
              <w:noProof/>
              <w:sz w:val="24"/>
              <w:szCs w:val="24"/>
              <w:lang w:eastAsia="en-GB"/>
            </w:rPr>
            <w:t>(Financial Action Task Force, 2012)</w:t>
          </w:r>
          <w:r w:rsidR="004618E1">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In the UK the FCA has stated that effective risk management does not require wholesale de-risking. The FCA has recognised that ultimately a bank's choice of client is a commercial decision but has warned that it may enforce against banks that are disproportionately de-risking without regards to consumer protection and competition issues.</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If regulators started to issue significant fines for disproportionate de-risking, banks would have an incentive to ensure that their commercial decision did not dis-proportionally affect certain groups. However given the size of the fines that have been issued for breaches of AML/CTF regulation any enforcement action would have to be very significant to act as a credible deterrent to de-risking. It would also be very difficult to bring successful cases against banks for de-risking when there is no formal legal requirement in the UK for banks to provide universal banking services. The new Treasury initiative to provide fee-free basic bank accounts has been established purely as a voluntary arrangement and could not be enforced against.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If de-risking is ultimately a commercial decision the question then remains who has responsibility for addressing its unintended consequences. To date there have been several voluntary organisations that have started to address the issues associated with de-risking.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The Wolfberg group is a private association of 11 large international banks that meets to collectively address AML/CTF issues. It has established its own best principles for tackling AML/CTF issues and led the debate on counter terrorist financing after 9/11. The group holds regular conferences under Chatham house rules to allow space for informal dialogue between banks, regulators and civil society groups. It is an industry driven and voluntary initiative that has helped to improve global standards of anti-money laundering.  Currently the Wolfsberg group is working with the BBA to lead a joint project on the impact of de-risking that will report to G20 finance ministers.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Following the G20</w:t>
      </w:r>
      <w:r w:rsidR="00FA3C2D">
        <w:rPr>
          <w:rFonts w:ascii="Arial" w:hAnsi="Arial" w:cs="Arial"/>
          <w:sz w:val="24"/>
          <w:szCs w:val="24"/>
          <w:lang w:eastAsia="en-GB"/>
        </w:rPr>
        <w:t xml:space="preserve"> summit in Brisbane the Remittance A</w:t>
      </w:r>
      <w:r w:rsidRPr="00E275AA">
        <w:rPr>
          <w:rFonts w:ascii="Arial" w:hAnsi="Arial" w:cs="Arial"/>
          <w:sz w:val="24"/>
          <w:szCs w:val="24"/>
          <w:lang w:eastAsia="en-GB"/>
        </w:rPr>
        <w:t>ction</w:t>
      </w:r>
      <w:r w:rsidR="00FA3C2D">
        <w:rPr>
          <w:rFonts w:ascii="Arial" w:hAnsi="Arial" w:cs="Arial"/>
          <w:sz w:val="24"/>
          <w:szCs w:val="24"/>
          <w:lang w:eastAsia="en-GB"/>
        </w:rPr>
        <w:t xml:space="preserve"> Plan</w:t>
      </w:r>
      <w:r w:rsidRPr="00E275AA">
        <w:rPr>
          <w:rFonts w:ascii="Arial" w:hAnsi="Arial" w:cs="Arial"/>
          <w:sz w:val="24"/>
          <w:szCs w:val="24"/>
          <w:lang w:eastAsia="en-GB"/>
        </w:rPr>
        <w:t xml:space="preserve"> </w:t>
      </w:r>
      <w:r w:rsidR="00FA3C2D">
        <w:rPr>
          <w:rFonts w:ascii="Arial" w:hAnsi="Arial" w:cs="Arial"/>
          <w:sz w:val="24"/>
          <w:szCs w:val="24"/>
          <w:lang w:eastAsia="en-GB"/>
        </w:rPr>
        <w:t xml:space="preserve">provided </w:t>
      </w:r>
      <w:r w:rsidRPr="00E275AA">
        <w:rPr>
          <w:rFonts w:ascii="Arial" w:hAnsi="Arial" w:cs="Arial"/>
          <w:sz w:val="24"/>
          <w:szCs w:val="24"/>
          <w:lang w:eastAsia="en-GB"/>
        </w:rPr>
        <w:t xml:space="preserve">a renewed focus of de-risking. </w:t>
      </w:r>
      <w:r w:rsidRPr="00E275AA">
        <w:rPr>
          <w:rFonts w:ascii="Arial" w:hAnsi="Arial" w:cs="Arial"/>
          <w:sz w:val="24"/>
          <w:szCs w:val="24"/>
          <w:shd w:val="clear" w:color="auto" w:fill="FFFFFF"/>
          <w:lang w:eastAsia="en-GB"/>
        </w:rPr>
        <w:t>Consequently the World Bank has launched a global survey to establish the extent to which de-risking is occurring around the world. This survey had a particular focus on the effect of de-risking on the global remittances market and subm</w:t>
      </w:r>
      <w:r w:rsidRPr="004618E1">
        <w:rPr>
          <w:rFonts w:ascii="Arial" w:hAnsi="Arial" w:cs="Arial"/>
          <w:sz w:val="24"/>
          <w:szCs w:val="24"/>
          <w:shd w:val="clear" w:color="auto" w:fill="FFFFFF"/>
          <w:lang w:eastAsia="en-GB"/>
        </w:rPr>
        <w:t>issions</w:t>
      </w:r>
      <w:r w:rsidRPr="00E275AA">
        <w:rPr>
          <w:rFonts w:ascii="Arial" w:hAnsi="Arial" w:cs="Arial"/>
          <w:sz w:val="24"/>
          <w:szCs w:val="24"/>
          <w:shd w:val="clear" w:color="auto" w:fill="FFFFFF"/>
          <w:lang w:eastAsia="en-GB"/>
        </w:rPr>
        <w:t xml:space="preserve"> were due for collection by the end of June 2015. This survey will establish in greater detail the extent to which </w:t>
      </w:r>
      <w:r w:rsidRPr="00603C9E">
        <w:rPr>
          <w:rFonts w:ascii="Arial" w:hAnsi="Arial" w:cs="Arial"/>
          <w:sz w:val="24"/>
          <w:szCs w:val="24"/>
          <w:lang w:eastAsia="en-GB"/>
        </w:rPr>
        <w:t xml:space="preserve">the anecdotes that we have reviewed in this essay are representative of the de-risking. </w:t>
      </w:r>
      <w:sdt>
        <w:sdtPr>
          <w:rPr>
            <w:rFonts w:ascii="Arial" w:hAnsi="Arial" w:cs="Arial"/>
            <w:sz w:val="24"/>
            <w:szCs w:val="24"/>
            <w:lang w:eastAsia="en-GB"/>
          </w:rPr>
          <w:id w:val="-534276780"/>
          <w:citation/>
        </w:sdtPr>
        <w:sdtEndPr/>
        <w:sdtContent>
          <w:r w:rsidR="00603C9E" w:rsidRPr="00603C9E">
            <w:rPr>
              <w:rFonts w:ascii="Arial" w:hAnsi="Arial" w:cs="Arial"/>
              <w:sz w:val="24"/>
              <w:szCs w:val="24"/>
              <w:lang w:eastAsia="en-GB"/>
            </w:rPr>
            <w:fldChar w:fldCharType="begin"/>
          </w:r>
          <w:r w:rsidR="00603C9E" w:rsidRPr="00603C9E">
            <w:rPr>
              <w:rFonts w:ascii="Arial" w:hAnsi="Arial" w:cs="Arial"/>
              <w:sz w:val="24"/>
              <w:szCs w:val="24"/>
              <w:lang w:eastAsia="en-GB"/>
            </w:rPr>
            <w:instrText xml:space="preserve"> CITATION Cir15 \l 2057 </w:instrText>
          </w:r>
          <w:r w:rsidR="00603C9E" w:rsidRPr="00603C9E">
            <w:rPr>
              <w:rFonts w:ascii="Arial" w:hAnsi="Arial" w:cs="Arial"/>
              <w:sz w:val="24"/>
              <w:szCs w:val="24"/>
              <w:lang w:eastAsia="en-GB"/>
            </w:rPr>
            <w:fldChar w:fldCharType="separate"/>
          </w:r>
          <w:r w:rsidR="00745BB5" w:rsidRPr="00745BB5">
            <w:rPr>
              <w:rFonts w:ascii="Arial" w:hAnsi="Arial" w:cs="Arial"/>
              <w:noProof/>
              <w:sz w:val="24"/>
              <w:szCs w:val="24"/>
              <w:lang w:eastAsia="en-GB"/>
            </w:rPr>
            <w:t>(Cirasino, 2015)</w:t>
          </w:r>
          <w:r w:rsidR="00603C9E" w:rsidRPr="00603C9E">
            <w:rPr>
              <w:rFonts w:ascii="Arial" w:hAnsi="Arial" w:cs="Arial"/>
              <w:sz w:val="24"/>
              <w:szCs w:val="24"/>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In the charity sector, the global centre on cooperative security has started an international study in conjunction with Oxfam that looks at how de-risking has affected access to financial services for vulnerable people such as women, youth and marginalised commun</w:t>
      </w:r>
      <w:r w:rsidRPr="00603C9E">
        <w:rPr>
          <w:rFonts w:ascii="Arial" w:hAnsi="Arial" w:cs="Arial"/>
          <w:iCs/>
          <w:sz w:val="24"/>
          <w:szCs w:val="24"/>
          <w:shd w:val="clear" w:color="auto" w:fill="FFFFFF"/>
          <w:lang w:eastAsia="en-GB"/>
        </w:rPr>
        <w:t>ities</w:t>
      </w:r>
      <w:r w:rsidRPr="00E275AA">
        <w:rPr>
          <w:rFonts w:ascii="Arial" w:hAnsi="Arial" w:cs="Arial"/>
          <w:iCs/>
          <w:sz w:val="24"/>
          <w:szCs w:val="24"/>
          <w:shd w:val="clear" w:color="auto" w:fill="FFFFFF"/>
          <w:lang w:eastAsia="en-GB"/>
        </w:rPr>
        <w:t xml:space="preserve">. </w:t>
      </w:r>
      <w:sdt>
        <w:sdtPr>
          <w:rPr>
            <w:rFonts w:ascii="Arial" w:hAnsi="Arial" w:cs="Arial"/>
            <w:iCs/>
            <w:sz w:val="24"/>
            <w:szCs w:val="24"/>
            <w:shd w:val="clear" w:color="auto" w:fill="FFFFFF"/>
            <w:lang w:eastAsia="en-GB"/>
          </w:rPr>
          <w:id w:val="1911038425"/>
          <w:citation/>
        </w:sdtPr>
        <w:sdtEndPr/>
        <w:sdtContent>
          <w:r w:rsidR="00603C9E">
            <w:rPr>
              <w:rFonts w:ascii="Arial" w:hAnsi="Arial" w:cs="Arial"/>
              <w:iCs/>
              <w:sz w:val="24"/>
              <w:szCs w:val="24"/>
              <w:shd w:val="clear" w:color="auto" w:fill="FFFFFF"/>
              <w:lang w:eastAsia="en-GB"/>
            </w:rPr>
            <w:fldChar w:fldCharType="begin"/>
          </w:r>
          <w:r w:rsidR="00603C9E">
            <w:rPr>
              <w:rFonts w:ascii="Arial" w:hAnsi="Arial" w:cs="Arial"/>
              <w:iCs/>
              <w:sz w:val="24"/>
              <w:szCs w:val="24"/>
              <w:shd w:val="clear" w:color="auto" w:fill="FFFFFF"/>
              <w:lang w:eastAsia="en-GB"/>
            </w:rPr>
            <w:instrText xml:space="preserve">CITATION Placeholder1 \l 2057 </w:instrText>
          </w:r>
          <w:r w:rsidR="00603C9E">
            <w:rPr>
              <w:rFonts w:ascii="Arial" w:hAnsi="Arial" w:cs="Arial"/>
              <w:iCs/>
              <w:sz w:val="24"/>
              <w:szCs w:val="24"/>
              <w:shd w:val="clear" w:color="auto" w:fill="FFFFFF"/>
              <w:lang w:eastAsia="en-GB"/>
            </w:rPr>
            <w:fldChar w:fldCharType="separate"/>
          </w:r>
          <w:r w:rsidR="00745BB5" w:rsidRPr="00745BB5">
            <w:rPr>
              <w:rFonts w:ascii="Arial" w:hAnsi="Arial" w:cs="Arial"/>
              <w:noProof/>
              <w:sz w:val="24"/>
              <w:szCs w:val="24"/>
              <w:shd w:val="clear" w:color="auto" w:fill="FFFFFF"/>
              <w:lang w:eastAsia="en-GB"/>
            </w:rPr>
            <w:t>(Global Center on Cooperative Security, 2015)</w:t>
          </w:r>
          <w:r w:rsidR="00603C9E">
            <w:rPr>
              <w:rFonts w:ascii="Arial" w:hAnsi="Arial" w:cs="Arial"/>
              <w:iCs/>
              <w:sz w:val="24"/>
              <w:szCs w:val="24"/>
              <w:shd w:val="clear" w:color="auto" w:fill="FFFFFF"/>
              <w:lang w:eastAsia="en-GB"/>
            </w:rPr>
            <w:fldChar w:fldCharType="end"/>
          </w:r>
        </w:sdtContent>
      </w:sdt>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 xml:space="preserve">These efforts represent a concerted international co-operation between the public and private sector to better understand the consequences of de-risking. Where the responsibility for addressing the consequences of de-risking, is currently unclear. The private sector in the UK has already invested significantly in developing enhanced AML systems and controls and made commitments to support those that are currently un-banked. They have not however made a commitment to ensure that their de-risking is done in a proportionate way and have not had to report publicly on the extent of de-risking.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iCs/>
          <w:sz w:val="24"/>
          <w:szCs w:val="24"/>
          <w:shd w:val="clear" w:color="auto" w:fill="FFFFFF"/>
          <w:lang w:eastAsia="en-GB"/>
        </w:rPr>
        <w:t>Having greater public transparency around this issue would significantly improve the public debate around the appropriate limits of a bank's public function. From the end of 2015 banks will have to report to the Treasury the number of basic bank acc</w:t>
      </w:r>
      <w:r w:rsidR="00F16B7F">
        <w:rPr>
          <w:rFonts w:ascii="Arial" w:hAnsi="Arial" w:cs="Arial"/>
          <w:iCs/>
          <w:sz w:val="24"/>
          <w:szCs w:val="24"/>
          <w:shd w:val="clear" w:color="auto" w:fill="FFFFFF"/>
          <w:lang w:eastAsia="en-GB"/>
        </w:rPr>
        <w:t>ounts that they close each year</w:t>
      </w:r>
      <w:r w:rsidRPr="00E275AA">
        <w:rPr>
          <w:rFonts w:ascii="Arial" w:hAnsi="Arial" w:cs="Arial"/>
          <w:iCs/>
          <w:sz w:val="24"/>
          <w:szCs w:val="24"/>
          <w:shd w:val="clear" w:color="auto" w:fill="FFFFFF"/>
          <w:lang w:eastAsia="en-GB"/>
        </w:rPr>
        <w:t>.</w:t>
      </w:r>
      <w:r w:rsidR="00F16B7F">
        <w:rPr>
          <w:rFonts w:ascii="Arial" w:hAnsi="Arial" w:cs="Arial"/>
          <w:iCs/>
          <w:sz w:val="24"/>
          <w:szCs w:val="24"/>
          <w:shd w:val="clear" w:color="auto" w:fill="FFFFFF"/>
          <w:lang w:eastAsia="en-GB"/>
        </w:rPr>
        <w:t xml:space="preserve"> </w:t>
      </w:r>
      <w:r w:rsidRPr="00E275AA">
        <w:rPr>
          <w:rFonts w:ascii="Arial" w:hAnsi="Arial" w:cs="Arial"/>
          <w:iCs/>
          <w:sz w:val="24"/>
          <w:szCs w:val="24"/>
          <w:shd w:val="clear" w:color="auto" w:fill="FFFFFF"/>
          <w:lang w:eastAsia="en-GB"/>
        </w:rPr>
        <w:t xml:space="preserve">This commitment could easily be extended to include the closure of other bank accounts. This would enable the </w:t>
      </w:r>
      <w:r w:rsidRPr="000E34E7">
        <w:rPr>
          <w:rFonts w:ascii="Arial" w:hAnsi="Arial" w:cs="Arial"/>
          <w:iCs/>
          <w:sz w:val="24"/>
          <w:szCs w:val="24"/>
          <w:shd w:val="clear" w:color="auto" w:fill="FFFFFF"/>
          <w:lang w:eastAsia="en-GB"/>
        </w:rPr>
        <w:t xml:space="preserve">government to more </w:t>
      </w:r>
      <w:r w:rsidRPr="00E275AA">
        <w:rPr>
          <w:rFonts w:ascii="Arial" w:hAnsi="Arial" w:cs="Arial"/>
          <w:iCs/>
          <w:sz w:val="24"/>
          <w:szCs w:val="24"/>
          <w:shd w:val="clear" w:color="auto" w:fill="FFFFFF"/>
          <w:lang w:eastAsia="en-GB"/>
        </w:rPr>
        <w:t xml:space="preserve">easily keep track of the effect of de-risking to judge whether further intervention in required. </w:t>
      </w:r>
    </w:p>
    <w:p w:rsidR="00E275AA" w:rsidRPr="00E275AA" w:rsidRDefault="00E275AA" w:rsidP="00E275AA">
      <w:pPr>
        <w:spacing w:before="0" w:after="0" w:line="480" w:lineRule="auto"/>
        <w:jc w:val="both"/>
        <w:rPr>
          <w:rFonts w:ascii="Arial" w:hAnsi="Arial" w:cs="Arial"/>
          <w:sz w:val="24"/>
          <w:szCs w:val="24"/>
          <w:lang w:eastAsia="en-GB"/>
        </w:rPr>
      </w:pPr>
    </w:p>
    <w:p w:rsid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So far in the UK there has been good co-operation between the public and private sector to tackle some of the un-intended consequences of de-risking. Through collaborative initiatives remittance payments have been re-established through a “safe corridor” to Somalia. The BBA has worked with the Charity Commission to issues a guide to reduce the impact of de-risking on the charitable sector. The Wolfberg group has provided important contributions to international money laundering debate. Whilst the Joint Money Laundering Steering Group (JMLSG) have issued guidance that has been approved by the Treasury to help MSBs engage more constructively with banks. </w:t>
      </w:r>
    </w:p>
    <w:p w:rsidR="00FA3C2D" w:rsidRPr="00E275AA" w:rsidRDefault="00FA3C2D"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Such voluntary initiatives should be celebrated; however it has taken a significant of public pressure to inspire action in this area. Going forward there is a question of where responsibility lies for the issue. In the UK the BBA, the JMLSG, the Wolfberg group, the PRA, the FCA, the Financial Inclusion commission, the Government and the Competition and Markets Authority are key stakeholders to the debate. There is also a role for third sector action groups and legal representatives to challenge the decision being made by the banks and for charities to collect information about how de-risking to affecting already vulnerable and marginalised groups.</w:t>
      </w:r>
    </w:p>
    <w:p w:rsidR="00E275AA" w:rsidRPr="00F16B7F"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F16B7F">
        <w:rPr>
          <w:rFonts w:ascii="Arial" w:hAnsi="Arial" w:cs="Arial"/>
          <w:sz w:val="24"/>
          <w:szCs w:val="24"/>
          <w:lang w:eastAsia="en-GB"/>
        </w:rPr>
        <w:t xml:space="preserve">Internationally Mark Carney has called for greater collaboration between regulators </w:t>
      </w:r>
      <w:r w:rsidRPr="00E275AA">
        <w:rPr>
          <w:rFonts w:ascii="Arial" w:hAnsi="Arial" w:cs="Arial"/>
          <w:sz w:val="24"/>
          <w:szCs w:val="24"/>
          <w:lang w:eastAsia="en-GB"/>
        </w:rPr>
        <w:t xml:space="preserve">to tackle the issues caused by de-risking. </w:t>
      </w:r>
      <w:r w:rsidR="009E730E">
        <w:rPr>
          <w:rFonts w:ascii="Arial" w:hAnsi="Arial" w:cs="Arial"/>
          <w:sz w:val="24"/>
          <w:szCs w:val="24"/>
          <w:lang w:eastAsia="en-GB"/>
        </w:rPr>
        <w:t>T</w:t>
      </w:r>
      <w:r w:rsidRPr="00E275AA">
        <w:rPr>
          <w:rFonts w:ascii="Arial" w:hAnsi="Arial" w:cs="Arial"/>
          <w:sz w:val="24"/>
          <w:szCs w:val="24"/>
          <w:lang w:eastAsia="en-GB"/>
        </w:rPr>
        <w:t xml:space="preserve">o be effective there will have to be strong coordination between these different stakeholders. This coordination role could perhaps be played by the Banking Standards Board. This is a new body that has been established to help restore the trust in the financial sector and promote high standards in banking. They have a mandate to promote collective action and will monitor conduct in all of the large UK banks. As an independent body it could coordinate action between these different stakeholders and monitor the levels of de-risking. Again this solution would be made on a voluntary basis and would require the on-going good will of the banks.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In other countries such Belgium basic bank account have been subsidised by a compensatory fund for banks that provided a disproportionate share of the un-profitable basic bank accounts. If further intervention was necessary a similar fund could be established for banks that retained businesses accounts for customers that classify as higher risk. This could help subsidize the additional costs for account verifications and enhanced screening of transactions for higher risk customers. This would encourage banks to keep “higher risk” customers and transactions within the formal financial sector where suspicious activity can be monitored and reported effectively. This would be of benefit to banks, individuals and the law enforcement agencies that rely on the suspicious transactions to detect and investigate serious crime and terrorist financing. This would mean the state helps to subsidise the cost of monitoring high-risk transactions which is arguably a public function. However this solution is likely to be unpalatable given the current climate of austerity and the large amount of financial aid that the banks received during the financial crisis.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There is then perhaps a role the state owned banks could play in the social inclusion agenda. If other banks are deciding that it is not commercially viable to serve “higher risk” customers then the state owned bank could be required to serve those customers that have struggled to maintain their account at other commercial banks. This would transfer the risks and compliance costs associated with AML and CTF to publically owned banks.   </w:t>
      </w:r>
    </w:p>
    <w:p w:rsidR="00E275AA" w:rsidRPr="00E275AA" w:rsidRDefault="00E275AA" w:rsidP="00E275AA">
      <w:pPr>
        <w:spacing w:before="0" w:after="0" w:line="480" w:lineRule="auto"/>
        <w:jc w:val="both"/>
        <w:rPr>
          <w:rFonts w:ascii="Arial" w:hAnsi="Arial" w:cs="Arial"/>
          <w:sz w:val="24"/>
          <w:szCs w:val="24"/>
          <w:lang w:eastAsia="en-GB"/>
        </w:rPr>
      </w:pPr>
    </w:p>
    <w:p w:rsidR="00F16B7F" w:rsidRPr="00FA3C2D"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If through government monitoring it was established that de-risking posed a significant threat to financial inclusion that could not be tackled through the private and public sector collaboration the government could legislate directly against disproportionate de-risking. The government could establish legal requirements to open and maintain the accounts of customers that meet the standards of due diligence. We have seen similar laws introduced in Canada however these only establish legal requirement for open accounts, effective de-risking legislation would also establish the </w:t>
      </w:r>
      <w:r w:rsidRPr="00FA3C2D">
        <w:rPr>
          <w:rFonts w:ascii="Arial" w:hAnsi="Arial" w:cs="Arial"/>
          <w:sz w:val="24"/>
          <w:szCs w:val="24"/>
          <w:lang w:eastAsia="en-GB"/>
        </w:rPr>
        <w:t>conditions for the closure of accounts.</w:t>
      </w:r>
    </w:p>
    <w:p w:rsidR="002C16AB" w:rsidRPr="00FA3C2D" w:rsidRDefault="002C16AB" w:rsidP="00E275AA">
      <w:pPr>
        <w:spacing w:before="0" w:after="0" w:line="480" w:lineRule="auto"/>
        <w:jc w:val="both"/>
        <w:rPr>
          <w:rFonts w:ascii="Arial" w:hAnsi="Arial" w:cs="Arial"/>
          <w:sz w:val="24"/>
          <w:szCs w:val="24"/>
          <w:lang w:eastAsia="en-GB"/>
        </w:rPr>
      </w:pPr>
    </w:p>
    <w:p w:rsidR="00F16B7F" w:rsidRPr="00FA3C2D" w:rsidRDefault="00F16B7F" w:rsidP="00E275AA">
      <w:pPr>
        <w:spacing w:before="0" w:after="0" w:line="480" w:lineRule="auto"/>
        <w:jc w:val="both"/>
        <w:rPr>
          <w:rFonts w:ascii="Arial" w:hAnsi="Arial" w:cs="Arial"/>
          <w:sz w:val="24"/>
          <w:szCs w:val="24"/>
          <w:lang w:eastAsia="en-GB"/>
        </w:rPr>
      </w:pPr>
      <w:r w:rsidRPr="00FA3C2D">
        <w:rPr>
          <w:rFonts w:ascii="Arial" w:hAnsi="Arial" w:cs="Arial"/>
          <w:sz w:val="24"/>
          <w:szCs w:val="24"/>
          <w:lang w:eastAsia="en-GB"/>
        </w:rPr>
        <w:t xml:space="preserve">The government has taken a different approach to de-risking and has announced a commitment to reduce the cost of compliance with AML legislation </w:t>
      </w:r>
      <w:r w:rsidR="002C16AB" w:rsidRPr="00FA3C2D">
        <w:rPr>
          <w:rFonts w:ascii="Arial" w:hAnsi="Arial" w:cs="Arial"/>
          <w:sz w:val="24"/>
          <w:szCs w:val="24"/>
          <w:lang w:eastAsia="en-GB"/>
        </w:rPr>
        <w:t xml:space="preserve">in a bid to reduce the cost of regulation to business by </w:t>
      </w:r>
      <w:r w:rsidR="002C16AB" w:rsidRPr="00FA3C2D">
        <w:rPr>
          <w:rFonts w:ascii="Arial" w:hAnsi="Arial" w:cs="Arial"/>
          <w:sz w:val="24"/>
          <w:szCs w:val="24"/>
          <w:shd w:val="clear" w:color="auto" w:fill="FFFFFF"/>
        </w:rPr>
        <w:t xml:space="preserve">£10 billion. It is not yet clear how this will be achieved as the </w:t>
      </w:r>
      <w:r w:rsidR="00FA3C2D" w:rsidRPr="00FA3C2D">
        <w:rPr>
          <w:rFonts w:ascii="Arial" w:hAnsi="Arial" w:cs="Arial"/>
          <w:sz w:val="24"/>
          <w:szCs w:val="24"/>
          <w:shd w:val="clear" w:color="auto" w:fill="FFFFFF"/>
        </w:rPr>
        <w:t xml:space="preserve">regulatory </w:t>
      </w:r>
      <w:r w:rsidR="002C16AB" w:rsidRPr="00FA3C2D">
        <w:rPr>
          <w:rFonts w:ascii="Arial" w:hAnsi="Arial" w:cs="Arial"/>
          <w:sz w:val="24"/>
          <w:szCs w:val="24"/>
          <w:shd w:val="clear" w:color="auto" w:fill="FFFFFF"/>
        </w:rPr>
        <w:t>standards are</w:t>
      </w:r>
      <w:r w:rsidR="00FA3C2D" w:rsidRPr="00FA3C2D">
        <w:rPr>
          <w:rFonts w:ascii="Arial" w:hAnsi="Arial" w:cs="Arial"/>
          <w:sz w:val="24"/>
          <w:szCs w:val="24"/>
          <w:shd w:val="clear" w:color="auto" w:fill="FFFFFF"/>
        </w:rPr>
        <w:t xml:space="preserve"> largely</w:t>
      </w:r>
      <w:r w:rsidR="002C16AB" w:rsidRPr="00FA3C2D">
        <w:rPr>
          <w:rFonts w:ascii="Arial" w:hAnsi="Arial" w:cs="Arial"/>
          <w:sz w:val="24"/>
          <w:szCs w:val="24"/>
          <w:shd w:val="clear" w:color="auto" w:fill="FFFFFF"/>
        </w:rPr>
        <w:t xml:space="preserve"> set at the international and European level. This may not be effective in reducing de-risking as we have seen that through the courts banks have been held to a high standard of liability for their AML/CTF systems and controls. Moreover as international banks continue to operate international</w:t>
      </w:r>
      <w:r w:rsidR="00FA3C2D" w:rsidRPr="00FA3C2D">
        <w:rPr>
          <w:rFonts w:ascii="Arial" w:hAnsi="Arial" w:cs="Arial"/>
          <w:sz w:val="24"/>
          <w:szCs w:val="24"/>
          <w:shd w:val="clear" w:color="auto" w:fill="FFFFFF"/>
        </w:rPr>
        <w:t>ly</w:t>
      </w:r>
      <w:r w:rsidR="002C16AB" w:rsidRPr="00FA3C2D">
        <w:rPr>
          <w:rFonts w:ascii="Arial" w:hAnsi="Arial" w:cs="Arial"/>
          <w:sz w:val="24"/>
          <w:szCs w:val="24"/>
          <w:shd w:val="clear" w:color="auto" w:fill="FFFFFF"/>
        </w:rPr>
        <w:t xml:space="preserve"> they will still be required to uphold international standards</w:t>
      </w:r>
      <w:r w:rsidR="00FA3C2D" w:rsidRPr="00FA3C2D">
        <w:rPr>
          <w:rFonts w:ascii="Arial" w:hAnsi="Arial" w:cs="Arial"/>
          <w:sz w:val="24"/>
          <w:szCs w:val="24"/>
          <w:shd w:val="clear" w:color="auto" w:fill="FFFFFF"/>
        </w:rPr>
        <w:t>.</w:t>
      </w:r>
      <w:r w:rsidR="002C16AB" w:rsidRPr="00FA3C2D">
        <w:rPr>
          <w:rFonts w:ascii="Arial" w:hAnsi="Arial" w:cs="Arial"/>
          <w:sz w:val="24"/>
          <w:szCs w:val="24"/>
          <w:shd w:val="clear" w:color="auto" w:fill="FFFFFF"/>
        </w:rPr>
        <w:t xml:space="preserve"> </w:t>
      </w:r>
      <w:r w:rsidR="00FA3C2D" w:rsidRPr="00FA3C2D">
        <w:rPr>
          <w:rFonts w:ascii="Arial" w:hAnsi="Arial" w:cs="Arial"/>
          <w:sz w:val="24"/>
          <w:szCs w:val="24"/>
          <w:shd w:val="clear" w:color="auto" w:fill="FFFFFF"/>
        </w:rPr>
        <w:t>A</w:t>
      </w:r>
      <w:r w:rsidR="002C16AB" w:rsidRPr="00FA3C2D">
        <w:rPr>
          <w:rFonts w:ascii="Arial" w:hAnsi="Arial" w:cs="Arial"/>
          <w:sz w:val="24"/>
          <w:szCs w:val="24"/>
          <w:shd w:val="clear" w:color="auto" w:fill="FFFFFF"/>
        </w:rPr>
        <w:t>s long as they are subject to America regulatory standards and fines will not have an incentive to reduce the quality of their systems and control that they have already invested significantly in. As a result this initiative is unlikely to reduce de-risking and potential will increase AML/CTF risk in the financial sector.</w:t>
      </w:r>
    </w:p>
    <w:p w:rsidR="00E275AA" w:rsidRPr="00E275AA" w:rsidRDefault="002C16AB" w:rsidP="00E275AA">
      <w:pPr>
        <w:pBdr>
          <w:bottom w:val="single" w:sz="8" w:space="4" w:color="4F81BD"/>
        </w:pBdr>
        <w:spacing w:before="0" w:after="300" w:line="480" w:lineRule="auto"/>
        <w:contextualSpacing/>
        <w:rPr>
          <w:rFonts w:ascii="Cambria" w:hAnsi="Cambria"/>
          <w:color w:val="17365D"/>
          <w:spacing w:val="5"/>
          <w:kern w:val="28"/>
          <w:sz w:val="52"/>
          <w:szCs w:val="52"/>
          <w:lang w:eastAsia="en-GB"/>
        </w:rPr>
      </w:pPr>
      <w:r>
        <w:rPr>
          <w:rFonts w:ascii="Cambria" w:hAnsi="Cambria"/>
          <w:color w:val="17365D"/>
          <w:spacing w:val="5"/>
          <w:kern w:val="28"/>
          <w:sz w:val="52"/>
          <w:szCs w:val="52"/>
          <w:lang w:eastAsia="en-GB"/>
        </w:rPr>
        <w:t>     </w:t>
      </w:r>
    </w:p>
    <w:p w:rsidR="00E275AA" w:rsidRPr="00E275AA" w:rsidRDefault="00E275AA" w:rsidP="00E275AA">
      <w:pPr>
        <w:pBdr>
          <w:bottom w:val="single" w:sz="8" w:space="4" w:color="4F81BD"/>
        </w:pBdr>
        <w:spacing w:before="0" w:after="300" w:line="480" w:lineRule="auto"/>
        <w:contextualSpacing/>
        <w:rPr>
          <w:rFonts w:ascii="Cambria" w:hAnsi="Cambria"/>
          <w:b/>
          <w:color w:val="17365D"/>
          <w:spacing w:val="5"/>
          <w:kern w:val="28"/>
          <w:sz w:val="52"/>
          <w:szCs w:val="52"/>
          <w:lang w:eastAsia="en-GB"/>
        </w:rPr>
      </w:pPr>
      <w:r w:rsidRPr="00E275AA">
        <w:rPr>
          <w:rFonts w:ascii="Cambria" w:hAnsi="Cambria"/>
          <w:b/>
          <w:color w:val="17365D"/>
          <w:spacing w:val="5"/>
          <w:kern w:val="28"/>
          <w:sz w:val="52"/>
          <w:szCs w:val="52"/>
          <w:lang w:eastAsia="en-GB"/>
        </w:rPr>
        <w:t xml:space="preserve">Conclusion </w:t>
      </w:r>
    </w:p>
    <w:p w:rsidR="00E275AA" w:rsidRPr="00E275AA" w:rsidRDefault="00E275AA" w:rsidP="00E275AA">
      <w:pPr>
        <w:spacing w:before="0" w:after="0" w:line="480" w:lineRule="auto"/>
        <w:jc w:val="both"/>
        <w:rPr>
          <w:rFonts w:ascii="Arial" w:hAnsi="Arial" w:cs="Arial"/>
          <w:sz w:val="24"/>
          <w:szCs w:val="24"/>
          <w:lang w:eastAsia="en-GB"/>
        </w:rPr>
      </w:pPr>
    </w:p>
    <w:p w:rsidR="00E275AA" w:rsidRPr="00E275AA" w:rsidRDefault="00E275AA" w:rsidP="00E275AA">
      <w:pPr>
        <w:spacing w:before="0" w:after="0" w:line="480" w:lineRule="auto"/>
        <w:jc w:val="both"/>
        <w:rPr>
          <w:rFonts w:ascii="Arial" w:hAnsi="Arial" w:cs="Arial"/>
          <w:sz w:val="24"/>
          <w:szCs w:val="24"/>
          <w:lang w:eastAsia="en-GB"/>
        </w:rPr>
      </w:pPr>
      <w:r w:rsidRPr="00E275AA">
        <w:rPr>
          <w:rFonts w:ascii="Arial" w:hAnsi="Arial" w:cs="Arial"/>
          <w:sz w:val="24"/>
          <w:szCs w:val="24"/>
          <w:lang w:eastAsia="en-GB"/>
        </w:rPr>
        <w:t xml:space="preserve">De-risking has grown since 2009 into a phenomenon that has commanded international regulatory attention. Driven by the increased costs of compliance with AML/CTF legislation, large regulatory penalties and uncertainty surrounding the limits of banking liability,  banks have chosen to exit higher-risk banking relationships and reduce their exposure to AML/CTF risk. As they have done so at least several thousand customers have had their accounts closed and have had to look for alternative banking arrangements. In some </w:t>
      </w:r>
      <w:r w:rsidRPr="00FA3C2D">
        <w:rPr>
          <w:rFonts w:ascii="Arial" w:hAnsi="Arial" w:cs="Arial"/>
          <w:sz w:val="24"/>
          <w:szCs w:val="24"/>
          <w:lang w:eastAsia="en-GB"/>
        </w:rPr>
        <w:t>markets such as MSB and international trade finance this has reduced competition and limited participant’s ability to operate</w:t>
      </w:r>
      <w:r w:rsidRPr="00E275AA">
        <w:rPr>
          <w:rFonts w:ascii="Arial" w:hAnsi="Arial" w:cs="Arial"/>
          <w:sz w:val="24"/>
          <w:szCs w:val="24"/>
          <w:lang w:eastAsia="en-GB"/>
        </w:rPr>
        <w:t xml:space="preserve">. Some businesses have not been able to find any banks that will continue to serve them and have had to turn to alternative payments market to continue to operate. This has displaced terrorist financing and money laundering risk from the traditional banking sector into less heavily regulated financial sectors who are less well equipped to detect, monitor and report suspicious transactions.  For individuals de-risking has not had an impact on general levels of financial inclusion however anecdotal evidence suggests that it has had a disproportionate effect on groups from ethnic minority background who were already more likely to be financially excluded. This raised significant question about whether de-risking has involved discrimination against individuals with links to “high-risk” </w:t>
      </w:r>
      <w:r w:rsidRPr="00FA3C2D">
        <w:rPr>
          <w:rFonts w:ascii="Arial" w:hAnsi="Arial" w:cs="Arial"/>
          <w:sz w:val="24"/>
          <w:szCs w:val="24"/>
          <w:lang w:eastAsia="en-GB"/>
        </w:rPr>
        <w:t>jurisdictions.</w:t>
      </w:r>
      <w:r w:rsidR="004618E1" w:rsidRPr="00FA3C2D">
        <w:rPr>
          <w:rFonts w:ascii="Arial" w:hAnsi="Arial" w:cs="Arial"/>
          <w:sz w:val="24"/>
          <w:szCs w:val="24"/>
          <w:lang w:eastAsia="en-GB"/>
        </w:rPr>
        <w:t xml:space="preserve"> </w:t>
      </w:r>
      <w:r w:rsidRPr="00FA3C2D">
        <w:rPr>
          <w:rFonts w:ascii="Arial" w:hAnsi="Arial" w:cs="Arial"/>
          <w:sz w:val="24"/>
          <w:szCs w:val="24"/>
          <w:lang w:eastAsia="en-GB"/>
        </w:rPr>
        <w:t>We have found that cases have varied in their approach to establishing the necessary levels of evidence</w:t>
      </w:r>
      <w:r w:rsidR="00FA3C2D">
        <w:rPr>
          <w:rFonts w:ascii="Arial" w:hAnsi="Arial" w:cs="Arial"/>
          <w:sz w:val="24"/>
          <w:szCs w:val="24"/>
          <w:lang w:eastAsia="en-GB"/>
        </w:rPr>
        <w:t xml:space="preserve"> for discrimination in banking</w:t>
      </w:r>
      <w:r w:rsidRPr="00E275AA">
        <w:rPr>
          <w:rFonts w:ascii="Arial" w:hAnsi="Arial" w:cs="Arial"/>
          <w:sz w:val="24"/>
          <w:szCs w:val="24"/>
          <w:lang w:eastAsia="en-GB"/>
        </w:rPr>
        <w:t>. Some have placed the burden of proof on the plaintiff others have required the defendant to demonstrate that the rationale behind account closures. The secrecy surrounding suspicious activity reporting has made both levels of evidence more difficult to collect. Despite voluntary commitments from UK banks to support financial inclusion initiatives such as fee-free basic banking they have continued to de-risk in a disproportionate manner to reduce their costs and exposure to regulatory sanctions. The current legal framework allows them to do so as banking relationships are understood to be private contractual arrangement governed mainly by the terms of conditions established under contract law. Moreover due to vigilant reporting requirements, banks require very low levels of proof to have legitimate suspicions about the current account activities. This mean it is easier to take action against those who seek to misuse the financial sector but has also meant that it is easier for banks to close accounts of any “higher risk” customer regardless of whether they actually pose a risk to the financial sector. No current regulation requires banks to provide universal banking services and their commitment to basic bank accounts has been purely voluntary made binding only through reputational risk.  As a result regulation and lawsuits have driven and enabled de-risking to take place without significant challenge. Despite the prevalence of media reports from across the US, UK and Canada describing situations in which banks have disproportionately de-risked, there are no studies that quantify the extent of de-risking in the UK.  Work is under way at the international level to assess the global effects of de-risking but more could be done at the domestic level to understand the prevalence of de-risking. This will take careful collaboration between the public and private sector, this collaboration that has already started strongly but could be supported by legislative changes if voluntary agreements are not sufficient incentives to de-risk proportionally.    </w:t>
      </w:r>
    </w:p>
    <w:p w:rsidR="00E275AA" w:rsidRPr="00E275AA" w:rsidRDefault="00655B03" w:rsidP="00E275AA">
      <w:pPr>
        <w:spacing w:before="0" w:after="0" w:line="480" w:lineRule="auto"/>
        <w:jc w:val="both"/>
        <w:rPr>
          <w:rFonts w:ascii="Arial" w:hAnsi="Arial" w:cs="Arial"/>
          <w:sz w:val="24"/>
          <w:szCs w:val="24"/>
          <w:lang w:eastAsia="en-GB"/>
        </w:rPr>
      </w:pPr>
      <w:r>
        <w:rPr>
          <w:rFonts w:ascii="Arial" w:hAnsi="Arial" w:cs="Arial"/>
          <w:sz w:val="24"/>
          <w:szCs w:val="24"/>
          <w:lang w:eastAsia="en-GB"/>
        </w:rPr>
        <w:pict>
          <v:rect id="_x0000_i1025" style="width:0;height:1.5pt" o:hralign="center" o:hrstd="t" o:hr="t" fillcolor="#a0a0a0" stroked="f"/>
        </w:pict>
      </w:r>
    </w:p>
    <w:p w:rsidR="00856572" w:rsidRDefault="00856572"/>
    <w:p w:rsidR="00856572" w:rsidRDefault="00856572"/>
    <w:p w:rsidR="00856572" w:rsidRDefault="00856572"/>
    <w:p w:rsidR="00856572" w:rsidRDefault="00856572"/>
    <w:sdt>
      <w:sdtPr>
        <w:rPr>
          <w:rFonts w:ascii="Times New Roman" w:hAnsi="Times New Roman"/>
          <w:sz w:val="26"/>
        </w:rPr>
        <w:id w:val="-873618846"/>
        <w:docPartObj>
          <w:docPartGallery w:val="Bibliographies"/>
          <w:docPartUnique/>
        </w:docPartObj>
      </w:sdtPr>
      <w:sdtEndPr/>
      <w:sdtContent>
        <w:p w:rsidR="00745BB5" w:rsidRPr="00745BB5" w:rsidRDefault="00745BB5">
          <w:pPr>
            <w:pStyle w:val="Heading1"/>
            <w:rPr>
              <w:rFonts w:ascii="Cambria" w:hAnsi="Cambria"/>
              <w:color w:val="0070C0"/>
              <w:sz w:val="52"/>
            </w:rPr>
          </w:pPr>
          <w:r w:rsidRPr="00745BB5">
            <w:rPr>
              <w:rFonts w:ascii="Cambria" w:hAnsi="Cambria"/>
              <w:color w:val="0070C0"/>
              <w:sz w:val="52"/>
            </w:rPr>
            <w:t>Bibliography</w:t>
          </w:r>
        </w:p>
        <w:sdt>
          <w:sdtPr>
            <w:id w:val="111145805"/>
            <w:bibliography/>
          </w:sdtPr>
          <w:sdtEndPr/>
          <w:sdtContent>
            <w:p w:rsidR="00745BB5" w:rsidRDefault="00745BB5" w:rsidP="00745BB5">
              <w:pPr>
                <w:pStyle w:val="Bibliography"/>
                <w:ind w:left="720" w:hanging="720"/>
                <w:rPr>
                  <w:noProof/>
                </w:rPr>
              </w:pPr>
              <w:r>
                <w:fldChar w:fldCharType="begin"/>
              </w:r>
              <w:r>
                <w:instrText xml:space="preserve"> BIBLIOGRAPHY </w:instrText>
              </w:r>
              <w:r>
                <w:fldChar w:fldCharType="separate"/>
              </w:r>
            </w:p>
            <w:p w:rsidR="00745BB5" w:rsidRDefault="00745BB5" w:rsidP="00745BB5">
              <w:pPr>
                <w:pStyle w:val="Bibliography"/>
                <w:ind w:left="720" w:hanging="720"/>
                <w:rPr>
                  <w:noProof/>
                </w:rPr>
              </w:pPr>
              <w:r>
                <w:rPr>
                  <w:noProof/>
                </w:rPr>
                <w:t xml:space="preserve">Adely, H. (2014, October 7). </w:t>
              </w:r>
              <w:r>
                <w:rPr>
                  <w:i/>
                  <w:iCs/>
                  <w:noProof/>
                </w:rPr>
                <w:t>Charities say anti-terrorism laws cut off flow of aid to Syria</w:t>
              </w:r>
              <w:r>
                <w:rPr>
                  <w:noProof/>
                </w:rPr>
                <w:t>. Retrieved from northjersey.com: http://www.northjersey.com/news/</w:t>
              </w:r>
              <w:r w:rsidRPr="00745BB5">
                <w:rPr>
                  <w:rFonts w:ascii="Arial" w:hAnsi="Arial" w:cs="Arial"/>
                  <w:noProof/>
                </w:rPr>
                <w:t>charities</w:t>
              </w:r>
              <w:r>
                <w:rPr>
                  <w:noProof/>
                </w:rPr>
                <w:t>-say-anti-terrorism-laws-cut-off-flow-of-aid-to-syria-1.1104208?page=all</w:t>
              </w:r>
            </w:p>
            <w:p w:rsidR="00745BB5" w:rsidRDefault="00745BB5" w:rsidP="00745BB5">
              <w:pPr>
                <w:pStyle w:val="Bibliography"/>
                <w:ind w:left="720" w:hanging="720"/>
                <w:rPr>
                  <w:noProof/>
                </w:rPr>
              </w:pPr>
              <w:r>
                <w:rPr>
                  <w:noProof/>
                </w:rPr>
                <w:t xml:space="preserve">Adisa, B. (2014). </w:t>
              </w:r>
              <w:r>
                <w:rPr>
                  <w:i/>
                  <w:iCs/>
                  <w:noProof/>
                </w:rPr>
                <w:t>AML De-Risking: An effective method of plugging AML control failures?</w:t>
              </w:r>
              <w:r>
                <w:rPr>
                  <w:noProof/>
                </w:rPr>
                <w:t xml:space="preserve"> Advancing Financial Crime Professionals Worldwide.</w:t>
              </w:r>
            </w:p>
            <w:p w:rsidR="00745BB5" w:rsidRDefault="00745BB5" w:rsidP="00745BB5">
              <w:pPr>
                <w:pStyle w:val="Bibliography"/>
                <w:ind w:left="720" w:hanging="720"/>
                <w:rPr>
                  <w:noProof/>
                </w:rPr>
              </w:pPr>
              <w:r>
                <w:rPr>
                  <w:noProof/>
                </w:rPr>
                <w:t xml:space="preserve">Aiolfi, G., &amp; Bauer, H.-P. (2012). The Wolfsberg Group. In M. Peith, </w:t>
              </w:r>
              <w:r>
                <w:rPr>
                  <w:i/>
                  <w:iCs/>
                  <w:noProof/>
                </w:rPr>
                <w:t>Collective Action: Innovative Strategies to Prevent Corruption.</w:t>
              </w:r>
              <w:r>
                <w:rPr>
                  <w:noProof/>
                </w:rPr>
                <w:t xml:space="preserve"> Zurich: St. Gallen.</w:t>
              </w:r>
            </w:p>
            <w:p w:rsidR="00745BB5" w:rsidRDefault="00745BB5" w:rsidP="00745BB5">
              <w:pPr>
                <w:pStyle w:val="Bibliography"/>
                <w:ind w:left="720" w:hanging="720"/>
                <w:rPr>
                  <w:noProof/>
                </w:rPr>
              </w:pPr>
              <w:r>
                <w:rPr>
                  <w:noProof/>
                </w:rPr>
                <w:t xml:space="preserve">Arnold, M. (2014, November 13). </w:t>
              </w:r>
              <w:r>
                <w:rPr>
                  <w:i/>
                  <w:iCs/>
                  <w:noProof/>
                </w:rPr>
                <w:t>Regulation:Banks count the risks and rewards</w:t>
              </w:r>
              <w:r>
                <w:rPr>
                  <w:noProof/>
                </w:rPr>
                <w:t>. Retrieved August 23, 2015, from Financial Times: http://www.ft.com/cms/s/0/9df378a2-66bb-11e4-91ab-00144feabdc0.html#axzz3juzDzlbG</w:t>
              </w:r>
            </w:p>
            <w:p w:rsidR="00745BB5" w:rsidRDefault="00745BB5" w:rsidP="00745BB5">
              <w:pPr>
                <w:pStyle w:val="Bibliography"/>
                <w:ind w:left="720" w:hanging="720"/>
                <w:rPr>
                  <w:noProof/>
                </w:rPr>
              </w:pPr>
              <w:r>
                <w:rPr>
                  <w:noProof/>
                </w:rPr>
                <w:t xml:space="preserve">Attridge, S. (2015). </w:t>
              </w:r>
              <w:r>
                <w:rPr>
                  <w:i/>
                  <w:iCs/>
                  <w:noProof/>
                </w:rPr>
                <w:t>Walking a Tightrope: AML/CTF Regulation, Financial Inclusion and Remittances.</w:t>
              </w:r>
              <w:r>
                <w:rPr>
                  <w:noProof/>
                </w:rPr>
                <w:t xml:space="preserve"> The Commonwealth, Organisation Internationale de la francophonie.</w:t>
              </w:r>
            </w:p>
            <w:p w:rsidR="00745BB5" w:rsidRDefault="00745BB5" w:rsidP="00745BB5">
              <w:pPr>
                <w:pStyle w:val="Bibliography"/>
                <w:ind w:left="720" w:hanging="720"/>
                <w:rPr>
                  <w:noProof/>
                </w:rPr>
              </w:pPr>
              <w:r>
                <w:rPr>
                  <w:noProof/>
                </w:rPr>
                <w:t xml:space="preserve">Banking Ombudsman Scheme. (2012, December 10). </w:t>
              </w:r>
              <w:r>
                <w:rPr>
                  <w:i/>
                  <w:iCs/>
                  <w:noProof/>
                </w:rPr>
                <w:t>Closure of accounts.</w:t>
              </w:r>
              <w:r>
                <w:rPr>
                  <w:noProof/>
                </w:rPr>
                <w:t xml:space="preserve"> Retrieved from bankomb.org.nz: https://bankomb.org.nz/news-and-publications/quick-guides/item/closure-of-accounts</w:t>
              </w:r>
            </w:p>
            <w:p w:rsidR="00745BB5" w:rsidRDefault="00745BB5" w:rsidP="00745BB5">
              <w:pPr>
                <w:pStyle w:val="Bibliography"/>
                <w:ind w:left="720" w:hanging="720"/>
                <w:rPr>
                  <w:noProof/>
                </w:rPr>
              </w:pPr>
              <w:r>
                <w:rPr>
                  <w:noProof/>
                </w:rPr>
                <w:t xml:space="preserve">Barret, P. (2015, June 9). </w:t>
              </w:r>
              <w:r>
                <w:rPr>
                  <w:i/>
                  <w:iCs/>
                  <w:noProof/>
                </w:rPr>
                <w:t>Does Fear of Terror-Finance Cases Drive Big Banks from Risky Regions?</w:t>
              </w:r>
              <w:r>
                <w:rPr>
                  <w:noProof/>
                </w:rPr>
                <w:t xml:space="preserve"> Retrieved from Bloomberg.com: http://www.bloomberg.com/news/articles/2015-06-09/does-fear-of-terror-finance-cases-drive-big-banks-from-risky-regions-</w:t>
              </w:r>
            </w:p>
            <w:p w:rsidR="00745BB5" w:rsidRDefault="00745BB5" w:rsidP="00745BB5">
              <w:pPr>
                <w:pStyle w:val="Bibliography"/>
                <w:ind w:left="720" w:hanging="720"/>
                <w:rPr>
                  <w:noProof/>
                </w:rPr>
              </w:pPr>
              <w:r>
                <w:rPr>
                  <w:noProof/>
                </w:rPr>
                <w:t xml:space="preserve">Barret, P. (2015, February 19). </w:t>
              </w:r>
              <w:r>
                <w:rPr>
                  <w:i/>
                  <w:iCs/>
                  <w:noProof/>
                </w:rPr>
                <w:t>The Big Bet to Hold Banks Liable for Terrorism</w:t>
              </w:r>
              <w:r>
                <w:rPr>
                  <w:noProof/>
                </w:rPr>
                <w:t>. Retrieved from bloomberg.com: http://www.bloomberg.com/news/articles/2015-02-19/are-credit-suisse-rbs-standard-chartered-hsbc-and-barclays-terrorist-banks-</w:t>
              </w:r>
            </w:p>
            <w:p w:rsidR="00745BB5" w:rsidRDefault="00745BB5" w:rsidP="00745BB5">
              <w:pPr>
                <w:pStyle w:val="Bibliography"/>
                <w:ind w:left="720" w:hanging="720"/>
                <w:rPr>
                  <w:noProof/>
                </w:rPr>
              </w:pPr>
              <w:r>
                <w:rPr>
                  <w:noProof/>
                </w:rPr>
                <w:t xml:space="preserve">Basel Institute of Governance. (2015, August 23). </w:t>
              </w:r>
              <w:r>
                <w:rPr>
                  <w:i/>
                  <w:iCs/>
                  <w:noProof/>
                </w:rPr>
                <w:t>The Basel AML Index Country Risk Ranking.</w:t>
              </w:r>
              <w:r>
                <w:rPr>
                  <w:noProof/>
                </w:rPr>
                <w:t xml:space="preserve"> Retrieved from baselgovernance.org: http://index.baselgovernance.org/index/Index.html#ranking</w:t>
              </w:r>
            </w:p>
            <w:p w:rsidR="00745BB5" w:rsidRDefault="00745BB5" w:rsidP="00745BB5">
              <w:pPr>
                <w:pStyle w:val="Bibliography"/>
                <w:ind w:left="720" w:hanging="720"/>
                <w:rPr>
                  <w:noProof/>
                </w:rPr>
              </w:pPr>
              <w:r>
                <w:rPr>
                  <w:noProof/>
                </w:rPr>
                <w:t xml:space="preserve">Bayot, B., Disneur, L., &amp; Kempson, E. (2014). </w:t>
              </w:r>
              <w:r>
                <w:rPr>
                  <w:i/>
                  <w:iCs/>
                  <w:noProof/>
                </w:rPr>
                <w:t>Legislative Action by Government to Promote Financial Inclusion.</w:t>
              </w:r>
              <w:r>
                <w:rPr>
                  <w:noProof/>
                </w:rPr>
                <w:t xml:space="preserve"> </w:t>
              </w:r>
            </w:p>
            <w:p w:rsidR="00745BB5" w:rsidRDefault="00745BB5" w:rsidP="00745BB5">
              <w:pPr>
                <w:pStyle w:val="Bibliography"/>
                <w:ind w:left="720" w:hanging="720"/>
                <w:rPr>
                  <w:noProof/>
                </w:rPr>
              </w:pPr>
              <w:r>
                <w:rPr>
                  <w:noProof/>
                </w:rPr>
                <w:t xml:space="preserve">BBA. (2013). </w:t>
              </w:r>
              <w:r>
                <w:rPr>
                  <w:i/>
                  <w:iCs/>
                  <w:noProof/>
                </w:rPr>
                <w:t>Annual Report 2013.</w:t>
              </w:r>
              <w:r>
                <w:rPr>
                  <w:noProof/>
                </w:rPr>
                <w:t xml:space="preserve"> London: BBA.</w:t>
              </w:r>
            </w:p>
            <w:p w:rsidR="00745BB5" w:rsidRDefault="00745BB5" w:rsidP="00745BB5">
              <w:pPr>
                <w:pStyle w:val="Bibliography"/>
                <w:ind w:left="720" w:hanging="720"/>
                <w:rPr>
                  <w:noProof/>
                </w:rPr>
              </w:pPr>
              <w:r>
                <w:rPr>
                  <w:noProof/>
                </w:rPr>
                <w:t xml:space="preserve">BBC. (2003, April 1). </w:t>
              </w:r>
              <w:r>
                <w:rPr>
                  <w:i/>
                  <w:iCs/>
                  <w:noProof/>
                </w:rPr>
                <w:t>Universal banking launched.</w:t>
              </w:r>
              <w:r>
                <w:rPr>
                  <w:noProof/>
                </w:rPr>
                <w:t xml:space="preserve"> Retrieved from bbc.co.uk: http://news.bbc.co.uk/2/hi/business/2905565.stm</w:t>
              </w:r>
            </w:p>
            <w:p w:rsidR="00745BB5" w:rsidRDefault="00745BB5" w:rsidP="00745BB5">
              <w:pPr>
                <w:pStyle w:val="Bibliography"/>
                <w:ind w:left="720" w:hanging="720"/>
                <w:rPr>
                  <w:noProof/>
                </w:rPr>
              </w:pPr>
              <w:r>
                <w:rPr>
                  <w:noProof/>
                </w:rPr>
                <w:t xml:space="preserve">BBC. (2014, July 01). </w:t>
              </w:r>
              <w:r>
                <w:rPr>
                  <w:i/>
                  <w:iCs/>
                  <w:noProof/>
                </w:rPr>
                <w:t>BNP Paribas to pay $9bn to settle sanctions violations</w:t>
              </w:r>
              <w:r>
                <w:rPr>
                  <w:noProof/>
                </w:rPr>
                <w:t>. Retrieved from bbc.com: http://www.bbc.com/news/business-28099694</w:t>
              </w:r>
            </w:p>
            <w:p w:rsidR="00745BB5" w:rsidRDefault="00745BB5" w:rsidP="00745BB5">
              <w:pPr>
                <w:pStyle w:val="Bibliography"/>
                <w:ind w:left="720" w:hanging="720"/>
                <w:rPr>
                  <w:noProof/>
                </w:rPr>
              </w:pPr>
              <w:r>
                <w:rPr>
                  <w:noProof/>
                </w:rPr>
                <w:t xml:space="preserve">Bernstien, J. (2009, December). </w:t>
              </w:r>
              <w:r>
                <w:rPr>
                  <w:i/>
                  <w:iCs/>
                  <w:noProof/>
                </w:rPr>
                <w:t>CIBC closes Concordia student's bank account because he's Iranian.</w:t>
              </w:r>
              <w:r>
                <w:rPr>
                  <w:noProof/>
                </w:rPr>
                <w:t xml:space="preserve"> Retrieved from cbc.ca: http://www.cbc.ca/news/canada/montreal/cibc-closes-concordia-student-s-bank-account-because-he-s-iranian-1.2865248</w:t>
              </w:r>
            </w:p>
            <w:p w:rsidR="00745BB5" w:rsidRDefault="00745BB5" w:rsidP="00745BB5">
              <w:pPr>
                <w:pStyle w:val="Bibliography"/>
                <w:ind w:left="720" w:hanging="720"/>
                <w:rPr>
                  <w:noProof/>
                </w:rPr>
              </w:pPr>
              <w:r>
                <w:rPr>
                  <w:noProof/>
                </w:rPr>
                <w:t xml:space="preserve">Bernstien, J. (2014, December 14). </w:t>
              </w:r>
              <w:r>
                <w:rPr>
                  <w:i/>
                  <w:iCs/>
                  <w:noProof/>
                </w:rPr>
                <w:t>CIBC closes Concordia student's bank account because he's Iranian</w:t>
              </w:r>
              <w:r>
                <w:rPr>
                  <w:noProof/>
                </w:rPr>
                <w:t>. Retrieved June 12, 2015, from CBC News: http://www.cbc.ca/news/canada/montreal/cibc-closes-concordia-student-s-bank-account-because-he-s-iranian-1.2865248</w:t>
              </w:r>
            </w:p>
            <w:p w:rsidR="00745BB5" w:rsidRDefault="00745BB5" w:rsidP="00745BB5">
              <w:pPr>
                <w:pStyle w:val="Bibliography"/>
                <w:ind w:left="720" w:hanging="720"/>
                <w:rPr>
                  <w:noProof/>
                </w:rPr>
              </w:pPr>
              <w:r>
                <w:rPr>
                  <w:noProof/>
                </w:rPr>
                <w:t xml:space="preserve">Bob, Y. J. (2014, October 13). </w:t>
              </w:r>
              <w:r>
                <w:rPr>
                  <w:i/>
                  <w:iCs/>
                  <w:noProof/>
                </w:rPr>
                <w:t>Arab Bank demands retrail in terror financing case</w:t>
              </w:r>
              <w:r>
                <w:rPr>
                  <w:noProof/>
                </w:rPr>
                <w:t>. Retrieved from jpost.com: http://www.jpost.com/Arab-Israeli-Conflict/Arab-Bank-demands-retrial-in-terror-financing-case-378778</w:t>
              </w:r>
            </w:p>
            <w:p w:rsidR="00745BB5" w:rsidRDefault="00745BB5" w:rsidP="00745BB5">
              <w:pPr>
                <w:pStyle w:val="Bibliography"/>
                <w:ind w:left="720" w:hanging="720"/>
                <w:rPr>
                  <w:noProof/>
                </w:rPr>
              </w:pPr>
              <w:r>
                <w:rPr>
                  <w:noProof/>
                </w:rPr>
                <w:t xml:space="preserve">Bridges, J., Gregory, D., Nielson, M., Pezzini, S., Radia, A., &amp; Spaltro, M. (2014). </w:t>
              </w:r>
              <w:r>
                <w:rPr>
                  <w:i/>
                  <w:iCs/>
                  <w:noProof/>
                </w:rPr>
                <w:t>Working Paper No. 486: The Impact.</w:t>
              </w:r>
              <w:r>
                <w:rPr>
                  <w:noProof/>
                </w:rPr>
                <w:t xml:space="preserve"> London: Bank of England.</w:t>
              </w:r>
            </w:p>
            <w:p w:rsidR="00745BB5" w:rsidRDefault="00745BB5" w:rsidP="00745BB5">
              <w:pPr>
                <w:pStyle w:val="Bibliography"/>
                <w:ind w:left="720" w:hanging="720"/>
                <w:rPr>
                  <w:noProof/>
                </w:rPr>
              </w:pPr>
              <w:r>
                <w:rPr>
                  <w:noProof/>
                </w:rPr>
                <w:t xml:space="preserve">Caldwell, K. (2015, April 18). </w:t>
              </w:r>
              <w:r>
                <w:rPr>
                  <w:i/>
                  <w:iCs/>
                  <w:noProof/>
                </w:rPr>
                <w:t>'Barclays closed down my bank account after Bitcoin trade'</w:t>
              </w:r>
              <w:r>
                <w:rPr>
                  <w:noProof/>
                </w:rPr>
                <w:t>. Retrieved from telegraph.co.uk: http://www.telegraph.co.uk/finance/personalfinance/investing/11537972/Barclays-closed-down-my-bank-account-after-Bitcoin-trade.html</w:t>
              </w:r>
            </w:p>
            <w:p w:rsidR="00745BB5" w:rsidRDefault="00745BB5" w:rsidP="00745BB5">
              <w:pPr>
                <w:pStyle w:val="Bibliography"/>
                <w:ind w:left="720" w:hanging="720"/>
                <w:rPr>
                  <w:noProof/>
                </w:rPr>
              </w:pPr>
              <w:r>
                <w:rPr>
                  <w:noProof/>
                </w:rPr>
                <w:t xml:space="preserve">Calvery, J. S. (2014). Remarks of Jennifer Shasky Calvery Director Financial Crimes Enforcement Network. </w:t>
              </w:r>
              <w:r>
                <w:rPr>
                  <w:i/>
                  <w:iCs/>
                  <w:noProof/>
                </w:rPr>
                <w:t>2014 Mid-Atlantic AML Conference.</w:t>
              </w:r>
              <w:r>
                <w:rPr>
                  <w:noProof/>
                </w:rPr>
                <w:t xml:space="preserve"> Washington, DC.</w:t>
              </w:r>
            </w:p>
            <w:p w:rsidR="00745BB5" w:rsidRDefault="00745BB5" w:rsidP="00745BB5">
              <w:pPr>
                <w:pStyle w:val="Bibliography"/>
                <w:ind w:left="720" w:hanging="720"/>
                <w:rPr>
                  <w:noProof/>
                </w:rPr>
              </w:pPr>
              <w:r>
                <w:rPr>
                  <w:noProof/>
                </w:rPr>
                <w:t xml:space="preserve">Canada. (2015, August 4). </w:t>
              </w:r>
              <w:r>
                <w:rPr>
                  <w:i/>
                  <w:iCs/>
                  <w:noProof/>
                </w:rPr>
                <w:t>Access to Basic Banking Services Regulations: SOR/2003 - 184.</w:t>
              </w:r>
              <w:r>
                <w:rPr>
                  <w:noProof/>
                </w:rPr>
                <w:t xml:space="preserve"> Retrieved from http://laws-lois.justice.gc.ca/: http://laws-lois.justice.gc.ca/PDF/SOR-2003-184.pdf</w:t>
              </w:r>
            </w:p>
            <w:p w:rsidR="00745BB5" w:rsidRDefault="00745BB5" w:rsidP="00745BB5">
              <w:pPr>
                <w:pStyle w:val="Bibliography"/>
                <w:ind w:left="720" w:hanging="720"/>
                <w:rPr>
                  <w:noProof/>
                </w:rPr>
              </w:pPr>
              <w:r>
                <w:rPr>
                  <w:noProof/>
                </w:rPr>
                <w:t xml:space="preserve">Capgemini. (2013). </w:t>
              </w:r>
              <w:r>
                <w:rPr>
                  <w:i/>
                  <w:iCs/>
                  <w:noProof/>
                </w:rPr>
                <w:t>Top 10 Non-Cash Payments Markets</w:t>
              </w:r>
              <w:r>
                <w:rPr>
                  <w:noProof/>
                </w:rPr>
                <w:t>. Retrieved from worldpaymentsreport.com: https://www.worldpaymentsreport.com/Transactions-Volume-Top-10-Markets</w:t>
              </w:r>
            </w:p>
            <w:p w:rsidR="00745BB5" w:rsidRDefault="00745BB5" w:rsidP="00745BB5">
              <w:pPr>
                <w:pStyle w:val="Bibliography"/>
                <w:ind w:left="720" w:hanging="720"/>
                <w:rPr>
                  <w:noProof/>
                </w:rPr>
              </w:pPr>
              <w:r>
                <w:rPr>
                  <w:noProof/>
                </w:rPr>
                <w:t xml:space="preserve">Carney, M., &amp; Badre, B. (2015, June 2). </w:t>
              </w:r>
              <w:r>
                <w:rPr>
                  <w:i/>
                  <w:iCs/>
                  <w:noProof/>
                </w:rPr>
                <w:t>FSB Chair co-authors article on correspondent banking and financial inclusion.</w:t>
              </w:r>
              <w:r>
                <w:rPr>
                  <w:noProof/>
                </w:rPr>
                <w:t xml:space="preserve"> Retrieved from financialstabilityboard.org: http://www.financialstabilityboard.org/2015/06/fsb-chair-co-authors-article-on-correspondent-banking-and-financial-inclusion/</w:t>
              </w:r>
            </w:p>
            <w:p w:rsidR="00745BB5" w:rsidRDefault="00745BB5" w:rsidP="00745BB5">
              <w:pPr>
                <w:pStyle w:val="Bibliography"/>
                <w:ind w:left="720" w:hanging="720"/>
                <w:rPr>
                  <w:noProof/>
                </w:rPr>
              </w:pPr>
              <w:r>
                <w:rPr>
                  <w:noProof/>
                </w:rPr>
                <w:t xml:space="preserve">Charity Finance Group. (2015). </w:t>
              </w:r>
              <w:r>
                <w:rPr>
                  <w:i/>
                  <w:iCs/>
                  <w:noProof/>
                </w:rPr>
                <w:t>Briefing: Impact of banks' de-risking on Not for Profit Organisations.</w:t>
              </w:r>
              <w:r>
                <w:rPr>
                  <w:noProof/>
                </w:rPr>
                <w:t xml:space="preserve"> London: Charity Finance Group.</w:t>
              </w:r>
            </w:p>
            <w:p w:rsidR="00745BB5" w:rsidRDefault="00745BB5" w:rsidP="00745BB5">
              <w:pPr>
                <w:pStyle w:val="Bibliography"/>
                <w:ind w:left="720" w:hanging="720"/>
                <w:rPr>
                  <w:noProof/>
                </w:rPr>
              </w:pPr>
              <w:r>
                <w:rPr>
                  <w:noProof/>
                </w:rPr>
                <w:t xml:space="preserve">Cirasino, M. (2015, June 06). </w:t>
              </w:r>
              <w:r>
                <w:rPr>
                  <w:i/>
                  <w:iCs/>
                  <w:noProof/>
                </w:rPr>
                <w:t>World Bank Launches Survey to access the impact of de-risking on remittances</w:t>
              </w:r>
              <w:r>
                <w:rPr>
                  <w:noProof/>
                </w:rPr>
                <w:t>. Retrieved August 10, 2015, from The World Bank: http://blogs.worldbank.org/psd/world-bank-launches-survey-assess-impact-de-risking-remittances</w:t>
              </w:r>
            </w:p>
            <w:p w:rsidR="00745BB5" w:rsidRDefault="00745BB5" w:rsidP="00745BB5">
              <w:pPr>
                <w:pStyle w:val="Bibliography"/>
                <w:ind w:left="720" w:hanging="720"/>
                <w:rPr>
                  <w:noProof/>
                </w:rPr>
              </w:pPr>
              <w:r>
                <w:rPr>
                  <w:noProof/>
                </w:rPr>
                <w:t>Courtney Linde, et al. v Arab Bank, PLC, CV-04-2799 (NG)(VVP) (UNITED STATES DISTRICT COURT EASTERN DISTRICT OF NEW YORK August 05, 2013).</w:t>
              </w:r>
            </w:p>
            <w:p w:rsidR="00745BB5" w:rsidRDefault="00745BB5" w:rsidP="00745BB5">
              <w:pPr>
                <w:pStyle w:val="Bibliography"/>
                <w:ind w:left="720" w:hanging="720"/>
                <w:rPr>
                  <w:noProof/>
                </w:rPr>
              </w:pPr>
              <w:r>
                <w:rPr>
                  <w:noProof/>
                </w:rPr>
                <w:t>Courtney Linde, et al. v Arab Bank, PLC,, CV-04-02799 (United States Court of Appeals, Second Circuit January 18, 2013).</w:t>
              </w:r>
            </w:p>
            <w:p w:rsidR="00745BB5" w:rsidRDefault="00745BB5" w:rsidP="00745BB5">
              <w:pPr>
                <w:pStyle w:val="Bibliography"/>
                <w:ind w:left="720" w:hanging="720"/>
                <w:rPr>
                  <w:noProof/>
                </w:rPr>
              </w:pPr>
              <w:r>
                <w:rPr>
                  <w:noProof/>
                </w:rPr>
                <w:t xml:space="preserve">Cuevas-Mohr, H. (2015, February 12). </w:t>
              </w:r>
              <w:r>
                <w:rPr>
                  <w:i/>
                  <w:iCs/>
                  <w:noProof/>
                </w:rPr>
                <w:t>De-Risking: The Moving Target.</w:t>
              </w:r>
              <w:r>
                <w:rPr>
                  <w:noProof/>
                </w:rPr>
                <w:t xml:space="preserve"> Retrieved from imtconferences.com: http://imtconferences.com/de-risking-the-moving-target/</w:t>
              </w:r>
            </w:p>
            <w:p w:rsidR="00745BB5" w:rsidRDefault="00745BB5" w:rsidP="00745BB5">
              <w:pPr>
                <w:pStyle w:val="Bibliography"/>
                <w:ind w:left="720" w:hanging="720"/>
                <w:rPr>
                  <w:noProof/>
                </w:rPr>
              </w:pPr>
              <w:r>
                <w:rPr>
                  <w:noProof/>
                </w:rPr>
                <w:t xml:space="preserve">Cull, A. (2014, March 5). </w:t>
              </w:r>
              <w:r>
                <w:rPr>
                  <w:i/>
                  <w:iCs/>
                  <w:noProof/>
                </w:rPr>
                <w:t>BBA in Washington: will de-risking undermine growth?</w:t>
              </w:r>
              <w:r>
                <w:rPr>
                  <w:noProof/>
                </w:rPr>
                <w:t xml:space="preserve"> Retrieved from bba.org.uk: https://www.bba.org.uk/news/bba-voice/bba-in-washington-will-de-risking-undermine-growth/#.Vdzt7PkzjVp</w:t>
              </w:r>
            </w:p>
            <w:p w:rsidR="00745BB5" w:rsidRDefault="00745BB5" w:rsidP="00745BB5">
              <w:pPr>
                <w:pStyle w:val="Bibliography"/>
                <w:ind w:left="720" w:hanging="720"/>
                <w:rPr>
                  <w:noProof/>
                </w:rPr>
              </w:pPr>
              <w:r>
                <w:rPr>
                  <w:noProof/>
                </w:rPr>
                <w:t xml:space="preserve">Dehghan, S. K. (2014, March 28). </w:t>
              </w:r>
              <w:r>
                <w:rPr>
                  <w:i/>
                  <w:iCs/>
                  <w:noProof/>
                </w:rPr>
                <w:t>Iranians sue UK banks over closed accounts, claiming racial discrimination</w:t>
              </w:r>
              <w:r>
                <w:rPr>
                  <w:noProof/>
                </w:rPr>
                <w:t>. Retrieved from theguardian.com: http://www.theguardian.com/world/2014/mar/28/iranians-uk-banks-closed-accounts-claim-racial-discrimination</w:t>
              </w:r>
            </w:p>
            <w:p w:rsidR="00745BB5" w:rsidRDefault="00745BB5" w:rsidP="00745BB5">
              <w:pPr>
                <w:pStyle w:val="Bibliography"/>
                <w:ind w:left="720" w:hanging="720"/>
                <w:rPr>
                  <w:noProof/>
                </w:rPr>
              </w:pPr>
              <w:r>
                <w:rPr>
                  <w:noProof/>
                </w:rPr>
                <w:t>EL-HALLANI v HUNTINGTON NATIONAL BANK, 0:14-cv-01827 (Court of Appeals 06 30, 2014).</w:t>
              </w:r>
            </w:p>
            <w:p w:rsidR="00745BB5" w:rsidRDefault="00745BB5" w:rsidP="00745BB5">
              <w:pPr>
                <w:pStyle w:val="Bibliography"/>
                <w:ind w:left="720" w:hanging="720"/>
                <w:rPr>
                  <w:noProof/>
                </w:rPr>
              </w:pPr>
              <w:r>
                <w:rPr>
                  <w:noProof/>
                </w:rPr>
                <w:t>Elmaliach v Bank of China Ltd., 2013 NY Slip Op 05858 (Appellate Division, First Department September 17, 2013).</w:t>
              </w:r>
            </w:p>
            <w:p w:rsidR="00745BB5" w:rsidRDefault="00745BB5" w:rsidP="00745BB5">
              <w:pPr>
                <w:pStyle w:val="Bibliography"/>
                <w:ind w:left="720" w:hanging="720"/>
                <w:rPr>
                  <w:noProof/>
                </w:rPr>
              </w:pPr>
              <w:r>
                <w:rPr>
                  <w:noProof/>
                </w:rPr>
                <w:t xml:space="preserve">EU Commission. (2011, July 18). </w:t>
              </w:r>
              <w:r>
                <w:rPr>
                  <w:i/>
                  <w:iCs/>
                  <w:noProof/>
                </w:rPr>
                <w:t>Consumer access to basic payment accounts.</w:t>
              </w:r>
              <w:r>
                <w:rPr>
                  <w:noProof/>
                </w:rPr>
                <w:t xml:space="preserve"> Retrieved from europa.eu: http://eur-lex.europa.eu/legal-content/EN/TXT/HTML/?uri=URISERV:em0050&amp;from=EN</w:t>
              </w:r>
            </w:p>
            <w:p w:rsidR="00745BB5" w:rsidRDefault="00745BB5" w:rsidP="00745BB5">
              <w:pPr>
                <w:pStyle w:val="Bibliography"/>
                <w:ind w:left="720" w:hanging="720"/>
                <w:rPr>
                  <w:noProof/>
                </w:rPr>
              </w:pPr>
              <w:r>
                <w:rPr>
                  <w:noProof/>
                </w:rPr>
                <w:t xml:space="preserve">European Commission. (2008). </w:t>
              </w:r>
              <w:r>
                <w:rPr>
                  <w:i/>
                  <w:iCs/>
                  <w:noProof/>
                </w:rPr>
                <w:t>Financial Services Provision and Prevention of Financial Exclusion.</w:t>
              </w:r>
              <w:r>
                <w:rPr>
                  <w:noProof/>
                </w:rPr>
                <w:t xml:space="preserve"> Brussels: European Comission.</w:t>
              </w:r>
            </w:p>
            <w:p w:rsidR="00745BB5" w:rsidRDefault="00745BB5" w:rsidP="00745BB5">
              <w:pPr>
                <w:pStyle w:val="Bibliography"/>
                <w:ind w:left="720" w:hanging="720"/>
                <w:rPr>
                  <w:noProof/>
                </w:rPr>
              </w:pPr>
              <w:r>
                <w:rPr>
                  <w:noProof/>
                </w:rPr>
                <w:t xml:space="preserve">FCA. (2015, April 27). </w:t>
              </w:r>
              <w:r>
                <w:rPr>
                  <w:i/>
                  <w:iCs/>
                  <w:noProof/>
                </w:rPr>
                <w:t>Derisking: Bank's managagment of money-laundering risk - FCA Expectations</w:t>
              </w:r>
              <w:r>
                <w:rPr>
                  <w:noProof/>
                </w:rPr>
                <w:t>. Retrieved May 4, 2015, from FCA : https://www.fca.org.uk/about/what/enforcing/money-laundering/derisking</w:t>
              </w:r>
            </w:p>
            <w:p w:rsidR="00745BB5" w:rsidRDefault="00745BB5" w:rsidP="00745BB5">
              <w:pPr>
                <w:pStyle w:val="Bibliography"/>
                <w:ind w:left="720" w:hanging="720"/>
                <w:rPr>
                  <w:noProof/>
                </w:rPr>
              </w:pPr>
              <w:r>
                <w:rPr>
                  <w:noProof/>
                </w:rPr>
                <w:t xml:space="preserve">Fiancial Action Taskforce Plenary. (2014). </w:t>
              </w:r>
              <w:r>
                <w:rPr>
                  <w:i/>
                  <w:iCs/>
                  <w:noProof/>
                </w:rPr>
                <w:t>De-risking: Global Impact and Unintended Consequences for Exclusion and Stability.</w:t>
              </w:r>
              <w:r>
                <w:rPr>
                  <w:noProof/>
                </w:rPr>
                <w:t xml:space="preserve"> Paris: FATF .</w:t>
              </w:r>
            </w:p>
            <w:p w:rsidR="00745BB5" w:rsidRDefault="00745BB5" w:rsidP="00745BB5">
              <w:pPr>
                <w:pStyle w:val="Bibliography"/>
                <w:ind w:left="720" w:hanging="720"/>
                <w:rPr>
                  <w:noProof/>
                </w:rPr>
              </w:pPr>
              <w:r>
                <w:rPr>
                  <w:noProof/>
                </w:rPr>
                <w:t xml:space="preserve">Financial Action Task Force. (2012). </w:t>
              </w:r>
              <w:r>
                <w:rPr>
                  <w:i/>
                  <w:iCs/>
                  <w:noProof/>
                </w:rPr>
                <w:t>International Standards on Combating Money Laundering and the Financing of Terrorism &amp; Proliferation: The FATF Recommendations.</w:t>
              </w:r>
              <w:r>
                <w:rPr>
                  <w:noProof/>
                </w:rPr>
                <w:t xml:space="preserve"> Paris: FATF/OECD.</w:t>
              </w:r>
            </w:p>
            <w:p w:rsidR="00745BB5" w:rsidRDefault="00745BB5" w:rsidP="00745BB5">
              <w:pPr>
                <w:pStyle w:val="Bibliography"/>
                <w:ind w:left="720" w:hanging="720"/>
                <w:rPr>
                  <w:noProof/>
                </w:rPr>
              </w:pPr>
              <w:r>
                <w:rPr>
                  <w:noProof/>
                </w:rPr>
                <w:t xml:space="preserve">Financial Action Task Force. (2013). </w:t>
              </w:r>
              <w:r>
                <w:rPr>
                  <w:i/>
                  <w:iCs/>
                  <w:noProof/>
                </w:rPr>
                <w:t>Anti-Money Laundering and Terrorist Financing Measures and Financial Inclusion.</w:t>
              </w:r>
              <w:r>
                <w:rPr>
                  <w:noProof/>
                </w:rPr>
                <w:t xml:space="preserve"> Paris: FINANCIAL ACTION TASK FORCE.</w:t>
              </w:r>
            </w:p>
            <w:p w:rsidR="00745BB5" w:rsidRDefault="00745BB5" w:rsidP="00745BB5">
              <w:pPr>
                <w:pStyle w:val="Bibliography"/>
                <w:ind w:left="720" w:hanging="720"/>
                <w:rPr>
                  <w:noProof/>
                </w:rPr>
              </w:pPr>
              <w:r>
                <w:rPr>
                  <w:noProof/>
                </w:rPr>
                <w:t xml:space="preserve">Financial Action Task Force. (2013). </w:t>
              </w:r>
              <w:r>
                <w:rPr>
                  <w:i/>
                  <w:iCs/>
                  <w:noProof/>
                </w:rPr>
                <w:t>Combating the Abuse of Non-Profit Organisations (Recommendation 8).</w:t>
              </w:r>
              <w:r>
                <w:rPr>
                  <w:noProof/>
                </w:rPr>
                <w:t xml:space="preserve"> Paris: FATF/OECD.</w:t>
              </w:r>
            </w:p>
            <w:p w:rsidR="00745BB5" w:rsidRDefault="00745BB5" w:rsidP="00745BB5">
              <w:pPr>
                <w:pStyle w:val="Bibliography"/>
                <w:ind w:left="720" w:hanging="720"/>
                <w:rPr>
                  <w:noProof/>
                </w:rPr>
              </w:pPr>
              <w:r>
                <w:rPr>
                  <w:noProof/>
                </w:rPr>
                <w:t xml:space="preserve">Financial Action Task Force. (2013). </w:t>
              </w:r>
              <w:r>
                <w:rPr>
                  <w:i/>
                  <w:iCs/>
                  <w:noProof/>
                </w:rPr>
                <w:t>Politically Exposed Persons (Recommendations 12 and 22).</w:t>
              </w:r>
              <w:r>
                <w:rPr>
                  <w:noProof/>
                </w:rPr>
                <w:t xml:space="preserve"> Paris: Financial Action Task Force.</w:t>
              </w:r>
            </w:p>
            <w:p w:rsidR="00745BB5" w:rsidRDefault="00745BB5" w:rsidP="00745BB5">
              <w:pPr>
                <w:pStyle w:val="Bibliography"/>
                <w:ind w:left="720" w:hanging="720"/>
                <w:rPr>
                  <w:noProof/>
                </w:rPr>
              </w:pPr>
              <w:r>
                <w:rPr>
                  <w:noProof/>
                </w:rPr>
                <w:t xml:space="preserve">Financial Action Task Force. (2014). </w:t>
              </w:r>
              <w:r>
                <w:rPr>
                  <w:i/>
                  <w:iCs/>
                  <w:noProof/>
                </w:rPr>
                <w:t>Risk of Terrorist Abuse in Non-Profit Organisations.</w:t>
              </w:r>
              <w:r>
                <w:rPr>
                  <w:noProof/>
                </w:rPr>
                <w:t xml:space="preserve"> Paris: FATF/OECD.</w:t>
              </w:r>
            </w:p>
            <w:p w:rsidR="00745BB5" w:rsidRDefault="00745BB5" w:rsidP="00745BB5">
              <w:pPr>
                <w:pStyle w:val="Bibliography"/>
                <w:ind w:left="720" w:hanging="720"/>
                <w:rPr>
                  <w:noProof/>
                </w:rPr>
              </w:pPr>
              <w:r>
                <w:rPr>
                  <w:noProof/>
                </w:rPr>
                <w:t xml:space="preserve">Financial Action Task Force. (2014). </w:t>
              </w:r>
              <w:r>
                <w:rPr>
                  <w:i/>
                  <w:iCs/>
                  <w:noProof/>
                </w:rPr>
                <w:t>Virtual Currencies: Key Definitions and Potential AML/CFT Risks.</w:t>
              </w:r>
              <w:r>
                <w:rPr>
                  <w:noProof/>
                </w:rPr>
                <w:t xml:space="preserve"> Paris: Financial Action Task Force.</w:t>
              </w:r>
            </w:p>
            <w:p w:rsidR="00745BB5" w:rsidRDefault="00745BB5" w:rsidP="00745BB5">
              <w:pPr>
                <w:pStyle w:val="Bibliography"/>
                <w:ind w:left="720" w:hanging="720"/>
                <w:rPr>
                  <w:noProof/>
                </w:rPr>
              </w:pPr>
              <w:r>
                <w:rPr>
                  <w:noProof/>
                </w:rPr>
                <w:t xml:space="preserve">Financial Conduct Authority. (2013). </w:t>
              </w:r>
              <w:r>
                <w:rPr>
                  <w:i/>
                  <w:iCs/>
                  <w:noProof/>
                </w:rPr>
                <w:t>Anti-Money Laundering and Anti-Bribery and Corruption Systems and Controls.</w:t>
              </w:r>
              <w:r>
                <w:rPr>
                  <w:noProof/>
                </w:rPr>
                <w:t xml:space="preserve"> London: FCA.</w:t>
              </w:r>
            </w:p>
            <w:p w:rsidR="00745BB5" w:rsidRDefault="00745BB5" w:rsidP="00745BB5">
              <w:pPr>
                <w:pStyle w:val="Bibliography"/>
                <w:ind w:left="720" w:hanging="720"/>
                <w:rPr>
                  <w:noProof/>
                </w:rPr>
              </w:pPr>
              <w:r>
                <w:rPr>
                  <w:noProof/>
                </w:rPr>
                <w:t xml:space="preserve">Financial Conduct Authority. (2014). </w:t>
              </w:r>
              <w:r>
                <w:rPr>
                  <w:i/>
                  <w:iCs/>
                  <w:noProof/>
                </w:rPr>
                <w:t>FCA Risk Outlook.</w:t>
              </w:r>
              <w:r>
                <w:rPr>
                  <w:noProof/>
                </w:rPr>
                <w:t xml:space="preserve"> London: Financial Conduct Authority.</w:t>
              </w:r>
            </w:p>
            <w:p w:rsidR="00745BB5" w:rsidRDefault="00745BB5" w:rsidP="00745BB5">
              <w:pPr>
                <w:pStyle w:val="Bibliography"/>
                <w:ind w:left="720" w:hanging="720"/>
                <w:rPr>
                  <w:noProof/>
                </w:rPr>
              </w:pPr>
              <w:r>
                <w:rPr>
                  <w:noProof/>
                </w:rPr>
                <w:t xml:space="preserve">Financial Conduct Authority. (2014, 01 23). </w:t>
              </w:r>
              <w:r>
                <w:rPr>
                  <w:i/>
                  <w:iCs/>
                  <w:noProof/>
                </w:rPr>
                <w:t>Standard Bank PLC fined £7.6m for failures in its anti-money laundering controls</w:t>
              </w:r>
              <w:r>
                <w:rPr>
                  <w:noProof/>
                </w:rPr>
                <w:t>. Retrieved from fca.org.uk: https://www.fca.org.uk/news/standard-bank-plc-fined-for-failures-in-its-antimoney-laundering-controls</w:t>
              </w:r>
            </w:p>
            <w:p w:rsidR="00745BB5" w:rsidRDefault="00745BB5" w:rsidP="00745BB5">
              <w:pPr>
                <w:pStyle w:val="Bibliography"/>
                <w:ind w:left="720" w:hanging="720"/>
                <w:rPr>
                  <w:noProof/>
                </w:rPr>
              </w:pPr>
              <w:r>
                <w:rPr>
                  <w:noProof/>
                </w:rPr>
                <w:t xml:space="preserve">Financial Conduct Authority. (2015, March 05). </w:t>
              </w:r>
              <w:r>
                <w:rPr>
                  <w:i/>
                  <w:iCs/>
                  <w:noProof/>
                </w:rPr>
                <w:t>The Financial Conduct Authority imposes £2.1m fine and places restriction on Bank of Beirut after it misled the regulator</w:t>
              </w:r>
              <w:r>
                <w:rPr>
                  <w:noProof/>
                </w:rPr>
                <w:t>. Retrieved from fca.org.uk: https://www.fca.org.uk/news/the-financial-conduct-authority-imposes-2-1m-fine-and-places-restriction-on-bank-of-beirut</w:t>
              </w:r>
            </w:p>
            <w:p w:rsidR="00745BB5" w:rsidRDefault="00745BB5" w:rsidP="00745BB5">
              <w:pPr>
                <w:pStyle w:val="Bibliography"/>
                <w:ind w:left="720" w:hanging="720"/>
                <w:rPr>
                  <w:noProof/>
                </w:rPr>
              </w:pPr>
              <w:r>
                <w:rPr>
                  <w:noProof/>
                </w:rPr>
                <w:t xml:space="preserve">Financial Ombudsman Service. (2004). </w:t>
              </w:r>
              <w:r>
                <w:rPr>
                  <w:i/>
                  <w:iCs/>
                  <w:noProof/>
                </w:rPr>
                <w:t>giving all customers equal access to banking services.</w:t>
              </w:r>
              <w:r>
                <w:rPr>
                  <w:noProof/>
                </w:rPr>
                <w:t xml:space="preserve"> London: Financial Ombudsman Service.</w:t>
              </w:r>
            </w:p>
            <w:p w:rsidR="00745BB5" w:rsidRDefault="00745BB5" w:rsidP="00745BB5">
              <w:pPr>
                <w:pStyle w:val="Bibliography"/>
                <w:ind w:left="720" w:hanging="720"/>
                <w:rPr>
                  <w:noProof/>
                </w:rPr>
              </w:pPr>
              <w:r>
                <w:rPr>
                  <w:noProof/>
                </w:rPr>
                <w:t xml:space="preserve">Financial Ombudsman Service. (2005, August). </w:t>
              </w:r>
              <w:r>
                <w:rPr>
                  <w:i/>
                  <w:iCs/>
                  <w:noProof/>
                </w:rPr>
                <w:t>banking: when a firm decides to close a customer's account.</w:t>
              </w:r>
              <w:r>
                <w:rPr>
                  <w:noProof/>
                </w:rPr>
                <w:t xml:space="preserve"> Retrieved from financial-ombudsman.org.uk: http://www.financial-ombudsman.org.uk/publications/ombudsman-news/48/banking-closing-accounts.htm</w:t>
              </w:r>
            </w:p>
            <w:p w:rsidR="00745BB5" w:rsidRDefault="00745BB5" w:rsidP="00745BB5">
              <w:pPr>
                <w:pStyle w:val="Bibliography"/>
                <w:ind w:left="720" w:hanging="720"/>
                <w:rPr>
                  <w:noProof/>
                </w:rPr>
              </w:pPr>
              <w:r>
                <w:rPr>
                  <w:noProof/>
                </w:rPr>
                <w:t xml:space="preserve">Financial Times. (2015). </w:t>
              </w:r>
              <w:r>
                <w:rPr>
                  <w:i/>
                  <w:iCs/>
                  <w:noProof/>
                </w:rPr>
                <w:t>Concern grows over banks exiting riskier emerging markets</w:t>
              </w:r>
              <w:r>
                <w:rPr>
                  <w:noProof/>
                </w:rPr>
                <w:t>. Retrieved from ft.com: http://www.ft.com/cms/s/1ac7b0ec-a31f-11e4-bbef-00144feab7de,Authorised=false.html?_i_location=http%3A%2F%2Fwww.ft.com%2Fcms%2Fs%2F0%2F1ac7b0ec-a31f-11e4-bbef-00144feab7de.html&amp;_i_referer=&amp;classification=conditional_standard&amp;iab=barrier-app#axzz3iJCK6Npt</w:t>
              </w:r>
            </w:p>
            <w:p w:rsidR="00745BB5" w:rsidRDefault="00745BB5" w:rsidP="00745BB5">
              <w:pPr>
                <w:pStyle w:val="Bibliography"/>
                <w:ind w:left="720" w:hanging="720"/>
                <w:rPr>
                  <w:noProof/>
                </w:rPr>
              </w:pPr>
              <w:r>
                <w:rPr>
                  <w:noProof/>
                </w:rPr>
                <w:t xml:space="preserve">FinCEN. (2014, Nov 10). </w:t>
              </w:r>
              <w:r>
                <w:rPr>
                  <w:i/>
                  <w:iCs/>
                  <w:noProof/>
                </w:rPr>
                <w:t>Statement on Providing Banking Services to Money Services Businesses</w:t>
              </w:r>
              <w:r>
                <w:rPr>
                  <w:noProof/>
                </w:rPr>
                <w:t>. Retrieved July 6, 2015, from FinCEN: http://www.fincen.gov/news_room/nr/html/20141110.html</w:t>
              </w:r>
            </w:p>
            <w:p w:rsidR="00745BB5" w:rsidRDefault="00745BB5" w:rsidP="00745BB5">
              <w:pPr>
                <w:pStyle w:val="Bibliography"/>
                <w:ind w:left="720" w:hanging="720"/>
                <w:rPr>
                  <w:noProof/>
                </w:rPr>
              </w:pPr>
              <w:r>
                <w:rPr>
                  <w:noProof/>
                </w:rPr>
                <w:t xml:space="preserve">FINCEN. (2015, 08 26). </w:t>
              </w:r>
              <w:r>
                <w:rPr>
                  <w:i/>
                  <w:iCs/>
                  <w:noProof/>
                </w:rPr>
                <w:t>USA PATRIOT Act.</w:t>
              </w:r>
              <w:r>
                <w:rPr>
                  <w:noProof/>
                </w:rPr>
                <w:t xml:space="preserve"> Retrieved from fincen.gov: http://www.fincen.gov/statutes_regs/patriot/</w:t>
              </w:r>
            </w:p>
            <w:p w:rsidR="00745BB5" w:rsidRDefault="00745BB5" w:rsidP="00745BB5">
              <w:pPr>
                <w:pStyle w:val="Bibliography"/>
                <w:ind w:left="720" w:hanging="720"/>
                <w:rPr>
                  <w:noProof/>
                </w:rPr>
              </w:pPr>
              <w:r>
                <w:rPr>
                  <w:noProof/>
                </w:rPr>
                <w:t xml:space="preserve">Frankel, A. (2014, August 11). </w:t>
              </w:r>
              <w:r>
                <w:rPr>
                  <w:i/>
                  <w:iCs/>
                  <w:noProof/>
                </w:rPr>
                <w:t>Isreal's conflicted role in Bank of Chine terror finance case</w:t>
              </w:r>
              <w:r>
                <w:rPr>
                  <w:noProof/>
                </w:rPr>
                <w:t>. Retrieved from reuters.com: http://blogs.reuters.com/alison-frankel/2014/08/11/israels-conflicted-role-in-bank-of-china-terror-finance-case/</w:t>
              </w:r>
            </w:p>
            <w:p w:rsidR="00745BB5" w:rsidRDefault="00745BB5" w:rsidP="00745BB5">
              <w:pPr>
                <w:pStyle w:val="Bibliography"/>
                <w:ind w:left="720" w:hanging="720"/>
                <w:rPr>
                  <w:noProof/>
                </w:rPr>
              </w:pPr>
              <w:r>
                <w:rPr>
                  <w:noProof/>
                </w:rPr>
                <w:t>Freeman et al V. HSBC Holdings PLC, 1:14-cv-06601 (New York Eastern November 10, 2014).</w:t>
              </w:r>
            </w:p>
            <w:p w:rsidR="00745BB5" w:rsidRDefault="00745BB5" w:rsidP="00745BB5">
              <w:pPr>
                <w:pStyle w:val="Bibliography"/>
                <w:ind w:left="720" w:hanging="720"/>
                <w:rPr>
                  <w:noProof/>
                </w:rPr>
              </w:pPr>
              <w:r>
                <w:rPr>
                  <w:noProof/>
                </w:rPr>
                <w:t xml:space="preserve">FX Trader Magazine. (2009, July - September). </w:t>
              </w:r>
              <w:r>
                <w:rPr>
                  <w:i/>
                  <w:iCs/>
                  <w:noProof/>
                </w:rPr>
                <w:t>Broker Survival Guide: The Impact of New US Regulations and the Private Traders Choice</w:t>
              </w:r>
              <w:r>
                <w:rPr>
                  <w:noProof/>
                </w:rPr>
                <w:t>, p. 18.</w:t>
              </w:r>
            </w:p>
            <w:p w:rsidR="00745BB5" w:rsidRDefault="00745BB5" w:rsidP="00745BB5">
              <w:pPr>
                <w:pStyle w:val="Bibliography"/>
                <w:ind w:left="720" w:hanging="720"/>
                <w:rPr>
                  <w:noProof/>
                </w:rPr>
              </w:pPr>
              <w:r>
                <w:rPr>
                  <w:noProof/>
                </w:rPr>
                <w:t xml:space="preserve">G20. (2014). </w:t>
              </w:r>
              <w:r>
                <w:rPr>
                  <w:i/>
                  <w:iCs/>
                  <w:noProof/>
                </w:rPr>
                <w:t>G20 Plan to Facilitate Remittance Flows.</w:t>
              </w:r>
              <w:r>
                <w:rPr>
                  <w:noProof/>
                </w:rPr>
                <w:t xml:space="preserve"> Brisbane: G20 Org.</w:t>
              </w:r>
            </w:p>
            <w:p w:rsidR="00745BB5" w:rsidRDefault="00745BB5" w:rsidP="00745BB5">
              <w:pPr>
                <w:pStyle w:val="Bibliography"/>
                <w:ind w:left="720" w:hanging="720"/>
                <w:rPr>
                  <w:noProof/>
                </w:rPr>
              </w:pPr>
              <w:r>
                <w:rPr>
                  <w:noProof/>
                </w:rPr>
                <w:t xml:space="preserve">Geiger, H., &amp; Wuensch, O. (2006). </w:t>
              </w:r>
              <w:r>
                <w:rPr>
                  <w:i/>
                  <w:iCs/>
                  <w:noProof/>
                </w:rPr>
                <w:t>The Fight Against Money Laundering - An Economic Analysis of a Cost-Benefit Paradoxon.</w:t>
              </w:r>
              <w:r>
                <w:rPr>
                  <w:noProof/>
                </w:rPr>
                <w:t xml:space="preserve"> Zurich.</w:t>
              </w:r>
            </w:p>
            <w:p w:rsidR="00745BB5" w:rsidRDefault="00745BB5" w:rsidP="00745BB5">
              <w:pPr>
                <w:pStyle w:val="Bibliography"/>
                <w:ind w:left="720" w:hanging="720"/>
                <w:rPr>
                  <w:noProof/>
                </w:rPr>
              </w:pPr>
              <w:r>
                <w:rPr>
                  <w:noProof/>
                </w:rPr>
                <w:t xml:space="preserve">Global Center on Cooperative Security. (2015). </w:t>
              </w:r>
              <w:r>
                <w:rPr>
                  <w:i/>
                  <w:iCs/>
                  <w:noProof/>
                </w:rPr>
                <w:t>Understanding Bank Derisking and its Effects on Financial Inclusion.</w:t>
              </w:r>
              <w:r>
                <w:rPr>
                  <w:noProof/>
                </w:rPr>
                <w:t xml:space="preserve"> London: January.</w:t>
              </w:r>
            </w:p>
            <w:p w:rsidR="00745BB5" w:rsidRDefault="00745BB5" w:rsidP="00745BB5">
              <w:pPr>
                <w:pStyle w:val="Bibliography"/>
                <w:ind w:left="720" w:hanging="720"/>
                <w:rPr>
                  <w:noProof/>
                </w:rPr>
              </w:pPr>
              <w:r>
                <w:rPr>
                  <w:noProof/>
                </w:rPr>
                <w:t xml:space="preserve">Green, C. (2014, July 30). </w:t>
              </w:r>
              <w:r>
                <w:rPr>
                  <w:i/>
                  <w:iCs/>
                  <w:noProof/>
                </w:rPr>
                <w:t>Muslim groups accuse HSBC of Islamophobia after it threatens to close accounts</w:t>
              </w:r>
              <w:r>
                <w:rPr>
                  <w:noProof/>
                </w:rPr>
                <w:t>. Retrieved from independent.co.uk: http://www.independent.co.uk/news/uk/home-news/muslim-groups-accuse-hsbc-of-islamophobia-after-it-threatens-to-close-accounts-9638456.html</w:t>
              </w:r>
            </w:p>
            <w:p w:rsidR="00745BB5" w:rsidRDefault="00745BB5" w:rsidP="00745BB5">
              <w:pPr>
                <w:pStyle w:val="Bibliography"/>
                <w:ind w:left="720" w:hanging="720"/>
                <w:rPr>
                  <w:noProof/>
                </w:rPr>
              </w:pPr>
              <w:r>
                <w:rPr>
                  <w:noProof/>
                </w:rPr>
                <w:t xml:space="preserve">Harb, A. (2015, July 29). </w:t>
              </w:r>
              <w:r>
                <w:rPr>
                  <w:i/>
                  <w:iCs/>
                  <w:noProof/>
                </w:rPr>
                <w:t>Court of Appeals to consider case of Arabs’ bank accounts’ closure</w:t>
              </w:r>
              <w:r>
                <w:rPr>
                  <w:noProof/>
                </w:rPr>
                <w:t>. Retrieved from arabamericannews.com: http://www.arabamericannews.com/news/news/id_10833/Court-of-Appeals-to-consider-case-of-Arabs%E2%80%99-bank-accounts%E2%80%99-closure.html</w:t>
              </w:r>
            </w:p>
            <w:p w:rsidR="00745BB5" w:rsidRDefault="00745BB5" w:rsidP="00745BB5">
              <w:pPr>
                <w:pStyle w:val="Bibliography"/>
                <w:ind w:left="720" w:hanging="720"/>
                <w:rPr>
                  <w:noProof/>
                </w:rPr>
              </w:pPr>
              <w:r>
                <w:rPr>
                  <w:noProof/>
                </w:rPr>
                <w:t xml:space="preserve">Hart, J. (2013, August 3). </w:t>
              </w:r>
              <w:r>
                <w:rPr>
                  <w:i/>
                  <w:iCs/>
                  <w:noProof/>
                </w:rPr>
                <w:t>Consulates and the Vatican in chaos as HSBC tells them to find another bank</w:t>
              </w:r>
              <w:r>
                <w:rPr>
                  <w:noProof/>
                </w:rPr>
                <w:t>. Retrieved from thisismoney.co.uk.</w:t>
              </w:r>
            </w:p>
            <w:p w:rsidR="00745BB5" w:rsidRDefault="00745BB5" w:rsidP="00745BB5">
              <w:pPr>
                <w:pStyle w:val="Bibliography"/>
                <w:ind w:left="720" w:hanging="720"/>
                <w:rPr>
                  <w:noProof/>
                </w:rPr>
              </w:pPr>
              <w:r>
                <w:rPr>
                  <w:noProof/>
                </w:rPr>
                <w:t xml:space="preserve">HHUGS. (2013). </w:t>
              </w:r>
              <w:r>
                <w:rPr>
                  <w:i/>
                  <w:iCs/>
                  <w:noProof/>
                </w:rPr>
                <w:t>CLOSURE OF HHUGS BANK ACCOUNT: URGENT REQUEST!</w:t>
              </w:r>
              <w:r>
                <w:rPr>
                  <w:noProof/>
                </w:rPr>
                <w:t xml:space="preserve"> Retrieved from hhugs.org.uk: http://www.hhugs.org.uk/closure-of-hhugs-bank-account-urgent-request-/390</w:t>
              </w:r>
            </w:p>
            <w:p w:rsidR="00745BB5" w:rsidRDefault="00745BB5" w:rsidP="00745BB5">
              <w:pPr>
                <w:pStyle w:val="Bibliography"/>
                <w:ind w:left="720" w:hanging="720"/>
                <w:rPr>
                  <w:noProof/>
                </w:rPr>
              </w:pPr>
              <w:r>
                <w:rPr>
                  <w:noProof/>
                </w:rPr>
                <w:t xml:space="preserve">HM Treasury. (2015, August 18). </w:t>
              </w:r>
              <w:r>
                <w:rPr>
                  <w:i/>
                  <w:iCs/>
                  <w:noProof/>
                </w:rPr>
                <w:t>Guidance: Consolidated List of Targets.</w:t>
              </w:r>
              <w:r>
                <w:rPr>
                  <w:noProof/>
                </w:rPr>
                <w:t xml:space="preserve"> Retrieved from gov.uk: https://www.gov.uk/government/publications/financial-sanctions-consolidated-list-of-targets/consolidated-list-of-targets</w:t>
              </w:r>
            </w:p>
            <w:p w:rsidR="00745BB5" w:rsidRDefault="00745BB5" w:rsidP="00745BB5">
              <w:pPr>
                <w:pStyle w:val="Bibliography"/>
                <w:ind w:left="720" w:hanging="720"/>
                <w:rPr>
                  <w:noProof/>
                </w:rPr>
              </w:pPr>
              <w:r>
                <w:rPr>
                  <w:noProof/>
                </w:rPr>
                <w:t xml:space="preserve">House of Lords. (2014, October 14). </w:t>
              </w:r>
              <w:r>
                <w:rPr>
                  <w:i/>
                  <w:iCs/>
                  <w:noProof/>
                </w:rPr>
                <w:t>Thames Tideway Project: Contingent Guarantees</w:t>
              </w:r>
              <w:r>
                <w:rPr>
                  <w:noProof/>
                </w:rPr>
                <w:t>. Retrieved from publications.parliament.uk: http://www.publications.parliament.uk/pa/ld201415/ldhansrd/text/141014-0001.htm</w:t>
              </w:r>
            </w:p>
            <w:p w:rsidR="00745BB5" w:rsidRDefault="00745BB5" w:rsidP="00745BB5">
              <w:pPr>
                <w:pStyle w:val="Bibliography"/>
                <w:ind w:left="720" w:hanging="720"/>
                <w:rPr>
                  <w:noProof/>
                </w:rPr>
              </w:pPr>
              <w:r>
                <w:rPr>
                  <w:noProof/>
                </w:rPr>
                <w:t xml:space="preserve">Howard, B. (2013, September 27). </w:t>
              </w:r>
              <w:r>
                <w:rPr>
                  <w:i/>
                  <w:iCs/>
                  <w:noProof/>
                </w:rPr>
                <w:t>Concern over closure of ethnic minority accounts</w:t>
              </w:r>
              <w:r>
                <w:rPr>
                  <w:noProof/>
                </w:rPr>
                <w:t>. Retrieved from bbc.com: http://www.bbc.com/news/business-24285885</w:t>
              </w:r>
            </w:p>
            <w:p w:rsidR="00745BB5" w:rsidRDefault="00745BB5" w:rsidP="00745BB5">
              <w:pPr>
                <w:pStyle w:val="Bibliography"/>
                <w:ind w:left="720" w:hanging="720"/>
                <w:rPr>
                  <w:noProof/>
                </w:rPr>
              </w:pPr>
              <w:r>
                <w:rPr>
                  <w:noProof/>
                </w:rPr>
                <w:t xml:space="preserve">Hunter, G. S. (2013, February 9). </w:t>
              </w:r>
              <w:r>
                <w:rPr>
                  <w:i/>
                  <w:iCs/>
                  <w:noProof/>
                </w:rPr>
                <w:t>Banks turn away Iran and Syria nationals</w:t>
              </w:r>
              <w:r>
                <w:rPr>
                  <w:noProof/>
                </w:rPr>
                <w:t>. Retrieved from thenational.ae: http://www.thenational.ae/business/industry-insights/finance/banks-turn-away-iran-and-syria-nationals</w:t>
              </w:r>
            </w:p>
            <w:p w:rsidR="00745BB5" w:rsidRDefault="00745BB5" w:rsidP="00745BB5">
              <w:pPr>
                <w:pStyle w:val="Bibliography"/>
                <w:ind w:left="720" w:hanging="720"/>
                <w:rPr>
                  <w:noProof/>
                </w:rPr>
              </w:pPr>
              <w:r>
                <w:rPr>
                  <w:noProof/>
                </w:rPr>
                <w:t>Jayesh Shah Shaleetha Mahabeer and HSBC Private Bank (UK) Limited, HQ07X03152 (IN THE HIGH COURT OF JUSTICE QUEEN's BENCH DIVISION May 16, 2012).</w:t>
              </w:r>
            </w:p>
            <w:p w:rsidR="00745BB5" w:rsidRDefault="00745BB5" w:rsidP="00745BB5">
              <w:pPr>
                <w:pStyle w:val="Bibliography"/>
                <w:ind w:left="720" w:hanging="720"/>
                <w:rPr>
                  <w:noProof/>
                </w:rPr>
              </w:pPr>
              <w:r>
                <w:rPr>
                  <w:noProof/>
                </w:rPr>
                <w:t xml:space="preserve">Joint Money Laundering Steering Group. (2014, November 21). </w:t>
              </w:r>
              <w:r>
                <w:rPr>
                  <w:i/>
                  <w:iCs/>
                  <w:noProof/>
                </w:rPr>
                <w:t>Further amendments to JMLSG Guidance.</w:t>
              </w:r>
              <w:r>
                <w:rPr>
                  <w:noProof/>
                </w:rPr>
                <w:t xml:space="preserve"> Retrieved from jmlsg.org.uk: http://www.jmlsg.org.uk/industry-guidance/article/jmlsg-guidance-current</w:t>
              </w:r>
            </w:p>
            <w:p w:rsidR="00745BB5" w:rsidRDefault="00745BB5" w:rsidP="00745BB5">
              <w:pPr>
                <w:pStyle w:val="Bibliography"/>
                <w:ind w:left="720" w:hanging="720"/>
                <w:rPr>
                  <w:noProof/>
                </w:rPr>
              </w:pPr>
              <w:r>
                <w:rPr>
                  <w:noProof/>
                </w:rPr>
                <w:t xml:space="preserve">Jones, H. (2015, Feb 10). </w:t>
              </w:r>
              <w:r>
                <w:rPr>
                  <w:i/>
                  <w:iCs/>
                  <w:noProof/>
                </w:rPr>
                <w:t>UK banks wrongly shunning customers in dash to cut risk, watchdog says</w:t>
              </w:r>
              <w:r>
                <w:rPr>
                  <w:noProof/>
                </w:rPr>
                <w:t>. Retrieved June 15, 2015, from Reuters: http://uk.reuters.com/article/2015/02/10/uk-banks-regulator-britain-idUKKBN0LE1T920150210</w:t>
              </w:r>
            </w:p>
            <w:p w:rsidR="00745BB5" w:rsidRDefault="00745BB5" w:rsidP="00745BB5">
              <w:pPr>
                <w:pStyle w:val="Bibliography"/>
                <w:ind w:left="720" w:hanging="720"/>
                <w:rPr>
                  <w:noProof/>
                </w:rPr>
              </w:pPr>
              <w:r>
                <w:rPr>
                  <w:noProof/>
                </w:rPr>
                <w:t xml:space="preserve">Keatinge, T. (2014). </w:t>
              </w:r>
              <w:r>
                <w:rPr>
                  <w:i/>
                  <w:iCs/>
                  <w:noProof/>
                </w:rPr>
                <w:t>Uncharitable Behaviour: Counter-terrorist regulation restricts charity banking worldwide.</w:t>
              </w:r>
              <w:r>
                <w:rPr>
                  <w:noProof/>
                </w:rPr>
                <w:t xml:space="preserve"> London: Demos.</w:t>
              </w:r>
            </w:p>
            <w:p w:rsidR="00745BB5" w:rsidRDefault="00745BB5" w:rsidP="00745BB5">
              <w:pPr>
                <w:pStyle w:val="Bibliography"/>
                <w:ind w:left="720" w:hanging="720"/>
                <w:rPr>
                  <w:noProof/>
                </w:rPr>
              </w:pPr>
              <w:r>
                <w:rPr>
                  <w:noProof/>
                </w:rPr>
                <w:t xml:space="preserve">Kempson, E., &amp; Collard , S. (2012). </w:t>
              </w:r>
              <w:r>
                <w:rPr>
                  <w:i/>
                  <w:iCs/>
                  <w:noProof/>
                </w:rPr>
                <w:t>Developing a vision for financial inclusion.</w:t>
              </w:r>
              <w:r>
                <w:rPr>
                  <w:noProof/>
                </w:rPr>
                <w:t xml:space="preserve"> Dorking: Friends Provident Foundation.</w:t>
              </w:r>
            </w:p>
            <w:p w:rsidR="00745BB5" w:rsidRDefault="00745BB5" w:rsidP="00745BB5">
              <w:pPr>
                <w:pStyle w:val="Bibliography"/>
                <w:ind w:left="720" w:hanging="720"/>
                <w:rPr>
                  <w:noProof/>
                </w:rPr>
              </w:pPr>
              <w:r>
                <w:rPr>
                  <w:noProof/>
                </w:rPr>
                <w:t>KHUDHIR V. JP MORGAN CHASE BANK, 12-cv-15469 (UNITED STATES DISTRICT COURT EASTERN DISTRICT OF MICHIGAN SOUTHERN DIVISION January 27, 2014).</w:t>
              </w:r>
            </w:p>
            <w:p w:rsidR="00745BB5" w:rsidRDefault="00745BB5" w:rsidP="00745BB5">
              <w:pPr>
                <w:pStyle w:val="Bibliography"/>
                <w:ind w:left="720" w:hanging="720"/>
                <w:rPr>
                  <w:noProof/>
                </w:rPr>
              </w:pPr>
              <w:r>
                <w:rPr>
                  <w:noProof/>
                </w:rPr>
                <w:t xml:space="preserve">KPMG. (2014). </w:t>
              </w:r>
              <w:r>
                <w:rPr>
                  <w:i/>
                  <w:iCs/>
                  <w:noProof/>
                </w:rPr>
                <w:t>Global Anti-Money Laundering Survey.</w:t>
              </w:r>
              <w:r>
                <w:rPr>
                  <w:noProof/>
                </w:rPr>
                <w:t xml:space="preserve"> Amsterdam: KPMG.</w:t>
              </w:r>
            </w:p>
            <w:p w:rsidR="00745BB5" w:rsidRDefault="00745BB5" w:rsidP="00745BB5">
              <w:pPr>
                <w:pStyle w:val="Bibliography"/>
                <w:ind w:left="720" w:hanging="720"/>
                <w:rPr>
                  <w:noProof/>
                </w:rPr>
              </w:pPr>
              <w:r>
                <w:rPr>
                  <w:noProof/>
                </w:rPr>
                <w:t xml:space="preserve">Ladany, J. (2015). </w:t>
              </w:r>
              <w:r>
                <w:rPr>
                  <w:i/>
                  <w:iCs/>
                  <w:noProof/>
                </w:rPr>
                <w:t>Navigating Shifting Trade Compliance.</w:t>
              </w:r>
              <w:r>
                <w:rPr>
                  <w:noProof/>
                </w:rPr>
                <w:t xml:space="preserve"> Citigroup.</w:t>
              </w:r>
            </w:p>
            <w:p w:rsidR="00745BB5" w:rsidRDefault="00745BB5" w:rsidP="00745BB5">
              <w:pPr>
                <w:pStyle w:val="Bibliography"/>
                <w:ind w:left="720" w:hanging="720"/>
                <w:rPr>
                  <w:noProof/>
                </w:rPr>
              </w:pPr>
              <w:r>
                <w:rPr>
                  <w:noProof/>
                </w:rPr>
                <w:t xml:space="preserve">Marty. (2015, April 23). </w:t>
              </w:r>
              <w:r>
                <w:rPr>
                  <w:i/>
                  <w:iCs/>
                  <w:noProof/>
                </w:rPr>
                <w:t>Belize Bank Loses Correspondent Bank Relationship With Bank of America</w:t>
              </w:r>
              <w:r>
                <w:rPr>
                  <w:noProof/>
                </w:rPr>
                <w:t>. Retrieved from http://ambergriscaye.com/: http://ambergriscaye.com/forum/ubbthreads.php/topics/503655/re-belize-bank-bank-of-america-sever-relationship.html</w:t>
              </w:r>
            </w:p>
            <w:p w:rsidR="00745BB5" w:rsidRDefault="00745BB5" w:rsidP="00745BB5">
              <w:pPr>
                <w:pStyle w:val="Bibliography"/>
                <w:ind w:left="720" w:hanging="720"/>
                <w:rPr>
                  <w:noProof/>
                </w:rPr>
              </w:pPr>
              <w:r>
                <w:rPr>
                  <w:noProof/>
                </w:rPr>
                <w:t xml:space="preserve">Maxwell, R. (2006). Muslims, South Asians and the British Mainstream: A National Identity Crisis? </w:t>
              </w:r>
              <w:r>
                <w:rPr>
                  <w:i/>
                  <w:iCs/>
                  <w:noProof/>
                </w:rPr>
                <w:t>West European Politics Vol. 29, No. 4</w:t>
              </w:r>
              <w:r>
                <w:rPr>
                  <w:noProof/>
                </w:rPr>
                <w:t>, 736-756.</w:t>
              </w:r>
            </w:p>
            <w:p w:rsidR="00745BB5" w:rsidRDefault="00745BB5" w:rsidP="00745BB5">
              <w:pPr>
                <w:pStyle w:val="Bibliography"/>
                <w:ind w:left="720" w:hanging="720"/>
                <w:rPr>
                  <w:noProof/>
                </w:rPr>
              </w:pPr>
              <w:r>
                <w:rPr>
                  <w:noProof/>
                </w:rPr>
                <w:t xml:space="preserve">McKendry, I. (2014, December 29). </w:t>
              </w:r>
              <w:r>
                <w:rPr>
                  <w:i/>
                  <w:iCs/>
                  <w:noProof/>
                </w:rPr>
                <w:t>Why the 'Derisking' Problem Isn't Going Away.</w:t>
              </w:r>
              <w:r>
                <w:rPr>
                  <w:noProof/>
                </w:rPr>
                <w:t xml:space="preserve"> Retrieved from acams.org: http://www.acams.org/wp-content/uploads/2015/01/Why-the-Derisking-Problem-Isnt-Going-Away.pdf</w:t>
              </w:r>
            </w:p>
            <w:p w:rsidR="00745BB5" w:rsidRDefault="00745BB5" w:rsidP="00745BB5">
              <w:pPr>
                <w:pStyle w:val="Bibliography"/>
                <w:ind w:left="720" w:hanging="720"/>
                <w:rPr>
                  <w:noProof/>
                </w:rPr>
              </w:pPr>
              <w:r>
                <w:rPr>
                  <w:noProof/>
                </w:rPr>
                <w:t xml:space="preserve">McMillan. (2011, June). </w:t>
              </w:r>
              <w:r>
                <w:rPr>
                  <w:i/>
                  <w:iCs/>
                  <w:noProof/>
                </w:rPr>
                <w:t xml:space="preserve">whose bank account is it anyway? a bank's right to close an account against the customer's will </w:t>
              </w:r>
              <w:r>
                <w:rPr>
                  <w:noProof/>
                </w:rPr>
                <w:t>. Retrieved from mcmillan.ca: http://www.mcmillan.ca/100935</w:t>
              </w:r>
            </w:p>
            <w:p w:rsidR="00745BB5" w:rsidRDefault="00745BB5" w:rsidP="00745BB5">
              <w:pPr>
                <w:pStyle w:val="Bibliography"/>
                <w:ind w:left="720" w:hanging="720"/>
                <w:rPr>
                  <w:noProof/>
                </w:rPr>
              </w:pPr>
              <w:r>
                <w:rPr>
                  <w:noProof/>
                </w:rPr>
                <w:t xml:space="preserve">Metcalfe-Hough, V., Keatinge, T., &amp; Pantuliano, S. (2015, March). </w:t>
              </w:r>
              <w:r>
                <w:rPr>
                  <w:i/>
                  <w:iCs/>
                  <w:noProof/>
                </w:rPr>
                <w:t>UK humanitarian aid in the age of counterterrorism: perceptions and reality.</w:t>
              </w:r>
              <w:r>
                <w:rPr>
                  <w:noProof/>
                </w:rPr>
                <w:t xml:space="preserve"> Retrieved from odi.org: http://www.odi.org/publications/9301-counter-terrorism-legislation-law-uk-muslim-ngos-charities-commission-humanitarian</w:t>
              </w:r>
            </w:p>
            <w:p w:rsidR="00745BB5" w:rsidRDefault="00745BB5" w:rsidP="00745BB5">
              <w:pPr>
                <w:pStyle w:val="Bibliography"/>
                <w:ind w:left="720" w:hanging="720"/>
                <w:rPr>
                  <w:noProof/>
                </w:rPr>
              </w:pPr>
              <w:r>
                <w:rPr>
                  <w:noProof/>
                </w:rPr>
                <w:t xml:space="preserve">Metcalfe-Hough, V., Keatinge, T., &amp; Pantuliano, S. (2015). </w:t>
              </w:r>
              <w:r>
                <w:rPr>
                  <w:i/>
                  <w:iCs/>
                  <w:noProof/>
                </w:rPr>
                <w:t>UK humanitarian aid in the age of counter-terrorism: perceptions and reality.</w:t>
              </w:r>
              <w:r>
                <w:rPr>
                  <w:noProof/>
                </w:rPr>
                <w:t xml:space="preserve"> London: Muslim Charities Forum.</w:t>
              </w:r>
            </w:p>
            <w:p w:rsidR="00745BB5" w:rsidRDefault="00745BB5" w:rsidP="00745BB5">
              <w:pPr>
                <w:pStyle w:val="Bibliography"/>
                <w:ind w:left="720" w:hanging="720"/>
                <w:rPr>
                  <w:noProof/>
                </w:rPr>
              </w:pPr>
              <w:r>
                <w:rPr>
                  <w:noProof/>
                </w:rPr>
                <w:t xml:space="preserve">Mitton, L. (2008). </w:t>
              </w:r>
              <w:r>
                <w:rPr>
                  <w:i/>
                  <w:iCs/>
                  <w:noProof/>
                </w:rPr>
                <w:t>Financial inclusion in the UK: Review of policy and practice.</w:t>
              </w:r>
              <w:r>
                <w:rPr>
                  <w:noProof/>
                </w:rPr>
                <w:t xml:space="preserve"> York: Joseph Rowntree Foundation.</w:t>
              </w:r>
            </w:p>
            <w:p w:rsidR="00745BB5" w:rsidRDefault="00745BB5" w:rsidP="00745BB5">
              <w:pPr>
                <w:pStyle w:val="Bibliography"/>
                <w:ind w:left="720" w:hanging="720"/>
                <w:rPr>
                  <w:noProof/>
                </w:rPr>
              </w:pPr>
              <w:r>
                <w:rPr>
                  <w:noProof/>
                </w:rPr>
                <w:t xml:space="preserve">Moore, E. (2013, Dec 13). </w:t>
              </w:r>
              <w:r>
                <w:rPr>
                  <w:i/>
                  <w:iCs/>
                  <w:noProof/>
                </w:rPr>
                <w:t>RSB backtracks on Iranian account closures</w:t>
              </w:r>
              <w:r>
                <w:rPr>
                  <w:noProof/>
                </w:rPr>
                <w:t>. Retrieved June 12, 2015, from Financial Times: http://www.ft.com/cms/s/0/99b0115a-698d-11e3-aba3-00144feabdc0.html?siteedition=uk</w:t>
              </w:r>
            </w:p>
            <w:p w:rsidR="00745BB5" w:rsidRDefault="00745BB5" w:rsidP="00745BB5">
              <w:pPr>
                <w:pStyle w:val="Bibliography"/>
                <w:ind w:left="720" w:hanging="720"/>
                <w:rPr>
                  <w:noProof/>
                </w:rPr>
              </w:pPr>
              <w:r>
                <w:rPr>
                  <w:noProof/>
                </w:rPr>
                <w:t xml:space="preserve">Moore, R. (2012). Access to banking services and credit for UK ethnic minorities, refugees and asylum seekers. </w:t>
              </w:r>
              <w:r>
                <w:rPr>
                  <w:i/>
                  <w:iCs/>
                  <w:noProof/>
                </w:rPr>
                <w:t>Radical Statistics</w:t>
              </w:r>
              <w:r>
                <w:rPr>
                  <w:noProof/>
                </w:rPr>
                <w:t>.</w:t>
              </w:r>
            </w:p>
            <w:p w:rsidR="00745BB5" w:rsidRDefault="00745BB5" w:rsidP="00745BB5">
              <w:pPr>
                <w:pStyle w:val="Bibliography"/>
                <w:ind w:left="720" w:hanging="720"/>
                <w:rPr>
                  <w:noProof/>
                </w:rPr>
              </w:pPr>
              <w:r>
                <w:rPr>
                  <w:noProof/>
                </w:rPr>
                <w:t xml:space="preserve">National Crime Agency. (2015). </w:t>
              </w:r>
              <w:r>
                <w:rPr>
                  <w:i/>
                  <w:iCs/>
                  <w:noProof/>
                </w:rPr>
                <w:t>Legal basis for reporting.</w:t>
              </w:r>
              <w:r>
                <w:rPr>
                  <w:noProof/>
                </w:rPr>
                <w:t xml:space="preserve"> Retrieved from nationalcrimeagency.gov.uk: http://www.nationalcrimeagency.gov.uk/about-us/what-we-do/specialist-capabilities/ukfiu/legal-basis-for-reporting</w:t>
              </w:r>
            </w:p>
            <w:p w:rsidR="00745BB5" w:rsidRDefault="00745BB5" w:rsidP="00745BB5">
              <w:pPr>
                <w:pStyle w:val="Bibliography"/>
                <w:ind w:left="720" w:hanging="720"/>
                <w:rPr>
                  <w:noProof/>
                </w:rPr>
              </w:pPr>
              <w:r>
                <w:rPr>
                  <w:noProof/>
                </w:rPr>
                <w:t xml:space="preserve">News Day. (2013, August 27). </w:t>
              </w:r>
              <w:r>
                <w:rPr>
                  <w:i/>
                  <w:iCs/>
                  <w:noProof/>
                </w:rPr>
                <w:t>‘HSBC Bank account closures a security measure’</w:t>
              </w:r>
              <w:r>
                <w:rPr>
                  <w:noProof/>
                </w:rPr>
                <w:t>. Retrieved from newsday.co.zw: https://www.newsday.co.zw/2013/08/27/bank-account-closures-a-security-measure/</w:t>
              </w:r>
            </w:p>
            <w:p w:rsidR="00745BB5" w:rsidRDefault="00745BB5" w:rsidP="00745BB5">
              <w:pPr>
                <w:pStyle w:val="Bibliography"/>
                <w:ind w:left="720" w:hanging="720"/>
                <w:rPr>
                  <w:noProof/>
                </w:rPr>
              </w:pPr>
              <w:r>
                <w:rPr>
                  <w:noProof/>
                </w:rPr>
                <w:t xml:space="preserve">Norton Rose Fulbright. (2015, May). </w:t>
              </w:r>
              <w:r>
                <w:rPr>
                  <w:i/>
                  <w:iCs/>
                  <w:noProof/>
                </w:rPr>
                <w:t>The Risks of De-Risking: Conflicting Pressures on Financial Institutions</w:t>
              </w:r>
              <w:r>
                <w:rPr>
                  <w:noProof/>
                </w:rPr>
                <w:t>. Retrieved from nortonrosefulbright.com: http://www.nortonrosefulbright.com/knowledge/publications/129032/the-risks-of-de-risking-conflicting-pressures-on-financial-institutions</w:t>
              </w:r>
            </w:p>
            <w:p w:rsidR="00745BB5" w:rsidRDefault="00745BB5" w:rsidP="00745BB5">
              <w:pPr>
                <w:pStyle w:val="Bibliography"/>
                <w:ind w:left="720" w:hanging="720"/>
                <w:rPr>
                  <w:noProof/>
                </w:rPr>
              </w:pPr>
              <w:r>
                <w:rPr>
                  <w:noProof/>
                </w:rPr>
                <w:t xml:space="preserve">O'Brien, N. (2014, November 23). </w:t>
              </w:r>
              <w:r>
                <w:rPr>
                  <w:i/>
                  <w:iCs/>
                  <w:noProof/>
                </w:rPr>
                <w:t>International money transfer businesses launch class action against Westpac</w:t>
              </w:r>
              <w:r>
                <w:rPr>
                  <w:noProof/>
                </w:rPr>
                <w:t>. Retrieved from smh.com.au: http://www.smh.com.au/national/international-money-transfer-businesses-launch-class-action-against-westpac-20141121-11rs0t.html</w:t>
              </w:r>
            </w:p>
            <w:p w:rsidR="00745BB5" w:rsidRDefault="00745BB5" w:rsidP="00745BB5">
              <w:pPr>
                <w:pStyle w:val="Bibliography"/>
                <w:ind w:left="720" w:hanging="720"/>
                <w:rPr>
                  <w:noProof/>
                </w:rPr>
              </w:pPr>
              <w:r>
                <w:rPr>
                  <w:noProof/>
                </w:rPr>
                <w:t xml:space="preserve">Pandey, S. (2014, December 22). </w:t>
              </w:r>
              <w:r>
                <w:rPr>
                  <w:i/>
                  <w:iCs/>
                  <w:noProof/>
                </w:rPr>
                <w:t>UPDATE 1-Australia's Westpac to quit remittance business by March 31</w:t>
              </w:r>
              <w:r>
                <w:rPr>
                  <w:noProof/>
                </w:rPr>
                <w:t>. Retrieved from reuters.com: http://www.reuters.com/article/2014/12/22/australia-remittances-westpac-idUSL3N0U61NF20141222</w:t>
              </w:r>
            </w:p>
            <w:p w:rsidR="00745BB5" w:rsidRDefault="00745BB5" w:rsidP="00745BB5">
              <w:pPr>
                <w:pStyle w:val="Bibliography"/>
                <w:ind w:left="720" w:hanging="720"/>
                <w:rPr>
                  <w:noProof/>
                </w:rPr>
              </w:pPr>
              <w:r>
                <w:rPr>
                  <w:noProof/>
                </w:rPr>
                <w:t xml:space="preserve">Paul, S. (2014, December 8). </w:t>
              </w:r>
              <w:r>
                <w:rPr>
                  <w:i/>
                  <w:iCs/>
                  <w:noProof/>
                </w:rPr>
                <w:t>Remittances to Somalia: Reading Treasury’s tea leaves for signs of progress</w:t>
              </w:r>
              <w:r>
                <w:rPr>
                  <w:noProof/>
                </w:rPr>
                <w:t>. Retrieved from oxfamamerica.org: http://politicsofpoverty.oxfamamerica.org/2014/12/remittances-to-somalia-reading-treasurys-tea-leaves-for-signs-of-progress/</w:t>
              </w:r>
            </w:p>
            <w:p w:rsidR="00745BB5" w:rsidRDefault="00745BB5" w:rsidP="00745BB5">
              <w:pPr>
                <w:pStyle w:val="Bibliography"/>
                <w:ind w:left="720" w:hanging="720"/>
                <w:rPr>
                  <w:noProof/>
                </w:rPr>
              </w:pPr>
              <w:r>
                <w:rPr>
                  <w:noProof/>
                </w:rPr>
                <w:t xml:space="preserve">Plaza, S. (2014, December 14). </w:t>
              </w:r>
              <w:r>
                <w:rPr>
                  <w:i/>
                  <w:iCs/>
                  <w:noProof/>
                </w:rPr>
                <w:t>Remittance Markets: More court cases and higher costs due to Anti Money Laundering and Countering Financing of Terrorism (AML/CFT) Regulations.</w:t>
              </w:r>
              <w:r>
                <w:rPr>
                  <w:noProof/>
                </w:rPr>
                <w:t xml:space="preserve"> Retrieved from worldbank.org: http://blogs.worldbank.org/peoplemove/remittance-markets-more-court-cases-and-higher-costs-due-anti-money-laundering-and-countering</w:t>
              </w:r>
            </w:p>
            <w:p w:rsidR="00745BB5" w:rsidRDefault="00745BB5" w:rsidP="00745BB5">
              <w:pPr>
                <w:pStyle w:val="Bibliography"/>
                <w:ind w:left="720" w:hanging="720"/>
                <w:rPr>
                  <w:noProof/>
                </w:rPr>
              </w:pPr>
              <w:r>
                <w:rPr>
                  <w:noProof/>
                </w:rPr>
                <w:t xml:space="preserve">Ramesh, R. (2014, October 6). </w:t>
              </w:r>
              <w:r>
                <w:rPr>
                  <w:i/>
                  <w:iCs/>
                  <w:noProof/>
                </w:rPr>
                <w:t>Pressure group Cage files complaint over closure of bank accounts</w:t>
              </w:r>
              <w:r>
                <w:rPr>
                  <w:noProof/>
                </w:rPr>
                <w:t>. Retrieved from theguardian.com: http://www.theguardian.com/uk-news/2014/oct/06/cage-complaint-bank-accounts-closed</w:t>
              </w:r>
            </w:p>
            <w:p w:rsidR="00745BB5" w:rsidRDefault="00745BB5" w:rsidP="00745BB5">
              <w:pPr>
                <w:pStyle w:val="Bibliography"/>
                <w:ind w:left="720" w:hanging="720"/>
                <w:rPr>
                  <w:noProof/>
                </w:rPr>
              </w:pPr>
              <w:r>
                <w:rPr>
                  <w:noProof/>
                </w:rPr>
                <w:t>Rawlinson, Lewis, Field, Howsam, Collison, &amp; Allan. (2013, January 4). MONEY BOX. (P. Lewis, Interviewer)</w:t>
              </w:r>
            </w:p>
            <w:p w:rsidR="00745BB5" w:rsidRDefault="00745BB5" w:rsidP="00745BB5">
              <w:pPr>
                <w:pStyle w:val="Bibliography"/>
                <w:ind w:left="720" w:hanging="720"/>
                <w:rPr>
                  <w:noProof/>
                </w:rPr>
              </w:pPr>
              <w:r>
                <w:rPr>
                  <w:noProof/>
                </w:rPr>
                <w:t>RCG Forex Service Corp. v. HSBC Bank Canada, S132561 (SUPREME COURT OF BRITISH COLUMBIA March 16, 2011).</w:t>
              </w:r>
            </w:p>
            <w:p w:rsidR="00745BB5" w:rsidRDefault="00745BB5" w:rsidP="00745BB5">
              <w:pPr>
                <w:pStyle w:val="Bibliography"/>
                <w:ind w:left="720" w:hanging="720"/>
                <w:rPr>
                  <w:noProof/>
                </w:rPr>
              </w:pPr>
              <w:r>
                <w:rPr>
                  <w:noProof/>
                </w:rPr>
                <w:t xml:space="preserve">Ready-Made Investment Digest. (2012). </w:t>
              </w:r>
              <w:r>
                <w:rPr>
                  <w:i/>
                  <w:iCs/>
                  <w:noProof/>
                </w:rPr>
                <w:t>RBS backtracks on Iranian account closures.</w:t>
              </w:r>
              <w:r>
                <w:rPr>
                  <w:noProof/>
                </w:rPr>
                <w:t xml:space="preserve"> Retrieved from http://readymadeinvest.com/: http://readymadeinvest.com/rbs-backtracks-on-iranian-account-closures/</w:t>
              </w:r>
            </w:p>
            <w:p w:rsidR="00745BB5" w:rsidRDefault="00745BB5" w:rsidP="00745BB5">
              <w:pPr>
                <w:pStyle w:val="Bibliography"/>
                <w:ind w:left="720" w:hanging="720"/>
                <w:rPr>
                  <w:noProof/>
                </w:rPr>
              </w:pPr>
              <w:r>
                <w:rPr>
                  <w:noProof/>
                </w:rPr>
                <w:t xml:space="preserve">Ready-Made Investment Digest. (2014). </w:t>
              </w:r>
              <w:r>
                <w:rPr>
                  <w:i/>
                  <w:iCs/>
                  <w:noProof/>
                </w:rPr>
                <w:t>HSBC to spend $700m filtering clients</w:t>
              </w:r>
              <w:r>
                <w:rPr>
                  <w:noProof/>
                </w:rPr>
                <w:t>. Retrieved from readymadeinvest.com: http://readymadeinvest.com/hsbc-to-spend-700m-filtering-clients/</w:t>
              </w:r>
            </w:p>
            <w:p w:rsidR="00745BB5" w:rsidRDefault="00745BB5" w:rsidP="00745BB5">
              <w:pPr>
                <w:pStyle w:val="Bibliography"/>
                <w:ind w:left="720" w:hanging="720"/>
                <w:rPr>
                  <w:noProof/>
                </w:rPr>
              </w:pPr>
              <w:r>
                <w:rPr>
                  <w:noProof/>
                </w:rPr>
                <w:t xml:space="preserve">Reuter, P., &amp; Truman, E. M. (2004). </w:t>
              </w:r>
              <w:r>
                <w:rPr>
                  <w:i/>
                  <w:iCs/>
                  <w:noProof/>
                </w:rPr>
                <w:t>Chasing Dirty Money: The Fight Against Money Laundering.</w:t>
              </w:r>
              <w:r>
                <w:rPr>
                  <w:noProof/>
                </w:rPr>
                <w:t xml:space="preserve"> Peterson Institute for International Economics.</w:t>
              </w:r>
            </w:p>
            <w:p w:rsidR="00745BB5" w:rsidRDefault="00745BB5" w:rsidP="00745BB5">
              <w:pPr>
                <w:pStyle w:val="Bibliography"/>
                <w:ind w:left="720" w:hanging="720"/>
                <w:rPr>
                  <w:noProof/>
                </w:rPr>
              </w:pPr>
              <w:r>
                <w:rPr>
                  <w:noProof/>
                </w:rPr>
                <w:t xml:space="preserve">Reuter, P., &amp; Truman, E. M. (2005). Anti-Moey Laundering Overkill? </w:t>
              </w:r>
              <w:r>
                <w:rPr>
                  <w:i/>
                  <w:iCs/>
                  <w:noProof/>
                </w:rPr>
                <w:t>The International Economy</w:t>
              </w:r>
              <w:r>
                <w:rPr>
                  <w:noProof/>
                </w:rPr>
                <w:t>, 56-60.</w:t>
              </w:r>
            </w:p>
            <w:p w:rsidR="00745BB5" w:rsidRDefault="00745BB5" w:rsidP="00745BB5">
              <w:pPr>
                <w:pStyle w:val="Bibliography"/>
                <w:ind w:left="720" w:hanging="720"/>
                <w:rPr>
                  <w:noProof/>
                </w:rPr>
              </w:pPr>
              <w:r>
                <w:rPr>
                  <w:noProof/>
                </w:rPr>
                <w:t xml:space="preserve">RT. (2014, September 22). </w:t>
              </w:r>
              <w:r>
                <w:rPr>
                  <w:i/>
                  <w:iCs/>
                  <w:noProof/>
                </w:rPr>
                <w:t>‘Anti-Muslim discrimination’: HSBC shuts down only account of UK Islamic charity</w:t>
              </w:r>
              <w:r>
                <w:rPr>
                  <w:noProof/>
                </w:rPr>
                <w:t>. Retrieved from rt.com: http://www.rt.com/uk/189544-hsbc-finsbury-park-close/</w:t>
              </w:r>
            </w:p>
            <w:p w:rsidR="00745BB5" w:rsidRDefault="00745BB5" w:rsidP="00745BB5">
              <w:pPr>
                <w:pStyle w:val="Bibliography"/>
                <w:ind w:left="720" w:hanging="720"/>
                <w:rPr>
                  <w:noProof/>
                </w:rPr>
              </w:pPr>
              <w:r>
                <w:rPr>
                  <w:noProof/>
                </w:rPr>
                <w:t xml:space="preserve">Scott, A. D. (2015, April 20). </w:t>
              </w:r>
              <w:r>
                <w:rPr>
                  <w:i/>
                  <w:iCs/>
                  <w:noProof/>
                </w:rPr>
                <w:t>If Banks Can't Solve the Derisking Dilemma, Maybe the Government Will.</w:t>
              </w:r>
              <w:r>
                <w:rPr>
                  <w:noProof/>
                </w:rPr>
                <w:t xml:space="preserve"> Retrieved from americanbanker.com: http://www.americanbanker.com/bankthink/if-banks-cant-solve-the-derisking-dilemma-maybe-the-government-will-1073858-1.html</w:t>
              </w:r>
            </w:p>
            <w:p w:rsidR="00745BB5" w:rsidRDefault="00745BB5" w:rsidP="00745BB5">
              <w:pPr>
                <w:pStyle w:val="Bibliography"/>
                <w:ind w:left="720" w:hanging="720"/>
                <w:rPr>
                  <w:noProof/>
                </w:rPr>
              </w:pPr>
              <w:r>
                <w:rPr>
                  <w:noProof/>
                </w:rPr>
                <w:t xml:space="preserve">Shane, D. (2013, October 2). </w:t>
              </w:r>
              <w:r>
                <w:rPr>
                  <w:i/>
                  <w:iCs/>
                  <w:noProof/>
                </w:rPr>
                <w:t>Barclays blames customers for UAE account closures.</w:t>
              </w:r>
              <w:r>
                <w:rPr>
                  <w:noProof/>
                </w:rPr>
                <w:t xml:space="preserve"> Retrieved from arabianbusiness.com: http://www.arabianbusiness.com/barclays-blames-customers-for-uae-account-closures-521315.html</w:t>
              </w:r>
            </w:p>
            <w:p w:rsidR="00745BB5" w:rsidRDefault="00745BB5" w:rsidP="00745BB5">
              <w:pPr>
                <w:pStyle w:val="Bibliography"/>
                <w:ind w:left="720" w:hanging="720"/>
                <w:rPr>
                  <w:noProof/>
                </w:rPr>
              </w:pPr>
              <w:r>
                <w:rPr>
                  <w:noProof/>
                </w:rPr>
                <w:t xml:space="preserve">SIBOS. (2014). Moving with caution. </w:t>
              </w:r>
              <w:r>
                <w:rPr>
                  <w:i/>
                  <w:iCs/>
                  <w:noProof/>
                </w:rPr>
                <w:t>Singapore 12 - 15 October 2015.</w:t>
              </w:r>
              <w:r>
                <w:rPr>
                  <w:noProof/>
                </w:rPr>
                <w:t xml:space="preserve"> Singapore.</w:t>
              </w:r>
            </w:p>
            <w:p w:rsidR="00745BB5" w:rsidRDefault="00745BB5" w:rsidP="00745BB5">
              <w:pPr>
                <w:pStyle w:val="Bibliography"/>
                <w:ind w:left="720" w:hanging="720"/>
                <w:rPr>
                  <w:noProof/>
                </w:rPr>
              </w:pPr>
              <w:r>
                <w:rPr>
                  <w:noProof/>
                </w:rPr>
                <w:t xml:space="preserve">Singh, S. (2014, November 21). </w:t>
              </w:r>
              <w:r>
                <w:rPr>
                  <w:i/>
                  <w:iCs/>
                  <w:noProof/>
                </w:rPr>
                <w:t>Bankers are about to ensure money transfers go underground</w:t>
              </w:r>
              <w:r>
                <w:rPr>
                  <w:noProof/>
                </w:rPr>
                <w:t>. Retrieved from theconversation.com: http://theconversation.com/bankers-are-about-to-ensure-money-transfers-go-underground-34487</w:t>
              </w:r>
            </w:p>
            <w:p w:rsidR="00745BB5" w:rsidRDefault="00745BB5" w:rsidP="00745BB5">
              <w:pPr>
                <w:pStyle w:val="Bibliography"/>
                <w:ind w:left="720" w:hanging="720"/>
                <w:rPr>
                  <w:noProof/>
                </w:rPr>
              </w:pPr>
              <w:r>
                <w:rPr>
                  <w:noProof/>
                </w:rPr>
                <w:t xml:space="preserve">Swift. (2014, Jan 29). </w:t>
              </w:r>
              <w:r>
                <w:rPr>
                  <w:i/>
                  <w:iCs/>
                  <w:noProof/>
                </w:rPr>
                <w:t>Moving with Caution</w:t>
              </w:r>
              <w:r>
                <w:rPr>
                  <w:noProof/>
                </w:rPr>
                <w:t>. Retrieved July 17, 2015, from Swift: http://www.swift.com/about_swift/shownews?param_dcr=news.data/en/swift_com/2014/dialogue_moving_with_caution.xml</w:t>
              </w:r>
            </w:p>
            <w:p w:rsidR="00745BB5" w:rsidRDefault="00745BB5" w:rsidP="00745BB5">
              <w:pPr>
                <w:pStyle w:val="Bibliography"/>
                <w:ind w:left="720" w:hanging="720"/>
                <w:rPr>
                  <w:noProof/>
                </w:rPr>
              </w:pPr>
              <w:r>
                <w:rPr>
                  <w:noProof/>
                </w:rPr>
                <w:t xml:space="preserve">Tendy, S. (2015, January 27). </w:t>
              </w:r>
              <w:r>
                <w:rPr>
                  <w:i/>
                  <w:iCs/>
                  <w:noProof/>
                </w:rPr>
                <w:t>De-Risking Threatens Religious Access to Banking Services</w:t>
              </w:r>
              <w:r>
                <w:rPr>
                  <w:noProof/>
                </w:rPr>
                <w:t>. Retrieved from americanbanker.com: http://www.americanbanker.com/bankthink/de-risking-threatens-religious-access-to-banking-services-1072363-1.html</w:t>
              </w:r>
            </w:p>
            <w:p w:rsidR="00745BB5" w:rsidRDefault="00745BB5" w:rsidP="00745BB5">
              <w:pPr>
                <w:pStyle w:val="Bibliography"/>
                <w:ind w:left="720" w:hanging="720"/>
                <w:rPr>
                  <w:noProof/>
                </w:rPr>
              </w:pPr>
              <w:r>
                <w:rPr>
                  <w:noProof/>
                </w:rPr>
                <w:t xml:space="preserve">Thayer, E. (2014, Sept 9). </w:t>
              </w:r>
              <w:r>
                <w:rPr>
                  <w:i/>
                  <w:iCs/>
                  <w:noProof/>
                </w:rPr>
                <w:t>US banks suddenly close dozens of accouts, Muslim group suspect racial profiling</w:t>
              </w:r>
              <w:r>
                <w:rPr>
                  <w:noProof/>
                </w:rPr>
                <w:t>. Retrieved July 13, 2015, from Reuters: http://www.rt.com/usa/186156-us-banks-close-muslim-accounts/</w:t>
              </w:r>
            </w:p>
            <w:p w:rsidR="00745BB5" w:rsidRDefault="00745BB5" w:rsidP="00745BB5">
              <w:pPr>
                <w:pStyle w:val="Bibliography"/>
                <w:ind w:left="720" w:hanging="720"/>
                <w:rPr>
                  <w:noProof/>
                </w:rPr>
              </w:pPr>
              <w:r>
                <w:rPr>
                  <w:noProof/>
                </w:rPr>
                <w:t xml:space="preserve">The Commonwealth. (2015). AML/CTF Regulation, De-risking and Impacts on Financial Inclusion and Remittances. </w:t>
              </w:r>
              <w:r>
                <w:rPr>
                  <w:i/>
                  <w:iCs/>
                  <w:noProof/>
                </w:rPr>
                <w:t>Meeting of Global International Financial Centre Supervisors.</w:t>
              </w:r>
              <w:r>
                <w:rPr>
                  <w:noProof/>
                </w:rPr>
                <w:t xml:space="preserve"> London: The Commonwealth.</w:t>
              </w:r>
            </w:p>
            <w:p w:rsidR="00745BB5" w:rsidRDefault="00745BB5" w:rsidP="00745BB5">
              <w:pPr>
                <w:pStyle w:val="Bibliography"/>
                <w:ind w:left="720" w:hanging="720"/>
                <w:rPr>
                  <w:noProof/>
                </w:rPr>
              </w:pPr>
              <w:r>
                <w:rPr>
                  <w:noProof/>
                </w:rPr>
                <w:t xml:space="preserve">The Isaac Brock Society. (2014, March 31). </w:t>
              </w:r>
              <w:r>
                <w:rPr>
                  <w:i/>
                  <w:iCs/>
                  <w:noProof/>
                </w:rPr>
                <w:t>Bank closures due to citizenship violate constitutional and legal protections for U.S. persons</w:t>
              </w:r>
              <w:r>
                <w:rPr>
                  <w:noProof/>
                </w:rPr>
                <w:t>. Retrieved from isaacbrocksociety.ca: http://isaacbrocksociety.ca/2014/03/31/bank-closures-due-to-citizenship-violate-constitutional-and-legal-protections-for-u-s-persons/</w:t>
              </w:r>
            </w:p>
            <w:p w:rsidR="00745BB5" w:rsidRDefault="00745BB5" w:rsidP="00745BB5">
              <w:pPr>
                <w:pStyle w:val="Bibliography"/>
                <w:ind w:left="720" w:hanging="720"/>
                <w:rPr>
                  <w:noProof/>
                </w:rPr>
              </w:pPr>
              <w:r>
                <w:rPr>
                  <w:noProof/>
                </w:rPr>
                <w:t xml:space="preserve">Thomson Reuters. (2015, August 23). </w:t>
              </w:r>
              <w:r>
                <w:rPr>
                  <w:i/>
                  <w:iCs/>
                  <w:noProof/>
                </w:rPr>
                <w:t>Thomson Reuters World Check: KYC, AML, CFT and PEP Due Diligence</w:t>
              </w:r>
              <w:r>
                <w:rPr>
                  <w:noProof/>
                </w:rPr>
                <w:t>. Retrieved from thomsonreuters.com: https://risk.thomsonreuters.com/products/world-check</w:t>
              </w:r>
            </w:p>
            <w:p w:rsidR="00745BB5" w:rsidRDefault="00745BB5" w:rsidP="00745BB5">
              <w:pPr>
                <w:pStyle w:val="Bibliography"/>
                <w:ind w:left="720" w:hanging="720"/>
                <w:rPr>
                  <w:noProof/>
                </w:rPr>
              </w:pPr>
              <w:r>
                <w:rPr>
                  <w:noProof/>
                </w:rPr>
                <w:t xml:space="preserve">Toynbee Hall. (2008). </w:t>
              </w:r>
              <w:r>
                <w:rPr>
                  <w:i/>
                  <w:iCs/>
                  <w:noProof/>
                </w:rPr>
                <w:t>From Access to Inclusion: An evaluation of the role of Basic Bank Account in promoting financial inclusion.</w:t>
              </w:r>
              <w:r>
                <w:rPr>
                  <w:noProof/>
                </w:rPr>
                <w:t xml:space="preserve"> London: Calouste Gulbenkian Foundation.</w:t>
              </w:r>
            </w:p>
            <w:p w:rsidR="00745BB5" w:rsidRDefault="00745BB5" w:rsidP="00745BB5">
              <w:pPr>
                <w:pStyle w:val="Bibliography"/>
                <w:ind w:left="720" w:hanging="720"/>
                <w:rPr>
                  <w:noProof/>
                </w:rPr>
              </w:pPr>
              <w:r>
                <w:rPr>
                  <w:noProof/>
                </w:rPr>
                <w:t xml:space="preserve">Tsingou, E. (2005). </w:t>
              </w:r>
              <w:r>
                <w:rPr>
                  <w:i/>
                  <w:iCs/>
                  <w:noProof/>
                </w:rPr>
                <w:t>Global Governance and Transnational Financial Crime: Opportunities and Tensions in the Global Anti-Money Laundering Regime.</w:t>
              </w:r>
              <w:r>
                <w:rPr>
                  <w:noProof/>
                </w:rPr>
                <w:t xml:space="preserve"> CSRG Working Paper No 161/05.</w:t>
              </w:r>
            </w:p>
            <w:p w:rsidR="00745BB5" w:rsidRDefault="00745BB5" w:rsidP="00745BB5">
              <w:pPr>
                <w:pStyle w:val="Bibliography"/>
                <w:ind w:left="720" w:hanging="720"/>
                <w:rPr>
                  <w:noProof/>
                </w:rPr>
              </w:pPr>
              <w:r>
                <w:rPr>
                  <w:noProof/>
                </w:rPr>
                <w:t xml:space="preserve">U.S. Department of the Treasury. (2015, January 13). </w:t>
              </w:r>
              <w:r>
                <w:rPr>
                  <w:i/>
                  <w:iCs/>
                  <w:noProof/>
                </w:rPr>
                <w:t>Opening Remarks of Under Secretary for Terrorism and Financial Intelligence David S. Cohen at the Treasury Roundtable on Financial Access for Money Services Businesses</w:t>
              </w:r>
              <w:r>
                <w:rPr>
                  <w:noProof/>
                </w:rPr>
                <w:t>. Retrieved from treasury.gov: http://www.treasury.gov/press-center/press-releases/Pages/jl9736.aspx</w:t>
              </w:r>
            </w:p>
            <w:p w:rsidR="00745BB5" w:rsidRDefault="00745BB5" w:rsidP="00745BB5">
              <w:pPr>
                <w:pStyle w:val="Bibliography"/>
                <w:ind w:left="720" w:hanging="720"/>
                <w:rPr>
                  <w:noProof/>
                </w:rPr>
              </w:pPr>
              <w:r>
                <w:rPr>
                  <w:noProof/>
                </w:rPr>
                <w:t xml:space="preserve">UK Government. (2002). </w:t>
              </w:r>
              <w:r>
                <w:rPr>
                  <w:i/>
                  <w:iCs/>
                  <w:noProof/>
                </w:rPr>
                <w:t>Proceeds of Crime Act 2002.</w:t>
              </w:r>
              <w:r>
                <w:rPr>
                  <w:noProof/>
                </w:rPr>
                <w:t xml:space="preserve"> Retrieved from legislation.gov.uk: http://www.legislation.gov.uk/ukpga/2002/29/section/333</w:t>
              </w:r>
            </w:p>
            <w:p w:rsidR="00745BB5" w:rsidRDefault="00745BB5" w:rsidP="00745BB5">
              <w:pPr>
                <w:pStyle w:val="Bibliography"/>
                <w:ind w:left="720" w:hanging="720"/>
                <w:rPr>
                  <w:noProof/>
                </w:rPr>
              </w:pPr>
              <w:r>
                <w:rPr>
                  <w:noProof/>
                </w:rPr>
                <w:t xml:space="preserve">UK Government. (2014). </w:t>
              </w:r>
              <w:r>
                <w:rPr>
                  <w:i/>
                  <w:iCs/>
                  <w:noProof/>
                </w:rPr>
                <w:t>REVISED BASIC BANK ACCOUNT AGREEMENT .</w:t>
              </w:r>
              <w:r>
                <w:rPr>
                  <w:noProof/>
                </w:rPr>
                <w:t xml:space="preserve"> Retrieved from gov.uk: https://www.gov.uk/government/uploads/system/uploads/attachment_data/file/386953/141211_basic_accounts_agreement_text.pdf</w:t>
              </w:r>
            </w:p>
            <w:p w:rsidR="00745BB5" w:rsidRDefault="00745BB5" w:rsidP="00745BB5">
              <w:pPr>
                <w:pStyle w:val="Bibliography"/>
                <w:ind w:left="720" w:hanging="720"/>
                <w:rPr>
                  <w:noProof/>
                </w:rPr>
              </w:pPr>
              <w:r>
                <w:rPr>
                  <w:noProof/>
                </w:rPr>
                <w:t xml:space="preserve">UK Government. (2015, March). </w:t>
              </w:r>
              <w:r>
                <w:rPr>
                  <w:i/>
                  <w:iCs/>
                  <w:noProof/>
                </w:rPr>
                <w:t>UK-Somalia Remittance Fact Sheet</w:t>
              </w:r>
              <w:r>
                <w:rPr>
                  <w:noProof/>
                </w:rPr>
                <w:t>. Retrieved from gov.uk: https://www.gov.uk/government/uploads/system/uploads/attachment_data/file/418690/15-03-11_UK-Somalia_Remittance_Factsheet.pdf</w:t>
              </w:r>
            </w:p>
            <w:p w:rsidR="00745BB5" w:rsidRDefault="00745BB5" w:rsidP="00745BB5">
              <w:pPr>
                <w:pStyle w:val="Bibliography"/>
                <w:ind w:left="720" w:hanging="720"/>
                <w:rPr>
                  <w:noProof/>
                </w:rPr>
              </w:pPr>
              <w:r>
                <w:rPr>
                  <w:noProof/>
                </w:rPr>
                <w:t xml:space="preserve">Unknown. (2014). </w:t>
              </w:r>
              <w:r>
                <w:rPr>
                  <w:i/>
                  <w:iCs/>
                  <w:noProof/>
                </w:rPr>
                <w:t>Power and Discourse in Policy Diffusion: Anti-Money Laundering in Developed States.</w:t>
              </w:r>
              <w:r>
                <w:rPr>
                  <w:noProof/>
                </w:rPr>
                <w:t xml:space="preserve"> Griffith.</w:t>
              </w:r>
            </w:p>
            <w:p w:rsidR="00745BB5" w:rsidRDefault="00745BB5" w:rsidP="00745BB5">
              <w:pPr>
                <w:pStyle w:val="Bibliography"/>
                <w:ind w:left="720" w:hanging="720"/>
                <w:rPr>
                  <w:noProof/>
                </w:rPr>
              </w:pPr>
              <w:r>
                <w:rPr>
                  <w:noProof/>
                </w:rPr>
                <w:t xml:space="preserve">US Government. (2015). </w:t>
              </w:r>
              <w:r>
                <w:rPr>
                  <w:i/>
                  <w:iCs/>
                  <w:noProof/>
                </w:rPr>
                <w:t>H.R.766 - Financial Institution Customer Protection Act of 2015.</w:t>
              </w:r>
              <w:r>
                <w:rPr>
                  <w:noProof/>
                </w:rPr>
                <w:t xml:space="preserve"> Retrieved from congress.gov: https://www.congress.gov/bill/114th-congress/house-bill/766/text</w:t>
              </w:r>
            </w:p>
            <w:p w:rsidR="00745BB5" w:rsidRDefault="00745BB5" w:rsidP="00745BB5">
              <w:pPr>
                <w:pStyle w:val="Bibliography"/>
                <w:ind w:left="720" w:hanging="720"/>
                <w:rPr>
                  <w:noProof/>
                </w:rPr>
              </w:pPr>
              <w:r>
                <w:rPr>
                  <w:noProof/>
                </w:rPr>
                <w:t xml:space="preserve">Walker, J. (2014). Discussion Paper Number 1: De-risking: Global Impact and Unintended Consequences for Exclusion and Stability. </w:t>
              </w:r>
              <w:r>
                <w:rPr>
                  <w:i/>
                  <w:iCs/>
                  <w:noProof/>
                </w:rPr>
                <w:t>Prepared for use by the October 2014 FATF Plenary and associated working Groups.</w:t>
              </w:r>
              <w:r>
                <w:rPr>
                  <w:noProof/>
                </w:rPr>
                <w:t xml:space="preserve"> BBA.</w:t>
              </w:r>
            </w:p>
            <w:p w:rsidR="00745BB5" w:rsidRDefault="00745BB5" w:rsidP="00745BB5">
              <w:pPr>
                <w:pStyle w:val="Bibliography"/>
                <w:ind w:left="720" w:hanging="720"/>
                <w:rPr>
                  <w:noProof/>
                </w:rPr>
              </w:pPr>
              <w:r>
                <w:rPr>
                  <w:noProof/>
                </w:rPr>
                <w:t xml:space="preserve">Woolhouse, R. (2014, December 22). </w:t>
              </w:r>
              <w:r>
                <w:rPr>
                  <w:i/>
                  <w:iCs/>
                  <w:noProof/>
                </w:rPr>
                <w:t>Five Predictions for 2015</w:t>
              </w:r>
              <w:r>
                <w:rPr>
                  <w:noProof/>
                </w:rPr>
                <w:t>. Retrieved from bba.org.uk: https://www.bba.org.uk/news/bba-voice/five-fast-predictions-for-2015/#.Vdz2C_kzjVp</w:t>
              </w:r>
            </w:p>
            <w:p w:rsidR="00745BB5" w:rsidRDefault="00745BB5" w:rsidP="00745BB5">
              <w:pPr>
                <w:pStyle w:val="Bibliography"/>
                <w:ind w:left="720" w:hanging="720"/>
                <w:rPr>
                  <w:noProof/>
                </w:rPr>
              </w:pPr>
              <w:r>
                <w:rPr>
                  <w:noProof/>
                </w:rPr>
                <w:t xml:space="preserve">World Bank. (2014). </w:t>
              </w:r>
              <w:r>
                <w:rPr>
                  <w:i/>
                  <w:iCs/>
                  <w:noProof/>
                </w:rPr>
                <w:t>Measuring Fiancial Inclusion Around the World.</w:t>
              </w:r>
              <w:r>
                <w:rPr>
                  <w:noProof/>
                </w:rPr>
                <w:t xml:space="preserve"> Washington: World Bank Policy Working Paper.</w:t>
              </w:r>
            </w:p>
            <w:p w:rsidR="00745BB5" w:rsidRDefault="00745BB5" w:rsidP="00745BB5">
              <w:r>
                <w:rPr>
                  <w:b/>
                  <w:bCs/>
                  <w:noProof/>
                </w:rPr>
                <w:fldChar w:fldCharType="end"/>
              </w:r>
            </w:p>
          </w:sdtContent>
        </w:sdt>
      </w:sdtContent>
    </w:sdt>
    <w:p w:rsidR="00856572" w:rsidRDefault="00856572"/>
    <w:p w:rsidR="00856572" w:rsidRDefault="00856572"/>
    <w:p w:rsidR="00856572" w:rsidRDefault="00856572"/>
    <w:p w:rsidR="00E275AA" w:rsidRDefault="00E275AA"/>
    <w:p w:rsidR="00745D12" w:rsidRDefault="00745D12" w:rsidP="00745D12"/>
    <w:p w:rsidR="00E40C26" w:rsidRPr="00745D12" w:rsidRDefault="00745D12" w:rsidP="00745D12">
      <w:pPr>
        <w:tabs>
          <w:tab w:val="left" w:pos="3435"/>
        </w:tabs>
      </w:pPr>
      <w:r>
        <w:tab/>
      </w:r>
    </w:p>
    <w:sectPr w:rsidR="00E40C26" w:rsidRPr="00745D12" w:rsidSect="00E40C26">
      <w:headerReference w:type="even" r:id="rId12"/>
      <w:headerReference w:type="default" r:id="rId13"/>
      <w:footerReference w:type="even" r:id="rId14"/>
      <w:footerReference w:type="default" r:id="rId15"/>
      <w:headerReference w:type="first" r:id="rId16"/>
      <w:footerReference w:type="first" r:id="rId17"/>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004" w:rsidRDefault="000A1004" w:rsidP="00E275AA">
      <w:pPr>
        <w:spacing w:before="0" w:after="0"/>
      </w:pPr>
      <w:r>
        <w:separator/>
      </w:r>
    </w:p>
  </w:endnote>
  <w:endnote w:type="continuationSeparator" w:id="0">
    <w:p w:rsidR="000A1004" w:rsidRDefault="000A1004" w:rsidP="00E275A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8EDF8CF-B580-4D47-B484-E03CE4F62AB1}"/>
    <w:embedBold r:id="rId2" w:fontKey="{11DD940A-342D-4C52-92A7-1559F6E70F90}"/>
    <w:embedItalic r:id="rId3" w:fontKey="{D5EE76A2-A62A-4B90-8B35-D21DF50DC18C}"/>
    <w:embedBoldItalic r:id="rId4" w:fontKey="{9DD254B4-CC4A-49FC-BB66-37AD77852DC8}"/>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5" w:fontKey="{DD7C584A-770A-4B5E-8F2D-A490C60F3EA1}"/>
    <w:embedBold r:id="rId6" w:fontKey="{81F5DBAF-4E21-45AB-96C1-1DF6D907BA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6D" w:rsidRDefault="00A95C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987252"/>
      <w:docPartObj>
        <w:docPartGallery w:val="Page Numbers (Bottom of Page)"/>
        <w:docPartUnique/>
      </w:docPartObj>
    </w:sdtPr>
    <w:sdtEndPr>
      <w:rPr>
        <w:noProof/>
      </w:rPr>
    </w:sdtEndPr>
    <w:sdtContent>
      <w:p w:rsidR="00A95C6D" w:rsidRDefault="00A95C6D">
        <w:pPr>
          <w:pStyle w:val="Footer"/>
        </w:pPr>
        <w:r>
          <w:fldChar w:fldCharType="begin"/>
        </w:r>
        <w:r>
          <w:instrText xml:space="preserve"> PAGE   \* MERGEFORMAT </w:instrText>
        </w:r>
        <w:r>
          <w:fldChar w:fldCharType="separate"/>
        </w:r>
        <w:r w:rsidR="00655B03">
          <w:rPr>
            <w:noProof/>
          </w:rPr>
          <w:t>5</w:t>
        </w:r>
        <w:r>
          <w:rPr>
            <w:noProof/>
          </w:rPr>
          <w:fldChar w:fldCharType="end"/>
        </w:r>
      </w:p>
    </w:sdtContent>
  </w:sdt>
  <w:p w:rsidR="00A95C6D" w:rsidRDefault="00A95C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6D" w:rsidRDefault="00A95C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004" w:rsidRDefault="000A1004" w:rsidP="00E275AA">
      <w:pPr>
        <w:spacing w:before="0" w:after="0"/>
      </w:pPr>
      <w:r>
        <w:separator/>
      </w:r>
    </w:p>
  </w:footnote>
  <w:footnote w:type="continuationSeparator" w:id="0">
    <w:p w:rsidR="000A1004" w:rsidRDefault="000A1004" w:rsidP="00E275A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6D" w:rsidRDefault="00A95C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6D" w:rsidRDefault="00A95C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6D" w:rsidRDefault="00A95C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D601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BADE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8EA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5860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3486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DCD6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0A70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0C0E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3CAC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04A4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2" w15:restartNumberingAfterBreak="0">
    <w:nsid w:val="6DD020C3"/>
    <w:multiLevelType w:val="hybridMultilevel"/>
    <w:tmpl w:val="069C0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7D5F0595"/>
    <w:multiLevelType w:val="hybridMultilevel"/>
    <w:tmpl w:val="B04CF6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saveSubsetFonts/>
  <w:defaultTabStop w:val="720"/>
  <w:defaultTableStyle w:val="McKTableStyle"/>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C26"/>
    <w:rsid w:val="00044DFD"/>
    <w:rsid w:val="00047BB1"/>
    <w:rsid w:val="00066FA8"/>
    <w:rsid w:val="000814AC"/>
    <w:rsid w:val="00087E7C"/>
    <w:rsid w:val="000929EC"/>
    <w:rsid w:val="00095101"/>
    <w:rsid w:val="000977A8"/>
    <w:rsid w:val="000A1004"/>
    <w:rsid w:val="000C4A7E"/>
    <w:rsid w:val="000D4594"/>
    <w:rsid w:val="000E2065"/>
    <w:rsid w:val="000E34E7"/>
    <w:rsid w:val="0010447E"/>
    <w:rsid w:val="00115FD2"/>
    <w:rsid w:val="00150EB6"/>
    <w:rsid w:val="001675E5"/>
    <w:rsid w:val="00167EF8"/>
    <w:rsid w:val="0018534E"/>
    <w:rsid w:val="001D220E"/>
    <w:rsid w:val="001D797C"/>
    <w:rsid w:val="002859D0"/>
    <w:rsid w:val="00290047"/>
    <w:rsid w:val="002A4967"/>
    <w:rsid w:val="002C0541"/>
    <w:rsid w:val="002C16AB"/>
    <w:rsid w:val="002E281F"/>
    <w:rsid w:val="002E5746"/>
    <w:rsid w:val="002F2A1E"/>
    <w:rsid w:val="002F3BC2"/>
    <w:rsid w:val="00313EC8"/>
    <w:rsid w:val="0036465E"/>
    <w:rsid w:val="00380A42"/>
    <w:rsid w:val="003B4F80"/>
    <w:rsid w:val="003C4A97"/>
    <w:rsid w:val="00401221"/>
    <w:rsid w:val="00416AD8"/>
    <w:rsid w:val="0042422B"/>
    <w:rsid w:val="004250CC"/>
    <w:rsid w:val="00437BBE"/>
    <w:rsid w:val="00455B28"/>
    <w:rsid w:val="004568C7"/>
    <w:rsid w:val="00456B5C"/>
    <w:rsid w:val="004618E1"/>
    <w:rsid w:val="004E05C2"/>
    <w:rsid w:val="004F3D41"/>
    <w:rsid w:val="005039AF"/>
    <w:rsid w:val="0050639D"/>
    <w:rsid w:val="005129FB"/>
    <w:rsid w:val="00554398"/>
    <w:rsid w:val="00565FCF"/>
    <w:rsid w:val="005B27F8"/>
    <w:rsid w:val="005B6755"/>
    <w:rsid w:val="005C4FF8"/>
    <w:rsid w:val="005F35FC"/>
    <w:rsid w:val="005F5843"/>
    <w:rsid w:val="00603C9E"/>
    <w:rsid w:val="0063470B"/>
    <w:rsid w:val="0064692E"/>
    <w:rsid w:val="00654634"/>
    <w:rsid w:val="00655B03"/>
    <w:rsid w:val="006663AF"/>
    <w:rsid w:val="0067452C"/>
    <w:rsid w:val="00677E44"/>
    <w:rsid w:val="006D6F50"/>
    <w:rsid w:val="006E7AA5"/>
    <w:rsid w:val="0073670B"/>
    <w:rsid w:val="00745BB5"/>
    <w:rsid w:val="00745D12"/>
    <w:rsid w:val="0076501D"/>
    <w:rsid w:val="007922BA"/>
    <w:rsid w:val="007A1BF9"/>
    <w:rsid w:val="00812F29"/>
    <w:rsid w:val="0083179C"/>
    <w:rsid w:val="00856572"/>
    <w:rsid w:val="008623B6"/>
    <w:rsid w:val="008861F9"/>
    <w:rsid w:val="00886DB3"/>
    <w:rsid w:val="008B2DAA"/>
    <w:rsid w:val="008C7802"/>
    <w:rsid w:val="008E6EEF"/>
    <w:rsid w:val="00900D42"/>
    <w:rsid w:val="00903111"/>
    <w:rsid w:val="00907C83"/>
    <w:rsid w:val="009236B3"/>
    <w:rsid w:val="0095509E"/>
    <w:rsid w:val="00974925"/>
    <w:rsid w:val="00977714"/>
    <w:rsid w:val="00981D20"/>
    <w:rsid w:val="009B11C9"/>
    <w:rsid w:val="009D194D"/>
    <w:rsid w:val="009E730E"/>
    <w:rsid w:val="00A613D7"/>
    <w:rsid w:val="00A72C6E"/>
    <w:rsid w:val="00A738B0"/>
    <w:rsid w:val="00A77DB3"/>
    <w:rsid w:val="00A95C6D"/>
    <w:rsid w:val="00AE310C"/>
    <w:rsid w:val="00B2560C"/>
    <w:rsid w:val="00B52195"/>
    <w:rsid w:val="00B621B4"/>
    <w:rsid w:val="00BA4BE4"/>
    <w:rsid w:val="00BC05B1"/>
    <w:rsid w:val="00BC56B5"/>
    <w:rsid w:val="00BD41FF"/>
    <w:rsid w:val="00BD714B"/>
    <w:rsid w:val="00C020F5"/>
    <w:rsid w:val="00C363DA"/>
    <w:rsid w:val="00C52223"/>
    <w:rsid w:val="00CD1853"/>
    <w:rsid w:val="00CF7BFF"/>
    <w:rsid w:val="00D11FB4"/>
    <w:rsid w:val="00D13E6A"/>
    <w:rsid w:val="00D175B7"/>
    <w:rsid w:val="00D30F4D"/>
    <w:rsid w:val="00D32DC7"/>
    <w:rsid w:val="00D74D4A"/>
    <w:rsid w:val="00DD49AC"/>
    <w:rsid w:val="00DE7D99"/>
    <w:rsid w:val="00DF5C23"/>
    <w:rsid w:val="00E1373B"/>
    <w:rsid w:val="00E14A28"/>
    <w:rsid w:val="00E275AA"/>
    <w:rsid w:val="00E40C26"/>
    <w:rsid w:val="00E71A28"/>
    <w:rsid w:val="00E94419"/>
    <w:rsid w:val="00EC4B5B"/>
    <w:rsid w:val="00EE268B"/>
    <w:rsid w:val="00F04922"/>
    <w:rsid w:val="00F16B7F"/>
    <w:rsid w:val="00F31502"/>
    <w:rsid w:val="00F6016F"/>
    <w:rsid w:val="00F8330F"/>
    <w:rsid w:val="00F92BE4"/>
    <w:rsid w:val="00FA06A3"/>
    <w:rsid w:val="00FA3C2D"/>
    <w:rsid w:val="00FD6F53"/>
    <w:rsid w:val="00FE208A"/>
    <w:rsid w:val="00FF7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C26"/>
    <w:pPr>
      <w:spacing w:before="180" w:after="60" w:line="240" w:lineRule="auto"/>
    </w:pPr>
    <w:rPr>
      <w:rFonts w:ascii="Times New Roman" w:eastAsia="Times New Roman" w:hAnsi="Times New Roman" w:cs="Times New Roman"/>
      <w:sz w:val="26"/>
      <w:szCs w:val="20"/>
      <w:lang w:val="en-GB"/>
    </w:rPr>
  </w:style>
  <w:style w:type="paragraph" w:styleId="Heading1">
    <w:name w:val="heading 1"/>
    <w:basedOn w:val="32chaptertitle"/>
    <w:next w:val="Normal"/>
    <w:link w:val="Heading1Char"/>
    <w:uiPriority w:val="9"/>
    <w:unhideWhenUsed/>
    <w:qFormat/>
    <w:rsid w:val="00E40C26"/>
  </w:style>
  <w:style w:type="paragraph" w:styleId="Heading2">
    <w:name w:val="heading 2"/>
    <w:basedOn w:val="20major"/>
    <w:next w:val="Normal"/>
    <w:link w:val="Heading2Char"/>
    <w:unhideWhenUsed/>
    <w:rsid w:val="00E40C26"/>
  </w:style>
  <w:style w:type="paragraph" w:styleId="Heading3">
    <w:name w:val="heading 3"/>
    <w:basedOn w:val="21minor"/>
    <w:next w:val="Normal"/>
    <w:link w:val="Heading3Char"/>
    <w:unhideWhenUsed/>
    <w:rsid w:val="00E40C26"/>
  </w:style>
  <w:style w:type="paragraph" w:styleId="Heading4">
    <w:name w:val="heading 4"/>
    <w:basedOn w:val="Normal"/>
    <w:next w:val="Normal"/>
    <w:link w:val="Heading4Char"/>
    <w:uiPriority w:val="9"/>
    <w:semiHidden/>
    <w:unhideWhenUsed/>
    <w:rsid w:val="00E40C26"/>
    <w:pPr>
      <w:spacing w:before="240" w:after="0"/>
      <w:ind w:left="864" w:hanging="144"/>
      <w:outlineLvl w:val="3"/>
    </w:pPr>
    <w:rPr>
      <w:smallCaps/>
      <w:spacing w:val="10"/>
      <w:sz w:val="22"/>
      <w:szCs w:val="22"/>
    </w:rPr>
  </w:style>
  <w:style w:type="paragraph" w:styleId="Heading5">
    <w:name w:val="heading 5"/>
    <w:basedOn w:val="Normal"/>
    <w:next w:val="Normal"/>
    <w:link w:val="Heading5Char"/>
    <w:uiPriority w:val="9"/>
    <w:semiHidden/>
    <w:unhideWhenUsed/>
    <w:rsid w:val="00E40C26"/>
    <w:pPr>
      <w:spacing w:before="200" w:after="0"/>
      <w:ind w:left="1008" w:hanging="432"/>
      <w:outlineLvl w:val="4"/>
    </w:pPr>
    <w:rPr>
      <w:rFonts w:asciiTheme="minorHAnsi" w:eastAsiaTheme="minorEastAsia" w:hAnsiTheme="minorHAnsi" w:cstheme="minorBidi"/>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rsid w:val="00E40C26"/>
    <w:pPr>
      <w:spacing w:after="0"/>
      <w:ind w:left="1152" w:hanging="432"/>
      <w:outlineLvl w:val="5"/>
    </w:pPr>
    <w:rPr>
      <w:rFonts w:asciiTheme="minorHAnsi" w:eastAsiaTheme="minorEastAsia" w:hAnsiTheme="minorHAnsi" w:cstheme="minorBidi"/>
      <w:smallCaps/>
      <w:color w:val="ED7D31" w:themeColor="accent2"/>
      <w:spacing w:val="5"/>
      <w:sz w:val="22"/>
    </w:rPr>
  </w:style>
  <w:style w:type="paragraph" w:styleId="Heading7">
    <w:name w:val="heading 7"/>
    <w:basedOn w:val="Normal"/>
    <w:next w:val="Normal"/>
    <w:link w:val="Heading7Char"/>
    <w:uiPriority w:val="9"/>
    <w:semiHidden/>
    <w:unhideWhenUsed/>
    <w:rsid w:val="00E40C26"/>
    <w:pPr>
      <w:spacing w:after="0"/>
      <w:ind w:left="1296" w:hanging="288"/>
      <w:outlineLvl w:val="6"/>
    </w:pPr>
    <w:rPr>
      <w:rFonts w:asciiTheme="minorHAnsi" w:eastAsiaTheme="minorEastAsia" w:hAnsiTheme="minorHAnsi" w:cstheme="minorBidi"/>
      <w:b/>
      <w:smallCaps/>
      <w:color w:val="ED7D31" w:themeColor="accent2"/>
      <w:spacing w:val="10"/>
      <w:sz w:val="20"/>
    </w:rPr>
  </w:style>
  <w:style w:type="paragraph" w:styleId="Heading8">
    <w:name w:val="heading 8"/>
    <w:basedOn w:val="Normal"/>
    <w:next w:val="Normal"/>
    <w:link w:val="Heading8Char"/>
    <w:uiPriority w:val="9"/>
    <w:semiHidden/>
    <w:unhideWhenUsed/>
    <w:rsid w:val="00E40C26"/>
    <w:pPr>
      <w:spacing w:after="0"/>
      <w:ind w:left="1440" w:hanging="432"/>
      <w:outlineLvl w:val="7"/>
    </w:pPr>
    <w:rPr>
      <w:rFonts w:asciiTheme="minorHAnsi" w:eastAsiaTheme="minorEastAsia" w:hAnsiTheme="minorHAnsi" w:cstheme="minorBidi"/>
      <w:b/>
      <w:i/>
      <w:smallCaps/>
      <w:color w:val="C45911" w:themeColor="accent2" w:themeShade="BF"/>
      <w:sz w:val="20"/>
    </w:rPr>
  </w:style>
  <w:style w:type="paragraph" w:styleId="Heading9">
    <w:name w:val="heading 9"/>
    <w:basedOn w:val="Normal"/>
    <w:next w:val="Normal"/>
    <w:link w:val="Heading9Char"/>
    <w:uiPriority w:val="9"/>
    <w:semiHidden/>
    <w:unhideWhenUsed/>
    <w:rsid w:val="00E40C26"/>
    <w:pPr>
      <w:spacing w:after="0"/>
      <w:ind w:left="1584" w:hanging="144"/>
      <w:outlineLvl w:val="8"/>
    </w:pPr>
    <w:rPr>
      <w:rFonts w:asciiTheme="minorHAnsi" w:eastAsiaTheme="minorEastAsia" w:hAnsiTheme="minorHAnsi" w:cstheme="minorBidi"/>
      <w:b/>
      <w:i/>
      <w:smallCaps/>
      <w:color w:val="823B0B"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C26"/>
    <w:rPr>
      <w:rFonts w:ascii="Arial" w:eastAsia="Times New Roman" w:hAnsi="Arial" w:cs="Times New Roman"/>
      <w:sz w:val="44"/>
      <w:szCs w:val="20"/>
    </w:rPr>
  </w:style>
  <w:style w:type="character" w:customStyle="1" w:styleId="Heading2Char">
    <w:name w:val="Heading 2 Char"/>
    <w:basedOn w:val="DefaultParagraphFont"/>
    <w:link w:val="Heading2"/>
    <w:rsid w:val="00E40C26"/>
    <w:rPr>
      <w:rFonts w:ascii="Arial" w:eastAsia="Times New Roman" w:hAnsi="Arial" w:cs="Times New Roman"/>
      <w:b/>
      <w:caps/>
      <w:sz w:val="24"/>
      <w:szCs w:val="20"/>
    </w:rPr>
  </w:style>
  <w:style w:type="character" w:customStyle="1" w:styleId="Heading3Char">
    <w:name w:val="Heading 3 Char"/>
    <w:basedOn w:val="DefaultParagraphFont"/>
    <w:link w:val="Heading3"/>
    <w:rsid w:val="00E40C26"/>
    <w:rPr>
      <w:rFonts w:ascii="Arial" w:eastAsia="Times New Roman" w:hAnsi="Arial" w:cs="Times New Roman"/>
      <w:b/>
      <w:sz w:val="26"/>
      <w:szCs w:val="20"/>
    </w:rPr>
  </w:style>
  <w:style w:type="character" w:customStyle="1" w:styleId="Heading4Char">
    <w:name w:val="Heading 4 Char"/>
    <w:basedOn w:val="DefaultParagraphFont"/>
    <w:link w:val="Heading4"/>
    <w:uiPriority w:val="9"/>
    <w:semiHidden/>
    <w:rsid w:val="00E40C26"/>
    <w:rPr>
      <w:rFonts w:ascii="Times New Roman" w:eastAsia="Times New Roman" w:hAnsi="Times New Roman" w:cs="Times New Roman"/>
      <w:smallCaps/>
      <w:spacing w:val="10"/>
    </w:rPr>
  </w:style>
  <w:style w:type="character" w:customStyle="1" w:styleId="Heading5Char">
    <w:name w:val="Heading 5 Char"/>
    <w:basedOn w:val="DefaultParagraphFont"/>
    <w:link w:val="Heading5"/>
    <w:uiPriority w:val="9"/>
    <w:semiHidden/>
    <w:rsid w:val="00E40C26"/>
    <w:rPr>
      <w:rFonts w:eastAsiaTheme="minorEastAsia"/>
      <w:smallCaps/>
      <w:color w:val="C45911" w:themeColor="accent2" w:themeShade="BF"/>
      <w:spacing w:val="10"/>
      <w:szCs w:val="26"/>
    </w:rPr>
  </w:style>
  <w:style w:type="character" w:customStyle="1" w:styleId="Heading6Char">
    <w:name w:val="Heading 6 Char"/>
    <w:basedOn w:val="DefaultParagraphFont"/>
    <w:link w:val="Heading6"/>
    <w:uiPriority w:val="9"/>
    <w:semiHidden/>
    <w:rsid w:val="00E40C26"/>
    <w:rPr>
      <w:rFonts w:eastAsiaTheme="minorEastAsia"/>
      <w:smallCaps/>
      <w:color w:val="ED7D31" w:themeColor="accent2"/>
      <w:spacing w:val="5"/>
      <w:szCs w:val="20"/>
    </w:rPr>
  </w:style>
  <w:style w:type="character" w:customStyle="1" w:styleId="Heading7Char">
    <w:name w:val="Heading 7 Char"/>
    <w:basedOn w:val="DefaultParagraphFont"/>
    <w:link w:val="Heading7"/>
    <w:uiPriority w:val="9"/>
    <w:semiHidden/>
    <w:rsid w:val="00E40C26"/>
    <w:rPr>
      <w:rFonts w:eastAsiaTheme="minorEastAsia"/>
      <w:b/>
      <w:smallCaps/>
      <w:color w:val="ED7D31" w:themeColor="accent2"/>
      <w:spacing w:val="10"/>
      <w:sz w:val="20"/>
      <w:szCs w:val="20"/>
    </w:rPr>
  </w:style>
  <w:style w:type="character" w:customStyle="1" w:styleId="Heading8Char">
    <w:name w:val="Heading 8 Char"/>
    <w:basedOn w:val="DefaultParagraphFont"/>
    <w:link w:val="Heading8"/>
    <w:uiPriority w:val="9"/>
    <w:semiHidden/>
    <w:rsid w:val="00E40C26"/>
    <w:rPr>
      <w:rFonts w:eastAsiaTheme="minorEastAsia"/>
      <w:b/>
      <w:i/>
      <w:smallCaps/>
      <w:color w:val="C45911" w:themeColor="accent2" w:themeShade="BF"/>
      <w:sz w:val="20"/>
      <w:szCs w:val="20"/>
    </w:rPr>
  </w:style>
  <w:style w:type="character" w:customStyle="1" w:styleId="Heading9Char">
    <w:name w:val="Heading 9 Char"/>
    <w:basedOn w:val="DefaultParagraphFont"/>
    <w:link w:val="Heading9"/>
    <w:uiPriority w:val="9"/>
    <w:semiHidden/>
    <w:rsid w:val="00E40C26"/>
    <w:rPr>
      <w:rFonts w:eastAsiaTheme="minorEastAsia"/>
      <w:b/>
      <w:i/>
      <w:smallCaps/>
      <w:color w:val="823B0B" w:themeColor="accent2" w:themeShade="7F"/>
      <w:sz w:val="20"/>
      <w:szCs w:val="20"/>
    </w:rPr>
  </w:style>
  <w:style w:type="paragraph" w:customStyle="1" w:styleId="01squarebullet">
    <w:name w:val="01 square bullet"/>
    <w:basedOn w:val="Normal"/>
    <w:uiPriority w:val="3"/>
    <w:qFormat/>
    <w:rsid w:val="00E40C26"/>
    <w:pPr>
      <w:numPr>
        <w:numId w:val="1"/>
      </w:numPr>
      <w:spacing w:before="120"/>
      <w:ind w:right="142"/>
    </w:pPr>
  </w:style>
  <w:style w:type="paragraph" w:customStyle="1" w:styleId="02dash">
    <w:name w:val="02 dash"/>
    <w:basedOn w:val="01squarebullet"/>
    <w:uiPriority w:val="4"/>
    <w:qFormat/>
    <w:rsid w:val="00E40C26"/>
    <w:pPr>
      <w:numPr>
        <w:ilvl w:val="1"/>
      </w:numPr>
    </w:pPr>
  </w:style>
  <w:style w:type="paragraph" w:customStyle="1" w:styleId="03opensquarebullet">
    <w:name w:val="03 open square bullet"/>
    <w:basedOn w:val="02dash"/>
    <w:uiPriority w:val="5"/>
    <w:qFormat/>
    <w:rsid w:val="00E40C26"/>
    <w:pPr>
      <w:numPr>
        <w:ilvl w:val="2"/>
      </w:numPr>
    </w:pPr>
  </w:style>
  <w:style w:type="paragraph" w:customStyle="1" w:styleId="04shortdash">
    <w:name w:val="04 short dash"/>
    <w:basedOn w:val="03opensquarebullet"/>
    <w:uiPriority w:val="6"/>
    <w:qFormat/>
    <w:rsid w:val="00E40C26"/>
    <w:pPr>
      <w:numPr>
        <w:ilvl w:val="3"/>
      </w:numPr>
    </w:pPr>
  </w:style>
  <w:style w:type="paragraph" w:customStyle="1" w:styleId="05number1">
    <w:name w:val="05 number/1"/>
    <w:basedOn w:val="Normal"/>
    <w:uiPriority w:val="7"/>
    <w:qFormat/>
    <w:rsid w:val="00E40C26"/>
    <w:pPr>
      <w:numPr>
        <w:numId w:val="2"/>
      </w:numPr>
      <w:spacing w:before="120"/>
    </w:pPr>
  </w:style>
  <w:style w:type="paragraph" w:customStyle="1" w:styleId="06letter2">
    <w:name w:val="06 letter/2"/>
    <w:basedOn w:val="Normal"/>
    <w:uiPriority w:val="8"/>
    <w:qFormat/>
    <w:rsid w:val="00E40C26"/>
    <w:pPr>
      <w:numPr>
        <w:ilvl w:val="1"/>
        <w:numId w:val="2"/>
      </w:numPr>
      <w:spacing w:before="120"/>
      <w:ind w:left="648" w:hanging="288"/>
    </w:pPr>
  </w:style>
  <w:style w:type="paragraph" w:customStyle="1" w:styleId="07number3">
    <w:name w:val="07 number/3"/>
    <w:basedOn w:val="Normal"/>
    <w:uiPriority w:val="9"/>
    <w:qFormat/>
    <w:rsid w:val="00E40C26"/>
    <w:pPr>
      <w:numPr>
        <w:ilvl w:val="2"/>
        <w:numId w:val="2"/>
      </w:numPr>
      <w:spacing w:before="120"/>
      <w:ind w:left="922" w:hanging="274"/>
    </w:pPr>
  </w:style>
  <w:style w:type="paragraph" w:customStyle="1" w:styleId="08letter4">
    <w:name w:val="08 letter/4"/>
    <w:basedOn w:val="Normal"/>
    <w:uiPriority w:val="10"/>
    <w:qFormat/>
    <w:rsid w:val="00E40C26"/>
    <w:pPr>
      <w:numPr>
        <w:ilvl w:val="3"/>
        <w:numId w:val="2"/>
      </w:numPr>
      <w:spacing w:before="120"/>
      <w:ind w:left="1210" w:hanging="288"/>
    </w:pPr>
  </w:style>
  <w:style w:type="paragraph" w:customStyle="1" w:styleId="10tablenormal">
    <w:name w:val="10 table normal"/>
    <w:basedOn w:val="Normal"/>
    <w:rsid w:val="00E40C26"/>
    <w:pPr>
      <w:spacing w:before="120"/>
      <w:ind w:right="142"/>
    </w:pPr>
  </w:style>
  <w:style w:type="paragraph" w:customStyle="1" w:styleId="15tableheading">
    <w:name w:val="15 table heading"/>
    <w:basedOn w:val="10tablenormal"/>
    <w:next w:val="10tablenormal"/>
    <w:rsid w:val="00E40C26"/>
    <w:rPr>
      <w:b/>
    </w:rPr>
  </w:style>
  <w:style w:type="paragraph" w:customStyle="1" w:styleId="20major">
    <w:name w:val="20 major"/>
    <w:basedOn w:val="Normal"/>
    <w:next w:val="Normal"/>
    <w:uiPriority w:val="1"/>
    <w:qFormat/>
    <w:rsid w:val="00E40C26"/>
    <w:pPr>
      <w:keepNext/>
      <w:spacing w:before="540" w:after="120"/>
      <w:ind w:right="360"/>
      <w:outlineLvl w:val="1"/>
    </w:pPr>
    <w:rPr>
      <w:rFonts w:ascii="Arial" w:hAnsi="Arial"/>
      <w:b/>
      <w:caps/>
      <w:sz w:val="24"/>
    </w:rPr>
  </w:style>
  <w:style w:type="paragraph" w:customStyle="1" w:styleId="21minor">
    <w:name w:val="21 minor"/>
    <w:basedOn w:val="Normal"/>
    <w:next w:val="Normal"/>
    <w:uiPriority w:val="2"/>
    <w:qFormat/>
    <w:rsid w:val="00E40C26"/>
    <w:pPr>
      <w:keepNext/>
      <w:spacing w:before="420" w:after="120"/>
      <w:ind w:right="360"/>
      <w:outlineLvl w:val="2"/>
    </w:pPr>
    <w:rPr>
      <w:rFonts w:ascii="Arial" w:hAnsi="Arial"/>
      <w:b/>
    </w:rPr>
  </w:style>
  <w:style w:type="paragraph" w:customStyle="1" w:styleId="22numberedparagraph">
    <w:name w:val="22 numbered paragraph"/>
    <w:basedOn w:val="Normal"/>
    <w:next w:val="Normal"/>
    <w:link w:val="22numberedparagraphChar"/>
    <w:uiPriority w:val="11"/>
    <w:qFormat/>
    <w:rsid w:val="00E40C26"/>
    <w:pPr>
      <w:outlineLvl w:val="3"/>
    </w:pPr>
    <w:rPr>
      <w:rFonts w:ascii="Arial" w:hAnsi="Arial"/>
      <w:b/>
      <w:sz w:val="24"/>
    </w:rPr>
  </w:style>
  <w:style w:type="paragraph" w:customStyle="1" w:styleId="23threesquarebulletsbreak">
    <w:name w:val="23 three square bullets break"/>
    <w:basedOn w:val="Normal"/>
    <w:next w:val="Normal"/>
    <w:rsid w:val="00E40C26"/>
    <w:pPr>
      <w:spacing w:before="600" w:after="480"/>
      <w:jc w:val="center"/>
    </w:pPr>
    <w:rPr>
      <w:rFonts w:ascii="Arial" w:hAnsi="Arial"/>
    </w:rPr>
  </w:style>
  <w:style w:type="paragraph" w:customStyle="1" w:styleId="24enddate">
    <w:name w:val="24 end date"/>
    <w:basedOn w:val="Normal"/>
    <w:next w:val="Normal"/>
    <w:rsid w:val="00E40C26"/>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E40C26"/>
    <w:pPr>
      <w:spacing w:before="600" w:after="360"/>
      <w:ind w:right="1080"/>
      <w:outlineLvl w:val="0"/>
    </w:pPr>
    <w:rPr>
      <w:rFonts w:ascii="Arial" w:hAnsi="Arial"/>
      <w:sz w:val="44"/>
    </w:rPr>
  </w:style>
  <w:style w:type="paragraph" w:customStyle="1" w:styleId="31subtitle">
    <w:name w:val="31 subtitle"/>
    <w:basedOn w:val="Normal"/>
    <w:next w:val="Normal"/>
    <w:rsid w:val="00E40C26"/>
    <w:pPr>
      <w:spacing w:after="360"/>
      <w:ind w:right="3600"/>
    </w:pPr>
    <w:rPr>
      <w:rFonts w:ascii="Arial" w:hAnsi="Arial"/>
      <w:sz w:val="24"/>
    </w:rPr>
  </w:style>
  <w:style w:type="paragraph" w:customStyle="1" w:styleId="32chaptertitle">
    <w:name w:val="32 chapter title"/>
    <w:basedOn w:val="Normal"/>
    <w:next w:val="Normal"/>
    <w:uiPriority w:val="12"/>
    <w:qFormat/>
    <w:rsid w:val="00E40C26"/>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E40C26"/>
    <w:pPr>
      <w:spacing w:after="1000"/>
    </w:pPr>
    <w:rPr>
      <w:rFonts w:ascii="Arial" w:hAnsi="Arial" w:cs="Arial"/>
      <w:sz w:val="44"/>
    </w:rPr>
  </w:style>
  <w:style w:type="paragraph" w:customStyle="1" w:styleId="36opener">
    <w:name w:val="36 opener"/>
    <w:basedOn w:val="Normal"/>
    <w:rsid w:val="00E40C26"/>
    <w:pPr>
      <w:tabs>
        <w:tab w:val="right" w:pos="-261"/>
      </w:tabs>
      <w:spacing w:after="0"/>
      <w:ind w:hanging="2160"/>
    </w:pPr>
  </w:style>
  <w:style w:type="paragraph" w:customStyle="1" w:styleId="39restrictivenote">
    <w:name w:val="39 restrictive note"/>
    <w:basedOn w:val="Normal"/>
    <w:next w:val="Normal"/>
    <w:rsid w:val="00E40C26"/>
    <w:rPr>
      <w:rFonts w:ascii="Arial" w:hAnsi="Arial"/>
      <w:caps/>
      <w:sz w:val="20"/>
    </w:rPr>
  </w:style>
  <w:style w:type="paragraph" w:customStyle="1" w:styleId="40address">
    <w:name w:val="40 address"/>
    <w:basedOn w:val="Normal"/>
    <w:rsid w:val="00E40C26"/>
  </w:style>
  <w:style w:type="paragraph" w:customStyle="1" w:styleId="41closing">
    <w:name w:val="41 closing"/>
    <w:basedOn w:val="Normal"/>
    <w:rsid w:val="00E40C26"/>
    <w:pPr>
      <w:spacing w:before="60"/>
      <w:ind w:left="3958"/>
    </w:pPr>
  </w:style>
  <w:style w:type="paragraph" w:customStyle="1" w:styleId="42cc">
    <w:name w:val="42 cc:"/>
    <w:basedOn w:val="Normal"/>
    <w:rsid w:val="00E40C26"/>
    <w:pPr>
      <w:ind w:left="544" w:hanging="544"/>
    </w:pPr>
  </w:style>
  <w:style w:type="paragraph" w:customStyle="1" w:styleId="60exhnormal">
    <w:name w:val="60 exh normal"/>
    <w:basedOn w:val="Normal"/>
    <w:rsid w:val="00E40C26"/>
    <w:pPr>
      <w:spacing w:before="200" w:after="0"/>
    </w:pPr>
    <w:rPr>
      <w:rFonts w:ascii="Arial" w:hAnsi="Arial"/>
      <w:caps/>
      <w:sz w:val="22"/>
    </w:rPr>
  </w:style>
  <w:style w:type="paragraph" w:styleId="BalloonText">
    <w:name w:val="Balloon Text"/>
    <w:basedOn w:val="Normal"/>
    <w:link w:val="BalloonTextChar"/>
    <w:uiPriority w:val="99"/>
    <w:rsid w:val="00E40C26"/>
    <w:rPr>
      <w:rFonts w:ascii="Tahoma" w:hAnsi="Tahoma" w:cs="Tahoma"/>
      <w:sz w:val="16"/>
      <w:szCs w:val="16"/>
    </w:rPr>
  </w:style>
  <w:style w:type="character" w:customStyle="1" w:styleId="BalloonTextChar">
    <w:name w:val="Balloon Text Char"/>
    <w:basedOn w:val="DefaultParagraphFont"/>
    <w:link w:val="BalloonText"/>
    <w:uiPriority w:val="99"/>
    <w:rsid w:val="00E40C26"/>
    <w:rPr>
      <w:rFonts w:ascii="Tahoma" w:eastAsia="Times New Roman" w:hAnsi="Tahoma" w:cs="Tahoma"/>
      <w:sz w:val="16"/>
      <w:szCs w:val="16"/>
    </w:rPr>
  </w:style>
  <w:style w:type="paragraph" w:styleId="CommentText">
    <w:name w:val="annotation text"/>
    <w:basedOn w:val="Normal"/>
    <w:link w:val="CommentTextChar"/>
    <w:rsid w:val="00E40C26"/>
    <w:rPr>
      <w:sz w:val="20"/>
    </w:rPr>
  </w:style>
  <w:style w:type="character" w:customStyle="1" w:styleId="CommentTextChar">
    <w:name w:val="Comment Text Char"/>
    <w:basedOn w:val="DefaultParagraphFont"/>
    <w:link w:val="CommentText"/>
    <w:rsid w:val="00E40C26"/>
    <w:rPr>
      <w:rFonts w:ascii="Times New Roman" w:eastAsia="Times New Roman" w:hAnsi="Times New Roman" w:cs="Times New Roman"/>
      <w:sz w:val="20"/>
      <w:szCs w:val="20"/>
    </w:rPr>
  </w:style>
  <w:style w:type="paragraph" w:customStyle="1" w:styleId="DocumentID-BL">
    <w:name w:val="DocumentID-BL"/>
    <w:basedOn w:val="Normal"/>
    <w:next w:val="Header"/>
    <w:rsid w:val="00E40C26"/>
    <w:pPr>
      <w:framePr w:hSpace="187" w:vSpace="187" w:wrap="around" w:vAnchor="page" w:hAnchor="page" w:x="721" w:y="15985" w:anchorLock="1"/>
      <w:spacing w:after="0"/>
    </w:pPr>
    <w:rPr>
      <w:sz w:val="16"/>
    </w:rPr>
  </w:style>
  <w:style w:type="paragraph" w:styleId="Header">
    <w:name w:val="header"/>
    <w:basedOn w:val="Normal"/>
    <w:link w:val="HeaderChar"/>
    <w:unhideWhenUsed/>
    <w:rsid w:val="00E40C26"/>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E40C26"/>
    <w:rPr>
      <w:rFonts w:ascii="Arial" w:eastAsia="Times New Roman" w:hAnsi="Arial" w:cs="Times New Roman"/>
      <w:sz w:val="18"/>
      <w:szCs w:val="20"/>
      <w:lang w:val="de-DE"/>
    </w:rPr>
  </w:style>
  <w:style w:type="paragraph" w:customStyle="1" w:styleId="DocumentID-BLGlobal">
    <w:name w:val="DocumentID-BLGlobal"/>
    <w:basedOn w:val="Normal"/>
    <w:next w:val="Header"/>
    <w:rsid w:val="00E40C26"/>
    <w:pPr>
      <w:framePr w:hSpace="187" w:vSpace="187" w:wrap="around" w:vAnchor="page" w:hAnchor="page" w:x="721" w:y="15985" w:anchorLock="1"/>
      <w:spacing w:after="0"/>
    </w:pPr>
    <w:rPr>
      <w:sz w:val="16"/>
    </w:rPr>
  </w:style>
  <w:style w:type="paragraph" w:customStyle="1" w:styleId="DocumentID-BLT">
    <w:name w:val="DocumentID-BLT"/>
    <w:basedOn w:val="DocumentID-BL"/>
    <w:rsid w:val="00E40C26"/>
    <w:pPr>
      <w:framePr w:wrap="around"/>
    </w:pPr>
    <w:rPr>
      <w:vanish/>
      <w:color w:val="FF0000"/>
    </w:rPr>
  </w:style>
  <w:style w:type="paragraph" w:customStyle="1" w:styleId="DocumentID-TR">
    <w:name w:val="DocumentID-TR"/>
    <w:basedOn w:val="Normal"/>
    <w:next w:val="Header"/>
    <w:rsid w:val="00E40C26"/>
    <w:pPr>
      <w:framePr w:w="5760" w:wrap="around" w:vAnchor="page" w:hAnchor="page" w:x="5401" w:y="721" w:anchorLock="1"/>
      <w:spacing w:after="0"/>
      <w:jc w:val="right"/>
    </w:pPr>
    <w:rPr>
      <w:sz w:val="16"/>
    </w:rPr>
  </w:style>
  <w:style w:type="paragraph" w:customStyle="1" w:styleId="DocumentID-TRGlobal">
    <w:name w:val="DocumentID-TRGlobal"/>
    <w:basedOn w:val="Normal"/>
    <w:next w:val="Header"/>
    <w:rsid w:val="00E40C26"/>
    <w:pPr>
      <w:framePr w:w="5760" w:wrap="around" w:vAnchor="page" w:hAnchor="page" w:x="5401" w:y="721" w:anchorLock="1"/>
      <w:spacing w:after="0"/>
      <w:jc w:val="right"/>
    </w:pPr>
    <w:rPr>
      <w:sz w:val="16"/>
    </w:rPr>
  </w:style>
  <w:style w:type="paragraph" w:customStyle="1" w:styleId="DocumentID-TRT">
    <w:name w:val="DocumentID-TRT"/>
    <w:basedOn w:val="DocumentID-TR"/>
    <w:rsid w:val="00E40C26"/>
    <w:pPr>
      <w:framePr w:wrap="around"/>
    </w:pPr>
    <w:rPr>
      <w:vanish/>
      <w:color w:val="FF0000"/>
    </w:rPr>
  </w:style>
  <w:style w:type="character" w:styleId="EndnoteReference">
    <w:name w:val="endnote reference"/>
    <w:basedOn w:val="DefaultParagraphFont"/>
    <w:rsid w:val="00E40C26"/>
    <w:rPr>
      <w:vertAlign w:val="superscript"/>
    </w:rPr>
  </w:style>
  <w:style w:type="paragraph" w:styleId="EndnoteText">
    <w:name w:val="endnote text"/>
    <w:basedOn w:val="Normal"/>
    <w:link w:val="EndnoteTextChar"/>
    <w:rsid w:val="00E40C26"/>
    <w:rPr>
      <w:sz w:val="20"/>
    </w:rPr>
  </w:style>
  <w:style w:type="character" w:customStyle="1" w:styleId="EndnoteTextChar">
    <w:name w:val="Endnote Text Char"/>
    <w:basedOn w:val="DefaultParagraphFont"/>
    <w:link w:val="EndnoteText"/>
    <w:rsid w:val="00E40C26"/>
    <w:rPr>
      <w:rFonts w:ascii="Times New Roman" w:eastAsia="Times New Roman" w:hAnsi="Times New Roman" w:cs="Times New Roman"/>
      <w:sz w:val="20"/>
      <w:szCs w:val="20"/>
    </w:rPr>
  </w:style>
  <w:style w:type="paragraph" w:styleId="EnvelopeAddress">
    <w:name w:val="envelope address"/>
    <w:basedOn w:val="Normal"/>
    <w:unhideWhenUsed/>
    <w:rsid w:val="00E40C26"/>
    <w:pPr>
      <w:framePr w:w="7920" w:h="1980" w:hRule="exact" w:hSpace="180" w:wrap="auto" w:hAnchor="page" w:xAlign="center" w:yAlign="bottom"/>
      <w:spacing w:after="0"/>
      <w:ind w:left="2880"/>
    </w:pPr>
  </w:style>
  <w:style w:type="paragraph" w:styleId="EnvelopeReturn">
    <w:name w:val="envelope return"/>
    <w:basedOn w:val="Normal"/>
    <w:unhideWhenUsed/>
    <w:rsid w:val="00E40C26"/>
    <w:pPr>
      <w:spacing w:after="0"/>
    </w:pPr>
    <w:rPr>
      <w:sz w:val="20"/>
    </w:rPr>
  </w:style>
  <w:style w:type="paragraph" w:styleId="Footer">
    <w:name w:val="footer"/>
    <w:basedOn w:val="Normal"/>
    <w:link w:val="FooterChar"/>
    <w:uiPriority w:val="99"/>
    <w:unhideWhenUsed/>
    <w:rsid w:val="00E40C26"/>
    <w:pPr>
      <w:jc w:val="right"/>
    </w:pPr>
  </w:style>
  <w:style w:type="character" w:customStyle="1" w:styleId="FooterChar">
    <w:name w:val="Footer Char"/>
    <w:basedOn w:val="DefaultParagraphFont"/>
    <w:link w:val="Footer"/>
    <w:uiPriority w:val="99"/>
    <w:rsid w:val="00E40C26"/>
    <w:rPr>
      <w:rFonts w:ascii="Times New Roman" w:eastAsia="Times New Roman" w:hAnsi="Times New Roman" w:cs="Times New Roman"/>
      <w:sz w:val="26"/>
      <w:szCs w:val="20"/>
    </w:rPr>
  </w:style>
  <w:style w:type="character" w:styleId="FootnoteReference">
    <w:name w:val="footnote reference"/>
    <w:basedOn w:val="DefaultParagraphFont"/>
    <w:uiPriority w:val="99"/>
    <w:rsid w:val="00E40C26"/>
    <w:rPr>
      <w:position w:val="6"/>
      <w:sz w:val="18"/>
    </w:rPr>
  </w:style>
  <w:style w:type="paragraph" w:styleId="FootnoteText">
    <w:name w:val="footnote text"/>
    <w:basedOn w:val="Normal"/>
    <w:link w:val="FootnoteTextChar"/>
    <w:uiPriority w:val="99"/>
    <w:rsid w:val="00E40C26"/>
    <w:pPr>
      <w:spacing w:before="0" w:after="0"/>
      <w:ind w:left="142" w:hanging="142"/>
    </w:pPr>
    <w:rPr>
      <w:rFonts w:ascii="Arial" w:hAnsi="Arial"/>
      <w:sz w:val="18"/>
    </w:rPr>
  </w:style>
  <w:style w:type="character" w:customStyle="1" w:styleId="FootnoteTextChar">
    <w:name w:val="Footnote Text Char"/>
    <w:basedOn w:val="DefaultParagraphFont"/>
    <w:link w:val="FootnoteText"/>
    <w:uiPriority w:val="99"/>
    <w:rsid w:val="00E40C26"/>
    <w:rPr>
      <w:rFonts w:ascii="Arial" w:eastAsia="Times New Roman" w:hAnsi="Arial" w:cs="Times New Roman"/>
      <w:sz w:val="18"/>
      <w:szCs w:val="20"/>
    </w:rPr>
  </w:style>
  <w:style w:type="character" w:styleId="LineNumber">
    <w:name w:val="line number"/>
    <w:basedOn w:val="DefaultParagraphFont"/>
    <w:unhideWhenUsed/>
    <w:rsid w:val="00E40C26"/>
  </w:style>
  <w:style w:type="paragraph" w:styleId="MacroText">
    <w:name w:val="macro"/>
    <w:link w:val="MacroTextChar"/>
    <w:rsid w:val="00E40C26"/>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E40C26"/>
    <w:rPr>
      <w:rFonts w:ascii="Arial" w:eastAsia="Times New Roman" w:hAnsi="Arial" w:cs="Times New Roman"/>
      <w:sz w:val="20"/>
      <w:szCs w:val="20"/>
    </w:rPr>
  </w:style>
  <w:style w:type="paragraph" w:styleId="MessageHeader">
    <w:name w:val="Message Header"/>
    <w:basedOn w:val="Normal"/>
    <w:link w:val="MessageHeaderChar"/>
    <w:unhideWhenUsed/>
    <w:rsid w:val="00E40C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E40C26"/>
    <w:rPr>
      <w:rFonts w:ascii="Arial" w:eastAsia="Times New Roman" w:hAnsi="Arial" w:cs="Arial"/>
      <w:sz w:val="24"/>
      <w:szCs w:val="24"/>
      <w:shd w:val="pct20" w:color="auto" w:fill="auto"/>
    </w:rPr>
  </w:style>
  <w:style w:type="character" w:styleId="PageNumber">
    <w:name w:val="page number"/>
    <w:basedOn w:val="DefaultParagraphFont"/>
    <w:rsid w:val="00E40C26"/>
    <w:rPr>
      <w:rFonts w:ascii="Arial" w:hAnsi="Arial"/>
      <w:sz w:val="16"/>
    </w:rPr>
  </w:style>
  <w:style w:type="paragraph" w:customStyle="1" w:styleId="SOPP20major">
    <w:name w:val="SOPP_20 major"/>
    <w:basedOn w:val="Normal"/>
    <w:next w:val="Normal"/>
    <w:rsid w:val="00E40C26"/>
    <w:pPr>
      <w:keepNext/>
      <w:spacing w:before="540" w:after="120"/>
      <w:ind w:right="360"/>
      <w:outlineLvl w:val="2"/>
    </w:pPr>
    <w:rPr>
      <w:rFonts w:ascii="Arial" w:hAnsi="Arial"/>
      <w:b/>
      <w:caps/>
      <w:sz w:val="24"/>
      <w:lang w:val="cs-CZ"/>
    </w:rPr>
  </w:style>
  <w:style w:type="paragraph" w:customStyle="1" w:styleId="SOPP21minor">
    <w:name w:val="SOPP_21 minor"/>
    <w:basedOn w:val="Normal"/>
    <w:next w:val="Normal"/>
    <w:rsid w:val="00E40C26"/>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E40C26"/>
    <w:pPr>
      <w:spacing w:before="780" w:after="360"/>
      <w:ind w:right="1080"/>
      <w:outlineLvl w:val="0"/>
    </w:pPr>
    <w:rPr>
      <w:rFonts w:ascii="Arial" w:hAnsi="Arial"/>
      <w:sz w:val="44"/>
      <w:lang w:val="cs-CZ"/>
    </w:rPr>
  </w:style>
  <w:style w:type="paragraph" w:customStyle="1" w:styleId="SOPP42cc">
    <w:name w:val="SOPP_42 cc:"/>
    <w:basedOn w:val="Normal"/>
    <w:rsid w:val="00E40C26"/>
    <w:pPr>
      <w:spacing w:before="480"/>
      <w:ind w:left="544" w:hanging="544"/>
    </w:pPr>
    <w:rPr>
      <w:lang w:val="cs-CZ"/>
    </w:rPr>
  </w:style>
  <w:style w:type="character" w:customStyle="1" w:styleId="StyleArialLatin13pt">
    <w:name w:val="Style Arial (Latin) 13 pt"/>
    <w:basedOn w:val="DefaultParagraphFont"/>
    <w:rsid w:val="00E40C26"/>
    <w:rPr>
      <w:rFonts w:ascii="Arial" w:hAnsi="Arial" w:cs="Arial"/>
      <w:color w:val="auto"/>
      <w:sz w:val="26"/>
    </w:rPr>
  </w:style>
  <w:style w:type="character" w:customStyle="1" w:styleId="StyleArial14pt">
    <w:name w:val="Style Arial 14 pt"/>
    <w:basedOn w:val="DefaultParagraphFont"/>
    <w:rsid w:val="00E40C26"/>
    <w:rPr>
      <w:rFonts w:ascii="Arial" w:hAnsi="Arial"/>
      <w:color w:val="auto"/>
      <w:sz w:val="28"/>
    </w:rPr>
  </w:style>
  <w:style w:type="paragraph" w:customStyle="1" w:styleId="StyleArial22ptCustomAfter10pt">
    <w:name w:val="Style Arial 22 pt Custom After:  10 pt"/>
    <w:basedOn w:val="Normal"/>
    <w:rsid w:val="00E40C26"/>
    <w:pPr>
      <w:spacing w:after="200"/>
    </w:pPr>
    <w:rPr>
      <w:rFonts w:ascii="Arial" w:hAnsi="Arial"/>
      <w:sz w:val="44"/>
    </w:rPr>
  </w:style>
  <w:style w:type="table" w:styleId="TableGrid">
    <w:name w:val="Table Grid"/>
    <w:basedOn w:val="TableNormal"/>
    <w:rsid w:val="00E40C26"/>
    <w:pPr>
      <w:spacing w:after="1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lient">
    <w:name w:val="Title Page_Client"/>
    <w:basedOn w:val="Normal"/>
    <w:next w:val="Normal"/>
    <w:rsid w:val="00E40C26"/>
    <w:rPr>
      <w:rFonts w:ascii="Arial" w:hAnsi="Arial"/>
      <w:sz w:val="28"/>
    </w:rPr>
  </w:style>
  <w:style w:type="paragraph" w:customStyle="1" w:styleId="TitlePageDisclaimer">
    <w:name w:val="Title Page_Disclaimer"/>
    <w:basedOn w:val="Normal"/>
    <w:rsid w:val="00E40C26"/>
    <w:rPr>
      <w:rFonts w:ascii="Arial" w:hAnsi="Arial"/>
      <w:sz w:val="18"/>
    </w:rPr>
  </w:style>
  <w:style w:type="paragraph" w:customStyle="1" w:styleId="TitlePageDocument">
    <w:name w:val="Title Page_Document"/>
    <w:basedOn w:val="Normal"/>
    <w:rsid w:val="00E40C26"/>
    <w:rPr>
      <w:rFonts w:ascii="Arial" w:hAnsi="Arial" w:cs="Arial"/>
    </w:rPr>
  </w:style>
  <w:style w:type="paragraph" w:customStyle="1" w:styleId="TitlePageTitle">
    <w:name w:val="Title Page_Title"/>
    <w:basedOn w:val="Normal"/>
    <w:next w:val="Normal"/>
    <w:rsid w:val="00E40C26"/>
    <w:pPr>
      <w:spacing w:after="200"/>
    </w:pPr>
    <w:rPr>
      <w:rFonts w:ascii="Arial" w:hAnsi="Arial"/>
      <w:sz w:val="44"/>
    </w:rPr>
  </w:style>
  <w:style w:type="paragraph" w:styleId="TOC1">
    <w:name w:val="toc 1"/>
    <w:basedOn w:val="Normal"/>
    <w:next w:val="Normal"/>
    <w:autoRedefine/>
    <w:rsid w:val="00E40C26"/>
    <w:pPr>
      <w:tabs>
        <w:tab w:val="right" w:pos="8280"/>
      </w:tabs>
      <w:ind w:left="821" w:right="1440" w:hanging="360"/>
    </w:pPr>
    <w:rPr>
      <w:rFonts w:ascii="Arial" w:hAnsi="Arial"/>
      <w:color w:val="002960"/>
    </w:rPr>
  </w:style>
  <w:style w:type="paragraph" w:styleId="TOC2">
    <w:name w:val="toc 2"/>
    <w:basedOn w:val="Normal"/>
    <w:next w:val="Normal"/>
    <w:autoRedefine/>
    <w:rsid w:val="00E40C26"/>
    <w:pPr>
      <w:tabs>
        <w:tab w:val="right" w:pos="8280"/>
      </w:tabs>
      <w:ind w:left="821" w:right="1440"/>
    </w:pPr>
    <w:rPr>
      <w:rFonts w:ascii="Arial" w:hAnsi="Arial"/>
    </w:rPr>
  </w:style>
  <w:style w:type="paragraph" w:styleId="TOC3">
    <w:name w:val="toc 3"/>
    <w:basedOn w:val="TOC2"/>
    <w:next w:val="Normal"/>
    <w:autoRedefine/>
    <w:rsid w:val="00E40C26"/>
    <w:pPr>
      <w:ind w:left="1181"/>
    </w:pPr>
    <w:rPr>
      <w:rFonts w:cs="Arial"/>
    </w:rPr>
  </w:style>
  <w:style w:type="paragraph" w:styleId="TOC4">
    <w:name w:val="toc 4"/>
    <w:basedOn w:val="Normal"/>
    <w:next w:val="Normal"/>
    <w:autoRedefine/>
    <w:rsid w:val="00E40C26"/>
    <w:pPr>
      <w:tabs>
        <w:tab w:val="right" w:leader="dot" w:pos="8309"/>
      </w:tabs>
      <w:ind w:left="720"/>
    </w:pPr>
    <w:rPr>
      <w:rFonts w:ascii="Arial" w:hAnsi="Arial" w:cs="Arial"/>
    </w:rPr>
  </w:style>
  <w:style w:type="paragraph" w:styleId="TOC5">
    <w:name w:val="toc 5"/>
    <w:basedOn w:val="Normal"/>
    <w:next w:val="Normal"/>
    <w:autoRedefine/>
    <w:rsid w:val="00E40C26"/>
    <w:pPr>
      <w:tabs>
        <w:tab w:val="right" w:leader="dot" w:pos="8309"/>
      </w:tabs>
      <w:ind w:left="960"/>
    </w:pPr>
    <w:rPr>
      <w:rFonts w:ascii="Arial" w:hAnsi="Arial" w:cs="Arial"/>
    </w:rPr>
  </w:style>
  <w:style w:type="paragraph" w:styleId="TOC6">
    <w:name w:val="toc 6"/>
    <w:basedOn w:val="Normal"/>
    <w:next w:val="Normal"/>
    <w:autoRedefine/>
    <w:rsid w:val="00E40C26"/>
    <w:pPr>
      <w:tabs>
        <w:tab w:val="right" w:leader="dot" w:pos="8309"/>
      </w:tabs>
      <w:ind w:left="1200"/>
    </w:pPr>
    <w:rPr>
      <w:rFonts w:ascii="Arial" w:hAnsi="Arial" w:cs="Arial"/>
    </w:rPr>
  </w:style>
  <w:style w:type="paragraph" w:styleId="TOC7">
    <w:name w:val="toc 7"/>
    <w:basedOn w:val="Normal"/>
    <w:next w:val="Normal"/>
    <w:autoRedefine/>
    <w:rsid w:val="00E40C26"/>
    <w:rPr>
      <w:rFonts w:ascii="Arial" w:hAnsi="Arial" w:cs="Arial"/>
    </w:rPr>
  </w:style>
  <w:style w:type="paragraph" w:styleId="TOC8">
    <w:name w:val="toc 8"/>
    <w:basedOn w:val="Normal"/>
    <w:next w:val="Normal"/>
    <w:autoRedefine/>
    <w:rsid w:val="00E40C26"/>
    <w:pPr>
      <w:tabs>
        <w:tab w:val="right" w:leader="dot" w:pos="8309"/>
      </w:tabs>
      <w:ind w:left="1680"/>
    </w:pPr>
    <w:rPr>
      <w:rFonts w:ascii="Arial" w:hAnsi="Arial" w:cs="Arial"/>
    </w:rPr>
  </w:style>
  <w:style w:type="paragraph" w:styleId="TOC9">
    <w:name w:val="toc 9"/>
    <w:basedOn w:val="Normal"/>
    <w:next w:val="Normal"/>
    <w:autoRedefine/>
    <w:rsid w:val="00E40C26"/>
    <w:pPr>
      <w:tabs>
        <w:tab w:val="right" w:leader="dot" w:pos="8309"/>
      </w:tabs>
      <w:ind w:left="1920"/>
    </w:pPr>
    <w:rPr>
      <w:rFonts w:ascii="Arial" w:hAnsi="Arial" w:cs="Arial"/>
    </w:rPr>
  </w:style>
  <w:style w:type="table" w:customStyle="1" w:styleId="McKTableStyle">
    <w:name w:val="McKTableStyle"/>
    <w:basedOn w:val="TableNormal"/>
    <w:uiPriority w:val="99"/>
    <w:rsid w:val="00E40C26"/>
    <w:pPr>
      <w:spacing w:before="120" w:after="60" w:line="240" w:lineRule="auto"/>
      <w:ind w:right="289"/>
    </w:pPr>
    <w:rPr>
      <w:rFonts w:ascii="Times New Roman" w:hAnsi="Times New Roman"/>
      <w:sz w:val="26"/>
    </w:rP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styleId="Bibliography">
    <w:name w:val="Bibliography"/>
    <w:basedOn w:val="Normal"/>
    <w:next w:val="Normal"/>
    <w:uiPriority w:val="37"/>
    <w:unhideWhenUsed/>
    <w:rsid w:val="00E40C26"/>
  </w:style>
  <w:style w:type="paragraph" w:styleId="BlockText">
    <w:name w:val="Block Text"/>
    <w:basedOn w:val="Normal"/>
    <w:uiPriority w:val="99"/>
    <w:unhideWhenUsed/>
    <w:rsid w:val="00E40C2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unhideWhenUsed/>
    <w:rsid w:val="00E40C26"/>
    <w:pPr>
      <w:spacing w:after="120"/>
    </w:pPr>
  </w:style>
  <w:style w:type="character" w:customStyle="1" w:styleId="BodyTextChar">
    <w:name w:val="Body Text Char"/>
    <w:basedOn w:val="DefaultParagraphFont"/>
    <w:link w:val="BodyText"/>
    <w:uiPriority w:val="99"/>
    <w:rsid w:val="00E40C26"/>
    <w:rPr>
      <w:rFonts w:ascii="Times New Roman" w:eastAsia="Times New Roman" w:hAnsi="Times New Roman" w:cs="Times New Roman"/>
      <w:sz w:val="26"/>
      <w:szCs w:val="20"/>
    </w:rPr>
  </w:style>
  <w:style w:type="paragraph" w:styleId="BodyText2">
    <w:name w:val="Body Text 2"/>
    <w:basedOn w:val="Normal"/>
    <w:link w:val="BodyText2Char"/>
    <w:uiPriority w:val="99"/>
    <w:unhideWhenUsed/>
    <w:rsid w:val="00E40C26"/>
    <w:pPr>
      <w:spacing w:after="120" w:line="480" w:lineRule="auto"/>
    </w:pPr>
  </w:style>
  <w:style w:type="character" w:customStyle="1" w:styleId="BodyText2Char">
    <w:name w:val="Body Text 2 Char"/>
    <w:basedOn w:val="DefaultParagraphFont"/>
    <w:link w:val="BodyText2"/>
    <w:uiPriority w:val="99"/>
    <w:rsid w:val="00E40C26"/>
    <w:rPr>
      <w:rFonts w:ascii="Times New Roman" w:eastAsia="Times New Roman" w:hAnsi="Times New Roman" w:cs="Times New Roman"/>
      <w:sz w:val="26"/>
      <w:szCs w:val="20"/>
    </w:rPr>
  </w:style>
  <w:style w:type="paragraph" w:styleId="BodyText3">
    <w:name w:val="Body Text 3"/>
    <w:basedOn w:val="Normal"/>
    <w:link w:val="BodyText3Char"/>
    <w:uiPriority w:val="99"/>
    <w:unhideWhenUsed/>
    <w:rsid w:val="00E40C26"/>
    <w:pPr>
      <w:spacing w:after="120"/>
    </w:pPr>
    <w:rPr>
      <w:sz w:val="16"/>
      <w:szCs w:val="16"/>
    </w:rPr>
  </w:style>
  <w:style w:type="character" w:customStyle="1" w:styleId="BodyText3Char">
    <w:name w:val="Body Text 3 Char"/>
    <w:basedOn w:val="DefaultParagraphFont"/>
    <w:link w:val="BodyText3"/>
    <w:uiPriority w:val="99"/>
    <w:rsid w:val="00E40C26"/>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E40C26"/>
    <w:pPr>
      <w:spacing w:after="180"/>
      <w:ind w:firstLine="360"/>
    </w:pPr>
  </w:style>
  <w:style w:type="character" w:customStyle="1" w:styleId="BodyTextFirstIndentChar">
    <w:name w:val="Body Text First Indent Char"/>
    <w:basedOn w:val="BodyTextChar"/>
    <w:link w:val="BodyTextFirstIndent"/>
    <w:uiPriority w:val="99"/>
    <w:rsid w:val="00E40C26"/>
    <w:rPr>
      <w:rFonts w:ascii="Times New Roman" w:eastAsia="Times New Roman" w:hAnsi="Times New Roman" w:cs="Times New Roman"/>
      <w:sz w:val="26"/>
      <w:szCs w:val="20"/>
    </w:rPr>
  </w:style>
  <w:style w:type="paragraph" w:styleId="BodyTextIndent">
    <w:name w:val="Body Text Indent"/>
    <w:basedOn w:val="Normal"/>
    <w:link w:val="BodyTextIndentChar"/>
    <w:uiPriority w:val="99"/>
    <w:unhideWhenUsed/>
    <w:rsid w:val="00E40C26"/>
    <w:pPr>
      <w:spacing w:after="120"/>
      <w:ind w:left="360"/>
    </w:pPr>
  </w:style>
  <w:style w:type="character" w:customStyle="1" w:styleId="BodyTextIndentChar">
    <w:name w:val="Body Text Indent Char"/>
    <w:basedOn w:val="DefaultParagraphFont"/>
    <w:link w:val="BodyTextIndent"/>
    <w:uiPriority w:val="99"/>
    <w:rsid w:val="00E40C26"/>
    <w:rPr>
      <w:rFonts w:ascii="Times New Roman" w:eastAsia="Times New Roman" w:hAnsi="Times New Roman" w:cs="Times New Roman"/>
      <w:sz w:val="26"/>
      <w:szCs w:val="20"/>
    </w:rPr>
  </w:style>
  <w:style w:type="paragraph" w:styleId="BodyTextFirstIndent2">
    <w:name w:val="Body Text First Indent 2"/>
    <w:basedOn w:val="BodyTextIndent"/>
    <w:link w:val="BodyTextFirstIndent2Char"/>
    <w:uiPriority w:val="99"/>
    <w:unhideWhenUsed/>
    <w:rsid w:val="00E40C26"/>
    <w:pPr>
      <w:spacing w:after="180"/>
      <w:ind w:firstLine="360"/>
    </w:pPr>
  </w:style>
  <w:style w:type="character" w:customStyle="1" w:styleId="BodyTextFirstIndent2Char">
    <w:name w:val="Body Text First Indent 2 Char"/>
    <w:basedOn w:val="BodyTextIndentChar"/>
    <w:link w:val="BodyTextFirstIndent2"/>
    <w:uiPriority w:val="99"/>
    <w:rsid w:val="00E40C26"/>
    <w:rPr>
      <w:rFonts w:ascii="Times New Roman" w:eastAsia="Times New Roman" w:hAnsi="Times New Roman" w:cs="Times New Roman"/>
      <w:sz w:val="26"/>
      <w:szCs w:val="20"/>
    </w:rPr>
  </w:style>
  <w:style w:type="paragraph" w:styleId="BodyTextIndent2">
    <w:name w:val="Body Text Indent 2"/>
    <w:basedOn w:val="Normal"/>
    <w:link w:val="BodyTextIndent2Char"/>
    <w:uiPriority w:val="99"/>
    <w:unhideWhenUsed/>
    <w:rsid w:val="00E40C26"/>
    <w:pPr>
      <w:spacing w:after="120" w:line="480" w:lineRule="auto"/>
      <w:ind w:left="360"/>
    </w:pPr>
  </w:style>
  <w:style w:type="character" w:customStyle="1" w:styleId="BodyTextIndent2Char">
    <w:name w:val="Body Text Indent 2 Char"/>
    <w:basedOn w:val="DefaultParagraphFont"/>
    <w:link w:val="BodyTextIndent2"/>
    <w:uiPriority w:val="99"/>
    <w:rsid w:val="00E40C26"/>
    <w:rPr>
      <w:rFonts w:ascii="Times New Roman" w:eastAsia="Times New Roman" w:hAnsi="Times New Roman" w:cs="Times New Roman"/>
      <w:sz w:val="26"/>
      <w:szCs w:val="20"/>
    </w:rPr>
  </w:style>
  <w:style w:type="paragraph" w:styleId="BodyTextIndent3">
    <w:name w:val="Body Text Indent 3"/>
    <w:basedOn w:val="Normal"/>
    <w:link w:val="BodyTextIndent3Char"/>
    <w:uiPriority w:val="99"/>
    <w:unhideWhenUsed/>
    <w:rsid w:val="00E40C26"/>
    <w:pPr>
      <w:spacing w:after="120"/>
      <w:ind w:left="360"/>
    </w:pPr>
    <w:rPr>
      <w:sz w:val="16"/>
      <w:szCs w:val="16"/>
    </w:rPr>
  </w:style>
  <w:style w:type="character" w:customStyle="1" w:styleId="BodyTextIndent3Char">
    <w:name w:val="Body Text Indent 3 Char"/>
    <w:basedOn w:val="DefaultParagraphFont"/>
    <w:link w:val="BodyTextIndent3"/>
    <w:uiPriority w:val="99"/>
    <w:rsid w:val="00E40C26"/>
    <w:rPr>
      <w:rFonts w:ascii="Times New Roman" w:eastAsia="Times New Roman" w:hAnsi="Times New Roman" w:cs="Times New Roman"/>
      <w:sz w:val="16"/>
      <w:szCs w:val="16"/>
    </w:rPr>
  </w:style>
  <w:style w:type="character" w:styleId="BookTitle">
    <w:name w:val="Book Title"/>
    <w:basedOn w:val="DefaultParagraphFont"/>
    <w:uiPriority w:val="33"/>
    <w:unhideWhenUsed/>
    <w:rsid w:val="00E40C26"/>
    <w:rPr>
      <w:b/>
      <w:bCs/>
      <w:smallCaps/>
      <w:spacing w:val="5"/>
    </w:rPr>
  </w:style>
  <w:style w:type="paragraph" w:styleId="Caption">
    <w:name w:val="caption"/>
    <w:basedOn w:val="Normal"/>
    <w:next w:val="Normal"/>
    <w:uiPriority w:val="35"/>
    <w:unhideWhenUsed/>
    <w:qFormat/>
    <w:rsid w:val="00E40C26"/>
    <w:pPr>
      <w:spacing w:after="200"/>
    </w:pPr>
    <w:rPr>
      <w:b/>
      <w:bCs/>
      <w:color w:val="5B9BD5" w:themeColor="accent1"/>
      <w:sz w:val="18"/>
      <w:szCs w:val="18"/>
    </w:rPr>
  </w:style>
  <w:style w:type="paragraph" w:styleId="Closing">
    <w:name w:val="Closing"/>
    <w:basedOn w:val="Normal"/>
    <w:link w:val="ClosingChar"/>
    <w:uiPriority w:val="99"/>
    <w:unhideWhenUsed/>
    <w:rsid w:val="00E40C26"/>
    <w:pPr>
      <w:spacing w:after="0"/>
      <w:ind w:left="4320"/>
    </w:pPr>
  </w:style>
  <w:style w:type="character" w:customStyle="1" w:styleId="ClosingChar">
    <w:name w:val="Closing Char"/>
    <w:basedOn w:val="DefaultParagraphFont"/>
    <w:link w:val="Closing"/>
    <w:uiPriority w:val="99"/>
    <w:rsid w:val="00E40C26"/>
    <w:rPr>
      <w:rFonts w:ascii="Times New Roman" w:eastAsia="Times New Roman" w:hAnsi="Times New Roman" w:cs="Times New Roman"/>
      <w:sz w:val="26"/>
      <w:szCs w:val="20"/>
    </w:rPr>
  </w:style>
  <w:style w:type="character" w:styleId="CommentReference">
    <w:name w:val="annotation reference"/>
    <w:basedOn w:val="DefaultParagraphFont"/>
    <w:unhideWhenUsed/>
    <w:rsid w:val="00E40C26"/>
    <w:rPr>
      <w:sz w:val="16"/>
      <w:szCs w:val="16"/>
    </w:rPr>
  </w:style>
  <w:style w:type="paragraph" w:styleId="CommentSubject">
    <w:name w:val="annotation subject"/>
    <w:basedOn w:val="CommentText"/>
    <w:next w:val="CommentText"/>
    <w:link w:val="CommentSubjectChar"/>
    <w:uiPriority w:val="99"/>
    <w:unhideWhenUsed/>
    <w:rsid w:val="00E40C26"/>
    <w:rPr>
      <w:b/>
      <w:bCs/>
    </w:rPr>
  </w:style>
  <w:style w:type="character" w:customStyle="1" w:styleId="CommentSubjectChar">
    <w:name w:val="Comment Subject Char"/>
    <w:basedOn w:val="CommentTextChar"/>
    <w:link w:val="CommentSubject"/>
    <w:uiPriority w:val="99"/>
    <w:rsid w:val="00E40C26"/>
    <w:rPr>
      <w:rFonts w:ascii="Times New Roman" w:eastAsia="Times New Roman" w:hAnsi="Times New Roman" w:cs="Times New Roman"/>
      <w:b/>
      <w:bCs/>
      <w:sz w:val="20"/>
      <w:szCs w:val="20"/>
    </w:rPr>
  </w:style>
  <w:style w:type="paragraph" w:styleId="Date">
    <w:name w:val="Date"/>
    <w:basedOn w:val="Normal"/>
    <w:next w:val="Normal"/>
    <w:link w:val="DateChar"/>
    <w:uiPriority w:val="99"/>
    <w:unhideWhenUsed/>
    <w:rsid w:val="00E40C26"/>
  </w:style>
  <w:style w:type="character" w:customStyle="1" w:styleId="DateChar">
    <w:name w:val="Date Char"/>
    <w:basedOn w:val="DefaultParagraphFont"/>
    <w:link w:val="Date"/>
    <w:uiPriority w:val="99"/>
    <w:rsid w:val="00E40C26"/>
    <w:rPr>
      <w:rFonts w:ascii="Times New Roman" w:eastAsia="Times New Roman" w:hAnsi="Times New Roman" w:cs="Times New Roman"/>
      <w:sz w:val="26"/>
      <w:szCs w:val="20"/>
    </w:rPr>
  </w:style>
  <w:style w:type="paragraph" w:styleId="DocumentMap">
    <w:name w:val="Document Map"/>
    <w:basedOn w:val="Normal"/>
    <w:link w:val="DocumentMapChar"/>
    <w:uiPriority w:val="99"/>
    <w:unhideWhenUsed/>
    <w:rsid w:val="00E40C26"/>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E40C26"/>
    <w:rPr>
      <w:rFonts w:ascii="Tahoma" w:eastAsia="Times New Roman" w:hAnsi="Tahoma" w:cs="Tahoma"/>
      <w:sz w:val="16"/>
      <w:szCs w:val="16"/>
    </w:rPr>
  </w:style>
  <w:style w:type="paragraph" w:styleId="E-mailSignature">
    <w:name w:val="E-mail Signature"/>
    <w:basedOn w:val="Normal"/>
    <w:link w:val="E-mailSignatureChar"/>
    <w:uiPriority w:val="99"/>
    <w:unhideWhenUsed/>
    <w:rsid w:val="00E40C26"/>
    <w:pPr>
      <w:spacing w:after="0"/>
    </w:pPr>
  </w:style>
  <w:style w:type="character" w:customStyle="1" w:styleId="E-mailSignatureChar">
    <w:name w:val="E-mail Signature Char"/>
    <w:basedOn w:val="DefaultParagraphFont"/>
    <w:link w:val="E-mailSignature"/>
    <w:uiPriority w:val="99"/>
    <w:rsid w:val="00E40C26"/>
    <w:rPr>
      <w:rFonts w:ascii="Times New Roman" w:eastAsia="Times New Roman" w:hAnsi="Times New Roman" w:cs="Times New Roman"/>
      <w:sz w:val="26"/>
      <w:szCs w:val="20"/>
    </w:rPr>
  </w:style>
  <w:style w:type="character" w:styleId="Emphasis">
    <w:name w:val="Emphasis"/>
    <w:basedOn w:val="DefaultParagraphFont"/>
    <w:uiPriority w:val="20"/>
    <w:unhideWhenUsed/>
    <w:rsid w:val="00E40C26"/>
    <w:rPr>
      <w:i/>
      <w:iCs/>
    </w:rPr>
  </w:style>
  <w:style w:type="character" w:styleId="FollowedHyperlink">
    <w:name w:val="FollowedHyperlink"/>
    <w:basedOn w:val="DefaultParagraphFont"/>
    <w:uiPriority w:val="99"/>
    <w:unhideWhenUsed/>
    <w:rsid w:val="00E40C26"/>
    <w:rPr>
      <w:color w:val="954F72" w:themeColor="followedHyperlink"/>
      <w:u w:val="single"/>
    </w:rPr>
  </w:style>
  <w:style w:type="character" w:styleId="HTMLAcronym">
    <w:name w:val="HTML Acronym"/>
    <w:basedOn w:val="DefaultParagraphFont"/>
    <w:uiPriority w:val="99"/>
    <w:unhideWhenUsed/>
    <w:rsid w:val="00E40C26"/>
  </w:style>
  <w:style w:type="paragraph" w:styleId="HTMLAddress">
    <w:name w:val="HTML Address"/>
    <w:basedOn w:val="Normal"/>
    <w:link w:val="HTMLAddressChar"/>
    <w:uiPriority w:val="99"/>
    <w:unhideWhenUsed/>
    <w:rsid w:val="00E40C26"/>
    <w:pPr>
      <w:spacing w:after="0"/>
    </w:pPr>
    <w:rPr>
      <w:i/>
      <w:iCs/>
    </w:rPr>
  </w:style>
  <w:style w:type="character" w:customStyle="1" w:styleId="HTMLAddressChar">
    <w:name w:val="HTML Address Char"/>
    <w:basedOn w:val="DefaultParagraphFont"/>
    <w:link w:val="HTMLAddress"/>
    <w:uiPriority w:val="99"/>
    <w:rsid w:val="00E40C26"/>
    <w:rPr>
      <w:rFonts w:ascii="Times New Roman" w:eastAsia="Times New Roman" w:hAnsi="Times New Roman" w:cs="Times New Roman"/>
      <w:i/>
      <w:iCs/>
      <w:sz w:val="26"/>
      <w:szCs w:val="20"/>
    </w:rPr>
  </w:style>
  <w:style w:type="character" w:styleId="HTMLCite">
    <w:name w:val="HTML Cite"/>
    <w:basedOn w:val="DefaultParagraphFont"/>
    <w:uiPriority w:val="99"/>
    <w:unhideWhenUsed/>
    <w:rsid w:val="00E40C26"/>
    <w:rPr>
      <w:i/>
      <w:iCs/>
    </w:rPr>
  </w:style>
  <w:style w:type="character" w:styleId="HTMLCode">
    <w:name w:val="HTML Code"/>
    <w:basedOn w:val="DefaultParagraphFont"/>
    <w:uiPriority w:val="99"/>
    <w:unhideWhenUsed/>
    <w:rsid w:val="00E40C26"/>
    <w:rPr>
      <w:rFonts w:ascii="Consolas" w:hAnsi="Consolas"/>
      <w:sz w:val="20"/>
      <w:szCs w:val="20"/>
    </w:rPr>
  </w:style>
  <w:style w:type="character" w:styleId="HTMLDefinition">
    <w:name w:val="HTML Definition"/>
    <w:basedOn w:val="DefaultParagraphFont"/>
    <w:uiPriority w:val="99"/>
    <w:unhideWhenUsed/>
    <w:rsid w:val="00E40C26"/>
    <w:rPr>
      <w:i/>
      <w:iCs/>
    </w:rPr>
  </w:style>
  <w:style w:type="character" w:styleId="HTMLKeyboard">
    <w:name w:val="HTML Keyboard"/>
    <w:basedOn w:val="DefaultParagraphFont"/>
    <w:uiPriority w:val="99"/>
    <w:unhideWhenUsed/>
    <w:rsid w:val="00E40C26"/>
    <w:rPr>
      <w:rFonts w:ascii="Consolas" w:hAnsi="Consolas"/>
      <w:sz w:val="20"/>
      <w:szCs w:val="20"/>
    </w:rPr>
  </w:style>
  <w:style w:type="paragraph" w:styleId="HTMLPreformatted">
    <w:name w:val="HTML Preformatted"/>
    <w:basedOn w:val="Normal"/>
    <w:link w:val="HTMLPreformattedChar"/>
    <w:uiPriority w:val="99"/>
    <w:unhideWhenUsed/>
    <w:rsid w:val="00E40C26"/>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E40C26"/>
    <w:rPr>
      <w:rFonts w:ascii="Consolas" w:eastAsia="Times New Roman" w:hAnsi="Consolas" w:cs="Times New Roman"/>
      <w:sz w:val="20"/>
      <w:szCs w:val="20"/>
    </w:rPr>
  </w:style>
  <w:style w:type="character" w:styleId="HTMLSample">
    <w:name w:val="HTML Sample"/>
    <w:basedOn w:val="DefaultParagraphFont"/>
    <w:uiPriority w:val="99"/>
    <w:unhideWhenUsed/>
    <w:rsid w:val="00E40C26"/>
    <w:rPr>
      <w:rFonts w:ascii="Consolas" w:hAnsi="Consolas"/>
      <w:sz w:val="24"/>
      <w:szCs w:val="24"/>
    </w:rPr>
  </w:style>
  <w:style w:type="character" w:styleId="HTMLTypewriter">
    <w:name w:val="HTML Typewriter"/>
    <w:basedOn w:val="DefaultParagraphFont"/>
    <w:uiPriority w:val="99"/>
    <w:unhideWhenUsed/>
    <w:rsid w:val="00E40C26"/>
    <w:rPr>
      <w:rFonts w:ascii="Consolas" w:hAnsi="Consolas"/>
      <w:sz w:val="20"/>
      <w:szCs w:val="20"/>
    </w:rPr>
  </w:style>
  <w:style w:type="character" w:styleId="HTMLVariable">
    <w:name w:val="HTML Variable"/>
    <w:basedOn w:val="DefaultParagraphFont"/>
    <w:uiPriority w:val="99"/>
    <w:unhideWhenUsed/>
    <w:rsid w:val="00E40C26"/>
    <w:rPr>
      <w:i/>
      <w:iCs/>
    </w:rPr>
  </w:style>
  <w:style w:type="character" w:styleId="Hyperlink">
    <w:name w:val="Hyperlink"/>
    <w:basedOn w:val="DefaultParagraphFont"/>
    <w:uiPriority w:val="99"/>
    <w:unhideWhenUsed/>
    <w:rsid w:val="00E40C26"/>
    <w:rPr>
      <w:color w:val="0563C1" w:themeColor="hyperlink"/>
      <w:u w:val="single"/>
    </w:rPr>
  </w:style>
  <w:style w:type="paragraph" w:styleId="Index1">
    <w:name w:val="index 1"/>
    <w:basedOn w:val="Normal"/>
    <w:next w:val="Normal"/>
    <w:autoRedefine/>
    <w:uiPriority w:val="99"/>
    <w:unhideWhenUsed/>
    <w:rsid w:val="00E40C26"/>
    <w:pPr>
      <w:spacing w:after="0"/>
      <w:ind w:left="260" w:hanging="260"/>
    </w:pPr>
  </w:style>
  <w:style w:type="paragraph" w:styleId="Index2">
    <w:name w:val="index 2"/>
    <w:basedOn w:val="Normal"/>
    <w:next w:val="Normal"/>
    <w:autoRedefine/>
    <w:uiPriority w:val="99"/>
    <w:unhideWhenUsed/>
    <w:rsid w:val="00E40C26"/>
    <w:pPr>
      <w:spacing w:after="0"/>
      <w:ind w:left="520" w:hanging="260"/>
    </w:pPr>
  </w:style>
  <w:style w:type="paragraph" w:styleId="Index3">
    <w:name w:val="index 3"/>
    <w:basedOn w:val="Normal"/>
    <w:next w:val="Normal"/>
    <w:autoRedefine/>
    <w:uiPriority w:val="99"/>
    <w:unhideWhenUsed/>
    <w:rsid w:val="00E40C26"/>
    <w:pPr>
      <w:spacing w:after="0"/>
      <w:ind w:left="780" w:hanging="260"/>
    </w:pPr>
  </w:style>
  <w:style w:type="paragraph" w:styleId="Index4">
    <w:name w:val="index 4"/>
    <w:basedOn w:val="Normal"/>
    <w:next w:val="Normal"/>
    <w:autoRedefine/>
    <w:uiPriority w:val="99"/>
    <w:unhideWhenUsed/>
    <w:rsid w:val="00E40C26"/>
    <w:pPr>
      <w:spacing w:after="0"/>
      <w:ind w:left="1040" w:hanging="260"/>
    </w:pPr>
  </w:style>
  <w:style w:type="paragraph" w:styleId="Index5">
    <w:name w:val="index 5"/>
    <w:basedOn w:val="Normal"/>
    <w:next w:val="Normal"/>
    <w:autoRedefine/>
    <w:uiPriority w:val="99"/>
    <w:unhideWhenUsed/>
    <w:rsid w:val="00E40C26"/>
    <w:pPr>
      <w:spacing w:after="0"/>
      <w:ind w:left="1300" w:hanging="260"/>
    </w:pPr>
  </w:style>
  <w:style w:type="paragraph" w:styleId="Index6">
    <w:name w:val="index 6"/>
    <w:basedOn w:val="Normal"/>
    <w:next w:val="Normal"/>
    <w:autoRedefine/>
    <w:uiPriority w:val="99"/>
    <w:unhideWhenUsed/>
    <w:rsid w:val="00E40C26"/>
    <w:pPr>
      <w:spacing w:after="0"/>
      <w:ind w:left="1560" w:hanging="260"/>
    </w:pPr>
  </w:style>
  <w:style w:type="paragraph" w:styleId="Index7">
    <w:name w:val="index 7"/>
    <w:basedOn w:val="Normal"/>
    <w:next w:val="Normal"/>
    <w:autoRedefine/>
    <w:uiPriority w:val="99"/>
    <w:unhideWhenUsed/>
    <w:rsid w:val="00E40C26"/>
    <w:pPr>
      <w:spacing w:after="0"/>
      <w:ind w:left="1820" w:hanging="260"/>
    </w:pPr>
  </w:style>
  <w:style w:type="paragraph" w:styleId="Index8">
    <w:name w:val="index 8"/>
    <w:basedOn w:val="Normal"/>
    <w:next w:val="Normal"/>
    <w:autoRedefine/>
    <w:uiPriority w:val="99"/>
    <w:unhideWhenUsed/>
    <w:rsid w:val="00E40C26"/>
    <w:pPr>
      <w:spacing w:after="0"/>
      <w:ind w:left="2080" w:hanging="260"/>
    </w:pPr>
  </w:style>
  <w:style w:type="paragraph" w:styleId="Index9">
    <w:name w:val="index 9"/>
    <w:basedOn w:val="Normal"/>
    <w:next w:val="Normal"/>
    <w:autoRedefine/>
    <w:uiPriority w:val="99"/>
    <w:unhideWhenUsed/>
    <w:rsid w:val="00E40C26"/>
    <w:pPr>
      <w:spacing w:after="0"/>
      <w:ind w:left="2340" w:hanging="260"/>
    </w:pPr>
  </w:style>
  <w:style w:type="paragraph" w:styleId="IndexHeading">
    <w:name w:val="index heading"/>
    <w:basedOn w:val="Normal"/>
    <w:next w:val="Index1"/>
    <w:uiPriority w:val="99"/>
    <w:unhideWhenUsed/>
    <w:rsid w:val="00E40C26"/>
    <w:rPr>
      <w:rFonts w:asciiTheme="majorHAnsi" w:eastAsiaTheme="majorEastAsia" w:hAnsiTheme="majorHAnsi" w:cstheme="majorBidi"/>
      <w:b/>
      <w:bCs/>
    </w:rPr>
  </w:style>
  <w:style w:type="character" w:styleId="IntenseEmphasis">
    <w:name w:val="Intense Emphasis"/>
    <w:basedOn w:val="DefaultParagraphFont"/>
    <w:uiPriority w:val="21"/>
    <w:unhideWhenUsed/>
    <w:rsid w:val="00E40C26"/>
    <w:rPr>
      <w:b/>
      <w:bCs/>
      <w:i/>
      <w:iCs/>
      <w:color w:val="5B9BD5" w:themeColor="accent1"/>
    </w:rPr>
  </w:style>
  <w:style w:type="paragraph" w:styleId="IntenseQuote">
    <w:name w:val="Intense Quote"/>
    <w:basedOn w:val="Normal"/>
    <w:next w:val="Normal"/>
    <w:link w:val="IntenseQuoteChar"/>
    <w:uiPriority w:val="30"/>
    <w:unhideWhenUsed/>
    <w:rsid w:val="00E40C26"/>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E40C26"/>
    <w:rPr>
      <w:rFonts w:ascii="Times New Roman" w:eastAsia="Times New Roman" w:hAnsi="Times New Roman" w:cs="Times New Roman"/>
      <w:b/>
      <w:bCs/>
      <w:i/>
      <w:iCs/>
      <w:color w:val="5B9BD5" w:themeColor="accent1"/>
      <w:sz w:val="26"/>
      <w:szCs w:val="20"/>
    </w:rPr>
  </w:style>
  <w:style w:type="character" w:styleId="IntenseReference">
    <w:name w:val="Intense Reference"/>
    <w:basedOn w:val="DefaultParagraphFont"/>
    <w:uiPriority w:val="32"/>
    <w:unhideWhenUsed/>
    <w:rsid w:val="00E40C26"/>
    <w:rPr>
      <w:b/>
      <w:bCs/>
      <w:smallCaps/>
      <w:color w:val="ED7D31" w:themeColor="accent2"/>
      <w:spacing w:val="5"/>
      <w:u w:val="single"/>
    </w:rPr>
  </w:style>
  <w:style w:type="paragraph" w:styleId="List">
    <w:name w:val="List"/>
    <w:basedOn w:val="Normal"/>
    <w:uiPriority w:val="99"/>
    <w:unhideWhenUsed/>
    <w:rsid w:val="00E40C26"/>
    <w:pPr>
      <w:ind w:left="360" w:hanging="360"/>
      <w:contextualSpacing/>
    </w:pPr>
  </w:style>
  <w:style w:type="paragraph" w:styleId="List2">
    <w:name w:val="List 2"/>
    <w:basedOn w:val="Normal"/>
    <w:uiPriority w:val="99"/>
    <w:unhideWhenUsed/>
    <w:rsid w:val="00E40C26"/>
    <w:pPr>
      <w:ind w:left="720" w:hanging="360"/>
      <w:contextualSpacing/>
    </w:pPr>
  </w:style>
  <w:style w:type="paragraph" w:styleId="List3">
    <w:name w:val="List 3"/>
    <w:basedOn w:val="Normal"/>
    <w:uiPriority w:val="99"/>
    <w:unhideWhenUsed/>
    <w:rsid w:val="00E40C26"/>
    <w:pPr>
      <w:ind w:left="1080" w:hanging="360"/>
      <w:contextualSpacing/>
    </w:pPr>
  </w:style>
  <w:style w:type="paragraph" w:styleId="List4">
    <w:name w:val="List 4"/>
    <w:basedOn w:val="Normal"/>
    <w:uiPriority w:val="99"/>
    <w:unhideWhenUsed/>
    <w:rsid w:val="00E40C26"/>
    <w:pPr>
      <w:ind w:left="1440" w:hanging="360"/>
      <w:contextualSpacing/>
    </w:pPr>
  </w:style>
  <w:style w:type="paragraph" w:styleId="List5">
    <w:name w:val="List 5"/>
    <w:basedOn w:val="Normal"/>
    <w:uiPriority w:val="99"/>
    <w:unhideWhenUsed/>
    <w:rsid w:val="00E40C26"/>
    <w:pPr>
      <w:ind w:left="1800" w:hanging="360"/>
      <w:contextualSpacing/>
    </w:pPr>
  </w:style>
  <w:style w:type="paragraph" w:styleId="ListBullet">
    <w:name w:val="List Bullet"/>
    <w:basedOn w:val="Normal"/>
    <w:uiPriority w:val="99"/>
    <w:unhideWhenUsed/>
    <w:rsid w:val="00E40C26"/>
    <w:pPr>
      <w:tabs>
        <w:tab w:val="num" w:pos="360"/>
      </w:tabs>
      <w:ind w:left="360" w:hanging="360"/>
      <w:contextualSpacing/>
    </w:pPr>
  </w:style>
  <w:style w:type="paragraph" w:styleId="ListBullet2">
    <w:name w:val="List Bullet 2"/>
    <w:basedOn w:val="Normal"/>
    <w:uiPriority w:val="99"/>
    <w:unhideWhenUsed/>
    <w:rsid w:val="00E40C26"/>
    <w:pPr>
      <w:tabs>
        <w:tab w:val="num" w:pos="720"/>
      </w:tabs>
      <w:ind w:left="720" w:hanging="360"/>
      <w:contextualSpacing/>
    </w:pPr>
  </w:style>
  <w:style w:type="paragraph" w:styleId="ListBullet3">
    <w:name w:val="List Bullet 3"/>
    <w:basedOn w:val="Normal"/>
    <w:uiPriority w:val="99"/>
    <w:unhideWhenUsed/>
    <w:rsid w:val="00E40C26"/>
    <w:pPr>
      <w:tabs>
        <w:tab w:val="num" w:pos="1080"/>
      </w:tabs>
      <w:ind w:left="1080" w:hanging="360"/>
      <w:contextualSpacing/>
    </w:pPr>
  </w:style>
  <w:style w:type="paragraph" w:styleId="ListBullet4">
    <w:name w:val="List Bullet 4"/>
    <w:basedOn w:val="Normal"/>
    <w:uiPriority w:val="99"/>
    <w:unhideWhenUsed/>
    <w:rsid w:val="00E40C26"/>
    <w:pPr>
      <w:tabs>
        <w:tab w:val="num" w:pos="1440"/>
      </w:tabs>
      <w:ind w:left="1440" w:hanging="360"/>
      <w:contextualSpacing/>
    </w:pPr>
  </w:style>
  <w:style w:type="paragraph" w:styleId="ListBullet5">
    <w:name w:val="List Bullet 5"/>
    <w:basedOn w:val="Normal"/>
    <w:uiPriority w:val="99"/>
    <w:unhideWhenUsed/>
    <w:rsid w:val="00E40C26"/>
    <w:pPr>
      <w:tabs>
        <w:tab w:val="num" w:pos="1800"/>
      </w:tabs>
      <w:ind w:left="1800" w:hanging="360"/>
      <w:contextualSpacing/>
    </w:pPr>
  </w:style>
  <w:style w:type="paragraph" w:styleId="ListContinue">
    <w:name w:val="List Continue"/>
    <w:basedOn w:val="Normal"/>
    <w:uiPriority w:val="99"/>
    <w:unhideWhenUsed/>
    <w:rsid w:val="00E40C26"/>
    <w:pPr>
      <w:spacing w:after="120"/>
      <w:ind w:left="360"/>
      <w:contextualSpacing/>
    </w:pPr>
  </w:style>
  <w:style w:type="paragraph" w:styleId="ListContinue2">
    <w:name w:val="List Continue 2"/>
    <w:basedOn w:val="Normal"/>
    <w:uiPriority w:val="99"/>
    <w:unhideWhenUsed/>
    <w:rsid w:val="00E40C26"/>
    <w:pPr>
      <w:spacing w:after="120"/>
      <w:ind w:left="720"/>
      <w:contextualSpacing/>
    </w:pPr>
  </w:style>
  <w:style w:type="paragraph" w:styleId="ListContinue3">
    <w:name w:val="List Continue 3"/>
    <w:basedOn w:val="Normal"/>
    <w:uiPriority w:val="99"/>
    <w:unhideWhenUsed/>
    <w:rsid w:val="00E40C26"/>
    <w:pPr>
      <w:spacing w:after="120"/>
      <w:ind w:left="1080"/>
      <w:contextualSpacing/>
    </w:pPr>
  </w:style>
  <w:style w:type="paragraph" w:styleId="ListContinue4">
    <w:name w:val="List Continue 4"/>
    <w:basedOn w:val="Normal"/>
    <w:uiPriority w:val="99"/>
    <w:unhideWhenUsed/>
    <w:rsid w:val="00E40C26"/>
    <w:pPr>
      <w:spacing w:after="120"/>
      <w:ind w:left="1440"/>
      <w:contextualSpacing/>
    </w:pPr>
  </w:style>
  <w:style w:type="paragraph" w:styleId="ListContinue5">
    <w:name w:val="List Continue 5"/>
    <w:basedOn w:val="Normal"/>
    <w:uiPriority w:val="99"/>
    <w:unhideWhenUsed/>
    <w:rsid w:val="00E40C26"/>
    <w:pPr>
      <w:spacing w:after="120"/>
      <w:ind w:left="1800"/>
      <w:contextualSpacing/>
    </w:pPr>
  </w:style>
  <w:style w:type="paragraph" w:styleId="ListNumber">
    <w:name w:val="List Number"/>
    <w:basedOn w:val="Normal"/>
    <w:uiPriority w:val="99"/>
    <w:unhideWhenUsed/>
    <w:rsid w:val="00E40C26"/>
    <w:pPr>
      <w:tabs>
        <w:tab w:val="num" w:pos="360"/>
      </w:tabs>
      <w:ind w:left="360" w:hanging="360"/>
      <w:contextualSpacing/>
    </w:pPr>
  </w:style>
  <w:style w:type="paragraph" w:styleId="ListNumber2">
    <w:name w:val="List Number 2"/>
    <w:basedOn w:val="Normal"/>
    <w:uiPriority w:val="99"/>
    <w:unhideWhenUsed/>
    <w:rsid w:val="00E40C26"/>
    <w:pPr>
      <w:tabs>
        <w:tab w:val="num" w:pos="720"/>
      </w:tabs>
      <w:ind w:left="720" w:hanging="360"/>
      <w:contextualSpacing/>
    </w:pPr>
  </w:style>
  <w:style w:type="paragraph" w:styleId="ListNumber3">
    <w:name w:val="List Number 3"/>
    <w:basedOn w:val="Normal"/>
    <w:uiPriority w:val="99"/>
    <w:unhideWhenUsed/>
    <w:rsid w:val="00E40C26"/>
    <w:pPr>
      <w:tabs>
        <w:tab w:val="num" w:pos="1080"/>
      </w:tabs>
      <w:ind w:left="1080" w:hanging="360"/>
      <w:contextualSpacing/>
    </w:pPr>
  </w:style>
  <w:style w:type="paragraph" w:styleId="ListNumber4">
    <w:name w:val="List Number 4"/>
    <w:basedOn w:val="Normal"/>
    <w:uiPriority w:val="99"/>
    <w:unhideWhenUsed/>
    <w:rsid w:val="00E40C26"/>
    <w:pPr>
      <w:tabs>
        <w:tab w:val="num" w:pos="1440"/>
      </w:tabs>
      <w:ind w:left="1440" w:hanging="360"/>
      <w:contextualSpacing/>
    </w:pPr>
  </w:style>
  <w:style w:type="paragraph" w:styleId="ListNumber5">
    <w:name w:val="List Number 5"/>
    <w:basedOn w:val="Normal"/>
    <w:uiPriority w:val="99"/>
    <w:unhideWhenUsed/>
    <w:rsid w:val="00E40C26"/>
    <w:pPr>
      <w:tabs>
        <w:tab w:val="num" w:pos="1800"/>
      </w:tabs>
      <w:ind w:left="1800" w:hanging="360"/>
      <w:contextualSpacing/>
    </w:pPr>
  </w:style>
  <w:style w:type="paragraph" w:styleId="ListParagraph">
    <w:name w:val="List Paragraph"/>
    <w:basedOn w:val="Normal"/>
    <w:uiPriority w:val="34"/>
    <w:unhideWhenUsed/>
    <w:qFormat/>
    <w:rsid w:val="00E40C26"/>
    <w:pPr>
      <w:ind w:left="720"/>
      <w:contextualSpacing/>
    </w:pPr>
  </w:style>
  <w:style w:type="paragraph" w:styleId="NoSpacing">
    <w:name w:val="No Spacing"/>
    <w:uiPriority w:val="1"/>
    <w:unhideWhenUsed/>
    <w:rsid w:val="00E40C26"/>
    <w:pPr>
      <w:spacing w:after="0" w:line="240" w:lineRule="auto"/>
    </w:pPr>
    <w:rPr>
      <w:rFonts w:ascii="Times New Roman" w:eastAsia="Times New Roman" w:hAnsi="Times New Roman" w:cs="Times New Roman"/>
      <w:sz w:val="26"/>
      <w:szCs w:val="20"/>
    </w:rPr>
  </w:style>
  <w:style w:type="paragraph" w:styleId="NormalWeb">
    <w:name w:val="Normal (Web)"/>
    <w:basedOn w:val="Normal"/>
    <w:uiPriority w:val="99"/>
    <w:unhideWhenUsed/>
    <w:rsid w:val="00E40C26"/>
    <w:rPr>
      <w:sz w:val="24"/>
      <w:szCs w:val="24"/>
    </w:rPr>
  </w:style>
  <w:style w:type="paragraph" w:styleId="NormalIndent">
    <w:name w:val="Normal Indent"/>
    <w:basedOn w:val="Normal"/>
    <w:uiPriority w:val="99"/>
    <w:unhideWhenUsed/>
    <w:rsid w:val="00E40C26"/>
    <w:pPr>
      <w:ind w:left="720"/>
    </w:pPr>
  </w:style>
  <w:style w:type="paragraph" w:styleId="NoteHeading">
    <w:name w:val="Note Heading"/>
    <w:basedOn w:val="Normal"/>
    <w:next w:val="Normal"/>
    <w:link w:val="NoteHeadingChar"/>
    <w:uiPriority w:val="99"/>
    <w:unhideWhenUsed/>
    <w:rsid w:val="00E40C26"/>
    <w:pPr>
      <w:spacing w:after="0"/>
    </w:pPr>
  </w:style>
  <w:style w:type="character" w:customStyle="1" w:styleId="NoteHeadingChar">
    <w:name w:val="Note Heading Char"/>
    <w:basedOn w:val="DefaultParagraphFont"/>
    <w:link w:val="NoteHeading"/>
    <w:uiPriority w:val="99"/>
    <w:rsid w:val="00E40C26"/>
    <w:rPr>
      <w:rFonts w:ascii="Times New Roman" w:eastAsia="Times New Roman" w:hAnsi="Times New Roman" w:cs="Times New Roman"/>
      <w:sz w:val="26"/>
      <w:szCs w:val="20"/>
    </w:rPr>
  </w:style>
  <w:style w:type="character" w:styleId="PlaceholderText">
    <w:name w:val="Placeholder Text"/>
    <w:basedOn w:val="DefaultParagraphFont"/>
    <w:uiPriority w:val="99"/>
    <w:semiHidden/>
    <w:rsid w:val="00E40C26"/>
    <w:rPr>
      <w:color w:val="808080"/>
    </w:rPr>
  </w:style>
  <w:style w:type="paragraph" w:styleId="PlainText">
    <w:name w:val="Plain Text"/>
    <w:basedOn w:val="Normal"/>
    <w:link w:val="PlainTextChar"/>
    <w:uiPriority w:val="99"/>
    <w:unhideWhenUsed/>
    <w:rsid w:val="00E40C26"/>
    <w:pPr>
      <w:spacing w:after="0"/>
    </w:pPr>
    <w:rPr>
      <w:rFonts w:ascii="Consolas" w:hAnsi="Consolas"/>
      <w:sz w:val="21"/>
      <w:szCs w:val="21"/>
    </w:rPr>
  </w:style>
  <w:style w:type="character" w:customStyle="1" w:styleId="PlainTextChar">
    <w:name w:val="Plain Text Char"/>
    <w:basedOn w:val="DefaultParagraphFont"/>
    <w:link w:val="PlainText"/>
    <w:uiPriority w:val="99"/>
    <w:rsid w:val="00E40C26"/>
    <w:rPr>
      <w:rFonts w:ascii="Consolas" w:eastAsia="Times New Roman" w:hAnsi="Consolas" w:cs="Times New Roman"/>
      <w:sz w:val="21"/>
      <w:szCs w:val="21"/>
    </w:rPr>
  </w:style>
  <w:style w:type="paragraph" w:styleId="Quote">
    <w:name w:val="Quote"/>
    <w:basedOn w:val="Normal"/>
    <w:next w:val="Normal"/>
    <w:link w:val="QuoteChar"/>
    <w:uiPriority w:val="29"/>
    <w:unhideWhenUsed/>
    <w:rsid w:val="00E40C26"/>
    <w:rPr>
      <w:i/>
      <w:iCs/>
      <w:color w:val="000000" w:themeColor="text1"/>
    </w:rPr>
  </w:style>
  <w:style w:type="character" w:customStyle="1" w:styleId="QuoteChar">
    <w:name w:val="Quote Char"/>
    <w:basedOn w:val="DefaultParagraphFont"/>
    <w:link w:val="Quote"/>
    <w:uiPriority w:val="29"/>
    <w:rsid w:val="00E40C26"/>
    <w:rPr>
      <w:rFonts w:ascii="Times New Roman" w:eastAsia="Times New Roman" w:hAnsi="Times New Roman" w:cs="Times New Roman"/>
      <w:i/>
      <w:iCs/>
      <w:color w:val="000000" w:themeColor="text1"/>
      <w:sz w:val="26"/>
      <w:szCs w:val="20"/>
    </w:rPr>
  </w:style>
  <w:style w:type="paragraph" w:styleId="Salutation">
    <w:name w:val="Salutation"/>
    <w:basedOn w:val="Normal"/>
    <w:next w:val="Normal"/>
    <w:link w:val="SalutationChar"/>
    <w:uiPriority w:val="99"/>
    <w:unhideWhenUsed/>
    <w:rsid w:val="00E40C26"/>
  </w:style>
  <w:style w:type="character" w:customStyle="1" w:styleId="SalutationChar">
    <w:name w:val="Salutation Char"/>
    <w:basedOn w:val="DefaultParagraphFont"/>
    <w:link w:val="Salutation"/>
    <w:uiPriority w:val="99"/>
    <w:rsid w:val="00E40C26"/>
    <w:rPr>
      <w:rFonts w:ascii="Times New Roman" w:eastAsia="Times New Roman" w:hAnsi="Times New Roman" w:cs="Times New Roman"/>
      <w:sz w:val="26"/>
      <w:szCs w:val="20"/>
    </w:rPr>
  </w:style>
  <w:style w:type="paragraph" w:styleId="Signature">
    <w:name w:val="Signature"/>
    <w:basedOn w:val="Normal"/>
    <w:link w:val="SignatureChar"/>
    <w:uiPriority w:val="99"/>
    <w:unhideWhenUsed/>
    <w:rsid w:val="00E40C26"/>
    <w:pPr>
      <w:spacing w:after="0"/>
      <w:ind w:left="4320"/>
    </w:pPr>
  </w:style>
  <w:style w:type="character" w:customStyle="1" w:styleId="SignatureChar">
    <w:name w:val="Signature Char"/>
    <w:basedOn w:val="DefaultParagraphFont"/>
    <w:link w:val="Signature"/>
    <w:uiPriority w:val="99"/>
    <w:rsid w:val="00E40C26"/>
    <w:rPr>
      <w:rFonts w:ascii="Times New Roman" w:eastAsia="Times New Roman" w:hAnsi="Times New Roman" w:cs="Times New Roman"/>
      <w:sz w:val="26"/>
      <w:szCs w:val="20"/>
    </w:rPr>
  </w:style>
  <w:style w:type="character" w:styleId="Strong">
    <w:name w:val="Strong"/>
    <w:basedOn w:val="DefaultParagraphFont"/>
    <w:uiPriority w:val="22"/>
    <w:unhideWhenUsed/>
    <w:rsid w:val="00E40C26"/>
    <w:rPr>
      <w:b/>
      <w:bCs/>
    </w:rPr>
  </w:style>
  <w:style w:type="paragraph" w:styleId="Subtitle">
    <w:name w:val="Subtitle"/>
    <w:basedOn w:val="Normal"/>
    <w:next w:val="Normal"/>
    <w:link w:val="SubtitleChar"/>
    <w:uiPriority w:val="11"/>
    <w:unhideWhenUsed/>
    <w:qFormat/>
    <w:rsid w:val="00E40C2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E40C26"/>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unhideWhenUsed/>
    <w:rsid w:val="00E40C26"/>
    <w:rPr>
      <w:i/>
      <w:iCs/>
      <w:color w:val="808080" w:themeColor="text1" w:themeTint="7F"/>
    </w:rPr>
  </w:style>
  <w:style w:type="character" w:styleId="SubtleReference">
    <w:name w:val="Subtle Reference"/>
    <w:basedOn w:val="DefaultParagraphFont"/>
    <w:uiPriority w:val="31"/>
    <w:unhideWhenUsed/>
    <w:rsid w:val="00E40C26"/>
    <w:rPr>
      <w:smallCaps/>
      <w:color w:val="ED7D31" w:themeColor="accent2"/>
      <w:u w:val="single"/>
    </w:rPr>
  </w:style>
  <w:style w:type="paragraph" w:styleId="TableofAuthorities">
    <w:name w:val="table of authorities"/>
    <w:basedOn w:val="Normal"/>
    <w:next w:val="Normal"/>
    <w:uiPriority w:val="99"/>
    <w:unhideWhenUsed/>
    <w:rsid w:val="00E40C26"/>
    <w:pPr>
      <w:spacing w:after="0"/>
      <w:ind w:left="260" w:hanging="260"/>
    </w:pPr>
  </w:style>
  <w:style w:type="paragraph" w:styleId="TableofFigures">
    <w:name w:val="table of figures"/>
    <w:basedOn w:val="Normal"/>
    <w:next w:val="Normal"/>
    <w:uiPriority w:val="99"/>
    <w:unhideWhenUsed/>
    <w:rsid w:val="00E40C26"/>
    <w:pPr>
      <w:spacing w:after="0"/>
    </w:pPr>
  </w:style>
  <w:style w:type="paragraph" w:styleId="Title">
    <w:name w:val="Title"/>
    <w:basedOn w:val="Normal"/>
    <w:next w:val="Normal"/>
    <w:link w:val="TitleChar"/>
    <w:uiPriority w:val="10"/>
    <w:unhideWhenUsed/>
    <w:qFormat/>
    <w:rsid w:val="00E40C26"/>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40C26"/>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unhideWhenUsed/>
    <w:rsid w:val="00E40C2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E40C26"/>
    <w:pPr>
      <w:keepNext/>
      <w:keepLines/>
      <w:pageBreakBefore w:val="0"/>
      <w:spacing w:before="480" w:after="0"/>
      <w:ind w:left="0" w:right="0" w:firstLine="0"/>
      <w:outlineLvl w:val="9"/>
    </w:pPr>
    <w:rPr>
      <w:rFonts w:asciiTheme="majorHAnsi" w:eastAsiaTheme="majorEastAsia" w:hAnsiTheme="majorHAnsi" w:cstheme="majorBidi"/>
      <w:b/>
      <w:bCs/>
      <w:color w:val="2E74B5" w:themeColor="accent1" w:themeShade="BF"/>
      <w:sz w:val="28"/>
      <w:szCs w:val="28"/>
    </w:rPr>
  </w:style>
  <w:style w:type="paragraph" w:customStyle="1" w:styleId="38letterdate">
    <w:name w:val="38 letter date"/>
    <w:basedOn w:val="Normal"/>
    <w:next w:val="Normal"/>
    <w:uiPriority w:val="49"/>
    <w:rsid w:val="00E40C26"/>
    <w:pPr>
      <w:spacing w:before="1680"/>
      <w:jc w:val="right"/>
    </w:pPr>
  </w:style>
  <w:style w:type="paragraph" w:customStyle="1" w:styleId="StyleArialLatin12ptLeft-2cmAfter0pt">
    <w:name w:val="Style Arial (Latin) 12 pt Left:  -2 cm After:  0 pt"/>
    <w:basedOn w:val="Normal"/>
    <w:uiPriority w:val="49"/>
    <w:rsid w:val="00E40C26"/>
    <w:pPr>
      <w:spacing w:after="0"/>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E40C26"/>
    <w:pPr>
      <w:ind w:left="-573" w:right="1077" w:hanging="561"/>
    </w:pPr>
    <w:rPr>
      <w:rFonts w:ascii="Arial" w:hAnsi="Arial" w:cs="Arial"/>
    </w:rPr>
  </w:style>
  <w:style w:type="paragraph" w:customStyle="1" w:styleId="StyleArial10ptLeft-2cm">
    <w:name w:val="Style Arial 10 pt Left:  -2 cm"/>
    <w:basedOn w:val="Normal"/>
    <w:uiPriority w:val="49"/>
    <w:rsid w:val="00E40C26"/>
    <w:rPr>
      <w:rFonts w:ascii="Arial" w:hAnsi="Arial"/>
      <w:sz w:val="20"/>
    </w:rPr>
  </w:style>
  <w:style w:type="character" w:customStyle="1" w:styleId="22numberedparagraphChar">
    <w:name w:val="22 numbered paragraph Char"/>
    <w:basedOn w:val="DefaultParagraphFont"/>
    <w:link w:val="22numberedparagraph"/>
    <w:uiPriority w:val="11"/>
    <w:rsid w:val="00E40C26"/>
    <w:rPr>
      <w:rFonts w:ascii="Arial" w:eastAsia="Times New Roman" w:hAnsi="Arial" w:cs="Times New Roman"/>
      <w:b/>
      <w:sz w:val="24"/>
      <w:szCs w:val="20"/>
    </w:rPr>
  </w:style>
  <w:style w:type="numbering" w:customStyle="1" w:styleId="NoList1">
    <w:name w:val="No List1"/>
    <w:next w:val="NoList"/>
    <w:uiPriority w:val="99"/>
    <w:semiHidden/>
    <w:unhideWhenUsed/>
    <w:rsid w:val="00E275AA"/>
  </w:style>
  <w:style w:type="numbering" w:customStyle="1" w:styleId="NoList11">
    <w:name w:val="No List11"/>
    <w:next w:val="NoList"/>
    <w:uiPriority w:val="99"/>
    <w:semiHidden/>
    <w:unhideWhenUsed/>
    <w:rsid w:val="00E275AA"/>
  </w:style>
  <w:style w:type="character" w:customStyle="1" w:styleId="apple-tab-span">
    <w:name w:val="apple-tab-span"/>
    <w:basedOn w:val="DefaultParagraphFont"/>
    <w:rsid w:val="00E27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192">
      <w:bodyDiv w:val="1"/>
      <w:marLeft w:val="0"/>
      <w:marRight w:val="0"/>
      <w:marTop w:val="0"/>
      <w:marBottom w:val="0"/>
      <w:divBdr>
        <w:top w:val="none" w:sz="0" w:space="0" w:color="auto"/>
        <w:left w:val="none" w:sz="0" w:space="0" w:color="auto"/>
        <w:bottom w:val="none" w:sz="0" w:space="0" w:color="auto"/>
        <w:right w:val="none" w:sz="0" w:space="0" w:color="auto"/>
      </w:divBdr>
    </w:div>
    <w:div w:id="815409">
      <w:bodyDiv w:val="1"/>
      <w:marLeft w:val="0"/>
      <w:marRight w:val="0"/>
      <w:marTop w:val="0"/>
      <w:marBottom w:val="0"/>
      <w:divBdr>
        <w:top w:val="none" w:sz="0" w:space="0" w:color="auto"/>
        <w:left w:val="none" w:sz="0" w:space="0" w:color="auto"/>
        <w:bottom w:val="none" w:sz="0" w:space="0" w:color="auto"/>
        <w:right w:val="none" w:sz="0" w:space="0" w:color="auto"/>
      </w:divBdr>
    </w:div>
    <w:div w:id="1131345">
      <w:bodyDiv w:val="1"/>
      <w:marLeft w:val="0"/>
      <w:marRight w:val="0"/>
      <w:marTop w:val="0"/>
      <w:marBottom w:val="0"/>
      <w:divBdr>
        <w:top w:val="none" w:sz="0" w:space="0" w:color="auto"/>
        <w:left w:val="none" w:sz="0" w:space="0" w:color="auto"/>
        <w:bottom w:val="none" w:sz="0" w:space="0" w:color="auto"/>
        <w:right w:val="none" w:sz="0" w:space="0" w:color="auto"/>
      </w:divBdr>
    </w:div>
    <w:div w:id="2172108">
      <w:bodyDiv w:val="1"/>
      <w:marLeft w:val="0"/>
      <w:marRight w:val="0"/>
      <w:marTop w:val="0"/>
      <w:marBottom w:val="0"/>
      <w:divBdr>
        <w:top w:val="none" w:sz="0" w:space="0" w:color="auto"/>
        <w:left w:val="none" w:sz="0" w:space="0" w:color="auto"/>
        <w:bottom w:val="none" w:sz="0" w:space="0" w:color="auto"/>
        <w:right w:val="none" w:sz="0" w:space="0" w:color="auto"/>
      </w:divBdr>
    </w:div>
    <w:div w:id="2517321">
      <w:bodyDiv w:val="1"/>
      <w:marLeft w:val="0"/>
      <w:marRight w:val="0"/>
      <w:marTop w:val="0"/>
      <w:marBottom w:val="0"/>
      <w:divBdr>
        <w:top w:val="none" w:sz="0" w:space="0" w:color="auto"/>
        <w:left w:val="none" w:sz="0" w:space="0" w:color="auto"/>
        <w:bottom w:val="none" w:sz="0" w:space="0" w:color="auto"/>
        <w:right w:val="none" w:sz="0" w:space="0" w:color="auto"/>
      </w:divBdr>
    </w:div>
    <w:div w:id="2824306">
      <w:bodyDiv w:val="1"/>
      <w:marLeft w:val="0"/>
      <w:marRight w:val="0"/>
      <w:marTop w:val="0"/>
      <w:marBottom w:val="0"/>
      <w:divBdr>
        <w:top w:val="none" w:sz="0" w:space="0" w:color="auto"/>
        <w:left w:val="none" w:sz="0" w:space="0" w:color="auto"/>
        <w:bottom w:val="none" w:sz="0" w:space="0" w:color="auto"/>
        <w:right w:val="none" w:sz="0" w:space="0" w:color="auto"/>
      </w:divBdr>
    </w:div>
    <w:div w:id="4214195">
      <w:bodyDiv w:val="1"/>
      <w:marLeft w:val="0"/>
      <w:marRight w:val="0"/>
      <w:marTop w:val="0"/>
      <w:marBottom w:val="0"/>
      <w:divBdr>
        <w:top w:val="none" w:sz="0" w:space="0" w:color="auto"/>
        <w:left w:val="none" w:sz="0" w:space="0" w:color="auto"/>
        <w:bottom w:val="none" w:sz="0" w:space="0" w:color="auto"/>
        <w:right w:val="none" w:sz="0" w:space="0" w:color="auto"/>
      </w:divBdr>
    </w:div>
    <w:div w:id="4794327">
      <w:bodyDiv w:val="1"/>
      <w:marLeft w:val="0"/>
      <w:marRight w:val="0"/>
      <w:marTop w:val="0"/>
      <w:marBottom w:val="0"/>
      <w:divBdr>
        <w:top w:val="none" w:sz="0" w:space="0" w:color="auto"/>
        <w:left w:val="none" w:sz="0" w:space="0" w:color="auto"/>
        <w:bottom w:val="none" w:sz="0" w:space="0" w:color="auto"/>
        <w:right w:val="none" w:sz="0" w:space="0" w:color="auto"/>
      </w:divBdr>
    </w:div>
    <w:div w:id="4868831">
      <w:bodyDiv w:val="1"/>
      <w:marLeft w:val="0"/>
      <w:marRight w:val="0"/>
      <w:marTop w:val="0"/>
      <w:marBottom w:val="0"/>
      <w:divBdr>
        <w:top w:val="none" w:sz="0" w:space="0" w:color="auto"/>
        <w:left w:val="none" w:sz="0" w:space="0" w:color="auto"/>
        <w:bottom w:val="none" w:sz="0" w:space="0" w:color="auto"/>
        <w:right w:val="none" w:sz="0" w:space="0" w:color="auto"/>
      </w:divBdr>
    </w:div>
    <w:div w:id="4985612">
      <w:bodyDiv w:val="1"/>
      <w:marLeft w:val="0"/>
      <w:marRight w:val="0"/>
      <w:marTop w:val="0"/>
      <w:marBottom w:val="0"/>
      <w:divBdr>
        <w:top w:val="none" w:sz="0" w:space="0" w:color="auto"/>
        <w:left w:val="none" w:sz="0" w:space="0" w:color="auto"/>
        <w:bottom w:val="none" w:sz="0" w:space="0" w:color="auto"/>
        <w:right w:val="none" w:sz="0" w:space="0" w:color="auto"/>
      </w:divBdr>
    </w:div>
    <w:div w:id="5064714">
      <w:bodyDiv w:val="1"/>
      <w:marLeft w:val="0"/>
      <w:marRight w:val="0"/>
      <w:marTop w:val="0"/>
      <w:marBottom w:val="0"/>
      <w:divBdr>
        <w:top w:val="none" w:sz="0" w:space="0" w:color="auto"/>
        <w:left w:val="none" w:sz="0" w:space="0" w:color="auto"/>
        <w:bottom w:val="none" w:sz="0" w:space="0" w:color="auto"/>
        <w:right w:val="none" w:sz="0" w:space="0" w:color="auto"/>
      </w:divBdr>
    </w:div>
    <w:div w:id="6030927">
      <w:bodyDiv w:val="1"/>
      <w:marLeft w:val="0"/>
      <w:marRight w:val="0"/>
      <w:marTop w:val="0"/>
      <w:marBottom w:val="0"/>
      <w:divBdr>
        <w:top w:val="none" w:sz="0" w:space="0" w:color="auto"/>
        <w:left w:val="none" w:sz="0" w:space="0" w:color="auto"/>
        <w:bottom w:val="none" w:sz="0" w:space="0" w:color="auto"/>
        <w:right w:val="none" w:sz="0" w:space="0" w:color="auto"/>
      </w:divBdr>
    </w:div>
    <w:div w:id="7829811">
      <w:bodyDiv w:val="1"/>
      <w:marLeft w:val="0"/>
      <w:marRight w:val="0"/>
      <w:marTop w:val="0"/>
      <w:marBottom w:val="0"/>
      <w:divBdr>
        <w:top w:val="none" w:sz="0" w:space="0" w:color="auto"/>
        <w:left w:val="none" w:sz="0" w:space="0" w:color="auto"/>
        <w:bottom w:val="none" w:sz="0" w:space="0" w:color="auto"/>
        <w:right w:val="none" w:sz="0" w:space="0" w:color="auto"/>
      </w:divBdr>
    </w:div>
    <w:div w:id="8992931">
      <w:bodyDiv w:val="1"/>
      <w:marLeft w:val="0"/>
      <w:marRight w:val="0"/>
      <w:marTop w:val="0"/>
      <w:marBottom w:val="0"/>
      <w:divBdr>
        <w:top w:val="none" w:sz="0" w:space="0" w:color="auto"/>
        <w:left w:val="none" w:sz="0" w:space="0" w:color="auto"/>
        <w:bottom w:val="none" w:sz="0" w:space="0" w:color="auto"/>
        <w:right w:val="none" w:sz="0" w:space="0" w:color="auto"/>
      </w:divBdr>
    </w:div>
    <w:div w:id="10225764">
      <w:bodyDiv w:val="1"/>
      <w:marLeft w:val="0"/>
      <w:marRight w:val="0"/>
      <w:marTop w:val="0"/>
      <w:marBottom w:val="0"/>
      <w:divBdr>
        <w:top w:val="none" w:sz="0" w:space="0" w:color="auto"/>
        <w:left w:val="none" w:sz="0" w:space="0" w:color="auto"/>
        <w:bottom w:val="none" w:sz="0" w:space="0" w:color="auto"/>
        <w:right w:val="none" w:sz="0" w:space="0" w:color="auto"/>
      </w:divBdr>
    </w:div>
    <w:div w:id="11879437">
      <w:bodyDiv w:val="1"/>
      <w:marLeft w:val="0"/>
      <w:marRight w:val="0"/>
      <w:marTop w:val="0"/>
      <w:marBottom w:val="0"/>
      <w:divBdr>
        <w:top w:val="none" w:sz="0" w:space="0" w:color="auto"/>
        <w:left w:val="none" w:sz="0" w:space="0" w:color="auto"/>
        <w:bottom w:val="none" w:sz="0" w:space="0" w:color="auto"/>
        <w:right w:val="none" w:sz="0" w:space="0" w:color="auto"/>
      </w:divBdr>
    </w:div>
    <w:div w:id="11886246">
      <w:bodyDiv w:val="1"/>
      <w:marLeft w:val="0"/>
      <w:marRight w:val="0"/>
      <w:marTop w:val="0"/>
      <w:marBottom w:val="0"/>
      <w:divBdr>
        <w:top w:val="none" w:sz="0" w:space="0" w:color="auto"/>
        <w:left w:val="none" w:sz="0" w:space="0" w:color="auto"/>
        <w:bottom w:val="none" w:sz="0" w:space="0" w:color="auto"/>
        <w:right w:val="none" w:sz="0" w:space="0" w:color="auto"/>
      </w:divBdr>
    </w:div>
    <w:div w:id="13967663">
      <w:bodyDiv w:val="1"/>
      <w:marLeft w:val="0"/>
      <w:marRight w:val="0"/>
      <w:marTop w:val="0"/>
      <w:marBottom w:val="0"/>
      <w:divBdr>
        <w:top w:val="none" w:sz="0" w:space="0" w:color="auto"/>
        <w:left w:val="none" w:sz="0" w:space="0" w:color="auto"/>
        <w:bottom w:val="none" w:sz="0" w:space="0" w:color="auto"/>
        <w:right w:val="none" w:sz="0" w:space="0" w:color="auto"/>
      </w:divBdr>
    </w:div>
    <w:div w:id="14239160">
      <w:bodyDiv w:val="1"/>
      <w:marLeft w:val="0"/>
      <w:marRight w:val="0"/>
      <w:marTop w:val="0"/>
      <w:marBottom w:val="0"/>
      <w:divBdr>
        <w:top w:val="none" w:sz="0" w:space="0" w:color="auto"/>
        <w:left w:val="none" w:sz="0" w:space="0" w:color="auto"/>
        <w:bottom w:val="none" w:sz="0" w:space="0" w:color="auto"/>
        <w:right w:val="none" w:sz="0" w:space="0" w:color="auto"/>
      </w:divBdr>
    </w:div>
    <w:div w:id="15736978">
      <w:bodyDiv w:val="1"/>
      <w:marLeft w:val="0"/>
      <w:marRight w:val="0"/>
      <w:marTop w:val="0"/>
      <w:marBottom w:val="0"/>
      <w:divBdr>
        <w:top w:val="none" w:sz="0" w:space="0" w:color="auto"/>
        <w:left w:val="none" w:sz="0" w:space="0" w:color="auto"/>
        <w:bottom w:val="none" w:sz="0" w:space="0" w:color="auto"/>
        <w:right w:val="none" w:sz="0" w:space="0" w:color="auto"/>
      </w:divBdr>
    </w:div>
    <w:div w:id="16469630">
      <w:bodyDiv w:val="1"/>
      <w:marLeft w:val="0"/>
      <w:marRight w:val="0"/>
      <w:marTop w:val="0"/>
      <w:marBottom w:val="0"/>
      <w:divBdr>
        <w:top w:val="none" w:sz="0" w:space="0" w:color="auto"/>
        <w:left w:val="none" w:sz="0" w:space="0" w:color="auto"/>
        <w:bottom w:val="none" w:sz="0" w:space="0" w:color="auto"/>
        <w:right w:val="none" w:sz="0" w:space="0" w:color="auto"/>
      </w:divBdr>
    </w:div>
    <w:div w:id="16586291">
      <w:bodyDiv w:val="1"/>
      <w:marLeft w:val="0"/>
      <w:marRight w:val="0"/>
      <w:marTop w:val="0"/>
      <w:marBottom w:val="0"/>
      <w:divBdr>
        <w:top w:val="none" w:sz="0" w:space="0" w:color="auto"/>
        <w:left w:val="none" w:sz="0" w:space="0" w:color="auto"/>
        <w:bottom w:val="none" w:sz="0" w:space="0" w:color="auto"/>
        <w:right w:val="none" w:sz="0" w:space="0" w:color="auto"/>
      </w:divBdr>
    </w:div>
    <w:div w:id="16852567">
      <w:bodyDiv w:val="1"/>
      <w:marLeft w:val="0"/>
      <w:marRight w:val="0"/>
      <w:marTop w:val="0"/>
      <w:marBottom w:val="0"/>
      <w:divBdr>
        <w:top w:val="none" w:sz="0" w:space="0" w:color="auto"/>
        <w:left w:val="none" w:sz="0" w:space="0" w:color="auto"/>
        <w:bottom w:val="none" w:sz="0" w:space="0" w:color="auto"/>
        <w:right w:val="none" w:sz="0" w:space="0" w:color="auto"/>
      </w:divBdr>
    </w:div>
    <w:div w:id="17779330">
      <w:bodyDiv w:val="1"/>
      <w:marLeft w:val="0"/>
      <w:marRight w:val="0"/>
      <w:marTop w:val="0"/>
      <w:marBottom w:val="0"/>
      <w:divBdr>
        <w:top w:val="none" w:sz="0" w:space="0" w:color="auto"/>
        <w:left w:val="none" w:sz="0" w:space="0" w:color="auto"/>
        <w:bottom w:val="none" w:sz="0" w:space="0" w:color="auto"/>
        <w:right w:val="none" w:sz="0" w:space="0" w:color="auto"/>
      </w:divBdr>
    </w:div>
    <w:div w:id="17855892">
      <w:bodyDiv w:val="1"/>
      <w:marLeft w:val="0"/>
      <w:marRight w:val="0"/>
      <w:marTop w:val="0"/>
      <w:marBottom w:val="0"/>
      <w:divBdr>
        <w:top w:val="none" w:sz="0" w:space="0" w:color="auto"/>
        <w:left w:val="none" w:sz="0" w:space="0" w:color="auto"/>
        <w:bottom w:val="none" w:sz="0" w:space="0" w:color="auto"/>
        <w:right w:val="none" w:sz="0" w:space="0" w:color="auto"/>
      </w:divBdr>
    </w:div>
    <w:div w:id="19360266">
      <w:bodyDiv w:val="1"/>
      <w:marLeft w:val="0"/>
      <w:marRight w:val="0"/>
      <w:marTop w:val="0"/>
      <w:marBottom w:val="0"/>
      <w:divBdr>
        <w:top w:val="none" w:sz="0" w:space="0" w:color="auto"/>
        <w:left w:val="none" w:sz="0" w:space="0" w:color="auto"/>
        <w:bottom w:val="none" w:sz="0" w:space="0" w:color="auto"/>
        <w:right w:val="none" w:sz="0" w:space="0" w:color="auto"/>
      </w:divBdr>
    </w:div>
    <w:div w:id="19596952">
      <w:bodyDiv w:val="1"/>
      <w:marLeft w:val="0"/>
      <w:marRight w:val="0"/>
      <w:marTop w:val="0"/>
      <w:marBottom w:val="0"/>
      <w:divBdr>
        <w:top w:val="none" w:sz="0" w:space="0" w:color="auto"/>
        <w:left w:val="none" w:sz="0" w:space="0" w:color="auto"/>
        <w:bottom w:val="none" w:sz="0" w:space="0" w:color="auto"/>
        <w:right w:val="none" w:sz="0" w:space="0" w:color="auto"/>
      </w:divBdr>
    </w:div>
    <w:div w:id="20403111">
      <w:bodyDiv w:val="1"/>
      <w:marLeft w:val="0"/>
      <w:marRight w:val="0"/>
      <w:marTop w:val="0"/>
      <w:marBottom w:val="0"/>
      <w:divBdr>
        <w:top w:val="none" w:sz="0" w:space="0" w:color="auto"/>
        <w:left w:val="none" w:sz="0" w:space="0" w:color="auto"/>
        <w:bottom w:val="none" w:sz="0" w:space="0" w:color="auto"/>
        <w:right w:val="none" w:sz="0" w:space="0" w:color="auto"/>
      </w:divBdr>
    </w:div>
    <w:div w:id="20908616">
      <w:bodyDiv w:val="1"/>
      <w:marLeft w:val="0"/>
      <w:marRight w:val="0"/>
      <w:marTop w:val="0"/>
      <w:marBottom w:val="0"/>
      <w:divBdr>
        <w:top w:val="none" w:sz="0" w:space="0" w:color="auto"/>
        <w:left w:val="none" w:sz="0" w:space="0" w:color="auto"/>
        <w:bottom w:val="none" w:sz="0" w:space="0" w:color="auto"/>
        <w:right w:val="none" w:sz="0" w:space="0" w:color="auto"/>
      </w:divBdr>
    </w:div>
    <w:div w:id="20937747">
      <w:bodyDiv w:val="1"/>
      <w:marLeft w:val="0"/>
      <w:marRight w:val="0"/>
      <w:marTop w:val="0"/>
      <w:marBottom w:val="0"/>
      <w:divBdr>
        <w:top w:val="none" w:sz="0" w:space="0" w:color="auto"/>
        <w:left w:val="none" w:sz="0" w:space="0" w:color="auto"/>
        <w:bottom w:val="none" w:sz="0" w:space="0" w:color="auto"/>
        <w:right w:val="none" w:sz="0" w:space="0" w:color="auto"/>
      </w:divBdr>
    </w:div>
    <w:div w:id="20978593">
      <w:bodyDiv w:val="1"/>
      <w:marLeft w:val="0"/>
      <w:marRight w:val="0"/>
      <w:marTop w:val="0"/>
      <w:marBottom w:val="0"/>
      <w:divBdr>
        <w:top w:val="none" w:sz="0" w:space="0" w:color="auto"/>
        <w:left w:val="none" w:sz="0" w:space="0" w:color="auto"/>
        <w:bottom w:val="none" w:sz="0" w:space="0" w:color="auto"/>
        <w:right w:val="none" w:sz="0" w:space="0" w:color="auto"/>
      </w:divBdr>
    </w:div>
    <w:div w:id="24136057">
      <w:bodyDiv w:val="1"/>
      <w:marLeft w:val="0"/>
      <w:marRight w:val="0"/>
      <w:marTop w:val="0"/>
      <w:marBottom w:val="0"/>
      <w:divBdr>
        <w:top w:val="none" w:sz="0" w:space="0" w:color="auto"/>
        <w:left w:val="none" w:sz="0" w:space="0" w:color="auto"/>
        <w:bottom w:val="none" w:sz="0" w:space="0" w:color="auto"/>
        <w:right w:val="none" w:sz="0" w:space="0" w:color="auto"/>
      </w:divBdr>
    </w:div>
    <w:div w:id="27295147">
      <w:bodyDiv w:val="1"/>
      <w:marLeft w:val="0"/>
      <w:marRight w:val="0"/>
      <w:marTop w:val="0"/>
      <w:marBottom w:val="0"/>
      <w:divBdr>
        <w:top w:val="none" w:sz="0" w:space="0" w:color="auto"/>
        <w:left w:val="none" w:sz="0" w:space="0" w:color="auto"/>
        <w:bottom w:val="none" w:sz="0" w:space="0" w:color="auto"/>
        <w:right w:val="none" w:sz="0" w:space="0" w:color="auto"/>
      </w:divBdr>
    </w:div>
    <w:div w:id="28992276">
      <w:bodyDiv w:val="1"/>
      <w:marLeft w:val="0"/>
      <w:marRight w:val="0"/>
      <w:marTop w:val="0"/>
      <w:marBottom w:val="0"/>
      <w:divBdr>
        <w:top w:val="none" w:sz="0" w:space="0" w:color="auto"/>
        <w:left w:val="none" w:sz="0" w:space="0" w:color="auto"/>
        <w:bottom w:val="none" w:sz="0" w:space="0" w:color="auto"/>
        <w:right w:val="none" w:sz="0" w:space="0" w:color="auto"/>
      </w:divBdr>
    </w:div>
    <w:div w:id="30493555">
      <w:bodyDiv w:val="1"/>
      <w:marLeft w:val="0"/>
      <w:marRight w:val="0"/>
      <w:marTop w:val="0"/>
      <w:marBottom w:val="0"/>
      <w:divBdr>
        <w:top w:val="none" w:sz="0" w:space="0" w:color="auto"/>
        <w:left w:val="none" w:sz="0" w:space="0" w:color="auto"/>
        <w:bottom w:val="none" w:sz="0" w:space="0" w:color="auto"/>
        <w:right w:val="none" w:sz="0" w:space="0" w:color="auto"/>
      </w:divBdr>
    </w:div>
    <w:div w:id="30500720">
      <w:bodyDiv w:val="1"/>
      <w:marLeft w:val="0"/>
      <w:marRight w:val="0"/>
      <w:marTop w:val="0"/>
      <w:marBottom w:val="0"/>
      <w:divBdr>
        <w:top w:val="none" w:sz="0" w:space="0" w:color="auto"/>
        <w:left w:val="none" w:sz="0" w:space="0" w:color="auto"/>
        <w:bottom w:val="none" w:sz="0" w:space="0" w:color="auto"/>
        <w:right w:val="none" w:sz="0" w:space="0" w:color="auto"/>
      </w:divBdr>
    </w:div>
    <w:div w:id="31275032">
      <w:bodyDiv w:val="1"/>
      <w:marLeft w:val="0"/>
      <w:marRight w:val="0"/>
      <w:marTop w:val="0"/>
      <w:marBottom w:val="0"/>
      <w:divBdr>
        <w:top w:val="none" w:sz="0" w:space="0" w:color="auto"/>
        <w:left w:val="none" w:sz="0" w:space="0" w:color="auto"/>
        <w:bottom w:val="none" w:sz="0" w:space="0" w:color="auto"/>
        <w:right w:val="none" w:sz="0" w:space="0" w:color="auto"/>
      </w:divBdr>
    </w:div>
    <w:div w:id="32467874">
      <w:bodyDiv w:val="1"/>
      <w:marLeft w:val="0"/>
      <w:marRight w:val="0"/>
      <w:marTop w:val="0"/>
      <w:marBottom w:val="0"/>
      <w:divBdr>
        <w:top w:val="none" w:sz="0" w:space="0" w:color="auto"/>
        <w:left w:val="none" w:sz="0" w:space="0" w:color="auto"/>
        <w:bottom w:val="none" w:sz="0" w:space="0" w:color="auto"/>
        <w:right w:val="none" w:sz="0" w:space="0" w:color="auto"/>
      </w:divBdr>
    </w:div>
    <w:div w:id="33383707">
      <w:bodyDiv w:val="1"/>
      <w:marLeft w:val="0"/>
      <w:marRight w:val="0"/>
      <w:marTop w:val="0"/>
      <w:marBottom w:val="0"/>
      <w:divBdr>
        <w:top w:val="none" w:sz="0" w:space="0" w:color="auto"/>
        <w:left w:val="none" w:sz="0" w:space="0" w:color="auto"/>
        <w:bottom w:val="none" w:sz="0" w:space="0" w:color="auto"/>
        <w:right w:val="none" w:sz="0" w:space="0" w:color="auto"/>
      </w:divBdr>
    </w:div>
    <w:div w:id="33892318">
      <w:bodyDiv w:val="1"/>
      <w:marLeft w:val="0"/>
      <w:marRight w:val="0"/>
      <w:marTop w:val="0"/>
      <w:marBottom w:val="0"/>
      <w:divBdr>
        <w:top w:val="none" w:sz="0" w:space="0" w:color="auto"/>
        <w:left w:val="none" w:sz="0" w:space="0" w:color="auto"/>
        <w:bottom w:val="none" w:sz="0" w:space="0" w:color="auto"/>
        <w:right w:val="none" w:sz="0" w:space="0" w:color="auto"/>
      </w:divBdr>
    </w:div>
    <w:div w:id="33966438">
      <w:bodyDiv w:val="1"/>
      <w:marLeft w:val="0"/>
      <w:marRight w:val="0"/>
      <w:marTop w:val="0"/>
      <w:marBottom w:val="0"/>
      <w:divBdr>
        <w:top w:val="none" w:sz="0" w:space="0" w:color="auto"/>
        <w:left w:val="none" w:sz="0" w:space="0" w:color="auto"/>
        <w:bottom w:val="none" w:sz="0" w:space="0" w:color="auto"/>
        <w:right w:val="none" w:sz="0" w:space="0" w:color="auto"/>
      </w:divBdr>
    </w:div>
    <w:div w:id="34277363">
      <w:bodyDiv w:val="1"/>
      <w:marLeft w:val="0"/>
      <w:marRight w:val="0"/>
      <w:marTop w:val="0"/>
      <w:marBottom w:val="0"/>
      <w:divBdr>
        <w:top w:val="none" w:sz="0" w:space="0" w:color="auto"/>
        <w:left w:val="none" w:sz="0" w:space="0" w:color="auto"/>
        <w:bottom w:val="none" w:sz="0" w:space="0" w:color="auto"/>
        <w:right w:val="none" w:sz="0" w:space="0" w:color="auto"/>
      </w:divBdr>
    </w:div>
    <w:div w:id="34739219">
      <w:bodyDiv w:val="1"/>
      <w:marLeft w:val="0"/>
      <w:marRight w:val="0"/>
      <w:marTop w:val="0"/>
      <w:marBottom w:val="0"/>
      <w:divBdr>
        <w:top w:val="none" w:sz="0" w:space="0" w:color="auto"/>
        <w:left w:val="none" w:sz="0" w:space="0" w:color="auto"/>
        <w:bottom w:val="none" w:sz="0" w:space="0" w:color="auto"/>
        <w:right w:val="none" w:sz="0" w:space="0" w:color="auto"/>
      </w:divBdr>
    </w:div>
    <w:div w:id="35088999">
      <w:bodyDiv w:val="1"/>
      <w:marLeft w:val="0"/>
      <w:marRight w:val="0"/>
      <w:marTop w:val="0"/>
      <w:marBottom w:val="0"/>
      <w:divBdr>
        <w:top w:val="none" w:sz="0" w:space="0" w:color="auto"/>
        <w:left w:val="none" w:sz="0" w:space="0" w:color="auto"/>
        <w:bottom w:val="none" w:sz="0" w:space="0" w:color="auto"/>
        <w:right w:val="none" w:sz="0" w:space="0" w:color="auto"/>
      </w:divBdr>
    </w:div>
    <w:div w:id="35393118">
      <w:bodyDiv w:val="1"/>
      <w:marLeft w:val="0"/>
      <w:marRight w:val="0"/>
      <w:marTop w:val="0"/>
      <w:marBottom w:val="0"/>
      <w:divBdr>
        <w:top w:val="none" w:sz="0" w:space="0" w:color="auto"/>
        <w:left w:val="none" w:sz="0" w:space="0" w:color="auto"/>
        <w:bottom w:val="none" w:sz="0" w:space="0" w:color="auto"/>
        <w:right w:val="none" w:sz="0" w:space="0" w:color="auto"/>
      </w:divBdr>
    </w:div>
    <w:div w:id="36854717">
      <w:bodyDiv w:val="1"/>
      <w:marLeft w:val="0"/>
      <w:marRight w:val="0"/>
      <w:marTop w:val="0"/>
      <w:marBottom w:val="0"/>
      <w:divBdr>
        <w:top w:val="none" w:sz="0" w:space="0" w:color="auto"/>
        <w:left w:val="none" w:sz="0" w:space="0" w:color="auto"/>
        <w:bottom w:val="none" w:sz="0" w:space="0" w:color="auto"/>
        <w:right w:val="none" w:sz="0" w:space="0" w:color="auto"/>
      </w:divBdr>
    </w:div>
    <w:div w:id="37365137">
      <w:bodyDiv w:val="1"/>
      <w:marLeft w:val="0"/>
      <w:marRight w:val="0"/>
      <w:marTop w:val="0"/>
      <w:marBottom w:val="0"/>
      <w:divBdr>
        <w:top w:val="none" w:sz="0" w:space="0" w:color="auto"/>
        <w:left w:val="none" w:sz="0" w:space="0" w:color="auto"/>
        <w:bottom w:val="none" w:sz="0" w:space="0" w:color="auto"/>
        <w:right w:val="none" w:sz="0" w:space="0" w:color="auto"/>
      </w:divBdr>
    </w:div>
    <w:div w:id="38093066">
      <w:bodyDiv w:val="1"/>
      <w:marLeft w:val="0"/>
      <w:marRight w:val="0"/>
      <w:marTop w:val="0"/>
      <w:marBottom w:val="0"/>
      <w:divBdr>
        <w:top w:val="none" w:sz="0" w:space="0" w:color="auto"/>
        <w:left w:val="none" w:sz="0" w:space="0" w:color="auto"/>
        <w:bottom w:val="none" w:sz="0" w:space="0" w:color="auto"/>
        <w:right w:val="none" w:sz="0" w:space="0" w:color="auto"/>
      </w:divBdr>
    </w:div>
    <w:div w:id="38171529">
      <w:bodyDiv w:val="1"/>
      <w:marLeft w:val="0"/>
      <w:marRight w:val="0"/>
      <w:marTop w:val="0"/>
      <w:marBottom w:val="0"/>
      <w:divBdr>
        <w:top w:val="none" w:sz="0" w:space="0" w:color="auto"/>
        <w:left w:val="none" w:sz="0" w:space="0" w:color="auto"/>
        <w:bottom w:val="none" w:sz="0" w:space="0" w:color="auto"/>
        <w:right w:val="none" w:sz="0" w:space="0" w:color="auto"/>
      </w:divBdr>
    </w:div>
    <w:div w:id="38628053">
      <w:bodyDiv w:val="1"/>
      <w:marLeft w:val="0"/>
      <w:marRight w:val="0"/>
      <w:marTop w:val="0"/>
      <w:marBottom w:val="0"/>
      <w:divBdr>
        <w:top w:val="none" w:sz="0" w:space="0" w:color="auto"/>
        <w:left w:val="none" w:sz="0" w:space="0" w:color="auto"/>
        <w:bottom w:val="none" w:sz="0" w:space="0" w:color="auto"/>
        <w:right w:val="none" w:sz="0" w:space="0" w:color="auto"/>
      </w:divBdr>
    </w:div>
    <w:div w:id="39745646">
      <w:bodyDiv w:val="1"/>
      <w:marLeft w:val="0"/>
      <w:marRight w:val="0"/>
      <w:marTop w:val="0"/>
      <w:marBottom w:val="0"/>
      <w:divBdr>
        <w:top w:val="none" w:sz="0" w:space="0" w:color="auto"/>
        <w:left w:val="none" w:sz="0" w:space="0" w:color="auto"/>
        <w:bottom w:val="none" w:sz="0" w:space="0" w:color="auto"/>
        <w:right w:val="none" w:sz="0" w:space="0" w:color="auto"/>
      </w:divBdr>
    </w:div>
    <w:div w:id="41638903">
      <w:bodyDiv w:val="1"/>
      <w:marLeft w:val="0"/>
      <w:marRight w:val="0"/>
      <w:marTop w:val="0"/>
      <w:marBottom w:val="0"/>
      <w:divBdr>
        <w:top w:val="none" w:sz="0" w:space="0" w:color="auto"/>
        <w:left w:val="none" w:sz="0" w:space="0" w:color="auto"/>
        <w:bottom w:val="none" w:sz="0" w:space="0" w:color="auto"/>
        <w:right w:val="none" w:sz="0" w:space="0" w:color="auto"/>
      </w:divBdr>
    </w:div>
    <w:div w:id="42408372">
      <w:bodyDiv w:val="1"/>
      <w:marLeft w:val="0"/>
      <w:marRight w:val="0"/>
      <w:marTop w:val="0"/>
      <w:marBottom w:val="0"/>
      <w:divBdr>
        <w:top w:val="none" w:sz="0" w:space="0" w:color="auto"/>
        <w:left w:val="none" w:sz="0" w:space="0" w:color="auto"/>
        <w:bottom w:val="none" w:sz="0" w:space="0" w:color="auto"/>
        <w:right w:val="none" w:sz="0" w:space="0" w:color="auto"/>
      </w:divBdr>
    </w:div>
    <w:div w:id="44304073">
      <w:bodyDiv w:val="1"/>
      <w:marLeft w:val="0"/>
      <w:marRight w:val="0"/>
      <w:marTop w:val="0"/>
      <w:marBottom w:val="0"/>
      <w:divBdr>
        <w:top w:val="none" w:sz="0" w:space="0" w:color="auto"/>
        <w:left w:val="none" w:sz="0" w:space="0" w:color="auto"/>
        <w:bottom w:val="none" w:sz="0" w:space="0" w:color="auto"/>
        <w:right w:val="none" w:sz="0" w:space="0" w:color="auto"/>
      </w:divBdr>
    </w:div>
    <w:div w:id="44567894">
      <w:bodyDiv w:val="1"/>
      <w:marLeft w:val="0"/>
      <w:marRight w:val="0"/>
      <w:marTop w:val="0"/>
      <w:marBottom w:val="0"/>
      <w:divBdr>
        <w:top w:val="none" w:sz="0" w:space="0" w:color="auto"/>
        <w:left w:val="none" w:sz="0" w:space="0" w:color="auto"/>
        <w:bottom w:val="none" w:sz="0" w:space="0" w:color="auto"/>
        <w:right w:val="none" w:sz="0" w:space="0" w:color="auto"/>
      </w:divBdr>
    </w:div>
    <w:div w:id="45184910">
      <w:bodyDiv w:val="1"/>
      <w:marLeft w:val="0"/>
      <w:marRight w:val="0"/>
      <w:marTop w:val="0"/>
      <w:marBottom w:val="0"/>
      <w:divBdr>
        <w:top w:val="none" w:sz="0" w:space="0" w:color="auto"/>
        <w:left w:val="none" w:sz="0" w:space="0" w:color="auto"/>
        <w:bottom w:val="none" w:sz="0" w:space="0" w:color="auto"/>
        <w:right w:val="none" w:sz="0" w:space="0" w:color="auto"/>
      </w:divBdr>
    </w:div>
    <w:div w:id="46731735">
      <w:bodyDiv w:val="1"/>
      <w:marLeft w:val="0"/>
      <w:marRight w:val="0"/>
      <w:marTop w:val="0"/>
      <w:marBottom w:val="0"/>
      <w:divBdr>
        <w:top w:val="none" w:sz="0" w:space="0" w:color="auto"/>
        <w:left w:val="none" w:sz="0" w:space="0" w:color="auto"/>
        <w:bottom w:val="none" w:sz="0" w:space="0" w:color="auto"/>
        <w:right w:val="none" w:sz="0" w:space="0" w:color="auto"/>
      </w:divBdr>
    </w:div>
    <w:div w:id="46733794">
      <w:bodyDiv w:val="1"/>
      <w:marLeft w:val="0"/>
      <w:marRight w:val="0"/>
      <w:marTop w:val="0"/>
      <w:marBottom w:val="0"/>
      <w:divBdr>
        <w:top w:val="none" w:sz="0" w:space="0" w:color="auto"/>
        <w:left w:val="none" w:sz="0" w:space="0" w:color="auto"/>
        <w:bottom w:val="none" w:sz="0" w:space="0" w:color="auto"/>
        <w:right w:val="none" w:sz="0" w:space="0" w:color="auto"/>
      </w:divBdr>
    </w:div>
    <w:div w:id="47340701">
      <w:bodyDiv w:val="1"/>
      <w:marLeft w:val="0"/>
      <w:marRight w:val="0"/>
      <w:marTop w:val="0"/>
      <w:marBottom w:val="0"/>
      <w:divBdr>
        <w:top w:val="none" w:sz="0" w:space="0" w:color="auto"/>
        <w:left w:val="none" w:sz="0" w:space="0" w:color="auto"/>
        <w:bottom w:val="none" w:sz="0" w:space="0" w:color="auto"/>
        <w:right w:val="none" w:sz="0" w:space="0" w:color="auto"/>
      </w:divBdr>
    </w:div>
    <w:div w:id="48457345">
      <w:bodyDiv w:val="1"/>
      <w:marLeft w:val="0"/>
      <w:marRight w:val="0"/>
      <w:marTop w:val="0"/>
      <w:marBottom w:val="0"/>
      <w:divBdr>
        <w:top w:val="none" w:sz="0" w:space="0" w:color="auto"/>
        <w:left w:val="none" w:sz="0" w:space="0" w:color="auto"/>
        <w:bottom w:val="none" w:sz="0" w:space="0" w:color="auto"/>
        <w:right w:val="none" w:sz="0" w:space="0" w:color="auto"/>
      </w:divBdr>
    </w:div>
    <w:div w:id="48656003">
      <w:bodyDiv w:val="1"/>
      <w:marLeft w:val="0"/>
      <w:marRight w:val="0"/>
      <w:marTop w:val="0"/>
      <w:marBottom w:val="0"/>
      <w:divBdr>
        <w:top w:val="none" w:sz="0" w:space="0" w:color="auto"/>
        <w:left w:val="none" w:sz="0" w:space="0" w:color="auto"/>
        <w:bottom w:val="none" w:sz="0" w:space="0" w:color="auto"/>
        <w:right w:val="none" w:sz="0" w:space="0" w:color="auto"/>
      </w:divBdr>
    </w:div>
    <w:div w:id="49043662">
      <w:bodyDiv w:val="1"/>
      <w:marLeft w:val="0"/>
      <w:marRight w:val="0"/>
      <w:marTop w:val="0"/>
      <w:marBottom w:val="0"/>
      <w:divBdr>
        <w:top w:val="none" w:sz="0" w:space="0" w:color="auto"/>
        <w:left w:val="none" w:sz="0" w:space="0" w:color="auto"/>
        <w:bottom w:val="none" w:sz="0" w:space="0" w:color="auto"/>
        <w:right w:val="none" w:sz="0" w:space="0" w:color="auto"/>
      </w:divBdr>
    </w:div>
    <w:div w:id="50470722">
      <w:bodyDiv w:val="1"/>
      <w:marLeft w:val="0"/>
      <w:marRight w:val="0"/>
      <w:marTop w:val="0"/>
      <w:marBottom w:val="0"/>
      <w:divBdr>
        <w:top w:val="none" w:sz="0" w:space="0" w:color="auto"/>
        <w:left w:val="none" w:sz="0" w:space="0" w:color="auto"/>
        <w:bottom w:val="none" w:sz="0" w:space="0" w:color="auto"/>
        <w:right w:val="none" w:sz="0" w:space="0" w:color="auto"/>
      </w:divBdr>
    </w:div>
    <w:div w:id="51854328">
      <w:bodyDiv w:val="1"/>
      <w:marLeft w:val="0"/>
      <w:marRight w:val="0"/>
      <w:marTop w:val="0"/>
      <w:marBottom w:val="0"/>
      <w:divBdr>
        <w:top w:val="none" w:sz="0" w:space="0" w:color="auto"/>
        <w:left w:val="none" w:sz="0" w:space="0" w:color="auto"/>
        <w:bottom w:val="none" w:sz="0" w:space="0" w:color="auto"/>
        <w:right w:val="none" w:sz="0" w:space="0" w:color="auto"/>
      </w:divBdr>
    </w:div>
    <w:div w:id="52049572">
      <w:bodyDiv w:val="1"/>
      <w:marLeft w:val="0"/>
      <w:marRight w:val="0"/>
      <w:marTop w:val="0"/>
      <w:marBottom w:val="0"/>
      <w:divBdr>
        <w:top w:val="none" w:sz="0" w:space="0" w:color="auto"/>
        <w:left w:val="none" w:sz="0" w:space="0" w:color="auto"/>
        <w:bottom w:val="none" w:sz="0" w:space="0" w:color="auto"/>
        <w:right w:val="none" w:sz="0" w:space="0" w:color="auto"/>
      </w:divBdr>
    </w:div>
    <w:div w:id="52505661">
      <w:bodyDiv w:val="1"/>
      <w:marLeft w:val="0"/>
      <w:marRight w:val="0"/>
      <w:marTop w:val="0"/>
      <w:marBottom w:val="0"/>
      <w:divBdr>
        <w:top w:val="none" w:sz="0" w:space="0" w:color="auto"/>
        <w:left w:val="none" w:sz="0" w:space="0" w:color="auto"/>
        <w:bottom w:val="none" w:sz="0" w:space="0" w:color="auto"/>
        <w:right w:val="none" w:sz="0" w:space="0" w:color="auto"/>
      </w:divBdr>
    </w:div>
    <w:div w:id="52894091">
      <w:bodyDiv w:val="1"/>
      <w:marLeft w:val="0"/>
      <w:marRight w:val="0"/>
      <w:marTop w:val="0"/>
      <w:marBottom w:val="0"/>
      <w:divBdr>
        <w:top w:val="none" w:sz="0" w:space="0" w:color="auto"/>
        <w:left w:val="none" w:sz="0" w:space="0" w:color="auto"/>
        <w:bottom w:val="none" w:sz="0" w:space="0" w:color="auto"/>
        <w:right w:val="none" w:sz="0" w:space="0" w:color="auto"/>
      </w:divBdr>
    </w:div>
    <w:div w:id="53042643">
      <w:bodyDiv w:val="1"/>
      <w:marLeft w:val="0"/>
      <w:marRight w:val="0"/>
      <w:marTop w:val="0"/>
      <w:marBottom w:val="0"/>
      <w:divBdr>
        <w:top w:val="none" w:sz="0" w:space="0" w:color="auto"/>
        <w:left w:val="none" w:sz="0" w:space="0" w:color="auto"/>
        <w:bottom w:val="none" w:sz="0" w:space="0" w:color="auto"/>
        <w:right w:val="none" w:sz="0" w:space="0" w:color="auto"/>
      </w:divBdr>
    </w:div>
    <w:div w:id="54163863">
      <w:bodyDiv w:val="1"/>
      <w:marLeft w:val="0"/>
      <w:marRight w:val="0"/>
      <w:marTop w:val="0"/>
      <w:marBottom w:val="0"/>
      <w:divBdr>
        <w:top w:val="none" w:sz="0" w:space="0" w:color="auto"/>
        <w:left w:val="none" w:sz="0" w:space="0" w:color="auto"/>
        <w:bottom w:val="none" w:sz="0" w:space="0" w:color="auto"/>
        <w:right w:val="none" w:sz="0" w:space="0" w:color="auto"/>
      </w:divBdr>
    </w:div>
    <w:div w:id="54669545">
      <w:bodyDiv w:val="1"/>
      <w:marLeft w:val="0"/>
      <w:marRight w:val="0"/>
      <w:marTop w:val="0"/>
      <w:marBottom w:val="0"/>
      <w:divBdr>
        <w:top w:val="none" w:sz="0" w:space="0" w:color="auto"/>
        <w:left w:val="none" w:sz="0" w:space="0" w:color="auto"/>
        <w:bottom w:val="none" w:sz="0" w:space="0" w:color="auto"/>
        <w:right w:val="none" w:sz="0" w:space="0" w:color="auto"/>
      </w:divBdr>
    </w:div>
    <w:div w:id="54819207">
      <w:bodyDiv w:val="1"/>
      <w:marLeft w:val="0"/>
      <w:marRight w:val="0"/>
      <w:marTop w:val="0"/>
      <w:marBottom w:val="0"/>
      <w:divBdr>
        <w:top w:val="none" w:sz="0" w:space="0" w:color="auto"/>
        <w:left w:val="none" w:sz="0" w:space="0" w:color="auto"/>
        <w:bottom w:val="none" w:sz="0" w:space="0" w:color="auto"/>
        <w:right w:val="none" w:sz="0" w:space="0" w:color="auto"/>
      </w:divBdr>
    </w:div>
    <w:div w:id="54863521">
      <w:bodyDiv w:val="1"/>
      <w:marLeft w:val="0"/>
      <w:marRight w:val="0"/>
      <w:marTop w:val="0"/>
      <w:marBottom w:val="0"/>
      <w:divBdr>
        <w:top w:val="none" w:sz="0" w:space="0" w:color="auto"/>
        <w:left w:val="none" w:sz="0" w:space="0" w:color="auto"/>
        <w:bottom w:val="none" w:sz="0" w:space="0" w:color="auto"/>
        <w:right w:val="none" w:sz="0" w:space="0" w:color="auto"/>
      </w:divBdr>
    </w:div>
    <w:div w:id="55277379">
      <w:bodyDiv w:val="1"/>
      <w:marLeft w:val="0"/>
      <w:marRight w:val="0"/>
      <w:marTop w:val="0"/>
      <w:marBottom w:val="0"/>
      <w:divBdr>
        <w:top w:val="none" w:sz="0" w:space="0" w:color="auto"/>
        <w:left w:val="none" w:sz="0" w:space="0" w:color="auto"/>
        <w:bottom w:val="none" w:sz="0" w:space="0" w:color="auto"/>
        <w:right w:val="none" w:sz="0" w:space="0" w:color="auto"/>
      </w:divBdr>
    </w:div>
    <w:div w:id="55663267">
      <w:bodyDiv w:val="1"/>
      <w:marLeft w:val="0"/>
      <w:marRight w:val="0"/>
      <w:marTop w:val="0"/>
      <w:marBottom w:val="0"/>
      <w:divBdr>
        <w:top w:val="none" w:sz="0" w:space="0" w:color="auto"/>
        <w:left w:val="none" w:sz="0" w:space="0" w:color="auto"/>
        <w:bottom w:val="none" w:sz="0" w:space="0" w:color="auto"/>
        <w:right w:val="none" w:sz="0" w:space="0" w:color="auto"/>
      </w:divBdr>
    </w:div>
    <w:div w:id="56368033">
      <w:bodyDiv w:val="1"/>
      <w:marLeft w:val="0"/>
      <w:marRight w:val="0"/>
      <w:marTop w:val="0"/>
      <w:marBottom w:val="0"/>
      <w:divBdr>
        <w:top w:val="none" w:sz="0" w:space="0" w:color="auto"/>
        <w:left w:val="none" w:sz="0" w:space="0" w:color="auto"/>
        <w:bottom w:val="none" w:sz="0" w:space="0" w:color="auto"/>
        <w:right w:val="none" w:sz="0" w:space="0" w:color="auto"/>
      </w:divBdr>
    </w:div>
    <w:div w:id="57019284">
      <w:bodyDiv w:val="1"/>
      <w:marLeft w:val="0"/>
      <w:marRight w:val="0"/>
      <w:marTop w:val="0"/>
      <w:marBottom w:val="0"/>
      <w:divBdr>
        <w:top w:val="none" w:sz="0" w:space="0" w:color="auto"/>
        <w:left w:val="none" w:sz="0" w:space="0" w:color="auto"/>
        <w:bottom w:val="none" w:sz="0" w:space="0" w:color="auto"/>
        <w:right w:val="none" w:sz="0" w:space="0" w:color="auto"/>
      </w:divBdr>
    </w:div>
    <w:div w:id="57947230">
      <w:bodyDiv w:val="1"/>
      <w:marLeft w:val="0"/>
      <w:marRight w:val="0"/>
      <w:marTop w:val="0"/>
      <w:marBottom w:val="0"/>
      <w:divBdr>
        <w:top w:val="none" w:sz="0" w:space="0" w:color="auto"/>
        <w:left w:val="none" w:sz="0" w:space="0" w:color="auto"/>
        <w:bottom w:val="none" w:sz="0" w:space="0" w:color="auto"/>
        <w:right w:val="none" w:sz="0" w:space="0" w:color="auto"/>
      </w:divBdr>
    </w:div>
    <w:div w:id="59062627">
      <w:bodyDiv w:val="1"/>
      <w:marLeft w:val="0"/>
      <w:marRight w:val="0"/>
      <w:marTop w:val="0"/>
      <w:marBottom w:val="0"/>
      <w:divBdr>
        <w:top w:val="none" w:sz="0" w:space="0" w:color="auto"/>
        <w:left w:val="none" w:sz="0" w:space="0" w:color="auto"/>
        <w:bottom w:val="none" w:sz="0" w:space="0" w:color="auto"/>
        <w:right w:val="none" w:sz="0" w:space="0" w:color="auto"/>
      </w:divBdr>
    </w:div>
    <w:div w:id="59250120">
      <w:bodyDiv w:val="1"/>
      <w:marLeft w:val="0"/>
      <w:marRight w:val="0"/>
      <w:marTop w:val="0"/>
      <w:marBottom w:val="0"/>
      <w:divBdr>
        <w:top w:val="none" w:sz="0" w:space="0" w:color="auto"/>
        <w:left w:val="none" w:sz="0" w:space="0" w:color="auto"/>
        <w:bottom w:val="none" w:sz="0" w:space="0" w:color="auto"/>
        <w:right w:val="none" w:sz="0" w:space="0" w:color="auto"/>
      </w:divBdr>
    </w:div>
    <w:div w:id="60107373">
      <w:bodyDiv w:val="1"/>
      <w:marLeft w:val="0"/>
      <w:marRight w:val="0"/>
      <w:marTop w:val="0"/>
      <w:marBottom w:val="0"/>
      <w:divBdr>
        <w:top w:val="none" w:sz="0" w:space="0" w:color="auto"/>
        <w:left w:val="none" w:sz="0" w:space="0" w:color="auto"/>
        <w:bottom w:val="none" w:sz="0" w:space="0" w:color="auto"/>
        <w:right w:val="none" w:sz="0" w:space="0" w:color="auto"/>
      </w:divBdr>
    </w:div>
    <w:div w:id="60643998">
      <w:bodyDiv w:val="1"/>
      <w:marLeft w:val="0"/>
      <w:marRight w:val="0"/>
      <w:marTop w:val="0"/>
      <w:marBottom w:val="0"/>
      <w:divBdr>
        <w:top w:val="none" w:sz="0" w:space="0" w:color="auto"/>
        <w:left w:val="none" w:sz="0" w:space="0" w:color="auto"/>
        <w:bottom w:val="none" w:sz="0" w:space="0" w:color="auto"/>
        <w:right w:val="none" w:sz="0" w:space="0" w:color="auto"/>
      </w:divBdr>
    </w:div>
    <w:div w:id="62457245">
      <w:bodyDiv w:val="1"/>
      <w:marLeft w:val="0"/>
      <w:marRight w:val="0"/>
      <w:marTop w:val="0"/>
      <w:marBottom w:val="0"/>
      <w:divBdr>
        <w:top w:val="none" w:sz="0" w:space="0" w:color="auto"/>
        <w:left w:val="none" w:sz="0" w:space="0" w:color="auto"/>
        <w:bottom w:val="none" w:sz="0" w:space="0" w:color="auto"/>
        <w:right w:val="none" w:sz="0" w:space="0" w:color="auto"/>
      </w:divBdr>
    </w:div>
    <w:div w:id="65154959">
      <w:bodyDiv w:val="1"/>
      <w:marLeft w:val="0"/>
      <w:marRight w:val="0"/>
      <w:marTop w:val="0"/>
      <w:marBottom w:val="0"/>
      <w:divBdr>
        <w:top w:val="none" w:sz="0" w:space="0" w:color="auto"/>
        <w:left w:val="none" w:sz="0" w:space="0" w:color="auto"/>
        <w:bottom w:val="none" w:sz="0" w:space="0" w:color="auto"/>
        <w:right w:val="none" w:sz="0" w:space="0" w:color="auto"/>
      </w:divBdr>
    </w:div>
    <w:div w:id="65690861">
      <w:bodyDiv w:val="1"/>
      <w:marLeft w:val="0"/>
      <w:marRight w:val="0"/>
      <w:marTop w:val="0"/>
      <w:marBottom w:val="0"/>
      <w:divBdr>
        <w:top w:val="none" w:sz="0" w:space="0" w:color="auto"/>
        <w:left w:val="none" w:sz="0" w:space="0" w:color="auto"/>
        <w:bottom w:val="none" w:sz="0" w:space="0" w:color="auto"/>
        <w:right w:val="none" w:sz="0" w:space="0" w:color="auto"/>
      </w:divBdr>
    </w:div>
    <w:div w:id="66077637">
      <w:bodyDiv w:val="1"/>
      <w:marLeft w:val="0"/>
      <w:marRight w:val="0"/>
      <w:marTop w:val="0"/>
      <w:marBottom w:val="0"/>
      <w:divBdr>
        <w:top w:val="none" w:sz="0" w:space="0" w:color="auto"/>
        <w:left w:val="none" w:sz="0" w:space="0" w:color="auto"/>
        <w:bottom w:val="none" w:sz="0" w:space="0" w:color="auto"/>
        <w:right w:val="none" w:sz="0" w:space="0" w:color="auto"/>
      </w:divBdr>
    </w:div>
    <w:div w:id="67306801">
      <w:bodyDiv w:val="1"/>
      <w:marLeft w:val="0"/>
      <w:marRight w:val="0"/>
      <w:marTop w:val="0"/>
      <w:marBottom w:val="0"/>
      <w:divBdr>
        <w:top w:val="none" w:sz="0" w:space="0" w:color="auto"/>
        <w:left w:val="none" w:sz="0" w:space="0" w:color="auto"/>
        <w:bottom w:val="none" w:sz="0" w:space="0" w:color="auto"/>
        <w:right w:val="none" w:sz="0" w:space="0" w:color="auto"/>
      </w:divBdr>
    </w:div>
    <w:div w:id="67852048">
      <w:bodyDiv w:val="1"/>
      <w:marLeft w:val="0"/>
      <w:marRight w:val="0"/>
      <w:marTop w:val="0"/>
      <w:marBottom w:val="0"/>
      <w:divBdr>
        <w:top w:val="none" w:sz="0" w:space="0" w:color="auto"/>
        <w:left w:val="none" w:sz="0" w:space="0" w:color="auto"/>
        <w:bottom w:val="none" w:sz="0" w:space="0" w:color="auto"/>
        <w:right w:val="none" w:sz="0" w:space="0" w:color="auto"/>
      </w:divBdr>
    </w:div>
    <w:div w:id="68120893">
      <w:bodyDiv w:val="1"/>
      <w:marLeft w:val="0"/>
      <w:marRight w:val="0"/>
      <w:marTop w:val="0"/>
      <w:marBottom w:val="0"/>
      <w:divBdr>
        <w:top w:val="none" w:sz="0" w:space="0" w:color="auto"/>
        <w:left w:val="none" w:sz="0" w:space="0" w:color="auto"/>
        <w:bottom w:val="none" w:sz="0" w:space="0" w:color="auto"/>
        <w:right w:val="none" w:sz="0" w:space="0" w:color="auto"/>
      </w:divBdr>
    </w:div>
    <w:div w:id="68162446">
      <w:bodyDiv w:val="1"/>
      <w:marLeft w:val="0"/>
      <w:marRight w:val="0"/>
      <w:marTop w:val="0"/>
      <w:marBottom w:val="0"/>
      <w:divBdr>
        <w:top w:val="none" w:sz="0" w:space="0" w:color="auto"/>
        <w:left w:val="none" w:sz="0" w:space="0" w:color="auto"/>
        <w:bottom w:val="none" w:sz="0" w:space="0" w:color="auto"/>
        <w:right w:val="none" w:sz="0" w:space="0" w:color="auto"/>
      </w:divBdr>
    </w:div>
    <w:div w:id="70200007">
      <w:bodyDiv w:val="1"/>
      <w:marLeft w:val="0"/>
      <w:marRight w:val="0"/>
      <w:marTop w:val="0"/>
      <w:marBottom w:val="0"/>
      <w:divBdr>
        <w:top w:val="none" w:sz="0" w:space="0" w:color="auto"/>
        <w:left w:val="none" w:sz="0" w:space="0" w:color="auto"/>
        <w:bottom w:val="none" w:sz="0" w:space="0" w:color="auto"/>
        <w:right w:val="none" w:sz="0" w:space="0" w:color="auto"/>
      </w:divBdr>
    </w:div>
    <w:div w:id="71317598">
      <w:bodyDiv w:val="1"/>
      <w:marLeft w:val="0"/>
      <w:marRight w:val="0"/>
      <w:marTop w:val="0"/>
      <w:marBottom w:val="0"/>
      <w:divBdr>
        <w:top w:val="none" w:sz="0" w:space="0" w:color="auto"/>
        <w:left w:val="none" w:sz="0" w:space="0" w:color="auto"/>
        <w:bottom w:val="none" w:sz="0" w:space="0" w:color="auto"/>
        <w:right w:val="none" w:sz="0" w:space="0" w:color="auto"/>
      </w:divBdr>
    </w:div>
    <w:div w:id="71856930">
      <w:bodyDiv w:val="1"/>
      <w:marLeft w:val="0"/>
      <w:marRight w:val="0"/>
      <w:marTop w:val="0"/>
      <w:marBottom w:val="0"/>
      <w:divBdr>
        <w:top w:val="none" w:sz="0" w:space="0" w:color="auto"/>
        <w:left w:val="none" w:sz="0" w:space="0" w:color="auto"/>
        <w:bottom w:val="none" w:sz="0" w:space="0" w:color="auto"/>
        <w:right w:val="none" w:sz="0" w:space="0" w:color="auto"/>
      </w:divBdr>
    </w:div>
    <w:div w:id="72971470">
      <w:bodyDiv w:val="1"/>
      <w:marLeft w:val="0"/>
      <w:marRight w:val="0"/>
      <w:marTop w:val="0"/>
      <w:marBottom w:val="0"/>
      <w:divBdr>
        <w:top w:val="none" w:sz="0" w:space="0" w:color="auto"/>
        <w:left w:val="none" w:sz="0" w:space="0" w:color="auto"/>
        <w:bottom w:val="none" w:sz="0" w:space="0" w:color="auto"/>
        <w:right w:val="none" w:sz="0" w:space="0" w:color="auto"/>
      </w:divBdr>
    </w:div>
    <w:div w:id="73674491">
      <w:bodyDiv w:val="1"/>
      <w:marLeft w:val="0"/>
      <w:marRight w:val="0"/>
      <w:marTop w:val="0"/>
      <w:marBottom w:val="0"/>
      <w:divBdr>
        <w:top w:val="none" w:sz="0" w:space="0" w:color="auto"/>
        <w:left w:val="none" w:sz="0" w:space="0" w:color="auto"/>
        <w:bottom w:val="none" w:sz="0" w:space="0" w:color="auto"/>
        <w:right w:val="none" w:sz="0" w:space="0" w:color="auto"/>
      </w:divBdr>
    </w:div>
    <w:div w:id="74910276">
      <w:bodyDiv w:val="1"/>
      <w:marLeft w:val="0"/>
      <w:marRight w:val="0"/>
      <w:marTop w:val="0"/>
      <w:marBottom w:val="0"/>
      <w:divBdr>
        <w:top w:val="none" w:sz="0" w:space="0" w:color="auto"/>
        <w:left w:val="none" w:sz="0" w:space="0" w:color="auto"/>
        <w:bottom w:val="none" w:sz="0" w:space="0" w:color="auto"/>
        <w:right w:val="none" w:sz="0" w:space="0" w:color="auto"/>
      </w:divBdr>
    </w:div>
    <w:div w:id="75053883">
      <w:bodyDiv w:val="1"/>
      <w:marLeft w:val="0"/>
      <w:marRight w:val="0"/>
      <w:marTop w:val="0"/>
      <w:marBottom w:val="0"/>
      <w:divBdr>
        <w:top w:val="none" w:sz="0" w:space="0" w:color="auto"/>
        <w:left w:val="none" w:sz="0" w:space="0" w:color="auto"/>
        <w:bottom w:val="none" w:sz="0" w:space="0" w:color="auto"/>
        <w:right w:val="none" w:sz="0" w:space="0" w:color="auto"/>
      </w:divBdr>
    </w:div>
    <w:div w:id="76177085">
      <w:bodyDiv w:val="1"/>
      <w:marLeft w:val="0"/>
      <w:marRight w:val="0"/>
      <w:marTop w:val="0"/>
      <w:marBottom w:val="0"/>
      <w:divBdr>
        <w:top w:val="none" w:sz="0" w:space="0" w:color="auto"/>
        <w:left w:val="none" w:sz="0" w:space="0" w:color="auto"/>
        <w:bottom w:val="none" w:sz="0" w:space="0" w:color="auto"/>
        <w:right w:val="none" w:sz="0" w:space="0" w:color="auto"/>
      </w:divBdr>
    </w:div>
    <w:div w:id="79067961">
      <w:bodyDiv w:val="1"/>
      <w:marLeft w:val="0"/>
      <w:marRight w:val="0"/>
      <w:marTop w:val="0"/>
      <w:marBottom w:val="0"/>
      <w:divBdr>
        <w:top w:val="none" w:sz="0" w:space="0" w:color="auto"/>
        <w:left w:val="none" w:sz="0" w:space="0" w:color="auto"/>
        <w:bottom w:val="none" w:sz="0" w:space="0" w:color="auto"/>
        <w:right w:val="none" w:sz="0" w:space="0" w:color="auto"/>
      </w:divBdr>
    </w:div>
    <w:div w:id="80029391">
      <w:bodyDiv w:val="1"/>
      <w:marLeft w:val="0"/>
      <w:marRight w:val="0"/>
      <w:marTop w:val="0"/>
      <w:marBottom w:val="0"/>
      <w:divBdr>
        <w:top w:val="none" w:sz="0" w:space="0" w:color="auto"/>
        <w:left w:val="none" w:sz="0" w:space="0" w:color="auto"/>
        <w:bottom w:val="none" w:sz="0" w:space="0" w:color="auto"/>
        <w:right w:val="none" w:sz="0" w:space="0" w:color="auto"/>
      </w:divBdr>
    </w:div>
    <w:div w:id="80832149">
      <w:bodyDiv w:val="1"/>
      <w:marLeft w:val="0"/>
      <w:marRight w:val="0"/>
      <w:marTop w:val="0"/>
      <w:marBottom w:val="0"/>
      <w:divBdr>
        <w:top w:val="none" w:sz="0" w:space="0" w:color="auto"/>
        <w:left w:val="none" w:sz="0" w:space="0" w:color="auto"/>
        <w:bottom w:val="none" w:sz="0" w:space="0" w:color="auto"/>
        <w:right w:val="none" w:sz="0" w:space="0" w:color="auto"/>
      </w:divBdr>
    </w:div>
    <w:div w:id="82649591">
      <w:bodyDiv w:val="1"/>
      <w:marLeft w:val="0"/>
      <w:marRight w:val="0"/>
      <w:marTop w:val="0"/>
      <w:marBottom w:val="0"/>
      <w:divBdr>
        <w:top w:val="none" w:sz="0" w:space="0" w:color="auto"/>
        <w:left w:val="none" w:sz="0" w:space="0" w:color="auto"/>
        <w:bottom w:val="none" w:sz="0" w:space="0" w:color="auto"/>
        <w:right w:val="none" w:sz="0" w:space="0" w:color="auto"/>
      </w:divBdr>
    </w:div>
    <w:div w:id="82843192">
      <w:bodyDiv w:val="1"/>
      <w:marLeft w:val="0"/>
      <w:marRight w:val="0"/>
      <w:marTop w:val="0"/>
      <w:marBottom w:val="0"/>
      <w:divBdr>
        <w:top w:val="none" w:sz="0" w:space="0" w:color="auto"/>
        <w:left w:val="none" w:sz="0" w:space="0" w:color="auto"/>
        <w:bottom w:val="none" w:sz="0" w:space="0" w:color="auto"/>
        <w:right w:val="none" w:sz="0" w:space="0" w:color="auto"/>
      </w:divBdr>
    </w:div>
    <w:div w:id="82916202">
      <w:bodyDiv w:val="1"/>
      <w:marLeft w:val="0"/>
      <w:marRight w:val="0"/>
      <w:marTop w:val="0"/>
      <w:marBottom w:val="0"/>
      <w:divBdr>
        <w:top w:val="none" w:sz="0" w:space="0" w:color="auto"/>
        <w:left w:val="none" w:sz="0" w:space="0" w:color="auto"/>
        <w:bottom w:val="none" w:sz="0" w:space="0" w:color="auto"/>
        <w:right w:val="none" w:sz="0" w:space="0" w:color="auto"/>
      </w:divBdr>
    </w:div>
    <w:div w:id="82998728">
      <w:bodyDiv w:val="1"/>
      <w:marLeft w:val="0"/>
      <w:marRight w:val="0"/>
      <w:marTop w:val="0"/>
      <w:marBottom w:val="0"/>
      <w:divBdr>
        <w:top w:val="none" w:sz="0" w:space="0" w:color="auto"/>
        <w:left w:val="none" w:sz="0" w:space="0" w:color="auto"/>
        <w:bottom w:val="none" w:sz="0" w:space="0" w:color="auto"/>
        <w:right w:val="none" w:sz="0" w:space="0" w:color="auto"/>
      </w:divBdr>
    </w:div>
    <w:div w:id="83458288">
      <w:bodyDiv w:val="1"/>
      <w:marLeft w:val="0"/>
      <w:marRight w:val="0"/>
      <w:marTop w:val="0"/>
      <w:marBottom w:val="0"/>
      <w:divBdr>
        <w:top w:val="none" w:sz="0" w:space="0" w:color="auto"/>
        <w:left w:val="none" w:sz="0" w:space="0" w:color="auto"/>
        <w:bottom w:val="none" w:sz="0" w:space="0" w:color="auto"/>
        <w:right w:val="none" w:sz="0" w:space="0" w:color="auto"/>
      </w:divBdr>
    </w:div>
    <w:div w:id="83840708">
      <w:bodyDiv w:val="1"/>
      <w:marLeft w:val="0"/>
      <w:marRight w:val="0"/>
      <w:marTop w:val="0"/>
      <w:marBottom w:val="0"/>
      <w:divBdr>
        <w:top w:val="none" w:sz="0" w:space="0" w:color="auto"/>
        <w:left w:val="none" w:sz="0" w:space="0" w:color="auto"/>
        <w:bottom w:val="none" w:sz="0" w:space="0" w:color="auto"/>
        <w:right w:val="none" w:sz="0" w:space="0" w:color="auto"/>
      </w:divBdr>
    </w:div>
    <w:div w:id="84037903">
      <w:bodyDiv w:val="1"/>
      <w:marLeft w:val="0"/>
      <w:marRight w:val="0"/>
      <w:marTop w:val="0"/>
      <w:marBottom w:val="0"/>
      <w:divBdr>
        <w:top w:val="none" w:sz="0" w:space="0" w:color="auto"/>
        <w:left w:val="none" w:sz="0" w:space="0" w:color="auto"/>
        <w:bottom w:val="none" w:sz="0" w:space="0" w:color="auto"/>
        <w:right w:val="none" w:sz="0" w:space="0" w:color="auto"/>
      </w:divBdr>
    </w:div>
    <w:div w:id="85348300">
      <w:bodyDiv w:val="1"/>
      <w:marLeft w:val="0"/>
      <w:marRight w:val="0"/>
      <w:marTop w:val="0"/>
      <w:marBottom w:val="0"/>
      <w:divBdr>
        <w:top w:val="none" w:sz="0" w:space="0" w:color="auto"/>
        <w:left w:val="none" w:sz="0" w:space="0" w:color="auto"/>
        <w:bottom w:val="none" w:sz="0" w:space="0" w:color="auto"/>
        <w:right w:val="none" w:sz="0" w:space="0" w:color="auto"/>
      </w:divBdr>
    </w:div>
    <w:div w:id="85922760">
      <w:bodyDiv w:val="1"/>
      <w:marLeft w:val="0"/>
      <w:marRight w:val="0"/>
      <w:marTop w:val="0"/>
      <w:marBottom w:val="0"/>
      <w:divBdr>
        <w:top w:val="none" w:sz="0" w:space="0" w:color="auto"/>
        <w:left w:val="none" w:sz="0" w:space="0" w:color="auto"/>
        <w:bottom w:val="none" w:sz="0" w:space="0" w:color="auto"/>
        <w:right w:val="none" w:sz="0" w:space="0" w:color="auto"/>
      </w:divBdr>
    </w:div>
    <w:div w:id="85922904">
      <w:bodyDiv w:val="1"/>
      <w:marLeft w:val="0"/>
      <w:marRight w:val="0"/>
      <w:marTop w:val="0"/>
      <w:marBottom w:val="0"/>
      <w:divBdr>
        <w:top w:val="none" w:sz="0" w:space="0" w:color="auto"/>
        <w:left w:val="none" w:sz="0" w:space="0" w:color="auto"/>
        <w:bottom w:val="none" w:sz="0" w:space="0" w:color="auto"/>
        <w:right w:val="none" w:sz="0" w:space="0" w:color="auto"/>
      </w:divBdr>
    </w:div>
    <w:div w:id="86197322">
      <w:bodyDiv w:val="1"/>
      <w:marLeft w:val="0"/>
      <w:marRight w:val="0"/>
      <w:marTop w:val="0"/>
      <w:marBottom w:val="0"/>
      <w:divBdr>
        <w:top w:val="none" w:sz="0" w:space="0" w:color="auto"/>
        <w:left w:val="none" w:sz="0" w:space="0" w:color="auto"/>
        <w:bottom w:val="none" w:sz="0" w:space="0" w:color="auto"/>
        <w:right w:val="none" w:sz="0" w:space="0" w:color="auto"/>
      </w:divBdr>
    </w:div>
    <w:div w:id="86312128">
      <w:bodyDiv w:val="1"/>
      <w:marLeft w:val="0"/>
      <w:marRight w:val="0"/>
      <w:marTop w:val="0"/>
      <w:marBottom w:val="0"/>
      <w:divBdr>
        <w:top w:val="none" w:sz="0" w:space="0" w:color="auto"/>
        <w:left w:val="none" w:sz="0" w:space="0" w:color="auto"/>
        <w:bottom w:val="none" w:sz="0" w:space="0" w:color="auto"/>
        <w:right w:val="none" w:sz="0" w:space="0" w:color="auto"/>
      </w:divBdr>
    </w:div>
    <w:div w:id="87585857">
      <w:bodyDiv w:val="1"/>
      <w:marLeft w:val="0"/>
      <w:marRight w:val="0"/>
      <w:marTop w:val="0"/>
      <w:marBottom w:val="0"/>
      <w:divBdr>
        <w:top w:val="none" w:sz="0" w:space="0" w:color="auto"/>
        <w:left w:val="none" w:sz="0" w:space="0" w:color="auto"/>
        <w:bottom w:val="none" w:sz="0" w:space="0" w:color="auto"/>
        <w:right w:val="none" w:sz="0" w:space="0" w:color="auto"/>
      </w:divBdr>
    </w:div>
    <w:div w:id="88041380">
      <w:bodyDiv w:val="1"/>
      <w:marLeft w:val="0"/>
      <w:marRight w:val="0"/>
      <w:marTop w:val="0"/>
      <w:marBottom w:val="0"/>
      <w:divBdr>
        <w:top w:val="none" w:sz="0" w:space="0" w:color="auto"/>
        <w:left w:val="none" w:sz="0" w:space="0" w:color="auto"/>
        <w:bottom w:val="none" w:sz="0" w:space="0" w:color="auto"/>
        <w:right w:val="none" w:sz="0" w:space="0" w:color="auto"/>
      </w:divBdr>
    </w:div>
    <w:div w:id="88238003">
      <w:bodyDiv w:val="1"/>
      <w:marLeft w:val="0"/>
      <w:marRight w:val="0"/>
      <w:marTop w:val="0"/>
      <w:marBottom w:val="0"/>
      <w:divBdr>
        <w:top w:val="none" w:sz="0" w:space="0" w:color="auto"/>
        <w:left w:val="none" w:sz="0" w:space="0" w:color="auto"/>
        <w:bottom w:val="none" w:sz="0" w:space="0" w:color="auto"/>
        <w:right w:val="none" w:sz="0" w:space="0" w:color="auto"/>
      </w:divBdr>
    </w:div>
    <w:div w:id="90273705">
      <w:bodyDiv w:val="1"/>
      <w:marLeft w:val="0"/>
      <w:marRight w:val="0"/>
      <w:marTop w:val="0"/>
      <w:marBottom w:val="0"/>
      <w:divBdr>
        <w:top w:val="none" w:sz="0" w:space="0" w:color="auto"/>
        <w:left w:val="none" w:sz="0" w:space="0" w:color="auto"/>
        <w:bottom w:val="none" w:sz="0" w:space="0" w:color="auto"/>
        <w:right w:val="none" w:sz="0" w:space="0" w:color="auto"/>
      </w:divBdr>
    </w:div>
    <w:div w:id="90274893">
      <w:bodyDiv w:val="1"/>
      <w:marLeft w:val="0"/>
      <w:marRight w:val="0"/>
      <w:marTop w:val="0"/>
      <w:marBottom w:val="0"/>
      <w:divBdr>
        <w:top w:val="none" w:sz="0" w:space="0" w:color="auto"/>
        <w:left w:val="none" w:sz="0" w:space="0" w:color="auto"/>
        <w:bottom w:val="none" w:sz="0" w:space="0" w:color="auto"/>
        <w:right w:val="none" w:sz="0" w:space="0" w:color="auto"/>
      </w:divBdr>
    </w:div>
    <w:div w:id="91440409">
      <w:bodyDiv w:val="1"/>
      <w:marLeft w:val="0"/>
      <w:marRight w:val="0"/>
      <w:marTop w:val="0"/>
      <w:marBottom w:val="0"/>
      <w:divBdr>
        <w:top w:val="none" w:sz="0" w:space="0" w:color="auto"/>
        <w:left w:val="none" w:sz="0" w:space="0" w:color="auto"/>
        <w:bottom w:val="none" w:sz="0" w:space="0" w:color="auto"/>
        <w:right w:val="none" w:sz="0" w:space="0" w:color="auto"/>
      </w:divBdr>
    </w:div>
    <w:div w:id="92408862">
      <w:bodyDiv w:val="1"/>
      <w:marLeft w:val="0"/>
      <w:marRight w:val="0"/>
      <w:marTop w:val="0"/>
      <w:marBottom w:val="0"/>
      <w:divBdr>
        <w:top w:val="none" w:sz="0" w:space="0" w:color="auto"/>
        <w:left w:val="none" w:sz="0" w:space="0" w:color="auto"/>
        <w:bottom w:val="none" w:sz="0" w:space="0" w:color="auto"/>
        <w:right w:val="none" w:sz="0" w:space="0" w:color="auto"/>
      </w:divBdr>
    </w:div>
    <w:div w:id="92677139">
      <w:bodyDiv w:val="1"/>
      <w:marLeft w:val="0"/>
      <w:marRight w:val="0"/>
      <w:marTop w:val="0"/>
      <w:marBottom w:val="0"/>
      <w:divBdr>
        <w:top w:val="none" w:sz="0" w:space="0" w:color="auto"/>
        <w:left w:val="none" w:sz="0" w:space="0" w:color="auto"/>
        <w:bottom w:val="none" w:sz="0" w:space="0" w:color="auto"/>
        <w:right w:val="none" w:sz="0" w:space="0" w:color="auto"/>
      </w:divBdr>
    </w:div>
    <w:div w:id="93795007">
      <w:bodyDiv w:val="1"/>
      <w:marLeft w:val="0"/>
      <w:marRight w:val="0"/>
      <w:marTop w:val="0"/>
      <w:marBottom w:val="0"/>
      <w:divBdr>
        <w:top w:val="none" w:sz="0" w:space="0" w:color="auto"/>
        <w:left w:val="none" w:sz="0" w:space="0" w:color="auto"/>
        <w:bottom w:val="none" w:sz="0" w:space="0" w:color="auto"/>
        <w:right w:val="none" w:sz="0" w:space="0" w:color="auto"/>
      </w:divBdr>
    </w:div>
    <w:div w:id="94324852">
      <w:bodyDiv w:val="1"/>
      <w:marLeft w:val="0"/>
      <w:marRight w:val="0"/>
      <w:marTop w:val="0"/>
      <w:marBottom w:val="0"/>
      <w:divBdr>
        <w:top w:val="none" w:sz="0" w:space="0" w:color="auto"/>
        <w:left w:val="none" w:sz="0" w:space="0" w:color="auto"/>
        <w:bottom w:val="none" w:sz="0" w:space="0" w:color="auto"/>
        <w:right w:val="none" w:sz="0" w:space="0" w:color="auto"/>
      </w:divBdr>
    </w:div>
    <w:div w:id="94448857">
      <w:bodyDiv w:val="1"/>
      <w:marLeft w:val="0"/>
      <w:marRight w:val="0"/>
      <w:marTop w:val="0"/>
      <w:marBottom w:val="0"/>
      <w:divBdr>
        <w:top w:val="none" w:sz="0" w:space="0" w:color="auto"/>
        <w:left w:val="none" w:sz="0" w:space="0" w:color="auto"/>
        <w:bottom w:val="none" w:sz="0" w:space="0" w:color="auto"/>
        <w:right w:val="none" w:sz="0" w:space="0" w:color="auto"/>
      </w:divBdr>
    </w:div>
    <w:div w:id="95098891">
      <w:bodyDiv w:val="1"/>
      <w:marLeft w:val="0"/>
      <w:marRight w:val="0"/>
      <w:marTop w:val="0"/>
      <w:marBottom w:val="0"/>
      <w:divBdr>
        <w:top w:val="none" w:sz="0" w:space="0" w:color="auto"/>
        <w:left w:val="none" w:sz="0" w:space="0" w:color="auto"/>
        <w:bottom w:val="none" w:sz="0" w:space="0" w:color="auto"/>
        <w:right w:val="none" w:sz="0" w:space="0" w:color="auto"/>
      </w:divBdr>
    </w:div>
    <w:div w:id="96416417">
      <w:bodyDiv w:val="1"/>
      <w:marLeft w:val="0"/>
      <w:marRight w:val="0"/>
      <w:marTop w:val="0"/>
      <w:marBottom w:val="0"/>
      <w:divBdr>
        <w:top w:val="none" w:sz="0" w:space="0" w:color="auto"/>
        <w:left w:val="none" w:sz="0" w:space="0" w:color="auto"/>
        <w:bottom w:val="none" w:sz="0" w:space="0" w:color="auto"/>
        <w:right w:val="none" w:sz="0" w:space="0" w:color="auto"/>
      </w:divBdr>
    </w:div>
    <w:div w:id="96946415">
      <w:bodyDiv w:val="1"/>
      <w:marLeft w:val="0"/>
      <w:marRight w:val="0"/>
      <w:marTop w:val="0"/>
      <w:marBottom w:val="0"/>
      <w:divBdr>
        <w:top w:val="none" w:sz="0" w:space="0" w:color="auto"/>
        <w:left w:val="none" w:sz="0" w:space="0" w:color="auto"/>
        <w:bottom w:val="none" w:sz="0" w:space="0" w:color="auto"/>
        <w:right w:val="none" w:sz="0" w:space="0" w:color="auto"/>
      </w:divBdr>
    </w:div>
    <w:div w:id="97140218">
      <w:bodyDiv w:val="1"/>
      <w:marLeft w:val="0"/>
      <w:marRight w:val="0"/>
      <w:marTop w:val="0"/>
      <w:marBottom w:val="0"/>
      <w:divBdr>
        <w:top w:val="none" w:sz="0" w:space="0" w:color="auto"/>
        <w:left w:val="none" w:sz="0" w:space="0" w:color="auto"/>
        <w:bottom w:val="none" w:sz="0" w:space="0" w:color="auto"/>
        <w:right w:val="none" w:sz="0" w:space="0" w:color="auto"/>
      </w:divBdr>
    </w:div>
    <w:div w:id="98305814">
      <w:bodyDiv w:val="1"/>
      <w:marLeft w:val="0"/>
      <w:marRight w:val="0"/>
      <w:marTop w:val="0"/>
      <w:marBottom w:val="0"/>
      <w:divBdr>
        <w:top w:val="none" w:sz="0" w:space="0" w:color="auto"/>
        <w:left w:val="none" w:sz="0" w:space="0" w:color="auto"/>
        <w:bottom w:val="none" w:sz="0" w:space="0" w:color="auto"/>
        <w:right w:val="none" w:sz="0" w:space="0" w:color="auto"/>
      </w:divBdr>
    </w:div>
    <w:div w:id="99223964">
      <w:bodyDiv w:val="1"/>
      <w:marLeft w:val="0"/>
      <w:marRight w:val="0"/>
      <w:marTop w:val="0"/>
      <w:marBottom w:val="0"/>
      <w:divBdr>
        <w:top w:val="none" w:sz="0" w:space="0" w:color="auto"/>
        <w:left w:val="none" w:sz="0" w:space="0" w:color="auto"/>
        <w:bottom w:val="none" w:sz="0" w:space="0" w:color="auto"/>
        <w:right w:val="none" w:sz="0" w:space="0" w:color="auto"/>
      </w:divBdr>
    </w:div>
    <w:div w:id="100999941">
      <w:bodyDiv w:val="1"/>
      <w:marLeft w:val="0"/>
      <w:marRight w:val="0"/>
      <w:marTop w:val="0"/>
      <w:marBottom w:val="0"/>
      <w:divBdr>
        <w:top w:val="none" w:sz="0" w:space="0" w:color="auto"/>
        <w:left w:val="none" w:sz="0" w:space="0" w:color="auto"/>
        <w:bottom w:val="none" w:sz="0" w:space="0" w:color="auto"/>
        <w:right w:val="none" w:sz="0" w:space="0" w:color="auto"/>
      </w:divBdr>
    </w:div>
    <w:div w:id="101077695">
      <w:bodyDiv w:val="1"/>
      <w:marLeft w:val="0"/>
      <w:marRight w:val="0"/>
      <w:marTop w:val="0"/>
      <w:marBottom w:val="0"/>
      <w:divBdr>
        <w:top w:val="none" w:sz="0" w:space="0" w:color="auto"/>
        <w:left w:val="none" w:sz="0" w:space="0" w:color="auto"/>
        <w:bottom w:val="none" w:sz="0" w:space="0" w:color="auto"/>
        <w:right w:val="none" w:sz="0" w:space="0" w:color="auto"/>
      </w:divBdr>
    </w:div>
    <w:div w:id="101389989">
      <w:bodyDiv w:val="1"/>
      <w:marLeft w:val="0"/>
      <w:marRight w:val="0"/>
      <w:marTop w:val="0"/>
      <w:marBottom w:val="0"/>
      <w:divBdr>
        <w:top w:val="none" w:sz="0" w:space="0" w:color="auto"/>
        <w:left w:val="none" w:sz="0" w:space="0" w:color="auto"/>
        <w:bottom w:val="none" w:sz="0" w:space="0" w:color="auto"/>
        <w:right w:val="none" w:sz="0" w:space="0" w:color="auto"/>
      </w:divBdr>
    </w:div>
    <w:div w:id="101654115">
      <w:bodyDiv w:val="1"/>
      <w:marLeft w:val="0"/>
      <w:marRight w:val="0"/>
      <w:marTop w:val="0"/>
      <w:marBottom w:val="0"/>
      <w:divBdr>
        <w:top w:val="none" w:sz="0" w:space="0" w:color="auto"/>
        <w:left w:val="none" w:sz="0" w:space="0" w:color="auto"/>
        <w:bottom w:val="none" w:sz="0" w:space="0" w:color="auto"/>
        <w:right w:val="none" w:sz="0" w:space="0" w:color="auto"/>
      </w:divBdr>
    </w:div>
    <w:div w:id="102723848">
      <w:bodyDiv w:val="1"/>
      <w:marLeft w:val="0"/>
      <w:marRight w:val="0"/>
      <w:marTop w:val="0"/>
      <w:marBottom w:val="0"/>
      <w:divBdr>
        <w:top w:val="none" w:sz="0" w:space="0" w:color="auto"/>
        <w:left w:val="none" w:sz="0" w:space="0" w:color="auto"/>
        <w:bottom w:val="none" w:sz="0" w:space="0" w:color="auto"/>
        <w:right w:val="none" w:sz="0" w:space="0" w:color="auto"/>
      </w:divBdr>
    </w:div>
    <w:div w:id="103841379">
      <w:bodyDiv w:val="1"/>
      <w:marLeft w:val="0"/>
      <w:marRight w:val="0"/>
      <w:marTop w:val="0"/>
      <w:marBottom w:val="0"/>
      <w:divBdr>
        <w:top w:val="none" w:sz="0" w:space="0" w:color="auto"/>
        <w:left w:val="none" w:sz="0" w:space="0" w:color="auto"/>
        <w:bottom w:val="none" w:sz="0" w:space="0" w:color="auto"/>
        <w:right w:val="none" w:sz="0" w:space="0" w:color="auto"/>
      </w:divBdr>
    </w:div>
    <w:div w:id="104083979">
      <w:bodyDiv w:val="1"/>
      <w:marLeft w:val="0"/>
      <w:marRight w:val="0"/>
      <w:marTop w:val="0"/>
      <w:marBottom w:val="0"/>
      <w:divBdr>
        <w:top w:val="none" w:sz="0" w:space="0" w:color="auto"/>
        <w:left w:val="none" w:sz="0" w:space="0" w:color="auto"/>
        <w:bottom w:val="none" w:sz="0" w:space="0" w:color="auto"/>
        <w:right w:val="none" w:sz="0" w:space="0" w:color="auto"/>
      </w:divBdr>
    </w:div>
    <w:div w:id="104496800">
      <w:bodyDiv w:val="1"/>
      <w:marLeft w:val="0"/>
      <w:marRight w:val="0"/>
      <w:marTop w:val="0"/>
      <w:marBottom w:val="0"/>
      <w:divBdr>
        <w:top w:val="none" w:sz="0" w:space="0" w:color="auto"/>
        <w:left w:val="none" w:sz="0" w:space="0" w:color="auto"/>
        <w:bottom w:val="none" w:sz="0" w:space="0" w:color="auto"/>
        <w:right w:val="none" w:sz="0" w:space="0" w:color="auto"/>
      </w:divBdr>
    </w:div>
    <w:div w:id="105002351">
      <w:bodyDiv w:val="1"/>
      <w:marLeft w:val="0"/>
      <w:marRight w:val="0"/>
      <w:marTop w:val="0"/>
      <w:marBottom w:val="0"/>
      <w:divBdr>
        <w:top w:val="none" w:sz="0" w:space="0" w:color="auto"/>
        <w:left w:val="none" w:sz="0" w:space="0" w:color="auto"/>
        <w:bottom w:val="none" w:sz="0" w:space="0" w:color="auto"/>
        <w:right w:val="none" w:sz="0" w:space="0" w:color="auto"/>
      </w:divBdr>
    </w:div>
    <w:div w:id="105319765">
      <w:bodyDiv w:val="1"/>
      <w:marLeft w:val="0"/>
      <w:marRight w:val="0"/>
      <w:marTop w:val="0"/>
      <w:marBottom w:val="0"/>
      <w:divBdr>
        <w:top w:val="none" w:sz="0" w:space="0" w:color="auto"/>
        <w:left w:val="none" w:sz="0" w:space="0" w:color="auto"/>
        <w:bottom w:val="none" w:sz="0" w:space="0" w:color="auto"/>
        <w:right w:val="none" w:sz="0" w:space="0" w:color="auto"/>
      </w:divBdr>
    </w:div>
    <w:div w:id="105347709">
      <w:bodyDiv w:val="1"/>
      <w:marLeft w:val="0"/>
      <w:marRight w:val="0"/>
      <w:marTop w:val="0"/>
      <w:marBottom w:val="0"/>
      <w:divBdr>
        <w:top w:val="none" w:sz="0" w:space="0" w:color="auto"/>
        <w:left w:val="none" w:sz="0" w:space="0" w:color="auto"/>
        <w:bottom w:val="none" w:sz="0" w:space="0" w:color="auto"/>
        <w:right w:val="none" w:sz="0" w:space="0" w:color="auto"/>
      </w:divBdr>
    </w:div>
    <w:div w:id="105660289">
      <w:bodyDiv w:val="1"/>
      <w:marLeft w:val="0"/>
      <w:marRight w:val="0"/>
      <w:marTop w:val="0"/>
      <w:marBottom w:val="0"/>
      <w:divBdr>
        <w:top w:val="none" w:sz="0" w:space="0" w:color="auto"/>
        <w:left w:val="none" w:sz="0" w:space="0" w:color="auto"/>
        <w:bottom w:val="none" w:sz="0" w:space="0" w:color="auto"/>
        <w:right w:val="none" w:sz="0" w:space="0" w:color="auto"/>
      </w:divBdr>
    </w:div>
    <w:div w:id="106431243">
      <w:bodyDiv w:val="1"/>
      <w:marLeft w:val="0"/>
      <w:marRight w:val="0"/>
      <w:marTop w:val="0"/>
      <w:marBottom w:val="0"/>
      <w:divBdr>
        <w:top w:val="none" w:sz="0" w:space="0" w:color="auto"/>
        <w:left w:val="none" w:sz="0" w:space="0" w:color="auto"/>
        <w:bottom w:val="none" w:sz="0" w:space="0" w:color="auto"/>
        <w:right w:val="none" w:sz="0" w:space="0" w:color="auto"/>
      </w:divBdr>
    </w:div>
    <w:div w:id="107311581">
      <w:bodyDiv w:val="1"/>
      <w:marLeft w:val="0"/>
      <w:marRight w:val="0"/>
      <w:marTop w:val="0"/>
      <w:marBottom w:val="0"/>
      <w:divBdr>
        <w:top w:val="none" w:sz="0" w:space="0" w:color="auto"/>
        <w:left w:val="none" w:sz="0" w:space="0" w:color="auto"/>
        <w:bottom w:val="none" w:sz="0" w:space="0" w:color="auto"/>
        <w:right w:val="none" w:sz="0" w:space="0" w:color="auto"/>
      </w:divBdr>
    </w:div>
    <w:div w:id="107623105">
      <w:bodyDiv w:val="1"/>
      <w:marLeft w:val="0"/>
      <w:marRight w:val="0"/>
      <w:marTop w:val="0"/>
      <w:marBottom w:val="0"/>
      <w:divBdr>
        <w:top w:val="none" w:sz="0" w:space="0" w:color="auto"/>
        <w:left w:val="none" w:sz="0" w:space="0" w:color="auto"/>
        <w:bottom w:val="none" w:sz="0" w:space="0" w:color="auto"/>
        <w:right w:val="none" w:sz="0" w:space="0" w:color="auto"/>
      </w:divBdr>
    </w:div>
    <w:div w:id="108203311">
      <w:bodyDiv w:val="1"/>
      <w:marLeft w:val="0"/>
      <w:marRight w:val="0"/>
      <w:marTop w:val="0"/>
      <w:marBottom w:val="0"/>
      <w:divBdr>
        <w:top w:val="none" w:sz="0" w:space="0" w:color="auto"/>
        <w:left w:val="none" w:sz="0" w:space="0" w:color="auto"/>
        <w:bottom w:val="none" w:sz="0" w:space="0" w:color="auto"/>
        <w:right w:val="none" w:sz="0" w:space="0" w:color="auto"/>
      </w:divBdr>
    </w:div>
    <w:div w:id="108356596">
      <w:bodyDiv w:val="1"/>
      <w:marLeft w:val="0"/>
      <w:marRight w:val="0"/>
      <w:marTop w:val="0"/>
      <w:marBottom w:val="0"/>
      <w:divBdr>
        <w:top w:val="none" w:sz="0" w:space="0" w:color="auto"/>
        <w:left w:val="none" w:sz="0" w:space="0" w:color="auto"/>
        <w:bottom w:val="none" w:sz="0" w:space="0" w:color="auto"/>
        <w:right w:val="none" w:sz="0" w:space="0" w:color="auto"/>
      </w:divBdr>
    </w:div>
    <w:div w:id="108625205">
      <w:bodyDiv w:val="1"/>
      <w:marLeft w:val="0"/>
      <w:marRight w:val="0"/>
      <w:marTop w:val="0"/>
      <w:marBottom w:val="0"/>
      <w:divBdr>
        <w:top w:val="none" w:sz="0" w:space="0" w:color="auto"/>
        <w:left w:val="none" w:sz="0" w:space="0" w:color="auto"/>
        <w:bottom w:val="none" w:sz="0" w:space="0" w:color="auto"/>
        <w:right w:val="none" w:sz="0" w:space="0" w:color="auto"/>
      </w:divBdr>
    </w:div>
    <w:div w:id="108739606">
      <w:bodyDiv w:val="1"/>
      <w:marLeft w:val="0"/>
      <w:marRight w:val="0"/>
      <w:marTop w:val="0"/>
      <w:marBottom w:val="0"/>
      <w:divBdr>
        <w:top w:val="none" w:sz="0" w:space="0" w:color="auto"/>
        <w:left w:val="none" w:sz="0" w:space="0" w:color="auto"/>
        <w:bottom w:val="none" w:sz="0" w:space="0" w:color="auto"/>
        <w:right w:val="none" w:sz="0" w:space="0" w:color="auto"/>
      </w:divBdr>
    </w:div>
    <w:div w:id="109083163">
      <w:bodyDiv w:val="1"/>
      <w:marLeft w:val="0"/>
      <w:marRight w:val="0"/>
      <w:marTop w:val="0"/>
      <w:marBottom w:val="0"/>
      <w:divBdr>
        <w:top w:val="none" w:sz="0" w:space="0" w:color="auto"/>
        <w:left w:val="none" w:sz="0" w:space="0" w:color="auto"/>
        <w:bottom w:val="none" w:sz="0" w:space="0" w:color="auto"/>
        <w:right w:val="none" w:sz="0" w:space="0" w:color="auto"/>
      </w:divBdr>
    </w:div>
    <w:div w:id="109473447">
      <w:bodyDiv w:val="1"/>
      <w:marLeft w:val="0"/>
      <w:marRight w:val="0"/>
      <w:marTop w:val="0"/>
      <w:marBottom w:val="0"/>
      <w:divBdr>
        <w:top w:val="none" w:sz="0" w:space="0" w:color="auto"/>
        <w:left w:val="none" w:sz="0" w:space="0" w:color="auto"/>
        <w:bottom w:val="none" w:sz="0" w:space="0" w:color="auto"/>
        <w:right w:val="none" w:sz="0" w:space="0" w:color="auto"/>
      </w:divBdr>
    </w:div>
    <w:div w:id="109474850">
      <w:bodyDiv w:val="1"/>
      <w:marLeft w:val="0"/>
      <w:marRight w:val="0"/>
      <w:marTop w:val="0"/>
      <w:marBottom w:val="0"/>
      <w:divBdr>
        <w:top w:val="none" w:sz="0" w:space="0" w:color="auto"/>
        <w:left w:val="none" w:sz="0" w:space="0" w:color="auto"/>
        <w:bottom w:val="none" w:sz="0" w:space="0" w:color="auto"/>
        <w:right w:val="none" w:sz="0" w:space="0" w:color="auto"/>
      </w:divBdr>
    </w:div>
    <w:div w:id="109862546">
      <w:bodyDiv w:val="1"/>
      <w:marLeft w:val="0"/>
      <w:marRight w:val="0"/>
      <w:marTop w:val="0"/>
      <w:marBottom w:val="0"/>
      <w:divBdr>
        <w:top w:val="none" w:sz="0" w:space="0" w:color="auto"/>
        <w:left w:val="none" w:sz="0" w:space="0" w:color="auto"/>
        <w:bottom w:val="none" w:sz="0" w:space="0" w:color="auto"/>
        <w:right w:val="none" w:sz="0" w:space="0" w:color="auto"/>
      </w:divBdr>
    </w:div>
    <w:div w:id="111555375">
      <w:bodyDiv w:val="1"/>
      <w:marLeft w:val="0"/>
      <w:marRight w:val="0"/>
      <w:marTop w:val="0"/>
      <w:marBottom w:val="0"/>
      <w:divBdr>
        <w:top w:val="none" w:sz="0" w:space="0" w:color="auto"/>
        <w:left w:val="none" w:sz="0" w:space="0" w:color="auto"/>
        <w:bottom w:val="none" w:sz="0" w:space="0" w:color="auto"/>
        <w:right w:val="none" w:sz="0" w:space="0" w:color="auto"/>
      </w:divBdr>
    </w:div>
    <w:div w:id="112017239">
      <w:bodyDiv w:val="1"/>
      <w:marLeft w:val="0"/>
      <w:marRight w:val="0"/>
      <w:marTop w:val="0"/>
      <w:marBottom w:val="0"/>
      <w:divBdr>
        <w:top w:val="none" w:sz="0" w:space="0" w:color="auto"/>
        <w:left w:val="none" w:sz="0" w:space="0" w:color="auto"/>
        <w:bottom w:val="none" w:sz="0" w:space="0" w:color="auto"/>
        <w:right w:val="none" w:sz="0" w:space="0" w:color="auto"/>
      </w:divBdr>
    </w:div>
    <w:div w:id="114103467">
      <w:bodyDiv w:val="1"/>
      <w:marLeft w:val="0"/>
      <w:marRight w:val="0"/>
      <w:marTop w:val="0"/>
      <w:marBottom w:val="0"/>
      <w:divBdr>
        <w:top w:val="none" w:sz="0" w:space="0" w:color="auto"/>
        <w:left w:val="none" w:sz="0" w:space="0" w:color="auto"/>
        <w:bottom w:val="none" w:sz="0" w:space="0" w:color="auto"/>
        <w:right w:val="none" w:sz="0" w:space="0" w:color="auto"/>
      </w:divBdr>
    </w:div>
    <w:div w:id="114561364">
      <w:bodyDiv w:val="1"/>
      <w:marLeft w:val="0"/>
      <w:marRight w:val="0"/>
      <w:marTop w:val="0"/>
      <w:marBottom w:val="0"/>
      <w:divBdr>
        <w:top w:val="none" w:sz="0" w:space="0" w:color="auto"/>
        <w:left w:val="none" w:sz="0" w:space="0" w:color="auto"/>
        <w:bottom w:val="none" w:sz="0" w:space="0" w:color="auto"/>
        <w:right w:val="none" w:sz="0" w:space="0" w:color="auto"/>
      </w:divBdr>
    </w:div>
    <w:div w:id="115487929">
      <w:bodyDiv w:val="1"/>
      <w:marLeft w:val="0"/>
      <w:marRight w:val="0"/>
      <w:marTop w:val="0"/>
      <w:marBottom w:val="0"/>
      <w:divBdr>
        <w:top w:val="none" w:sz="0" w:space="0" w:color="auto"/>
        <w:left w:val="none" w:sz="0" w:space="0" w:color="auto"/>
        <w:bottom w:val="none" w:sz="0" w:space="0" w:color="auto"/>
        <w:right w:val="none" w:sz="0" w:space="0" w:color="auto"/>
      </w:divBdr>
    </w:div>
    <w:div w:id="116025088">
      <w:bodyDiv w:val="1"/>
      <w:marLeft w:val="0"/>
      <w:marRight w:val="0"/>
      <w:marTop w:val="0"/>
      <w:marBottom w:val="0"/>
      <w:divBdr>
        <w:top w:val="none" w:sz="0" w:space="0" w:color="auto"/>
        <w:left w:val="none" w:sz="0" w:space="0" w:color="auto"/>
        <w:bottom w:val="none" w:sz="0" w:space="0" w:color="auto"/>
        <w:right w:val="none" w:sz="0" w:space="0" w:color="auto"/>
      </w:divBdr>
    </w:div>
    <w:div w:id="116529038">
      <w:bodyDiv w:val="1"/>
      <w:marLeft w:val="0"/>
      <w:marRight w:val="0"/>
      <w:marTop w:val="0"/>
      <w:marBottom w:val="0"/>
      <w:divBdr>
        <w:top w:val="none" w:sz="0" w:space="0" w:color="auto"/>
        <w:left w:val="none" w:sz="0" w:space="0" w:color="auto"/>
        <w:bottom w:val="none" w:sz="0" w:space="0" w:color="auto"/>
        <w:right w:val="none" w:sz="0" w:space="0" w:color="auto"/>
      </w:divBdr>
    </w:div>
    <w:div w:id="116722568">
      <w:bodyDiv w:val="1"/>
      <w:marLeft w:val="0"/>
      <w:marRight w:val="0"/>
      <w:marTop w:val="0"/>
      <w:marBottom w:val="0"/>
      <w:divBdr>
        <w:top w:val="none" w:sz="0" w:space="0" w:color="auto"/>
        <w:left w:val="none" w:sz="0" w:space="0" w:color="auto"/>
        <w:bottom w:val="none" w:sz="0" w:space="0" w:color="auto"/>
        <w:right w:val="none" w:sz="0" w:space="0" w:color="auto"/>
      </w:divBdr>
    </w:div>
    <w:div w:id="116923244">
      <w:bodyDiv w:val="1"/>
      <w:marLeft w:val="0"/>
      <w:marRight w:val="0"/>
      <w:marTop w:val="0"/>
      <w:marBottom w:val="0"/>
      <w:divBdr>
        <w:top w:val="none" w:sz="0" w:space="0" w:color="auto"/>
        <w:left w:val="none" w:sz="0" w:space="0" w:color="auto"/>
        <w:bottom w:val="none" w:sz="0" w:space="0" w:color="auto"/>
        <w:right w:val="none" w:sz="0" w:space="0" w:color="auto"/>
      </w:divBdr>
    </w:div>
    <w:div w:id="118109599">
      <w:bodyDiv w:val="1"/>
      <w:marLeft w:val="0"/>
      <w:marRight w:val="0"/>
      <w:marTop w:val="0"/>
      <w:marBottom w:val="0"/>
      <w:divBdr>
        <w:top w:val="none" w:sz="0" w:space="0" w:color="auto"/>
        <w:left w:val="none" w:sz="0" w:space="0" w:color="auto"/>
        <w:bottom w:val="none" w:sz="0" w:space="0" w:color="auto"/>
        <w:right w:val="none" w:sz="0" w:space="0" w:color="auto"/>
      </w:divBdr>
    </w:div>
    <w:div w:id="118302006">
      <w:bodyDiv w:val="1"/>
      <w:marLeft w:val="0"/>
      <w:marRight w:val="0"/>
      <w:marTop w:val="0"/>
      <w:marBottom w:val="0"/>
      <w:divBdr>
        <w:top w:val="none" w:sz="0" w:space="0" w:color="auto"/>
        <w:left w:val="none" w:sz="0" w:space="0" w:color="auto"/>
        <w:bottom w:val="none" w:sz="0" w:space="0" w:color="auto"/>
        <w:right w:val="none" w:sz="0" w:space="0" w:color="auto"/>
      </w:divBdr>
    </w:div>
    <w:div w:id="118572194">
      <w:bodyDiv w:val="1"/>
      <w:marLeft w:val="0"/>
      <w:marRight w:val="0"/>
      <w:marTop w:val="0"/>
      <w:marBottom w:val="0"/>
      <w:divBdr>
        <w:top w:val="none" w:sz="0" w:space="0" w:color="auto"/>
        <w:left w:val="none" w:sz="0" w:space="0" w:color="auto"/>
        <w:bottom w:val="none" w:sz="0" w:space="0" w:color="auto"/>
        <w:right w:val="none" w:sz="0" w:space="0" w:color="auto"/>
      </w:divBdr>
    </w:div>
    <w:div w:id="118652840">
      <w:bodyDiv w:val="1"/>
      <w:marLeft w:val="0"/>
      <w:marRight w:val="0"/>
      <w:marTop w:val="0"/>
      <w:marBottom w:val="0"/>
      <w:divBdr>
        <w:top w:val="none" w:sz="0" w:space="0" w:color="auto"/>
        <w:left w:val="none" w:sz="0" w:space="0" w:color="auto"/>
        <w:bottom w:val="none" w:sz="0" w:space="0" w:color="auto"/>
        <w:right w:val="none" w:sz="0" w:space="0" w:color="auto"/>
      </w:divBdr>
    </w:div>
    <w:div w:id="118690440">
      <w:bodyDiv w:val="1"/>
      <w:marLeft w:val="0"/>
      <w:marRight w:val="0"/>
      <w:marTop w:val="0"/>
      <w:marBottom w:val="0"/>
      <w:divBdr>
        <w:top w:val="none" w:sz="0" w:space="0" w:color="auto"/>
        <w:left w:val="none" w:sz="0" w:space="0" w:color="auto"/>
        <w:bottom w:val="none" w:sz="0" w:space="0" w:color="auto"/>
        <w:right w:val="none" w:sz="0" w:space="0" w:color="auto"/>
      </w:divBdr>
    </w:div>
    <w:div w:id="118762602">
      <w:bodyDiv w:val="1"/>
      <w:marLeft w:val="0"/>
      <w:marRight w:val="0"/>
      <w:marTop w:val="0"/>
      <w:marBottom w:val="0"/>
      <w:divBdr>
        <w:top w:val="none" w:sz="0" w:space="0" w:color="auto"/>
        <w:left w:val="none" w:sz="0" w:space="0" w:color="auto"/>
        <w:bottom w:val="none" w:sz="0" w:space="0" w:color="auto"/>
        <w:right w:val="none" w:sz="0" w:space="0" w:color="auto"/>
      </w:divBdr>
    </w:div>
    <w:div w:id="119226781">
      <w:bodyDiv w:val="1"/>
      <w:marLeft w:val="0"/>
      <w:marRight w:val="0"/>
      <w:marTop w:val="0"/>
      <w:marBottom w:val="0"/>
      <w:divBdr>
        <w:top w:val="none" w:sz="0" w:space="0" w:color="auto"/>
        <w:left w:val="none" w:sz="0" w:space="0" w:color="auto"/>
        <w:bottom w:val="none" w:sz="0" w:space="0" w:color="auto"/>
        <w:right w:val="none" w:sz="0" w:space="0" w:color="auto"/>
      </w:divBdr>
    </w:div>
    <w:div w:id="119301748">
      <w:bodyDiv w:val="1"/>
      <w:marLeft w:val="0"/>
      <w:marRight w:val="0"/>
      <w:marTop w:val="0"/>
      <w:marBottom w:val="0"/>
      <w:divBdr>
        <w:top w:val="none" w:sz="0" w:space="0" w:color="auto"/>
        <w:left w:val="none" w:sz="0" w:space="0" w:color="auto"/>
        <w:bottom w:val="none" w:sz="0" w:space="0" w:color="auto"/>
        <w:right w:val="none" w:sz="0" w:space="0" w:color="auto"/>
      </w:divBdr>
    </w:div>
    <w:div w:id="122626523">
      <w:bodyDiv w:val="1"/>
      <w:marLeft w:val="0"/>
      <w:marRight w:val="0"/>
      <w:marTop w:val="0"/>
      <w:marBottom w:val="0"/>
      <w:divBdr>
        <w:top w:val="none" w:sz="0" w:space="0" w:color="auto"/>
        <w:left w:val="none" w:sz="0" w:space="0" w:color="auto"/>
        <w:bottom w:val="none" w:sz="0" w:space="0" w:color="auto"/>
        <w:right w:val="none" w:sz="0" w:space="0" w:color="auto"/>
      </w:divBdr>
    </w:div>
    <w:div w:id="124274541">
      <w:bodyDiv w:val="1"/>
      <w:marLeft w:val="0"/>
      <w:marRight w:val="0"/>
      <w:marTop w:val="0"/>
      <w:marBottom w:val="0"/>
      <w:divBdr>
        <w:top w:val="none" w:sz="0" w:space="0" w:color="auto"/>
        <w:left w:val="none" w:sz="0" w:space="0" w:color="auto"/>
        <w:bottom w:val="none" w:sz="0" w:space="0" w:color="auto"/>
        <w:right w:val="none" w:sz="0" w:space="0" w:color="auto"/>
      </w:divBdr>
    </w:div>
    <w:div w:id="124276700">
      <w:bodyDiv w:val="1"/>
      <w:marLeft w:val="0"/>
      <w:marRight w:val="0"/>
      <w:marTop w:val="0"/>
      <w:marBottom w:val="0"/>
      <w:divBdr>
        <w:top w:val="none" w:sz="0" w:space="0" w:color="auto"/>
        <w:left w:val="none" w:sz="0" w:space="0" w:color="auto"/>
        <w:bottom w:val="none" w:sz="0" w:space="0" w:color="auto"/>
        <w:right w:val="none" w:sz="0" w:space="0" w:color="auto"/>
      </w:divBdr>
    </w:div>
    <w:div w:id="124737293">
      <w:bodyDiv w:val="1"/>
      <w:marLeft w:val="0"/>
      <w:marRight w:val="0"/>
      <w:marTop w:val="0"/>
      <w:marBottom w:val="0"/>
      <w:divBdr>
        <w:top w:val="none" w:sz="0" w:space="0" w:color="auto"/>
        <w:left w:val="none" w:sz="0" w:space="0" w:color="auto"/>
        <w:bottom w:val="none" w:sz="0" w:space="0" w:color="auto"/>
        <w:right w:val="none" w:sz="0" w:space="0" w:color="auto"/>
      </w:divBdr>
    </w:div>
    <w:div w:id="125004054">
      <w:bodyDiv w:val="1"/>
      <w:marLeft w:val="0"/>
      <w:marRight w:val="0"/>
      <w:marTop w:val="0"/>
      <w:marBottom w:val="0"/>
      <w:divBdr>
        <w:top w:val="none" w:sz="0" w:space="0" w:color="auto"/>
        <w:left w:val="none" w:sz="0" w:space="0" w:color="auto"/>
        <w:bottom w:val="none" w:sz="0" w:space="0" w:color="auto"/>
        <w:right w:val="none" w:sz="0" w:space="0" w:color="auto"/>
      </w:divBdr>
    </w:div>
    <w:div w:id="125318396">
      <w:bodyDiv w:val="1"/>
      <w:marLeft w:val="0"/>
      <w:marRight w:val="0"/>
      <w:marTop w:val="0"/>
      <w:marBottom w:val="0"/>
      <w:divBdr>
        <w:top w:val="none" w:sz="0" w:space="0" w:color="auto"/>
        <w:left w:val="none" w:sz="0" w:space="0" w:color="auto"/>
        <w:bottom w:val="none" w:sz="0" w:space="0" w:color="auto"/>
        <w:right w:val="none" w:sz="0" w:space="0" w:color="auto"/>
      </w:divBdr>
    </w:div>
    <w:div w:id="125436138">
      <w:bodyDiv w:val="1"/>
      <w:marLeft w:val="0"/>
      <w:marRight w:val="0"/>
      <w:marTop w:val="0"/>
      <w:marBottom w:val="0"/>
      <w:divBdr>
        <w:top w:val="none" w:sz="0" w:space="0" w:color="auto"/>
        <w:left w:val="none" w:sz="0" w:space="0" w:color="auto"/>
        <w:bottom w:val="none" w:sz="0" w:space="0" w:color="auto"/>
        <w:right w:val="none" w:sz="0" w:space="0" w:color="auto"/>
      </w:divBdr>
    </w:div>
    <w:div w:id="126554943">
      <w:bodyDiv w:val="1"/>
      <w:marLeft w:val="0"/>
      <w:marRight w:val="0"/>
      <w:marTop w:val="0"/>
      <w:marBottom w:val="0"/>
      <w:divBdr>
        <w:top w:val="none" w:sz="0" w:space="0" w:color="auto"/>
        <w:left w:val="none" w:sz="0" w:space="0" w:color="auto"/>
        <w:bottom w:val="none" w:sz="0" w:space="0" w:color="auto"/>
        <w:right w:val="none" w:sz="0" w:space="0" w:color="auto"/>
      </w:divBdr>
    </w:div>
    <w:div w:id="127628810">
      <w:bodyDiv w:val="1"/>
      <w:marLeft w:val="0"/>
      <w:marRight w:val="0"/>
      <w:marTop w:val="0"/>
      <w:marBottom w:val="0"/>
      <w:divBdr>
        <w:top w:val="none" w:sz="0" w:space="0" w:color="auto"/>
        <w:left w:val="none" w:sz="0" w:space="0" w:color="auto"/>
        <w:bottom w:val="none" w:sz="0" w:space="0" w:color="auto"/>
        <w:right w:val="none" w:sz="0" w:space="0" w:color="auto"/>
      </w:divBdr>
    </w:div>
    <w:div w:id="129322710">
      <w:bodyDiv w:val="1"/>
      <w:marLeft w:val="0"/>
      <w:marRight w:val="0"/>
      <w:marTop w:val="0"/>
      <w:marBottom w:val="0"/>
      <w:divBdr>
        <w:top w:val="none" w:sz="0" w:space="0" w:color="auto"/>
        <w:left w:val="none" w:sz="0" w:space="0" w:color="auto"/>
        <w:bottom w:val="none" w:sz="0" w:space="0" w:color="auto"/>
        <w:right w:val="none" w:sz="0" w:space="0" w:color="auto"/>
      </w:divBdr>
    </w:div>
    <w:div w:id="130294025">
      <w:bodyDiv w:val="1"/>
      <w:marLeft w:val="0"/>
      <w:marRight w:val="0"/>
      <w:marTop w:val="0"/>
      <w:marBottom w:val="0"/>
      <w:divBdr>
        <w:top w:val="none" w:sz="0" w:space="0" w:color="auto"/>
        <w:left w:val="none" w:sz="0" w:space="0" w:color="auto"/>
        <w:bottom w:val="none" w:sz="0" w:space="0" w:color="auto"/>
        <w:right w:val="none" w:sz="0" w:space="0" w:color="auto"/>
      </w:divBdr>
    </w:div>
    <w:div w:id="131754695">
      <w:bodyDiv w:val="1"/>
      <w:marLeft w:val="0"/>
      <w:marRight w:val="0"/>
      <w:marTop w:val="0"/>
      <w:marBottom w:val="0"/>
      <w:divBdr>
        <w:top w:val="none" w:sz="0" w:space="0" w:color="auto"/>
        <w:left w:val="none" w:sz="0" w:space="0" w:color="auto"/>
        <w:bottom w:val="none" w:sz="0" w:space="0" w:color="auto"/>
        <w:right w:val="none" w:sz="0" w:space="0" w:color="auto"/>
      </w:divBdr>
    </w:div>
    <w:div w:id="132991937">
      <w:bodyDiv w:val="1"/>
      <w:marLeft w:val="0"/>
      <w:marRight w:val="0"/>
      <w:marTop w:val="0"/>
      <w:marBottom w:val="0"/>
      <w:divBdr>
        <w:top w:val="none" w:sz="0" w:space="0" w:color="auto"/>
        <w:left w:val="none" w:sz="0" w:space="0" w:color="auto"/>
        <w:bottom w:val="none" w:sz="0" w:space="0" w:color="auto"/>
        <w:right w:val="none" w:sz="0" w:space="0" w:color="auto"/>
      </w:divBdr>
    </w:div>
    <w:div w:id="133067224">
      <w:bodyDiv w:val="1"/>
      <w:marLeft w:val="0"/>
      <w:marRight w:val="0"/>
      <w:marTop w:val="0"/>
      <w:marBottom w:val="0"/>
      <w:divBdr>
        <w:top w:val="none" w:sz="0" w:space="0" w:color="auto"/>
        <w:left w:val="none" w:sz="0" w:space="0" w:color="auto"/>
        <w:bottom w:val="none" w:sz="0" w:space="0" w:color="auto"/>
        <w:right w:val="none" w:sz="0" w:space="0" w:color="auto"/>
      </w:divBdr>
    </w:div>
    <w:div w:id="134419131">
      <w:bodyDiv w:val="1"/>
      <w:marLeft w:val="0"/>
      <w:marRight w:val="0"/>
      <w:marTop w:val="0"/>
      <w:marBottom w:val="0"/>
      <w:divBdr>
        <w:top w:val="none" w:sz="0" w:space="0" w:color="auto"/>
        <w:left w:val="none" w:sz="0" w:space="0" w:color="auto"/>
        <w:bottom w:val="none" w:sz="0" w:space="0" w:color="auto"/>
        <w:right w:val="none" w:sz="0" w:space="0" w:color="auto"/>
      </w:divBdr>
    </w:div>
    <w:div w:id="135073415">
      <w:bodyDiv w:val="1"/>
      <w:marLeft w:val="0"/>
      <w:marRight w:val="0"/>
      <w:marTop w:val="0"/>
      <w:marBottom w:val="0"/>
      <w:divBdr>
        <w:top w:val="none" w:sz="0" w:space="0" w:color="auto"/>
        <w:left w:val="none" w:sz="0" w:space="0" w:color="auto"/>
        <w:bottom w:val="none" w:sz="0" w:space="0" w:color="auto"/>
        <w:right w:val="none" w:sz="0" w:space="0" w:color="auto"/>
      </w:divBdr>
    </w:div>
    <w:div w:id="135878683">
      <w:bodyDiv w:val="1"/>
      <w:marLeft w:val="0"/>
      <w:marRight w:val="0"/>
      <w:marTop w:val="0"/>
      <w:marBottom w:val="0"/>
      <w:divBdr>
        <w:top w:val="none" w:sz="0" w:space="0" w:color="auto"/>
        <w:left w:val="none" w:sz="0" w:space="0" w:color="auto"/>
        <w:bottom w:val="none" w:sz="0" w:space="0" w:color="auto"/>
        <w:right w:val="none" w:sz="0" w:space="0" w:color="auto"/>
      </w:divBdr>
    </w:div>
    <w:div w:id="136337248">
      <w:bodyDiv w:val="1"/>
      <w:marLeft w:val="0"/>
      <w:marRight w:val="0"/>
      <w:marTop w:val="0"/>
      <w:marBottom w:val="0"/>
      <w:divBdr>
        <w:top w:val="none" w:sz="0" w:space="0" w:color="auto"/>
        <w:left w:val="none" w:sz="0" w:space="0" w:color="auto"/>
        <w:bottom w:val="none" w:sz="0" w:space="0" w:color="auto"/>
        <w:right w:val="none" w:sz="0" w:space="0" w:color="auto"/>
      </w:divBdr>
    </w:div>
    <w:div w:id="138618413">
      <w:bodyDiv w:val="1"/>
      <w:marLeft w:val="0"/>
      <w:marRight w:val="0"/>
      <w:marTop w:val="0"/>
      <w:marBottom w:val="0"/>
      <w:divBdr>
        <w:top w:val="none" w:sz="0" w:space="0" w:color="auto"/>
        <w:left w:val="none" w:sz="0" w:space="0" w:color="auto"/>
        <w:bottom w:val="none" w:sz="0" w:space="0" w:color="auto"/>
        <w:right w:val="none" w:sz="0" w:space="0" w:color="auto"/>
      </w:divBdr>
    </w:div>
    <w:div w:id="139229284">
      <w:bodyDiv w:val="1"/>
      <w:marLeft w:val="0"/>
      <w:marRight w:val="0"/>
      <w:marTop w:val="0"/>
      <w:marBottom w:val="0"/>
      <w:divBdr>
        <w:top w:val="none" w:sz="0" w:space="0" w:color="auto"/>
        <w:left w:val="none" w:sz="0" w:space="0" w:color="auto"/>
        <w:bottom w:val="none" w:sz="0" w:space="0" w:color="auto"/>
        <w:right w:val="none" w:sz="0" w:space="0" w:color="auto"/>
      </w:divBdr>
    </w:div>
    <w:div w:id="139229308">
      <w:bodyDiv w:val="1"/>
      <w:marLeft w:val="0"/>
      <w:marRight w:val="0"/>
      <w:marTop w:val="0"/>
      <w:marBottom w:val="0"/>
      <w:divBdr>
        <w:top w:val="none" w:sz="0" w:space="0" w:color="auto"/>
        <w:left w:val="none" w:sz="0" w:space="0" w:color="auto"/>
        <w:bottom w:val="none" w:sz="0" w:space="0" w:color="auto"/>
        <w:right w:val="none" w:sz="0" w:space="0" w:color="auto"/>
      </w:divBdr>
    </w:div>
    <w:div w:id="141697150">
      <w:bodyDiv w:val="1"/>
      <w:marLeft w:val="0"/>
      <w:marRight w:val="0"/>
      <w:marTop w:val="0"/>
      <w:marBottom w:val="0"/>
      <w:divBdr>
        <w:top w:val="none" w:sz="0" w:space="0" w:color="auto"/>
        <w:left w:val="none" w:sz="0" w:space="0" w:color="auto"/>
        <w:bottom w:val="none" w:sz="0" w:space="0" w:color="auto"/>
        <w:right w:val="none" w:sz="0" w:space="0" w:color="auto"/>
      </w:divBdr>
    </w:div>
    <w:div w:id="142161032">
      <w:bodyDiv w:val="1"/>
      <w:marLeft w:val="0"/>
      <w:marRight w:val="0"/>
      <w:marTop w:val="0"/>
      <w:marBottom w:val="0"/>
      <w:divBdr>
        <w:top w:val="none" w:sz="0" w:space="0" w:color="auto"/>
        <w:left w:val="none" w:sz="0" w:space="0" w:color="auto"/>
        <w:bottom w:val="none" w:sz="0" w:space="0" w:color="auto"/>
        <w:right w:val="none" w:sz="0" w:space="0" w:color="auto"/>
      </w:divBdr>
    </w:div>
    <w:div w:id="144586772">
      <w:bodyDiv w:val="1"/>
      <w:marLeft w:val="0"/>
      <w:marRight w:val="0"/>
      <w:marTop w:val="0"/>
      <w:marBottom w:val="0"/>
      <w:divBdr>
        <w:top w:val="none" w:sz="0" w:space="0" w:color="auto"/>
        <w:left w:val="none" w:sz="0" w:space="0" w:color="auto"/>
        <w:bottom w:val="none" w:sz="0" w:space="0" w:color="auto"/>
        <w:right w:val="none" w:sz="0" w:space="0" w:color="auto"/>
      </w:divBdr>
    </w:div>
    <w:div w:id="145123763">
      <w:bodyDiv w:val="1"/>
      <w:marLeft w:val="0"/>
      <w:marRight w:val="0"/>
      <w:marTop w:val="0"/>
      <w:marBottom w:val="0"/>
      <w:divBdr>
        <w:top w:val="none" w:sz="0" w:space="0" w:color="auto"/>
        <w:left w:val="none" w:sz="0" w:space="0" w:color="auto"/>
        <w:bottom w:val="none" w:sz="0" w:space="0" w:color="auto"/>
        <w:right w:val="none" w:sz="0" w:space="0" w:color="auto"/>
      </w:divBdr>
    </w:div>
    <w:div w:id="146090244">
      <w:bodyDiv w:val="1"/>
      <w:marLeft w:val="0"/>
      <w:marRight w:val="0"/>
      <w:marTop w:val="0"/>
      <w:marBottom w:val="0"/>
      <w:divBdr>
        <w:top w:val="none" w:sz="0" w:space="0" w:color="auto"/>
        <w:left w:val="none" w:sz="0" w:space="0" w:color="auto"/>
        <w:bottom w:val="none" w:sz="0" w:space="0" w:color="auto"/>
        <w:right w:val="none" w:sz="0" w:space="0" w:color="auto"/>
      </w:divBdr>
    </w:div>
    <w:div w:id="147018444">
      <w:bodyDiv w:val="1"/>
      <w:marLeft w:val="0"/>
      <w:marRight w:val="0"/>
      <w:marTop w:val="0"/>
      <w:marBottom w:val="0"/>
      <w:divBdr>
        <w:top w:val="none" w:sz="0" w:space="0" w:color="auto"/>
        <w:left w:val="none" w:sz="0" w:space="0" w:color="auto"/>
        <w:bottom w:val="none" w:sz="0" w:space="0" w:color="auto"/>
        <w:right w:val="none" w:sz="0" w:space="0" w:color="auto"/>
      </w:divBdr>
    </w:div>
    <w:div w:id="148905382">
      <w:bodyDiv w:val="1"/>
      <w:marLeft w:val="0"/>
      <w:marRight w:val="0"/>
      <w:marTop w:val="0"/>
      <w:marBottom w:val="0"/>
      <w:divBdr>
        <w:top w:val="none" w:sz="0" w:space="0" w:color="auto"/>
        <w:left w:val="none" w:sz="0" w:space="0" w:color="auto"/>
        <w:bottom w:val="none" w:sz="0" w:space="0" w:color="auto"/>
        <w:right w:val="none" w:sz="0" w:space="0" w:color="auto"/>
      </w:divBdr>
    </w:div>
    <w:div w:id="149250628">
      <w:bodyDiv w:val="1"/>
      <w:marLeft w:val="0"/>
      <w:marRight w:val="0"/>
      <w:marTop w:val="0"/>
      <w:marBottom w:val="0"/>
      <w:divBdr>
        <w:top w:val="none" w:sz="0" w:space="0" w:color="auto"/>
        <w:left w:val="none" w:sz="0" w:space="0" w:color="auto"/>
        <w:bottom w:val="none" w:sz="0" w:space="0" w:color="auto"/>
        <w:right w:val="none" w:sz="0" w:space="0" w:color="auto"/>
      </w:divBdr>
    </w:div>
    <w:div w:id="149372564">
      <w:bodyDiv w:val="1"/>
      <w:marLeft w:val="0"/>
      <w:marRight w:val="0"/>
      <w:marTop w:val="0"/>
      <w:marBottom w:val="0"/>
      <w:divBdr>
        <w:top w:val="none" w:sz="0" w:space="0" w:color="auto"/>
        <w:left w:val="none" w:sz="0" w:space="0" w:color="auto"/>
        <w:bottom w:val="none" w:sz="0" w:space="0" w:color="auto"/>
        <w:right w:val="none" w:sz="0" w:space="0" w:color="auto"/>
      </w:divBdr>
    </w:div>
    <w:div w:id="150683584">
      <w:bodyDiv w:val="1"/>
      <w:marLeft w:val="0"/>
      <w:marRight w:val="0"/>
      <w:marTop w:val="0"/>
      <w:marBottom w:val="0"/>
      <w:divBdr>
        <w:top w:val="none" w:sz="0" w:space="0" w:color="auto"/>
        <w:left w:val="none" w:sz="0" w:space="0" w:color="auto"/>
        <w:bottom w:val="none" w:sz="0" w:space="0" w:color="auto"/>
        <w:right w:val="none" w:sz="0" w:space="0" w:color="auto"/>
      </w:divBdr>
    </w:div>
    <w:div w:id="150758822">
      <w:bodyDiv w:val="1"/>
      <w:marLeft w:val="0"/>
      <w:marRight w:val="0"/>
      <w:marTop w:val="0"/>
      <w:marBottom w:val="0"/>
      <w:divBdr>
        <w:top w:val="none" w:sz="0" w:space="0" w:color="auto"/>
        <w:left w:val="none" w:sz="0" w:space="0" w:color="auto"/>
        <w:bottom w:val="none" w:sz="0" w:space="0" w:color="auto"/>
        <w:right w:val="none" w:sz="0" w:space="0" w:color="auto"/>
      </w:divBdr>
    </w:div>
    <w:div w:id="151063142">
      <w:bodyDiv w:val="1"/>
      <w:marLeft w:val="0"/>
      <w:marRight w:val="0"/>
      <w:marTop w:val="0"/>
      <w:marBottom w:val="0"/>
      <w:divBdr>
        <w:top w:val="none" w:sz="0" w:space="0" w:color="auto"/>
        <w:left w:val="none" w:sz="0" w:space="0" w:color="auto"/>
        <w:bottom w:val="none" w:sz="0" w:space="0" w:color="auto"/>
        <w:right w:val="none" w:sz="0" w:space="0" w:color="auto"/>
      </w:divBdr>
    </w:div>
    <w:div w:id="152379269">
      <w:bodyDiv w:val="1"/>
      <w:marLeft w:val="0"/>
      <w:marRight w:val="0"/>
      <w:marTop w:val="0"/>
      <w:marBottom w:val="0"/>
      <w:divBdr>
        <w:top w:val="none" w:sz="0" w:space="0" w:color="auto"/>
        <w:left w:val="none" w:sz="0" w:space="0" w:color="auto"/>
        <w:bottom w:val="none" w:sz="0" w:space="0" w:color="auto"/>
        <w:right w:val="none" w:sz="0" w:space="0" w:color="auto"/>
      </w:divBdr>
    </w:div>
    <w:div w:id="153299152">
      <w:bodyDiv w:val="1"/>
      <w:marLeft w:val="0"/>
      <w:marRight w:val="0"/>
      <w:marTop w:val="0"/>
      <w:marBottom w:val="0"/>
      <w:divBdr>
        <w:top w:val="none" w:sz="0" w:space="0" w:color="auto"/>
        <w:left w:val="none" w:sz="0" w:space="0" w:color="auto"/>
        <w:bottom w:val="none" w:sz="0" w:space="0" w:color="auto"/>
        <w:right w:val="none" w:sz="0" w:space="0" w:color="auto"/>
      </w:divBdr>
    </w:div>
    <w:div w:id="153568614">
      <w:bodyDiv w:val="1"/>
      <w:marLeft w:val="0"/>
      <w:marRight w:val="0"/>
      <w:marTop w:val="0"/>
      <w:marBottom w:val="0"/>
      <w:divBdr>
        <w:top w:val="none" w:sz="0" w:space="0" w:color="auto"/>
        <w:left w:val="none" w:sz="0" w:space="0" w:color="auto"/>
        <w:bottom w:val="none" w:sz="0" w:space="0" w:color="auto"/>
        <w:right w:val="none" w:sz="0" w:space="0" w:color="auto"/>
      </w:divBdr>
    </w:div>
    <w:div w:id="153690342">
      <w:bodyDiv w:val="1"/>
      <w:marLeft w:val="0"/>
      <w:marRight w:val="0"/>
      <w:marTop w:val="0"/>
      <w:marBottom w:val="0"/>
      <w:divBdr>
        <w:top w:val="none" w:sz="0" w:space="0" w:color="auto"/>
        <w:left w:val="none" w:sz="0" w:space="0" w:color="auto"/>
        <w:bottom w:val="none" w:sz="0" w:space="0" w:color="auto"/>
        <w:right w:val="none" w:sz="0" w:space="0" w:color="auto"/>
      </w:divBdr>
    </w:div>
    <w:div w:id="153953972">
      <w:bodyDiv w:val="1"/>
      <w:marLeft w:val="0"/>
      <w:marRight w:val="0"/>
      <w:marTop w:val="0"/>
      <w:marBottom w:val="0"/>
      <w:divBdr>
        <w:top w:val="none" w:sz="0" w:space="0" w:color="auto"/>
        <w:left w:val="none" w:sz="0" w:space="0" w:color="auto"/>
        <w:bottom w:val="none" w:sz="0" w:space="0" w:color="auto"/>
        <w:right w:val="none" w:sz="0" w:space="0" w:color="auto"/>
      </w:divBdr>
    </w:div>
    <w:div w:id="154499307">
      <w:bodyDiv w:val="1"/>
      <w:marLeft w:val="0"/>
      <w:marRight w:val="0"/>
      <w:marTop w:val="0"/>
      <w:marBottom w:val="0"/>
      <w:divBdr>
        <w:top w:val="none" w:sz="0" w:space="0" w:color="auto"/>
        <w:left w:val="none" w:sz="0" w:space="0" w:color="auto"/>
        <w:bottom w:val="none" w:sz="0" w:space="0" w:color="auto"/>
        <w:right w:val="none" w:sz="0" w:space="0" w:color="auto"/>
      </w:divBdr>
    </w:div>
    <w:div w:id="154534806">
      <w:bodyDiv w:val="1"/>
      <w:marLeft w:val="0"/>
      <w:marRight w:val="0"/>
      <w:marTop w:val="0"/>
      <w:marBottom w:val="0"/>
      <w:divBdr>
        <w:top w:val="none" w:sz="0" w:space="0" w:color="auto"/>
        <w:left w:val="none" w:sz="0" w:space="0" w:color="auto"/>
        <w:bottom w:val="none" w:sz="0" w:space="0" w:color="auto"/>
        <w:right w:val="none" w:sz="0" w:space="0" w:color="auto"/>
      </w:divBdr>
    </w:div>
    <w:div w:id="155612856">
      <w:bodyDiv w:val="1"/>
      <w:marLeft w:val="0"/>
      <w:marRight w:val="0"/>
      <w:marTop w:val="0"/>
      <w:marBottom w:val="0"/>
      <w:divBdr>
        <w:top w:val="none" w:sz="0" w:space="0" w:color="auto"/>
        <w:left w:val="none" w:sz="0" w:space="0" w:color="auto"/>
        <w:bottom w:val="none" w:sz="0" w:space="0" w:color="auto"/>
        <w:right w:val="none" w:sz="0" w:space="0" w:color="auto"/>
      </w:divBdr>
    </w:div>
    <w:div w:id="155658152">
      <w:bodyDiv w:val="1"/>
      <w:marLeft w:val="0"/>
      <w:marRight w:val="0"/>
      <w:marTop w:val="0"/>
      <w:marBottom w:val="0"/>
      <w:divBdr>
        <w:top w:val="none" w:sz="0" w:space="0" w:color="auto"/>
        <w:left w:val="none" w:sz="0" w:space="0" w:color="auto"/>
        <w:bottom w:val="none" w:sz="0" w:space="0" w:color="auto"/>
        <w:right w:val="none" w:sz="0" w:space="0" w:color="auto"/>
      </w:divBdr>
    </w:div>
    <w:div w:id="156579455">
      <w:bodyDiv w:val="1"/>
      <w:marLeft w:val="0"/>
      <w:marRight w:val="0"/>
      <w:marTop w:val="0"/>
      <w:marBottom w:val="0"/>
      <w:divBdr>
        <w:top w:val="none" w:sz="0" w:space="0" w:color="auto"/>
        <w:left w:val="none" w:sz="0" w:space="0" w:color="auto"/>
        <w:bottom w:val="none" w:sz="0" w:space="0" w:color="auto"/>
        <w:right w:val="none" w:sz="0" w:space="0" w:color="auto"/>
      </w:divBdr>
    </w:div>
    <w:div w:id="157233961">
      <w:bodyDiv w:val="1"/>
      <w:marLeft w:val="0"/>
      <w:marRight w:val="0"/>
      <w:marTop w:val="0"/>
      <w:marBottom w:val="0"/>
      <w:divBdr>
        <w:top w:val="none" w:sz="0" w:space="0" w:color="auto"/>
        <w:left w:val="none" w:sz="0" w:space="0" w:color="auto"/>
        <w:bottom w:val="none" w:sz="0" w:space="0" w:color="auto"/>
        <w:right w:val="none" w:sz="0" w:space="0" w:color="auto"/>
      </w:divBdr>
    </w:div>
    <w:div w:id="157383561">
      <w:bodyDiv w:val="1"/>
      <w:marLeft w:val="0"/>
      <w:marRight w:val="0"/>
      <w:marTop w:val="0"/>
      <w:marBottom w:val="0"/>
      <w:divBdr>
        <w:top w:val="none" w:sz="0" w:space="0" w:color="auto"/>
        <w:left w:val="none" w:sz="0" w:space="0" w:color="auto"/>
        <w:bottom w:val="none" w:sz="0" w:space="0" w:color="auto"/>
        <w:right w:val="none" w:sz="0" w:space="0" w:color="auto"/>
      </w:divBdr>
    </w:div>
    <w:div w:id="157616683">
      <w:bodyDiv w:val="1"/>
      <w:marLeft w:val="0"/>
      <w:marRight w:val="0"/>
      <w:marTop w:val="0"/>
      <w:marBottom w:val="0"/>
      <w:divBdr>
        <w:top w:val="none" w:sz="0" w:space="0" w:color="auto"/>
        <w:left w:val="none" w:sz="0" w:space="0" w:color="auto"/>
        <w:bottom w:val="none" w:sz="0" w:space="0" w:color="auto"/>
        <w:right w:val="none" w:sz="0" w:space="0" w:color="auto"/>
      </w:divBdr>
    </w:div>
    <w:div w:id="157842783">
      <w:bodyDiv w:val="1"/>
      <w:marLeft w:val="0"/>
      <w:marRight w:val="0"/>
      <w:marTop w:val="0"/>
      <w:marBottom w:val="0"/>
      <w:divBdr>
        <w:top w:val="none" w:sz="0" w:space="0" w:color="auto"/>
        <w:left w:val="none" w:sz="0" w:space="0" w:color="auto"/>
        <w:bottom w:val="none" w:sz="0" w:space="0" w:color="auto"/>
        <w:right w:val="none" w:sz="0" w:space="0" w:color="auto"/>
      </w:divBdr>
    </w:div>
    <w:div w:id="157962886">
      <w:bodyDiv w:val="1"/>
      <w:marLeft w:val="0"/>
      <w:marRight w:val="0"/>
      <w:marTop w:val="0"/>
      <w:marBottom w:val="0"/>
      <w:divBdr>
        <w:top w:val="none" w:sz="0" w:space="0" w:color="auto"/>
        <w:left w:val="none" w:sz="0" w:space="0" w:color="auto"/>
        <w:bottom w:val="none" w:sz="0" w:space="0" w:color="auto"/>
        <w:right w:val="none" w:sz="0" w:space="0" w:color="auto"/>
      </w:divBdr>
    </w:div>
    <w:div w:id="158884588">
      <w:bodyDiv w:val="1"/>
      <w:marLeft w:val="0"/>
      <w:marRight w:val="0"/>
      <w:marTop w:val="0"/>
      <w:marBottom w:val="0"/>
      <w:divBdr>
        <w:top w:val="none" w:sz="0" w:space="0" w:color="auto"/>
        <w:left w:val="none" w:sz="0" w:space="0" w:color="auto"/>
        <w:bottom w:val="none" w:sz="0" w:space="0" w:color="auto"/>
        <w:right w:val="none" w:sz="0" w:space="0" w:color="auto"/>
      </w:divBdr>
    </w:div>
    <w:div w:id="159977191">
      <w:bodyDiv w:val="1"/>
      <w:marLeft w:val="0"/>
      <w:marRight w:val="0"/>
      <w:marTop w:val="0"/>
      <w:marBottom w:val="0"/>
      <w:divBdr>
        <w:top w:val="none" w:sz="0" w:space="0" w:color="auto"/>
        <w:left w:val="none" w:sz="0" w:space="0" w:color="auto"/>
        <w:bottom w:val="none" w:sz="0" w:space="0" w:color="auto"/>
        <w:right w:val="none" w:sz="0" w:space="0" w:color="auto"/>
      </w:divBdr>
    </w:div>
    <w:div w:id="160967352">
      <w:bodyDiv w:val="1"/>
      <w:marLeft w:val="0"/>
      <w:marRight w:val="0"/>
      <w:marTop w:val="0"/>
      <w:marBottom w:val="0"/>
      <w:divBdr>
        <w:top w:val="none" w:sz="0" w:space="0" w:color="auto"/>
        <w:left w:val="none" w:sz="0" w:space="0" w:color="auto"/>
        <w:bottom w:val="none" w:sz="0" w:space="0" w:color="auto"/>
        <w:right w:val="none" w:sz="0" w:space="0" w:color="auto"/>
      </w:divBdr>
    </w:div>
    <w:div w:id="161043424">
      <w:bodyDiv w:val="1"/>
      <w:marLeft w:val="0"/>
      <w:marRight w:val="0"/>
      <w:marTop w:val="0"/>
      <w:marBottom w:val="0"/>
      <w:divBdr>
        <w:top w:val="none" w:sz="0" w:space="0" w:color="auto"/>
        <w:left w:val="none" w:sz="0" w:space="0" w:color="auto"/>
        <w:bottom w:val="none" w:sz="0" w:space="0" w:color="auto"/>
        <w:right w:val="none" w:sz="0" w:space="0" w:color="auto"/>
      </w:divBdr>
    </w:div>
    <w:div w:id="161623599">
      <w:bodyDiv w:val="1"/>
      <w:marLeft w:val="0"/>
      <w:marRight w:val="0"/>
      <w:marTop w:val="0"/>
      <w:marBottom w:val="0"/>
      <w:divBdr>
        <w:top w:val="none" w:sz="0" w:space="0" w:color="auto"/>
        <w:left w:val="none" w:sz="0" w:space="0" w:color="auto"/>
        <w:bottom w:val="none" w:sz="0" w:space="0" w:color="auto"/>
        <w:right w:val="none" w:sz="0" w:space="0" w:color="auto"/>
      </w:divBdr>
    </w:div>
    <w:div w:id="162624323">
      <w:bodyDiv w:val="1"/>
      <w:marLeft w:val="0"/>
      <w:marRight w:val="0"/>
      <w:marTop w:val="0"/>
      <w:marBottom w:val="0"/>
      <w:divBdr>
        <w:top w:val="none" w:sz="0" w:space="0" w:color="auto"/>
        <w:left w:val="none" w:sz="0" w:space="0" w:color="auto"/>
        <w:bottom w:val="none" w:sz="0" w:space="0" w:color="auto"/>
        <w:right w:val="none" w:sz="0" w:space="0" w:color="auto"/>
      </w:divBdr>
    </w:div>
    <w:div w:id="163741184">
      <w:bodyDiv w:val="1"/>
      <w:marLeft w:val="0"/>
      <w:marRight w:val="0"/>
      <w:marTop w:val="0"/>
      <w:marBottom w:val="0"/>
      <w:divBdr>
        <w:top w:val="none" w:sz="0" w:space="0" w:color="auto"/>
        <w:left w:val="none" w:sz="0" w:space="0" w:color="auto"/>
        <w:bottom w:val="none" w:sz="0" w:space="0" w:color="auto"/>
        <w:right w:val="none" w:sz="0" w:space="0" w:color="auto"/>
      </w:divBdr>
    </w:div>
    <w:div w:id="164247387">
      <w:bodyDiv w:val="1"/>
      <w:marLeft w:val="0"/>
      <w:marRight w:val="0"/>
      <w:marTop w:val="0"/>
      <w:marBottom w:val="0"/>
      <w:divBdr>
        <w:top w:val="none" w:sz="0" w:space="0" w:color="auto"/>
        <w:left w:val="none" w:sz="0" w:space="0" w:color="auto"/>
        <w:bottom w:val="none" w:sz="0" w:space="0" w:color="auto"/>
        <w:right w:val="none" w:sz="0" w:space="0" w:color="auto"/>
      </w:divBdr>
    </w:div>
    <w:div w:id="164320585">
      <w:bodyDiv w:val="1"/>
      <w:marLeft w:val="0"/>
      <w:marRight w:val="0"/>
      <w:marTop w:val="0"/>
      <w:marBottom w:val="0"/>
      <w:divBdr>
        <w:top w:val="none" w:sz="0" w:space="0" w:color="auto"/>
        <w:left w:val="none" w:sz="0" w:space="0" w:color="auto"/>
        <w:bottom w:val="none" w:sz="0" w:space="0" w:color="auto"/>
        <w:right w:val="none" w:sz="0" w:space="0" w:color="auto"/>
      </w:divBdr>
    </w:div>
    <w:div w:id="164712433">
      <w:bodyDiv w:val="1"/>
      <w:marLeft w:val="0"/>
      <w:marRight w:val="0"/>
      <w:marTop w:val="0"/>
      <w:marBottom w:val="0"/>
      <w:divBdr>
        <w:top w:val="none" w:sz="0" w:space="0" w:color="auto"/>
        <w:left w:val="none" w:sz="0" w:space="0" w:color="auto"/>
        <w:bottom w:val="none" w:sz="0" w:space="0" w:color="auto"/>
        <w:right w:val="none" w:sz="0" w:space="0" w:color="auto"/>
      </w:divBdr>
    </w:div>
    <w:div w:id="164903873">
      <w:bodyDiv w:val="1"/>
      <w:marLeft w:val="0"/>
      <w:marRight w:val="0"/>
      <w:marTop w:val="0"/>
      <w:marBottom w:val="0"/>
      <w:divBdr>
        <w:top w:val="none" w:sz="0" w:space="0" w:color="auto"/>
        <w:left w:val="none" w:sz="0" w:space="0" w:color="auto"/>
        <w:bottom w:val="none" w:sz="0" w:space="0" w:color="auto"/>
        <w:right w:val="none" w:sz="0" w:space="0" w:color="auto"/>
      </w:divBdr>
    </w:div>
    <w:div w:id="166753758">
      <w:bodyDiv w:val="1"/>
      <w:marLeft w:val="0"/>
      <w:marRight w:val="0"/>
      <w:marTop w:val="0"/>
      <w:marBottom w:val="0"/>
      <w:divBdr>
        <w:top w:val="none" w:sz="0" w:space="0" w:color="auto"/>
        <w:left w:val="none" w:sz="0" w:space="0" w:color="auto"/>
        <w:bottom w:val="none" w:sz="0" w:space="0" w:color="auto"/>
        <w:right w:val="none" w:sz="0" w:space="0" w:color="auto"/>
      </w:divBdr>
    </w:div>
    <w:div w:id="167182646">
      <w:bodyDiv w:val="1"/>
      <w:marLeft w:val="0"/>
      <w:marRight w:val="0"/>
      <w:marTop w:val="0"/>
      <w:marBottom w:val="0"/>
      <w:divBdr>
        <w:top w:val="none" w:sz="0" w:space="0" w:color="auto"/>
        <w:left w:val="none" w:sz="0" w:space="0" w:color="auto"/>
        <w:bottom w:val="none" w:sz="0" w:space="0" w:color="auto"/>
        <w:right w:val="none" w:sz="0" w:space="0" w:color="auto"/>
      </w:divBdr>
    </w:div>
    <w:div w:id="167673668">
      <w:bodyDiv w:val="1"/>
      <w:marLeft w:val="0"/>
      <w:marRight w:val="0"/>
      <w:marTop w:val="0"/>
      <w:marBottom w:val="0"/>
      <w:divBdr>
        <w:top w:val="none" w:sz="0" w:space="0" w:color="auto"/>
        <w:left w:val="none" w:sz="0" w:space="0" w:color="auto"/>
        <w:bottom w:val="none" w:sz="0" w:space="0" w:color="auto"/>
        <w:right w:val="none" w:sz="0" w:space="0" w:color="auto"/>
      </w:divBdr>
    </w:div>
    <w:div w:id="168376477">
      <w:bodyDiv w:val="1"/>
      <w:marLeft w:val="0"/>
      <w:marRight w:val="0"/>
      <w:marTop w:val="0"/>
      <w:marBottom w:val="0"/>
      <w:divBdr>
        <w:top w:val="none" w:sz="0" w:space="0" w:color="auto"/>
        <w:left w:val="none" w:sz="0" w:space="0" w:color="auto"/>
        <w:bottom w:val="none" w:sz="0" w:space="0" w:color="auto"/>
        <w:right w:val="none" w:sz="0" w:space="0" w:color="auto"/>
      </w:divBdr>
    </w:div>
    <w:div w:id="169685993">
      <w:bodyDiv w:val="1"/>
      <w:marLeft w:val="0"/>
      <w:marRight w:val="0"/>
      <w:marTop w:val="0"/>
      <w:marBottom w:val="0"/>
      <w:divBdr>
        <w:top w:val="none" w:sz="0" w:space="0" w:color="auto"/>
        <w:left w:val="none" w:sz="0" w:space="0" w:color="auto"/>
        <w:bottom w:val="none" w:sz="0" w:space="0" w:color="auto"/>
        <w:right w:val="none" w:sz="0" w:space="0" w:color="auto"/>
      </w:divBdr>
    </w:div>
    <w:div w:id="170339475">
      <w:bodyDiv w:val="1"/>
      <w:marLeft w:val="0"/>
      <w:marRight w:val="0"/>
      <w:marTop w:val="0"/>
      <w:marBottom w:val="0"/>
      <w:divBdr>
        <w:top w:val="none" w:sz="0" w:space="0" w:color="auto"/>
        <w:left w:val="none" w:sz="0" w:space="0" w:color="auto"/>
        <w:bottom w:val="none" w:sz="0" w:space="0" w:color="auto"/>
        <w:right w:val="none" w:sz="0" w:space="0" w:color="auto"/>
      </w:divBdr>
    </w:div>
    <w:div w:id="170728328">
      <w:bodyDiv w:val="1"/>
      <w:marLeft w:val="0"/>
      <w:marRight w:val="0"/>
      <w:marTop w:val="0"/>
      <w:marBottom w:val="0"/>
      <w:divBdr>
        <w:top w:val="none" w:sz="0" w:space="0" w:color="auto"/>
        <w:left w:val="none" w:sz="0" w:space="0" w:color="auto"/>
        <w:bottom w:val="none" w:sz="0" w:space="0" w:color="auto"/>
        <w:right w:val="none" w:sz="0" w:space="0" w:color="auto"/>
      </w:divBdr>
    </w:div>
    <w:div w:id="172257602">
      <w:bodyDiv w:val="1"/>
      <w:marLeft w:val="0"/>
      <w:marRight w:val="0"/>
      <w:marTop w:val="0"/>
      <w:marBottom w:val="0"/>
      <w:divBdr>
        <w:top w:val="none" w:sz="0" w:space="0" w:color="auto"/>
        <w:left w:val="none" w:sz="0" w:space="0" w:color="auto"/>
        <w:bottom w:val="none" w:sz="0" w:space="0" w:color="auto"/>
        <w:right w:val="none" w:sz="0" w:space="0" w:color="auto"/>
      </w:divBdr>
    </w:div>
    <w:div w:id="173998238">
      <w:bodyDiv w:val="1"/>
      <w:marLeft w:val="0"/>
      <w:marRight w:val="0"/>
      <w:marTop w:val="0"/>
      <w:marBottom w:val="0"/>
      <w:divBdr>
        <w:top w:val="none" w:sz="0" w:space="0" w:color="auto"/>
        <w:left w:val="none" w:sz="0" w:space="0" w:color="auto"/>
        <w:bottom w:val="none" w:sz="0" w:space="0" w:color="auto"/>
        <w:right w:val="none" w:sz="0" w:space="0" w:color="auto"/>
      </w:divBdr>
    </w:div>
    <w:div w:id="174270002">
      <w:bodyDiv w:val="1"/>
      <w:marLeft w:val="0"/>
      <w:marRight w:val="0"/>
      <w:marTop w:val="0"/>
      <w:marBottom w:val="0"/>
      <w:divBdr>
        <w:top w:val="none" w:sz="0" w:space="0" w:color="auto"/>
        <w:left w:val="none" w:sz="0" w:space="0" w:color="auto"/>
        <w:bottom w:val="none" w:sz="0" w:space="0" w:color="auto"/>
        <w:right w:val="none" w:sz="0" w:space="0" w:color="auto"/>
      </w:divBdr>
    </w:div>
    <w:div w:id="176163492">
      <w:bodyDiv w:val="1"/>
      <w:marLeft w:val="0"/>
      <w:marRight w:val="0"/>
      <w:marTop w:val="0"/>
      <w:marBottom w:val="0"/>
      <w:divBdr>
        <w:top w:val="none" w:sz="0" w:space="0" w:color="auto"/>
        <w:left w:val="none" w:sz="0" w:space="0" w:color="auto"/>
        <w:bottom w:val="none" w:sz="0" w:space="0" w:color="auto"/>
        <w:right w:val="none" w:sz="0" w:space="0" w:color="auto"/>
      </w:divBdr>
    </w:div>
    <w:div w:id="177355681">
      <w:bodyDiv w:val="1"/>
      <w:marLeft w:val="0"/>
      <w:marRight w:val="0"/>
      <w:marTop w:val="0"/>
      <w:marBottom w:val="0"/>
      <w:divBdr>
        <w:top w:val="none" w:sz="0" w:space="0" w:color="auto"/>
        <w:left w:val="none" w:sz="0" w:space="0" w:color="auto"/>
        <w:bottom w:val="none" w:sz="0" w:space="0" w:color="auto"/>
        <w:right w:val="none" w:sz="0" w:space="0" w:color="auto"/>
      </w:divBdr>
    </w:div>
    <w:div w:id="177619575">
      <w:bodyDiv w:val="1"/>
      <w:marLeft w:val="0"/>
      <w:marRight w:val="0"/>
      <w:marTop w:val="0"/>
      <w:marBottom w:val="0"/>
      <w:divBdr>
        <w:top w:val="none" w:sz="0" w:space="0" w:color="auto"/>
        <w:left w:val="none" w:sz="0" w:space="0" w:color="auto"/>
        <w:bottom w:val="none" w:sz="0" w:space="0" w:color="auto"/>
        <w:right w:val="none" w:sz="0" w:space="0" w:color="auto"/>
      </w:divBdr>
    </w:div>
    <w:div w:id="178206533">
      <w:bodyDiv w:val="1"/>
      <w:marLeft w:val="0"/>
      <w:marRight w:val="0"/>
      <w:marTop w:val="0"/>
      <w:marBottom w:val="0"/>
      <w:divBdr>
        <w:top w:val="none" w:sz="0" w:space="0" w:color="auto"/>
        <w:left w:val="none" w:sz="0" w:space="0" w:color="auto"/>
        <w:bottom w:val="none" w:sz="0" w:space="0" w:color="auto"/>
        <w:right w:val="none" w:sz="0" w:space="0" w:color="auto"/>
      </w:divBdr>
    </w:div>
    <w:div w:id="178936009">
      <w:bodyDiv w:val="1"/>
      <w:marLeft w:val="0"/>
      <w:marRight w:val="0"/>
      <w:marTop w:val="0"/>
      <w:marBottom w:val="0"/>
      <w:divBdr>
        <w:top w:val="none" w:sz="0" w:space="0" w:color="auto"/>
        <w:left w:val="none" w:sz="0" w:space="0" w:color="auto"/>
        <w:bottom w:val="none" w:sz="0" w:space="0" w:color="auto"/>
        <w:right w:val="none" w:sz="0" w:space="0" w:color="auto"/>
      </w:divBdr>
    </w:div>
    <w:div w:id="179394186">
      <w:bodyDiv w:val="1"/>
      <w:marLeft w:val="0"/>
      <w:marRight w:val="0"/>
      <w:marTop w:val="0"/>
      <w:marBottom w:val="0"/>
      <w:divBdr>
        <w:top w:val="none" w:sz="0" w:space="0" w:color="auto"/>
        <w:left w:val="none" w:sz="0" w:space="0" w:color="auto"/>
        <w:bottom w:val="none" w:sz="0" w:space="0" w:color="auto"/>
        <w:right w:val="none" w:sz="0" w:space="0" w:color="auto"/>
      </w:divBdr>
    </w:div>
    <w:div w:id="180322291">
      <w:bodyDiv w:val="1"/>
      <w:marLeft w:val="0"/>
      <w:marRight w:val="0"/>
      <w:marTop w:val="0"/>
      <w:marBottom w:val="0"/>
      <w:divBdr>
        <w:top w:val="none" w:sz="0" w:space="0" w:color="auto"/>
        <w:left w:val="none" w:sz="0" w:space="0" w:color="auto"/>
        <w:bottom w:val="none" w:sz="0" w:space="0" w:color="auto"/>
        <w:right w:val="none" w:sz="0" w:space="0" w:color="auto"/>
      </w:divBdr>
    </w:div>
    <w:div w:id="181944418">
      <w:bodyDiv w:val="1"/>
      <w:marLeft w:val="0"/>
      <w:marRight w:val="0"/>
      <w:marTop w:val="0"/>
      <w:marBottom w:val="0"/>
      <w:divBdr>
        <w:top w:val="none" w:sz="0" w:space="0" w:color="auto"/>
        <w:left w:val="none" w:sz="0" w:space="0" w:color="auto"/>
        <w:bottom w:val="none" w:sz="0" w:space="0" w:color="auto"/>
        <w:right w:val="none" w:sz="0" w:space="0" w:color="auto"/>
      </w:divBdr>
    </w:div>
    <w:div w:id="182134870">
      <w:bodyDiv w:val="1"/>
      <w:marLeft w:val="0"/>
      <w:marRight w:val="0"/>
      <w:marTop w:val="0"/>
      <w:marBottom w:val="0"/>
      <w:divBdr>
        <w:top w:val="none" w:sz="0" w:space="0" w:color="auto"/>
        <w:left w:val="none" w:sz="0" w:space="0" w:color="auto"/>
        <w:bottom w:val="none" w:sz="0" w:space="0" w:color="auto"/>
        <w:right w:val="none" w:sz="0" w:space="0" w:color="auto"/>
      </w:divBdr>
    </w:div>
    <w:div w:id="184636888">
      <w:bodyDiv w:val="1"/>
      <w:marLeft w:val="0"/>
      <w:marRight w:val="0"/>
      <w:marTop w:val="0"/>
      <w:marBottom w:val="0"/>
      <w:divBdr>
        <w:top w:val="none" w:sz="0" w:space="0" w:color="auto"/>
        <w:left w:val="none" w:sz="0" w:space="0" w:color="auto"/>
        <w:bottom w:val="none" w:sz="0" w:space="0" w:color="auto"/>
        <w:right w:val="none" w:sz="0" w:space="0" w:color="auto"/>
      </w:divBdr>
    </w:div>
    <w:div w:id="184638313">
      <w:bodyDiv w:val="1"/>
      <w:marLeft w:val="0"/>
      <w:marRight w:val="0"/>
      <w:marTop w:val="0"/>
      <w:marBottom w:val="0"/>
      <w:divBdr>
        <w:top w:val="none" w:sz="0" w:space="0" w:color="auto"/>
        <w:left w:val="none" w:sz="0" w:space="0" w:color="auto"/>
        <w:bottom w:val="none" w:sz="0" w:space="0" w:color="auto"/>
        <w:right w:val="none" w:sz="0" w:space="0" w:color="auto"/>
      </w:divBdr>
    </w:div>
    <w:div w:id="184759597">
      <w:bodyDiv w:val="1"/>
      <w:marLeft w:val="0"/>
      <w:marRight w:val="0"/>
      <w:marTop w:val="0"/>
      <w:marBottom w:val="0"/>
      <w:divBdr>
        <w:top w:val="none" w:sz="0" w:space="0" w:color="auto"/>
        <w:left w:val="none" w:sz="0" w:space="0" w:color="auto"/>
        <w:bottom w:val="none" w:sz="0" w:space="0" w:color="auto"/>
        <w:right w:val="none" w:sz="0" w:space="0" w:color="auto"/>
      </w:divBdr>
    </w:div>
    <w:div w:id="185102653">
      <w:bodyDiv w:val="1"/>
      <w:marLeft w:val="0"/>
      <w:marRight w:val="0"/>
      <w:marTop w:val="0"/>
      <w:marBottom w:val="0"/>
      <w:divBdr>
        <w:top w:val="none" w:sz="0" w:space="0" w:color="auto"/>
        <w:left w:val="none" w:sz="0" w:space="0" w:color="auto"/>
        <w:bottom w:val="none" w:sz="0" w:space="0" w:color="auto"/>
        <w:right w:val="none" w:sz="0" w:space="0" w:color="auto"/>
      </w:divBdr>
    </w:div>
    <w:div w:id="186334540">
      <w:bodyDiv w:val="1"/>
      <w:marLeft w:val="0"/>
      <w:marRight w:val="0"/>
      <w:marTop w:val="0"/>
      <w:marBottom w:val="0"/>
      <w:divBdr>
        <w:top w:val="none" w:sz="0" w:space="0" w:color="auto"/>
        <w:left w:val="none" w:sz="0" w:space="0" w:color="auto"/>
        <w:bottom w:val="none" w:sz="0" w:space="0" w:color="auto"/>
        <w:right w:val="none" w:sz="0" w:space="0" w:color="auto"/>
      </w:divBdr>
    </w:div>
    <w:div w:id="186600189">
      <w:bodyDiv w:val="1"/>
      <w:marLeft w:val="0"/>
      <w:marRight w:val="0"/>
      <w:marTop w:val="0"/>
      <w:marBottom w:val="0"/>
      <w:divBdr>
        <w:top w:val="none" w:sz="0" w:space="0" w:color="auto"/>
        <w:left w:val="none" w:sz="0" w:space="0" w:color="auto"/>
        <w:bottom w:val="none" w:sz="0" w:space="0" w:color="auto"/>
        <w:right w:val="none" w:sz="0" w:space="0" w:color="auto"/>
      </w:divBdr>
    </w:div>
    <w:div w:id="187916146">
      <w:bodyDiv w:val="1"/>
      <w:marLeft w:val="0"/>
      <w:marRight w:val="0"/>
      <w:marTop w:val="0"/>
      <w:marBottom w:val="0"/>
      <w:divBdr>
        <w:top w:val="none" w:sz="0" w:space="0" w:color="auto"/>
        <w:left w:val="none" w:sz="0" w:space="0" w:color="auto"/>
        <w:bottom w:val="none" w:sz="0" w:space="0" w:color="auto"/>
        <w:right w:val="none" w:sz="0" w:space="0" w:color="auto"/>
      </w:divBdr>
    </w:div>
    <w:div w:id="188616172">
      <w:bodyDiv w:val="1"/>
      <w:marLeft w:val="0"/>
      <w:marRight w:val="0"/>
      <w:marTop w:val="0"/>
      <w:marBottom w:val="0"/>
      <w:divBdr>
        <w:top w:val="none" w:sz="0" w:space="0" w:color="auto"/>
        <w:left w:val="none" w:sz="0" w:space="0" w:color="auto"/>
        <w:bottom w:val="none" w:sz="0" w:space="0" w:color="auto"/>
        <w:right w:val="none" w:sz="0" w:space="0" w:color="auto"/>
      </w:divBdr>
    </w:div>
    <w:div w:id="188837364">
      <w:bodyDiv w:val="1"/>
      <w:marLeft w:val="0"/>
      <w:marRight w:val="0"/>
      <w:marTop w:val="0"/>
      <w:marBottom w:val="0"/>
      <w:divBdr>
        <w:top w:val="none" w:sz="0" w:space="0" w:color="auto"/>
        <w:left w:val="none" w:sz="0" w:space="0" w:color="auto"/>
        <w:bottom w:val="none" w:sz="0" w:space="0" w:color="auto"/>
        <w:right w:val="none" w:sz="0" w:space="0" w:color="auto"/>
      </w:divBdr>
    </w:div>
    <w:div w:id="190195241">
      <w:bodyDiv w:val="1"/>
      <w:marLeft w:val="0"/>
      <w:marRight w:val="0"/>
      <w:marTop w:val="0"/>
      <w:marBottom w:val="0"/>
      <w:divBdr>
        <w:top w:val="none" w:sz="0" w:space="0" w:color="auto"/>
        <w:left w:val="none" w:sz="0" w:space="0" w:color="auto"/>
        <w:bottom w:val="none" w:sz="0" w:space="0" w:color="auto"/>
        <w:right w:val="none" w:sz="0" w:space="0" w:color="auto"/>
      </w:divBdr>
    </w:div>
    <w:div w:id="191236437">
      <w:bodyDiv w:val="1"/>
      <w:marLeft w:val="0"/>
      <w:marRight w:val="0"/>
      <w:marTop w:val="0"/>
      <w:marBottom w:val="0"/>
      <w:divBdr>
        <w:top w:val="none" w:sz="0" w:space="0" w:color="auto"/>
        <w:left w:val="none" w:sz="0" w:space="0" w:color="auto"/>
        <w:bottom w:val="none" w:sz="0" w:space="0" w:color="auto"/>
        <w:right w:val="none" w:sz="0" w:space="0" w:color="auto"/>
      </w:divBdr>
    </w:div>
    <w:div w:id="194923586">
      <w:bodyDiv w:val="1"/>
      <w:marLeft w:val="0"/>
      <w:marRight w:val="0"/>
      <w:marTop w:val="0"/>
      <w:marBottom w:val="0"/>
      <w:divBdr>
        <w:top w:val="none" w:sz="0" w:space="0" w:color="auto"/>
        <w:left w:val="none" w:sz="0" w:space="0" w:color="auto"/>
        <w:bottom w:val="none" w:sz="0" w:space="0" w:color="auto"/>
        <w:right w:val="none" w:sz="0" w:space="0" w:color="auto"/>
      </w:divBdr>
    </w:div>
    <w:div w:id="195705394">
      <w:bodyDiv w:val="1"/>
      <w:marLeft w:val="0"/>
      <w:marRight w:val="0"/>
      <w:marTop w:val="0"/>
      <w:marBottom w:val="0"/>
      <w:divBdr>
        <w:top w:val="none" w:sz="0" w:space="0" w:color="auto"/>
        <w:left w:val="none" w:sz="0" w:space="0" w:color="auto"/>
        <w:bottom w:val="none" w:sz="0" w:space="0" w:color="auto"/>
        <w:right w:val="none" w:sz="0" w:space="0" w:color="auto"/>
      </w:divBdr>
    </w:div>
    <w:div w:id="196819723">
      <w:bodyDiv w:val="1"/>
      <w:marLeft w:val="0"/>
      <w:marRight w:val="0"/>
      <w:marTop w:val="0"/>
      <w:marBottom w:val="0"/>
      <w:divBdr>
        <w:top w:val="none" w:sz="0" w:space="0" w:color="auto"/>
        <w:left w:val="none" w:sz="0" w:space="0" w:color="auto"/>
        <w:bottom w:val="none" w:sz="0" w:space="0" w:color="auto"/>
        <w:right w:val="none" w:sz="0" w:space="0" w:color="auto"/>
      </w:divBdr>
    </w:div>
    <w:div w:id="196896714">
      <w:bodyDiv w:val="1"/>
      <w:marLeft w:val="0"/>
      <w:marRight w:val="0"/>
      <w:marTop w:val="0"/>
      <w:marBottom w:val="0"/>
      <w:divBdr>
        <w:top w:val="none" w:sz="0" w:space="0" w:color="auto"/>
        <w:left w:val="none" w:sz="0" w:space="0" w:color="auto"/>
        <w:bottom w:val="none" w:sz="0" w:space="0" w:color="auto"/>
        <w:right w:val="none" w:sz="0" w:space="0" w:color="auto"/>
      </w:divBdr>
    </w:div>
    <w:div w:id="197545027">
      <w:bodyDiv w:val="1"/>
      <w:marLeft w:val="0"/>
      <w:marRight w:val="0"/>
      <w:marTop w:val="0"/>
      <w:marBottom w:val="0"/>
      <w:divBdr>
        <w:top w:val="none" w:sz="0" w:space="0" w:color="auto"/>
        <w:left w:val="none" w:sz="0" w:space="0" w:color="auto"/>
        <w:bottom w:val="none" w:sz="0" w:space="0" w:color="auto"/>
        <w:right w:val="none" w:sz="0" w:space="0" w:color="auto"/>
      </w:divBdr>
    </w:div>
    <w:div w:id="197548048">
      <w:bodyDiv w:val="1"/>
      <w:marLeft w:val="0"/>
      <w:marRight w:val="0"/>
      <w:marTop w:val="0"/>
      <w:marBottom w:val="0"/>
      <w:divBdr>
        <w:top w:val="none" w:sz="0" w:space="0" w:color="auto"/>
        <w:left w:val="none" w:sz="0" w:space="0" w:color="auto"/>
        <w:bottom w:val="none" w:sz="0" w:space="0" w:color="auto"/>
        <w:right w:val="none" w:sz="0" w:space="0" w:color="auto"/>
      </w:divBdr>
    </w:div>
    <w:div w:id="197739693">
      <w:bodyDiv w:val="1"/>
      <w:marLeft w:val="0"/>
      <w:marRight w:val="0"/>
      <w:marTop w:val="0"/>
      <w:marBottom w:val="0"/>
      <w:divBdr>
        <w:top w:val="none" w:sz="0" w:space="0" w:color="auto"/>
        <w:left w:val="none" w:sz="0" w:space="0" w:color="auto"/>
        <w:bottom w:val="none" w:sz="0" w:space="0" w:color="auto"/>
        <w:right w:val="none" w:sz="0" w:space="0" w:color="auto"/>
      </w:divBdr>
    </w:div>
    <w:div w:id="198709855">
      <w:bodyDiv w:val="1"/>
      <w:marLeft w:val="0"/>
      <w:marRight w:val="0"/>
      <w:marTop w:val="0"/>
      <w:marBottom w:val="0"/>
      <w:divBdr>
        <w:top w:val="none" w:sz="0" w:space="0" w:color="auto"/>
        <w:left w:val="none" w:sz="0" w:space="0" w:color="auto"/>
        <w:bottom w:val="none" w:sz="0" w:space="0" w:color="auto"/>
        <w:right w:val="none" w:sz="0" w:space="0" w:color="auto"/>
      </w:divBdr>
    </w:div>
    <w:div w:id="201332418">
      <w:bodyDiv w:val="1"/>
      <w:marLeft w:val="0"/>
      <w:marRight w:val="0"/>
      <w:marTop w:val="0"/>
      <w:marBottom w:val="0"/>
      <w:divBdr>
        <w:top w:val="none" w:sz="0" w:space="0" w:color="auto"/>
        <w:left w:val="none" w:sz="0" w:space="0" w:color="auto"/>
        <w:bottom w:val="none" w:sz="0" w:space="0" w:color="auto"/>
        <w:right w:val="none" w:sz="0" w:space="0" w:color="auto"/>
      </w:divBdr>
    </w:div>
    <w:div w:id="201482386">
      <w:bodyDiv w:val="1"/>
      <w:marLeft w:val="0"/>
      <w:marRight w:val="0"/>
      <w:marTop w:val="0"/>
      <w:marBottom w:val="0"/>
      <w:divBdr>
        <w:top w:val="none" w:sz="0" w:space="0" w:color="auto"/>
        <w:left w:val="none" w:sz="0" w:space="0" w:color="auto"/>
        <w:bottom w:val="none" w:sz="0" w:space="0" w:color="auto"/>
        <w:right w:val="none" w:sz="0" w:space="0" w:color="auto"/>
      </w:divBdr>
    </w:div>
    <w:div w:id="202595463">
      <w:bodyDiv w:val="1"/>
      <w:marLeft w:val="0"/>
      <w:marRight w:val="0"/>
      <w:marTop w:val="0"/>
      <w:marBottom w:val="0"/>
      <w:divBdr>
        <w:top w:val="none" w:sz="0" w:space="0" w:color="auto"/>
        <w:left w:val="none" w:sz="0" w:space="0" w:color="auto"/>
        <w:bottom w:val="none" w:sz="0" w:space="0" w:color="auto"/>
        <w:right w:val="none" w:sz="0" w:space="0" w:color="auto"/>
      </w:divBdr>
    </w:div>
    <w:div w:id="204489073">
      <w:bodyDiv w:val="1"/>
      <w:marLeft w:val="0"/>
      <w:marRight w:val="0"/>
      <w:marTop w:val="0"/>
      <w:marBottom w:val="0"/>
      <w:divBdr>
        <w:top w:val="none" w:sz="0" w:space="0" w:color="auto"/>
        <w:left w:val="none" w:sz="0" w:space="0" w:color="auto"/>
        <w:bottom w:val="none" w:sz="0" w:space="0" w:color="auto"/>
        <w:right w:val="none" w:sz="0" w:space="0" w:color="auto"/>
      </w:divBdr>
    </w:div>
    <w:div w:id="205071037">
      <w:bodyDiv w:val="1"/>
      <w:marLeft w:val="0"/>
      <w:marRight w:val="0"/>
      <w:marTop w:val="0"/>
      <w:marBottom w:val="0"/>
      <w:divBdr>
        <w:top w:val="none" w:sz="0" w:space="0" w:color="auto"/>
        <w:left w:val="none" w:sz="0" w:space="0" w:color="auto"/>
        <w:bottom w:val="none" w:sz="0" w:space="0" w:color="auto"/>
        <w:right w:val="none" w:sz="0" w:space="0" w:color="auto"/>
      </w:divBdr>
    </w:div>
    <w:div w:id="206574979">
      <w:bodyDiv w:val="1"/>
      <w:marLeft w:val="0"/>
      <w:marRight w:val="0"/>
      <w:marTop w:val="0"/>
      <w:marBottom w:val="0"/>
      <w:divBdr>
        <w:top w:val="none" w:sz="0" w:space="0" w:color="auto"/>
        <w:left w:val="none" w:sz="0" w:space="0" w:color="auto"/>
        <w:bottom w:val="none" w:sz="0" w:space="0" w:color="auto"/>
        <w:right w:val="none" w:sz="0" w:space="0" w:color="auto"/>
      </w:divBdr>
    </w:div>
    <w:div w:id="206962860">
      <w:bodyDiv w:val="1"/>
      <w:marLeft w:val="0"/>
      <w:marRight w:val="0"/>
      <w:marTop w:val="0"/>
      <w:marBottom w:val="0"/>
      <w:divBdr>
        <w:top w:val="none" w:sz="0" w:space="0" w:color="auto"/>
        <w:left w:val="none" w:sz="0" w:space="0" w:color="auto"/>
        <w:bottom w:val="none" w:sz="0" w:space="0" w:color="auto"/>
        <w:right w:val="none" w:sz="0" w:space="0" w:color="auto"/>
      </w:divBdr>
    </w:div>
    <w:div w:id="208959795">
      <w:bodyDiv w:val="1"/>
      <w:marLeft w:val="0"/>
      <w:marRight w:val="0"/>
      <w:marTop w:val="0"/>
      <w:marBottom w:val="0"/>
      <w:divBdr>
        <w:top w:val="none" w:sz="0" w:space="0" w:color="auto"/>
        <w:left w:val="none" w:sz="0" w:space="0" w:color="auto"/>
        <w:bottom w:val="none" w:sz="0" w:space="0" w:color="auto"/>
        <w:right w:val="none" w:sz="0" w:space="0" w:color="auto"/>
      </w:divBdr>
    </w:div>
    <w:div w:id="209192322">
      <w:bodyDiv w:val="1"/>
      <w:marLeft w:val="0"/>
      <w:marRight w:val="0"/>
      <w:marTop w:val="0"/>
      <w:marBottom w:val="0"/>
      <w:divBdr>
        <w:top w:val="none" w:sz="0" w:space="0" w:color="auto"/>
        <w:left w:val="none" w:sz="0" w:space="0" w:color="auto"/>
        <w:bottom w:val="none" w:sz="0" w:space="0" w:color="auto"/>
        <w:right w:val="none" w:sz="0" w:space="0" w:color="auto"/>
      </w:divBdr>
    </w:div>
    <w:div w:id="209270439">
      <w:bodyDiv w:val="1"/>
      <w:marLeft w:val="0"/>
      <w:marRight w:val="0"/>
      <w:marTop w:val="0"/>
      <w:marBottom w:val="0"/>
      <w:divBdr>
        <w:top w:val="none" w:sz="0" w:space="0" w:color="auto"/>
        <w:left w:val="none" w:sz="0" w:space="0" w:color="auto"/>
        <w:bottom w:val="none" w:sz="0" w:space="0" w:color="auto"/>
        <w:right w:val="none" w:sz="0" w:space="0" w:color="auto"/>
      </w:divBdr>
    </w:div>
    <w:div w:id="209533382">
      <w:bodyDiv w:val="1"/>
      <w:marLeft w:val="0"/>
      <w:marRight w:val="0"/>
      <w:marTop w:val="0"/>
      <w:marBottom w:val="0"/>
      <w:divBdr>
        <w:top w:val="none" w:sz="0" w:space="0" w:color="auto"/>
        <w:left w:val="none" w:sz="0" w:space="0" w:color="auto"/>
        <w:bottom w:val="none" w:sz="0" w:space="0" w:color="auto"/>
        <w:right w:val="none" w:sz="0" w:space="0" w:color="auto"/>
      </w:divBdr>
    </w:div>
    <w:div w:id="212155580">
      <w:bodyDiv w:val="1"/>
      <w:marLeft w:val="0"/>
      <w:marRight w:val="0"/>
      <w:marTop w:val="0"/>
      <w:marBottom w:val="0"/>
      <w:divBdr>
        <w:top w:val="none" w:sz="0" w:space="0" w:color="auto"/>
        <w:left w:val="none" w:sz="0" w:space="0" w:color="auto"/>
        <w:bottom w:val="none" w:sz="0" w:space="0" w:color="auto"/>
        <w:right w:val="none" w:sz="0" w:space="0" w:color="auto"/>
      </w:divBdr>
    </w:div>
    <w:div w:id="212622783">
      <w:bodyDiv w:val="1"/>
      <w:marLeft w:val="0"/>
      <w:marRight w:val="0"/>
      <w:marTop w:val="0"/>
      <w:marBottom w:val="0"/>
      <w:divBdr>
        <w:top w:val="none" w:sz="0" w:space="0" w:color="auto"/>
        <w:left w:val="none" w:sz="0" w:space="0" w:color="auto"/>
        <w:bottom w:val="none" w:sz="0" w:space="0" w:color="auto"/>
        <w:right w:val="none" w:sz="0" w:space="0" w:color="auto"/>
      </w:divBdr>
    </w:div>
    <w:div w:id="213587259">
      <w:bodyDiv w:val="1"/>
      <w:marLeft w:val="0"/>
      <w:marRight w:val="0"/>
      <w:marTop w:val="0"/>
      <w:marBottom w:val="0"/>
      <w:divBdr>
        <w:top w:val="none" w:sz="0" w:space="0" w:color="auto"/>
        <w:left w:val="none" w:sz="0" w:space="0" w:color="auto"/>
        <w:bottom w:val="none" w:sz="0" w:space="0" w:color="auto"/>
        <w:right w:val="none" w:sz="0" w:space="0" w:color="auto"/>
      </w:divBdr>
    </w:div>
    <w:div w:id="214585336">
      <w:bodyDiv w:val="1"/>
      <w:marLeft w:val="0"/>
      <w:marRight w:val="0"/>
      <w:marTop w:val="0"/>
      <w:marBottom w:val="0"/>
      <w:divBdr>
        <w:top w:val="none" w:sz="0" w:space="0" w:color="auto"/>
        <w:left w:val="none" w:sz="0" w:space="0" w:color="auto"/>
        <w:bottom w:val="none" w:sz="0" w:space="0" w:color="auto"/>
        <w:right w:val="none" w:sz="0" w:space="0" w:color="auto"/>
      </w:divBdr>
    </w:div>
    <w:div w:id="215554351">
      <w:bodyDiv w:val="1"/>
      <w:marLeft w:val="0"/>
      <w:marRight w:val="0"/>
      <w:marTop w:val="0"/>
      <w:marBottom w:val="0"/>
      <w:divBdr>
        <w:top w:val="none" w:sz="0" w:space="0" w:color="auto"/>
        <w:left w:val="none" w:sz="0" w:space="0" w:color="auto"/>
        <w:bottom w:val="none" w:sz="0" w:space="0" w:color="auto"/>
        <w:right w:val="none" w:sz="0" w:space="0" w:color="auto"/>
      </w:divBdr>
    </w:div>
    <w:div w:id="216401184">
      <w:bodyDiv w:val="1"/>
      <w:marLeft w:val="0"/>
      <w:marRight w:val="0"/>
      <w:marTop w:val="0"/>
      <w:marBottom w:val="0"/>
      <w:divBdr>
        <w:top w:val="none" w:sz="0" w:space="0" w:color="auto"/>
        <w:left w:val="none" w:sz="0" w:space="0" w:color="auto"/>
        <w:bottom w:val="none" w:sz="0" w:space="0" w:color="auto"/>
        <w:right w:val="none" w:sz="0" w:space="0" w:color="auto"/>
      </w:divBdr>
    </w:div>
    <w:div w:id="218980899">
      <w:bodyDiv w:val="1"/>
      <w:marLeft w:val="0"/>
      <w:marRight w:val="0"/>
      <w:marTop w:val="0"/>
      <w:marBottom w:val="0"/>
      <w:divBdr>
        <w:top w:val="none" w:sz="0" w:space="0" w:color="auto"/>
        <w:left w:val="none" w:sz="0" w:space="0" w:color="auto"/>
        <w:bottom w:val="none" w:sz="0" w:space="0" w:color="auto"/>
        <w:right w:val="none" w:sz="0" w:space="0" w:color="auto"/>
      </w:divBdr>
    </w:div>
    <w:div w:id="220364789">
      <w:bodyDiv w:val="1"/>
      <w:marLeft w:val="0"/>
      <w:marRight w:val="0"/>
      <w:marTop w:val="0"/>
      <w:marBottom w:val="0"/>
      <w:divBdr>
        <w:top w:val="none" w:sz="0" w:space="0" w:color="auto"/>
        <w:left w:val="none" w:sz="0" w:space="0" w:color="auto"/>
        <w:bottom w:val="none" w:sz="0" w:space="0" w:color="auto"/>
        <w:right w:val="none" w:sz="0" w:space="0" w:color="auto"/>
      </w:divBdr>
    </w:div>
    <w:div w:id="221016701">
      <w:bodyDiv w:val="1"/>
      <w:marLeft w:val="0"/>
      <w:marRight w:val="0"/>
      <w:marTop w:val="0"/>
      <w:marBottom w:val="0"/>
      <w:divBdr>
        <w:top w:val="none" w:sz="0" w:space="0" w:color="auto"/>
        <w:left w:val="none" w:sz="0" w:space="0" w:color="auto"/>
        <w:bottom w:val="none" w:sz="0" w:space="0" w:color="auto"/>
        <w:right w:val="none" w:sz="0" w:space="0" w:color="auto"/>
      </w:divBdr>
    </w:div>
    <w:div w:id="221453249">
      <w:bodyDiv w:val="1"/>
      <w:marLeft w:val="0"/>
      <w:marRight w:val="0"/>
      <w:marTop w:val="0"/>
      <w:marBottom w:val="0"/>
      <w:divBdr>
        <w:top w:val="none" w:sz="0" w:space="0" w:color="auto"/>
        <w:left w:val="none" w:sz="0" w:space="0" w:color="auto"/>
        <w:bottom w:val="none" w:sz="0" w:space="0" w:color="auto"/>
        <w:right w:val="none" w:sz="0" w:space="0" w:color="auto"/>
      </w:divBdr>
    </w:div>
    <w:div w:id="223834649">
      <w:bodyDiv w:val="1"/>
      <w:marLeft w:val="0"/>
      <w:marRight w:val="0"/>
      <w:marTop w:val="0"/>
      <w:marBottom w:val="0"/>
      <w:divBdr>
        <w:top w:val="none" w:sz="0" w:space="0" w:color="auto"/>
        <w:left w:val="none" w:sz="0" w:space="0" w:color="auto"/>
        <w:bottom w:val="none" w:sz="0" w:space="0" w:color="auto"/>
        <w:right w:val="none" w:sz="0" w:space="0" w:color="auto"/>
      </w:divBdr>
    </w:div>
    <w:div w:id="225265860">
      <w:bodyDiv w:val="1"/>
      <w:marLeft w:val="0"/>
      <w:marRight w:val="0"/>
      <w:marTop w:val="0"/>
      <w:marBottom w:val="0"/>
      <w:divBdr>
        <w:top w:val="none" w:sz="0" w:space="0" w:color="auto"/>
        <w:left w:val="none" w:sz="0" w:space="0" w:color="auto"/>
        <w:bottom w:val="none" w:sz="0" w:space="0" w:color="auto"/>
        <w:right w:val="none" w:sz="0" w:space="0" w:color="auto"/>
      </w:divBdr>
    </w:div>
    <w:div w:id="225337990">
      <w:bodyDiv w:val="1"/>
      <w:marLeft w:val="0"/>
      <w:marRight w:val="0"/>
      <w:marTop w:val="0"/>
      <w:marBottom w:val="0"/>
      <w:divBdr>
        <w:top w:val="none" w:sz="0" w:space="0" w:color="auto"/>
        <w:left w:val="none" w:sz="0" w:space="0" w:color="auto"/>
        <w:bottom w:val="none" w:sz="0" w:space="0" w:color="auto"/>
        <w:right w:val="none" w:sz="0" w:space="0" w:color="auto"/>
      </w:divBdr>
    </w:div>
    <w:div w:id="225650333">
      <w:bodyDiv w:val="1"/>
      <w:marLeft w:val="0"/>
      <w:marRight w:val="0"/>
      <w:marTop w:val="0"/>
      <w:marBottom w:val="0"/>
      <w:divBdr>
        <w:top w:val="none" w:sz="0" w:space="0" w:color="auto"/>
        <w:left w:val="none" w:sz="0" w:space="0" w:color="auto"/>
        <w:bottom w:val="none" w:sz="0" w:space="0" w:color="auto"/>
        <w:right w:val="none" w:sz="0" w:space="0" w:color="auto"/>
      </w:divBdr>
    </w:div>
    <w:div w:id="225914249">
      <w:bodyDiv w:val="1"/>
      <w:marLeft w:val="0"/>
      <w:marRight w:val="0"/>
      <w:marTop w:val="0"/>
      <w:marBottom w:val="0"/>
      <w:divBdr>
        <w:top w:val="none" w:sz="0" w:space="0" w:color="auto"/>
        <w:left w:val="none" w:sz="0" w:space="0" w:color="auto"/>
        <w:bottom w:val="none" w:sz="0" w:space="0" w:color="auto"/>
        <w:right w:val="none" w:sz="0" w:space="0" w:color="auto"/>
      </w:divBdr>
    </w:div>
    <w:div w:id="226645406">
      <w:bodyDiv w:val="1"/>
      <w:marLeft w:val="0"/>
      <w:marRight w:val="0"/>
      <w:marTop w:val="0"/>
      <w:marBottom w:val="0"/>
      <w:divBdr>
        <w:top w:val="none" w:sz="0" w:space="0" w:color="auto"/>
        <w:left w:val="none" w:sz="0" w:space="0" w:color="auto"/>
        <w:bottom w:val="none" w:sz="0" w:space="0" w:color="auto"/>
        <w:right w:val="none" w:sz="0" w:space="0" w:color="auto"/>
      </w:divBdr>
    </w:div>
    <w:div w:id="228075782">
      <w:bodyDiv w:val="1"/>
      <w:marLeft w:val="0"/>
      <w:marRight w:val="0"/>
      <w:marTop w:val="0"/>
      <w:marBottom w:val="0"/>
      <w:divBdr>
        <w:top w:val="none" w:sz="0" w:space="0" w:color="auto"/>
        <w:left w:val="none" w:sz="0" w:space="0" w:color="auto"/>
        <w:bottom w:val="none" w:sz="0" w:space="0" w:color="auto"/>
        <w:right w:val="none" w:sz="0" w:space="0" w:color="auto"/>
      </w:divBdr>
    </w:div>
    <w:div w:id="228268629">
      <w:bodyDiv w:val="1"/>
      <w:marLeft w:val="0"/>
      <w:marRight w:val="0"/>
      <w:marTop w:val="0"/>
      <w:marBottom w:val="0"/>
      <w:divBdr>
        <w:top w:val="none" w:sz="0" w:space="0" w:color="auto"/>
        <w:left w:val="none" w:sz="0" w:space="0" w:color="auto"/>
        <w:bottom w:val="none" w:sz="0" w:space="0" w:color="auto"/>
        <w:right w:val="none" w:sz="0" w:space="0" w:color="auto"/>
      </w:divBdr>
    </w:div>
    <w:div w:id="228273366">
      <w:bodyDiv w:val="1"/>
      <w:marLeft w:val="0"/>
      <w:marRight w:val="0"/>
      <w:marTop w:val="0"/>
      <w:marBottom w:val="0"/>
      <w:divBdr>
        <w:top w:val="none" w:sz="0" w:space="0" w:color="auto"/>
        <w:left w:val="none" w:sz="0" w:space="0" w:color="auto"/>
        <w:bottom w:val="none" w:sz="0" w:space="0" w:color="auto"/>
        <w:right w:val="none" w:sz="0" w:space="0" w:color="auto"/>
      </w:divBdr>
    </w:div>
    <w:div w:id="229731991">
      <w:bodyDiv w:val="1"/>
      <w:marLeft w:val="0"/>
      <w:marRight w:val="0"/>
      <w:marTop w:val="0"/>
      <w:marBottom w:val="0"/>
      <w:divBdr>
        <w:top w:val="none" w:sz="0" w:space="0" w:color="auto"/>
        <w:left w:val="none" w:sz="0" w:space="0" w:color="auto"/>
        <w:bottom w:val="none" w:sz="0" w:space="0" w:color="auto"/>
        <w:right w:val="none" w:sz="0" w:space="0" w:color="auto"/>
      </w:divBdr>
    </w:div>
    <w:div w:id="232357230">
      <w:bodyDiv w:val="1"/>
      <w:marLeft w:val="0"/>
      <w:marRight w:val="0"/>
      <w:marTop w:val="0"/>
      <w:marBottom w:val="0"/>
      <w:divBdr>
        <w:top w:val="none" w:sz="0" w:space="0" w:color="auto"/>
        <w:left w:val="none" w:sz="0" w:space="0" w:color="auto"/>
        <w:bottom w:val="none" w:sz="0" w:space="0" w:color="auto"/>
        <w:right w:val="none" w:sz="0" w:space="0" w:color="auto"/>
      </w:divBdr>
    </w:div>
    <w:div w:id="232474799">
      <w:bodyDiv w:val="1"/>
      <w:marLeft w:val="0"/>
      <w:marRight w:val="0"/>
      <w:marTop w:val="0"/>
      <w:marBottom w:val="0"/>
      <w:divBdr>
        <w:top w:val="none" w:sz="0" w:space="0" w:color="auto"/>
        <w:left w:val="none" w:sz="0" w:space="0" w:color="auto"/>
        <w:bottom w:val="none" w:sz="0" w:space="0" w:color="auto"/>
        <w:right w:val="none" w:sz="0" w:space="0" w:color="auto"/>
      </w:divBdr>
    </w:div>
    <w:div w:id="232542254">
      <w:bodyDiv w:val="1"/>
      <w:marLeft w:val="0"/>
      <w:marRight w:val="0"/>
      <w:marTop w:val="0"/>
      <w:marBottom w:val="0"/>
      <w:divBdr>
        <w:top w:val="none" w:sz="0" w:space="0" w:color="auto"/>
        <w:left w:val="none" w:sz="0" w:space="0" w:color="auto"/>
        <w:bottom w:val="none" w:sz="0" w:space="0" w:color="auto"/>
        <w:right w:val="none" w:sz="0" w:space="0" w:color="auto"/>
      </w:divBdr>
    </w:div>
    <w:div w:id="233900685">
      <w:bodyDiv w:val="1"/>
      <w:marLeft w:val="0"/>
      <w:marRight w:val="0"/>
      <w:marTop w:val="0"/>
      <w:marBottom w:val="0"/>
      <w:divBdr>
        <w:top w:val="none" w:sz="0" w:space="0" w:color="auto"/>
        <w:left w:val="none" w:sz="0" w:space="0" w:color="auto"/>
        <w:bottom w:val="none" w:sz="0" w:space="0" w:color="auto"/>
        <w:right w:val="none" w:sz="0" w:space="0" w:color="auto"/>
      </w:divBdr>
    </w:div>
    <w:div w:id="234053374">
      <w:bodyDiv w:val="1"/>
      <w:marLeft w:val="0"/>
      <w:marRight w:val="0"/>
      <w:marTop w:val="0"/>
      <w:marBottom w:val="0"/>
      <w:divBdr>
        <w:top w:val="none" w:sz="0" w:space="0" w:color="auto"/>
        <w:left w:val="none" w:sz="0" w:space="0" w:color="auto"/>
        <w:bottom w:val="none" w:sz="0" w:space="0" w:color="auto"/>
        <w:right w:val="none" w:sz="0" w:space="0" w:color="auto"/>
      </w:divBdr>
    </w:div>
    <w:div w:id="234440087">
      <w:bodyDiv w:val="1"/>
      <w:marLeft w:val="0"/>
      <w:marRight w:val="0"/>
      <w:marTop w:val="0"/>
      <w:marBottom w:val="0"/>
      <w:divBdr>
        <w:top w:val="none" w:sz="0" w:space="0" w:color="auto"/>
        <w:left w:val="none" w:sz="0" w:space="0" w:color="auto"/>
        <w:bottom w:val="none" w:sz="0" w:space="0" w:color="auto"/>
        <w:right w:val="none" w:sz="0" w:space="0" w:color="auto"/>
      </w:divBdr>
    </w:div>
    <w:div w:id="234559997">
      <w:bodyDiv w:val="1"/>
      <w:marLeft w:val="0"/>
      <w:marRight w:val="0"/>
      <w:marTop w:val="0"/>
      <w:marBottom w:val="0"/>
      <w:divBdr>
        <w:top w:val="none" w:sz="0" w:space="0" w:color="auto"/>
        <w:left w:val="none" w:sz="0" w:space="0" w:color="auto"/>
        <w:bottom w:val="none" w:sz="0" w:space="0" w:color="auto"/>
        <w:right w:val="none" w:sz="0" w:space="0" w:color="auto"/>
      </w:divBdr>
    </w:div>
    <w:div w:id="235407512">
      <w:bodyDiv w:val="1"/>
      <w:marLeft w:val="0"/>
      <w:marRight w:val="0"/>
      <w:marTop w:val="0"/>
      <w:marBottom w:val="0"/>
      <w:divBdr>
        <w:top w:val="none" w:sz="0" w:space="0" w:color="auto"/>
        <w:left w:val="none" w:sz="0" w:space="0" w:color="auto"/>
        <w:bottom w:val="none" w:sz="0" w:space="0" w:color="auto"/>
        <w:right w:val="none" w:sz="0" w:space="0" w:color="auto"/>
      </w:divBdr>
    </w:div>
    <w:div w:id="235670377">
      <w:bodyDiv w:val="1"/>
      <w:marLeft w:val="0"/>
      <w:marRight w:val="0"/>
      <w:marTop w:val="0"/>
      <w:marBottom w:val="0"/>
      <w:divBdr>
        <w:top w:val="none" w:sz="0" w:space="0" w:color="auto"/>
        <w:left w:val="none" w:sz="0" w:space="0" w:color="auto"/>
        <w:bottom w:val="none" w:sz="0" w:space="0" w:color="auto"/>
        <w:right w:val="none" w:sz="0" w:space="0" w:color="auto"/>
      </w:divBdr>
    </w:div>
    <w:div w:id="236786938">
      <w:bodyDiv w:val="1"/>
      <w:marLeft w:val="0"/>
      <w:marRight w:val="0"/>
      <w:marTop w:val="0"/>
      <w:marBottom w:val="0"/>
      <w:divBdr>
        <w:top w:val="none" w:sz="0" w:space="0" w:color="auto"/>
        <w:left w:val="none" w:sz="0" w:space="0" w:color="auto"/>
        <w:bottom w:val="none" w:sz="0" w:space="0" w:color="auto"/>
        <w:right w:val="none" w:sz="0" w:space="0" w:color="auto"/>
      </w:divBdr>
    </w:div>
    <w:div w:id="238028807">
      <w:bodyDiv w:val="1"/>
      <w:marLeft w:val="0"/>
      <w:marRight w:val="0"/>
      <w:marTop w:val="0"/>
      <w:marBottom w:val="0"/>
      <w:divBdr>
        <w:top w:val="none" w:sz="0" w:space="0" w:color="auto"/>
        <w:left w:val="none" w:sz="0" w:space="0" w:color="auto"/>
        <w:bottom w:val="none" w:sz="0" w:space="0" w:color="auto"/>
        <w:right w:val="none" w:sz="0" w:space="0" w:color="auto"/>
      </w:divBdr>
    </w:div>
    <w:div w:id="239143820">
      <w:bodyDiv w:val="1"/>
      <w:marLeft w:val="0"/>
      <w:marRight w:val="0"/>
      <w:marTop w:val="0"/>
      <w:marBottom w:val="0"/>
      <w:divBdr>
        <w:top w:val="none" w:sz="0" w:space="0" w:color="auto"/>
        <w:left w:val="none" w:sz="0" w:space="0" w:color="auto"/>
        <w:bottom w:val="none" w:sz="0" w:space="0" w:color="auto"/>
        <w:right w:val="none" w:sz="0" w:space="0" w:color="auto"/>
      </w:divBdr>
    </w:div>
    <w:div w:id="241374456">
      <w:bodyDiv w:val="1"/>
      <w:marLeft w:val="0"/>
      <w:marRight w:val="0"/>
      <w:marTop w:val="0"/>
      <w:marBottom w:val="0"/>
      <w:divBdr>
        <w:top w:val="none" w:sz="0" w:space="0" w:color="auto"/>
        <w:left w:val="none" w:sz="0" w:space="0" w:color="auto"/>
        <w:bottom w:val="none" w:sz="0" w:space="0" w:color="auto"/>
        <w:right w:val="none" w:sz="0" w:space="0" w:color="auto"/>
      </w:divBdr>
    </w:div>
    <w:div w:id="241643236">
      <w:bodyDiv w:val="1"/>
      <w:marLeft w:val="0"/>
      <w:marRight w:val="0"/>
      <w:marTop w:val="0"/>
      <w:marBottom w:val="0"/>
      <w:divBdr>
        <w:top w:val="none" w:sz="0" w:space="0" w:color="auto"/>
        <w:left w:val="none" w:sz="0" w:space="0" w:color="auto"/>
        <w:bottom w:val="none" w:sz="0" w:space="0" w:color="auto"/>
        <w:right w:val="none" w:sz="0" w:space="0" w:color="auto"/>
      </w:divBdr>
    </w:div>
    <w:div w:id="243422414">
      <w:bodyDiv w:val="1"/>
      <w:marLeft w:val="0"/>
      <w:marRight w:val="0"/>
      <w:marTop w:val="0"/>
      <w:marBottom w:val="0"/>
      <w:divBdr>
        <w:top w:val="none" w:sz="0" w:space="0" w:color="auto"/>
        <w:left w:val="none" w:sz="0" w:space="0" w:color="auto"/>
        <w:bottom w:val="none" w:sz="0" w:space="0" w:color="auto"/>
        <w:right w:val="none" w:sz="0" w:space="0" w:color="auto"/>
      </w:divBdr>
    </w:div>
    <w:div w:id="246963027">
      <w:bodyDiv w:val="1"/>
      <w:marLeft w:val="0"/>
      <w:marRight w:val="0"/>
      <w:marTop w:val="0"/>
      <w:marBottom w:val="0"/>
      <w:divBdr>
        <w:top w:val="none" w:sz="0" w:space="0" w:color="auto"/>
        <w:left w:val="none" w:sz="0" w:space="0" w:color="auto"/>
        <w:bottom w:val="none" w:sz="0" w:space="0" w:color="auto"/>
        <w:right w:val="none" w:sz="0" w:space="0" w:color="auto"/>
      </w:divBdr>
    </w:div>
    <w:div w:id="247079474">
      <w:bodyDiv w:val="1"/>
      <w:marLeft w:val="0"/>
      <w:marRight w:val="0"/>
      <w:marTop w:val="0"/>
      <w:marBottom w:val="0"/>
      <w:divBdr>
        <w:top w:val="none" w:sz="0" w:space="0" w:color="auto"/>
        <w:left w:val="none" w:sz="0" w:space="0" w:color="auto"/>
        <w:bottom w:val="none" w:sz="0" w:space="0" w:color="auto"/>
        <w:right w:val="none" w:sz="0" w:space="0" w:color="auto"/>
      </w:divBdr>
    </w:div>
    <w:div w:id="247354585">
      <w:bodyDiv w:val="1"/>
      <w:marLeft w:val="0"/>
      <w:marRight w:val="0"/>
      <w:marTop w:val="0"/>
      <w:marBottom w:val="0"/>
      <w:divBdr>
        <w:top w:val="none" w:sz="0" w:space="0" w:color="auto"/>
        <w:left w:val="none" w:sz="0" w:space="0" w:color="auto"/>
        <w:bottom w:val="none" w:sz="0" w:space="0" w:color="auto"/>
        <w:right w:val="none" w:sz="0" w:space="0" w:color="auto"/>
      </w:divBdr>
    </w:div>
    <w:div w:id="248386818">
      <w:bodyDiv w:val="1"/>
      <w:marLeft w:val="0"/>
      <w:marRight w:val="0"/>
      <w:marTop w:val="0"/>
      <w:marBottom w:val="0"/>
      <w:divBdr>
        <w:top w:val="none" w:sz="0" w:space="0" w:color="auto"/>
        <w:left w:val="none" w:sz="0" w:space="0" w:color="auto"/>
        <w:bottom w:val="none" w:sz="0" w:space="0" w:color="auto"/>
        <w:right w:val="none" w:sz="0" w:space="0" w:color="auto"/>
      </w:divBdr>
    </w:div>
    <w:div w:id="249388177">
      <w:bodyDiv w:val="1"/>
      <w:marLeft w:val="0"/>
      <w:marRight w:val="0"/>
      <w:marTop w:val="0"/>
      <w:marBottom w:val="0"/>
      <w:divBdr>
        <w:top w:val="none" w:sz="0" w:space="0" w:color="auto"/>
        <w:left w:val="none" w:sz="0" w:space="0" w:color="auto"/>
        <w:bottom w:val="none" w:sz="0" w:space="0" w:color="auto"/>
        <w:right w:val="none" w:sz="0" w:space="0" w:color="auto"/>
      </w:divBdr>
    </w:div>
    <w:div w:id="252401689">
      <w:bodyDiv w:val="1"/>
      <w:marLeft w:val="0"/>
      <w:marRight w:val="0"/>
      <w:marTop w:val="0"/>
      <w:marBottom w:val="0"/>
      <w:divBdr>
        <w:top w:val="none" w:sz="0" w:space="0" w:color="auto"/>
        <w:left w:val="none" w:sz="0" w:space="0" w:color="auto"/>
        <w:bottom w:val="none" w:sz="0" w:space="0" w:color="auto"/>
        <w:right w:val="none" w:sz="0" w:space="0" w:color="auto"/>
      </w:divBdr>
    </w:div>
    <w:div w:id="252906065">
      <w:bodyDiv w:val="1"/>
      <w:marLeft w:val="0"/>
      <w:marRight w:val="0"/>
      <w:marTop w:val="0"/>
      <w:marBottom w:val="0"/>
      <w:divBdr>
        <w:top w:val="none" w:sz="0" w:space="0" w:color="auto"/>
        <w:left w:val="none" w:sz="0" w:space="0" w:color="auto"/>
        <w:bottom w:val="none" w:sz="0" w:space="0" w:color="auto"/>
        <w:right w:val="none" w:sz="0" w:space="0" w:color="auto"/>
      </w:divBdr>
    </w:div>
    <w:div w:id="255405822">
      <w:bodyDiv w:val="1"/>
      <w:marLeft w:val="0"/>
      <w:marRight w:val="0"/>
      <w:marTop w:val="0"/>
      <w:marBottom w:val="0"/>
      <w:divBdr>
        <w:top w:val="none" w:sz="0" w:space="0" w:color="auto"/>
        <w:left w:val="none" w:sz="0" w:space="0" w:color="auto"/>
        <w:bottom w:val="none" w:sz="0" w:space="0" w:color="auto"/>
        <w:right w:val="none" w:sz="0" w:space="0" w:color="auto"/>
      </w:divBdr>
    </w:div>
    <w:div w:id="256985818">
      <w:bodyDiv w:val="1"/>
      <w:marLeft w:val="0"/>
      <w:marRight w:val="0"/>
      <w:marTop w:val="0"/>
      <w:marBottom w:val="0"/>
      <w:divBdr>
        <w:top w:val="none" w:sz="0" w:space="0" w:color="auto"/>
        <w:left w:val="none" w:sz="0" w:space="0" w:color="auto"/>
        <w:bottom w:val="none" w:sz="0" w:space="0" w:color="auto"/>
        <w:right w:val="none" w:sz="0" w:space="0" w:color="auto"/>
      </w:divBdr>
    </w:div>
    <w:div w:id="258173679">
      <w:bodyDiv w:val="1"/>
      <w:marLeft w:val="0"/>
      <w:marRight w:val="0"/>
      <w:marTop w:val="0"/>
      <w:marBottom w:val="0"/>
      <w:divBdr>
        <w:top w:val="none" w:sz="0" w:space="0" w:color="auto"/>
        <w:left w:val="none" w:sz="0" w:space="0" w:color="auto"/>
        <w:bottom w:val="none" w:sz="0" w:space="0" w:color="auto"/>
        <w:right w:val="none" w:sz="0" w:space="0" w:color="auto"/>
      </w:divBdr>
    </w:div>
    <w:div w:id="258413752">
      <w:bodyDiv w:val="1"/>
      <w:marLeft w:val="0"/>
      <w:marRight w:val="0"/>
      <w:marTop w:val="0"/>
      <w:marBottom w:val="0"/>
      <w:divBdr>
        <w:top w:val="none" w:sz="0" w:space="0" w:color="auto"/>
        <w:left w:val="none" w:sz="0" w:space="0" w:color="auto"/>
        <w:bottom w:val="none" w:sz="0" w:space="0" w:color="auto"/>
        <w:right w:val="none" w:sz="0" w:space="0" w:color="auto"/>
      </w:divBdr>
    </w:div>
    <w:div w:id="258416176">
      <w:bodyDiv w:val="1"/>
      <w:marLeft w:val="0"/>
      <w:marRight w:val="0"/>
      <w:marTop w:val="0"/>
      <w:marBottom w:val="0"/>
      <w:divBdr>
        <w:top w:val="none" w:sz="0" w:space="0" w:color="auto"/>
        <w:left w:val="none" w:sz="0" w:space="0" w:color="auto"/>
        <w:bottom w:val="none" w:sz="0" w:space="0" w:color="auto"/>
        <w:right w:val="none" w:sz="0" w:space="0" w:color="auto"/>
      </w:divBdr>
    </w:div>
    <w:div w:id="260184366">
      <w:bodyDiv w:val="1"/>
      <w:marLeft w:val="0"/>
      <w:marRight w:val="0"/>
      <w:marTop w:val="0"/>
      <w:marBottom w:val="0"/>
      <w:divBdr>
        <w:top w:val="none" w:sz="0" w:space="0" w:color="auto"/>
        <w:left w:val="none" w:sz="0" w:space="0" w:color="auto"/>
        <w:bottom w:val="none" w:sz="0" w:space="0" w:color="auto"/>
        <w:right w:val="none" w:sz="0" w:space="0" w:color="auto"/>
      </w:divBdr>
    </w:div>
    <w:div w:id="260380654">
      <w:bodyDiv w:val="1"/>
      <w:marLeft w:val="0"/>
      <w:marRight w:val="0"/>
      <w:marTop w:val="0"/>
      <w:marBottom w:val="0"/>
      <w:divBdr>
        <w:top w:val="none" w:sz="0" w:space="0" w:color="auto"/>
        <w:left w:val="none" w:sz="0" w:space="0" w:color="auto"/>
        <w:bottom w:val="none" w:sz="0" w:space="0" w:color="auto"/>
        <w:right w:val="none" w:sz="0" w:space="0" w:color="auto"/>
      </w:divBdr>
    </w:div>
    <w:div w:id="262079202">
      <w:bodyDiv w:val="1"/>
      <w:marLeft w:val="0"/>
      <w:marRight w:val="0"/>
      <w:marTop w:val="0"/>
      <w:marBottom w:val="0"/>
      <w:divBdr>
        <w:top w:val="none" w:sz="0" w:space="0" w:color="auto"/>
        <w:left w:val="none" w:sz="0" w:space="0" w:color="auto"/>
        <w:bottom w:val="none" w:sz="0" w:space="0" w:color="auto"/>
        <w:right w:val="none" w:sz="0" w:space="0" w:color="auto"/>
      </w:divBdr>
    </w:div>
    <w:div w:id="262153896">
      <w:bodyDiv w:val="1"/>
      <w:marLeft w:val="0"/>
      <w:marRight w:val="0"/>
      <w:marTop w:val="0"/>
      <w:marBottom w:val="0"/>
      <w:divBdr>
        <w:top w:val="none" w:sz="0" w:space="0" w:color="auto"/>
        <w:left w:val="none" w:sz="0" w:space="0" w:color="auto"/>
        <w:bottom w:val="none" w:sz="0" w:space="0" w:color="auto"/>
        <w:right w:val="none" w:sz="0" w:space="0" w:color="auto"/>
      </w:divBdr>
    </w:div>
    <w:div w:id="262538138">
      <w:bodyDiv w:val="1"/>
      <w:marLeft w:val="0"/>
      <w:marRight w:val="0"/>
      <w:marTop w:val="0"/>
      <w:marBottom w:val="0"/>
      <w:divBdr>
        <w:top w:val="none" w:sz="0" w:space="0" w:color="auto"/>
        <w:left w:val="none" w:sz="0" w:space="0" w:color="auto"/>
        <w:bottom w:val="none" w:sz="0" w:space="0" w:color="auto"/>
        <w:right w:val="none" w:sz="0" w:space="0" w:color="auto"/>
      </w:divBdr>
    </w:div>
    <w:div w:id="262997644">
      <w:bodyDiv w:val="1"/>
      <w:marLeft w:val="0"/>
      <w:marRight w:val="0"/>
      <w:marTop w:val="0"/>
      <w:marBottom w:val="0"/>
      <w:divBdr>
        <w:top w:val="none" w:sz="0" w:space="0" w:color="auto"/>
        <w:left w:val="none" w:sz="0" w:space="0" w:color="auto"/>
        <w:bottom w:val="none" w:sz="0" w:space="0" w:color="auto"/>
        <w:right w:val="none" w:sz="0" w:space="0" w:color="auto"/>
      </w:divBdr>
    </w:div>
    <w:div w:id="263806432">
      <w:bodyDiv w:val="1"/>
      <w:marLeft w:val="0"/>
      <w:marRight w:val="0"/>
      <w:marTop w:val="0"/>
      <w:marBottom w:val="0"/>
      <w:divBdr>
        <w:top w:val="none" w:sz="0" w:space="0" w:color="auto"/>
        <w:left w:val="none" w:sz="0" w:space="0" w:color="auto"/>
        <w:bottom w:val="none" w:sz="0" w:space="0" w:color="auto"/>
        <w:right w:val="none" w:sz="0" w:space="0" w:color="auto"/>
      </w:divBdr>
    </w:div>
    <w:div w:id="266080118">
      <w:bodyDiv w:val="1"/>
      <w:marLeft w:val="0"/>
      <w:marRight w:val="0"/>
      <w:marTop w:val="0"/>
      <w:marBottom w:val="0"/>
      <w:divBdr>
        <w:top w:val="none" w:sz="0" w:space="0" w:color="auto"/>
        <w:left w:val="none" w:sz="0" w:space="0" w:color="auto"/>
        <w:bottom w:val="none" w:sz="0" w:space="0" w:color="auto"/>
        <w:right w:val="none" w:sz="0" w:space="0" w:color="auto"/>
      </w:divBdr>
    </w:div>
    <w:div w:id="266157218">
      <w:bodyDiv w:val="1"/>
      <w:marLeft w:val="0"/>
      <w:marRight w:val="0"/>
      <w:marTop w:val="0"/>
      <w:marBottom w:val="0"/>
      <w:divBdr>
        <w:top w:val="none" w:sz="0" w:space="0" w:color="auto"/>
        <w:left w:val="none" w:sz="0" w:space="0" w:color="auto"/>
        <w:bottom w:val="none" w:sz="0" w:space="0" w:color="auto"/>
        <w:right w:val="none" w:sz="0" w:space="0" w:color="auto"/>
      </w:divBdr>
    </w:div>
    <w:div w:id="268852967">
      <w:bodyDiv w:val="1"/>
      <w:marLeft w:val="0"/>
      <w:marRight w:val="0"/>
      <w:marTop w:val="0"/>
      <w:marBottom w:val="0"/>
      <w:divBdr>
        <w:top w:val="none" w:sz="0" w:space="0" w:color="auto"/>
        <w:left w:val="none" w:sz="0" w:space="0" w:color="auto"/>
        <w:bottom w:val="none" w:sz="0" w:space="0" w:color="auto"/>
        <w:right w:val="none" w:sz="0" w:space="0" w:color="auto"/>
      </w:divBdr>
    </w:div>
    <w:div w:id="269553667">
      <w:bodyDiv w:val="1"/>
      <w:marLeft w:val="0"/>
      <w:marRight w:val="0"/>
      <w:marTop w:val="0"/>
      <w:marBottom w:val="0"/>
      <w:divBdr>
        <w:top w:val="none" w:sz="0" w:space="0" w:color="auto"/>
        <w:left w:val="none" w:sz="0" w:space="0" w:color="auto"/>
        <w:bottom w:val="none" w:sz="0" w:space="0" w:color="auto"/>
        <w:right w:val="none" w:sz="0" w:space="0" w:color="auto"/>
      </w:divBdr>
    </w:div>
    <w:div w:id="269748682">
      <w:bodyDiv w:val="1"/>
      <w:marLeft w:val="0"/>
      <w:marRight w:val="0"/>
      <w:marTop w:val="0"/>
      <w:marBottom w:val="0"/>
      <w:divBdr>
        <w:top w:val="none" w:sz="0" w:space="0" w:color="auto"/>
        <w:left w:val="none" w:sz="0" w:space="0" w:color="auto"/>
        <w:bottom w:val="none" w:sz="0" w:space="0" w:color="auto"/>
        <w:right w:val="none" w:sz="0" w:space="0" w:color="auto"/>
      </w:divBdr>
    </w:div>
    <w:div w:id="269895119">
      <w:bodyDiv w:val="1"/>
      <w:marLeft w:val="0"/>
      <w:marRight w:val="0"/>
      <w:marTop w:val="0"/>
      <w:marBottom w:val="0"/>
      <w:divBdr>
        <w:top w:val="none" w:sz="0" w:space="0" w:color="auto"/>
        <w:left w:val="none" w:sz="0" w:space="0" w:color="auto"/>
        <w:bottom w:val="none" w:sz="0" w:space="0" w:color="auto"/>
        <w:right w:val="none" w:sz="0" w:space="0" w:color="auto"/>
      </w:divBdr>
    </w:div>
    <w:div w:id="271279679">
      <w:bodyDiv w:val="1"/>
      <w:marLeft w:val="0"/>
      <w:marRight w:val="0"/>
      <w:marTop w:val="0"/>
      <w:marBottom w:val="0"/>
      <w:divBdr>
        <w:top w:val="none" w:sz="0" w:space="0" w:color="auto"/>
        <w:left w:val="none" w:sz="0" w:space="0" w:color="auto"/>
        <w:bottom w:val="none" w:sz="0" w:space="0" w:color="auto"/>
        <w:right w:val="none" w:sz="0" w:space="0" w:color="auto"/>
      </w:divBdr>
    </w:div>
    <w:div w:id="271785037">
      <w:bodyDiv w:val="1"/>
      <w:marLeft w:val="0"/>
      <w:marRight w:val="0"/>
      <w:marTop w:val="0"/>
      <w:marBottom w:val="0"/>
      <w:divBdr>
        <w:top w:val="none" w:sz="0" w:space="0" w:color="auto"/>
        <w:left w:val="none" w:sz="0" w:space="0" w:color="auto"/>
        <w:bottom w:val="none" w:sz="0" w:space="0" w:color="auto"/>
        <w:right w:val="none" w:sz="0" w:space="0" w:color="auto"/>
      </w:divBdr>
    </w:div>
    <w:div w:id="273564837">
      <w:bodyDiv w:val="1"/>
      <w:marLeft w:val="0"/>
      <w:marRight w:val="0"/>
      <w:marTop w:val="0"/>
      <w:marBottom w:val="0"/>
      <w:divBdr>
        <w:top w:val="none" w:sz="0" w:space="0" w:color="auto"/>
        <w:left w:val="none" w:sz="0" w:space="0" w:color="auto"/>
        <w:bottom w:val="none" w:sz="0" w:space="0" w:color="auto"/>
        <w:right w:val="none" w:sz="0" w:space="0" w:color="auto"/>
      </w:divBdr>
    </w:div>
    <w:div w:id="274673029">
      <w:bodyDiv w:val="1"/>
      <w:marLeft w:val="0"/>
      <w:marRight w:val="0"/>
      <w:marTop w:val="0"/>
      <w:marBottom w:val="0"/>
      <w:divBdr>
        <w:top w:val="none" w:sz="0" w:space="0" w:color="auto"/>
        <w:left w:val="none" w:sz="0" w:space="0" w:color="auto"/>
        <w:bottom w:val="none" w:sz="0" w:space="0" w:color="auto"/>
        <w:right w:val="none" w:sz="0" w:space="0" w:color="auto"/>
      </w:divBdr>
    </w:div>
    <w:div w:id="277495216">
      <w:bodyDiv w:val="1"/>
      <w:marLeft w:val="0"/>
      <w:marRight w:val="0"/>
      <w:marTop w:val="0"/>
      <w:marBottom w:val="0"/>
      <w:divBdr>
        <w:top w:val="none" w:sz="0" w:space="0" w:color="auto"/>
        <w:left w:val="none" w:sz="0" w:space="0" w:color="auto"/>
        <w:bottom w:val="none" w:sz="0" w:space="0" w:color="auto"/>
        <w:right w:val="none" w:sz="0" w:space="0" w:color="auto"/>
      </w:divBdr>
    </w:div>
    <w:div w:id="277682873">
      <w:bodyDiv w:val="1"/>
      <w:marLeft w:val="0"/>
      <w:marRight w:val="0"/>
      <w:marTop w:val="0"/>
      <w:marBottom w:val="0"/>
      <w:divBdr>
        <w:top w:val="none" w:sz="0" w:space="0" w:color="auto"/>
        <w:left w:val="none" w:sz="0" w:space="0" w:color="auto"/>
        <w:bottom w:val="none" w:sz="0" w:space="0" w:color="auto"/>
        <w:right w:val="none" w:sz="0" w:space="0" w:color="auto"/>
      </w:divBdr>
    </w:div>
    <w:div w:id="278493298">
      <w:bodyDiv w:val="1"/>
      <w:marLeft w:val="0"/>
      <w:marRight w:val="0"/>
      <w:marTop w:val="0"/>
      <w:marBottom w:val="0"/>
      <w:divBdr>
        <w:top w:val="none" w:sz="0" w:space="0" w:color="auto"/>
        <w:left w:val="none" w:sz="0" w:space="0" w:color="auto"/>
        <w:bottom w:val="none" w:sz="0" w:space="0" w:color="auto"/>
        <w:right w:val="none" w:sz="0" w:space="0" w:color="auto"/>
      </w:divBdr>
    </w:div>
    <w:div w:id="279915243">
      <w:bodyDiv w:val="1"/>
      <w:marLeft w:val="0"/>
      <w:marRight w:val="0"/>
      <w:marTop w:val="0"/>
      <w:marBottom w:val="0"/>
      <w:divBdr>
        <w:top w:val="none" w:sz="0" w:space="0" w:color="auto"/>
        <w:left w:val="none" w:sz="0" w:space="0" w:color="auto"/>
        <w:bottom w:val="none" w:sz="0" w:space="0" w:color="auto"/>
        <w:right w:val="none" w:sz="0" w:space="0" w:color="auto"/>
      </w:divBdr>
    </w:div>
    <w:div w:id="280111296">
      <w:bodyDiv w:val="1"/>
      <w:marLeft w:val="0"/>
      <w:marRight w:val="0"/>
      <w:marTop w:val="0"/>
      <w:marBottom w:val="0"/>
      <w:divBdr>
        <w:top w:val="none" w:sz="0" w:space="0" w:color="auto"/>
        <w:left w:val="none" w:sz="0" w:space="0" w:color="auto"/>
        <w:bottom w:val="none" w:sz="0" w:space="0" w:color="auto"/>
        <w:right w:val="none" w:sz="0" w:space="0" w:color="auto"/>
      </w:divBdr>
    </w:div>
    <w:div w:id="282805149">
      <w:bodyDiv w:val="1"/>
      <w:marLeft w:val="0"/>
      <w:marRight w:val="0"/>
      <w:marTop w:val="0"/>
      <w:marBottom w:val="0"/>
      <w:divBdr>
        <w:top w:val="none" w:sz="0" w:space="0" w:color="auto"/>
        <w:left w:val="none" w:sz="0" w:space="0" w:color="auto"/>
        <w:bottom w:val="none" w:sz="0" w:space="0" w:color="auto"/>
        <w:right w:val="none" w:sz="0" w:space="0" w:color="auto"/>
      </w:divBdr>
    </w:div>
    <w:div w:id="284509771">
      <w:bodyDiv w:val="1"/>
      <w:marLeft w:val="0"/>
      <w:marRight w:val="0"/>
      <w:marTop w:val="0"/>
      <w:marBottom w:val="0"/>
      <w:divBdr>
        <w:top w:val="none" w:sz="0" w:space="0" w:color="auto"/>
        <w:left w:val="none" w:sz="0" w:space="0" w:color="auto"/>
        <w:bottom w:val="none" w:sz="0" w:space="0" w:color="auto"/>
        <w:right w:val="none" w:sz="0" w:space="0" w:color="auto"/>
      </w:divBdr>
    </w:div>
    <w:div w:id="285889566">
      <w:bodyDiv w:val="1"/>
      <w:marLeft w:val="0"/>
      <w:marRight w:val="0"/>
      <w:marTop w:val="0"/>
      <w:marBottom w:val="0"/>
      <w:divBdr>
        <w:top w:val="none" w:sz="0" w:space="0" w:color="auto"/>
        <w:left w:val="none" w:sz="0" w:space="0" w:color="auto"/>
        <w:bottom w:val="none" w:sz="0" w:space="0" w:color="auto"/>
        <w:right w:val="none" w:sz="0" w:space="0" w:color="auto"/>
      </w:divBdr>
    </w:div>
    <w:div w:id="286081093">
      <w:bodyDiv w:val="1"/>
      <w:marLeft w:val="0"/>
      <w:marRight w:val="0"/>
      <w:marTop w:val="0"/>
      <w:marBottom w:val="0"/>
      <w:divBdr>
        <w:top w:val="none" w:sz="0" w:space="0" w:color="auto"/>
        <w:left w:val="none" w:sz="0" w:space="0" w:color="auto"/>
        <w:bottom w:val="none" w:sz="0" w:space="0" w:color="auto"/>
        <w:right w:val="none" w:sz="0" w:space="0" w:color="auto"/>
      </w:divBdr>
    </w:div>
    <w:div w:id="287206294">
      <w:bodyDiv w:val="1"/>
      <w:marLeft w:val="0"/>
      <w:marRight w:val="0"/>
      <w:marTop w:val="0"/>
      <w:marBottom w:val="0"/>
      <w:divBdr>
        <w:top w:val="none" w:sz="0" w:space="0" w:color="auto"/>
        <w:left w:val="none" w:sz="0" w:space="0" w:color="auto"/>
        <w:bottom w:val="none" w:sz="0" w:space="0" w:color="auto"/>
        <w:right w:val="none" w:sz="0" w:space="0" w:color="auto"/>
      </w:divBdr>
    </w:div>
    <w:div w:id="287784216">
      <w:bodyDiv w:val="1"/>
      <w:marLeft w:val="0"/>
      <w:marRight w:val="0"/>
      <w:marTop w:val="0"/>
      <w:marBottom w:val="0"/>
      <w:divBdr>
        <w:top w:val="none" w:sz="0" w:space="0" w:color="auto"/>
        <w:left w:val="none" w:sz="0" w:space="0" w:color="auto"/>
        <w:bottom w:val="none" w:sz="0" w:space="0" w:color="auto"/>
        <w:right w:val="none" w:sz="0" w:space="0" w:color="auto"/>
      </w:divBdr>
    </w:div>
    <w:div w:id="288711879">
      <w:bodyDiv w:val="1"/>
      <w:marLeft w:val="0"/>
      <w:marRight w:val="0"/>
      <w:marTop w:val="0"/>
      <w:marBottom w:val="0"/>
      <w:divBdr>
        <w:top w:val="none" w:sz="0" w:space="0" w:color="auto"/>
        <w:left w:val="none" w:sz="0" w:space="0" w:color="auto"/>
        <w:bottom w:val="none" w:sz="0" w:space="0" w:color="auto"/>
        <w:right w:val="none" w:sz="0" w:space="0" w:color="auto"/>
      </w:divBdr>
    </w:div>
    <w:div w:id="288824450">
      <w:bodyDiv w:val="1"/>
      <w:marLeft w:val="0"/>
      <w:marRight w:val="0"/>
      <w:marTop w:val="0"/>
      <w:marBottom w:val="0"/>
      <w:divBdr>
        <w:top w:val="none" w:sz="0" w:space="0" w:color="auto"/>
        <w:left w:val="none" w:sz="0" w:space="0" w:color="auto"/>
        <w:bottom w:val="none" w:sz="0" w:space="0" w:color="auto"/>
        <w:right w:val="none" w:sz="0" w:space="0" w:color="auto"/>
      </w:divBdr>
    </w:div>
    <w:div w:id="289097500">
      <w:bodyDiv w:val="1"/>
      <w:marLeft w:val="0"/>
      <w:marRight w:val="0"/>
      <w:marTop w:val="0"/>
      <w:marBottom w:val="0"/>
      <w:divBdr>
        <w:top w:val="none" w:sz="0" w:space="0" w:color="auto"/>
        <w:left w:val="none" w:sz="0" w:space="0" w:color="auto"/>
        <w:bottom w:val="none" w:sz="0" w:space="0" w:color="auto"/>
        <w:right w:val="none" w:sz="0" w:space="0" w:color="auto"/>
      </w:divBdr>
    </w:div>
    <w:div w:id="289363272">
      <w:bodyDiv w:val="1"/>
      <w:marLeft w:val="0"/>
      <w:marRight w:val="0"/>
      <w:marTop w:val="0"/>
      <w:marBottom w:val="0"/>
      <w:divBdr>
        <w:top w:val="none" w:sz="0" w:space="0" w:color="auto"/>
        <w:left w:val="none" w:sz="0" w:space="0" w:color="auto"/>
        <w:bottom w:val="none" w:sz="0" w:space="0" w:color="auto"/>
        <w:right w:val="none" w:sz="0" w:space="0" w:color="auto"/>
      </w:divBdr>
    </w:div>
    <w:div w:id="289627981">
      <w:bodyDiv w:val="1"/>
      <w:marLeft w:val="0"/>
      <w:marRight w:val="0"/>
      <w:marTop w:val="0"/>
      <w:marBottom w:val="0"/>
      <w:divBdr>
        <w:top w:val="none" w:sz="0" w:space="0" w:color="auto"/>
        <w:left w:val="none" w:sz="0" w:space="0" w:color="auto"/>
        <w:bottom w:val="none" w:sz="0" w:space="0" w:color="auto"/>
        <w:right w:val="none" w:sz="0" w:space="0" w:color="auto"/>
      </w:divBdr>
    </w:div>
    <w:div w:id="290550269">
      <w:bodyDiv w:val="1"/>
      <w:marLeft w:val="0"/>
      <w:marRight w:val="0"/>
      <w:marTop w:val="0"/>
      <w:marBottom w:val="0"/>
      <w:divBdr>
        <w:top w:val="none" w:sz="0" w:space="0" w:color="auto"/>
        <w:left w:val="none" w:sz="0" w:space="0" w:color="auto"/>
        <w:bottom w:val="none" w:sz="0" w:space="0" w:color="auto"/>
        <w:right w:val="none" w:sz="0" w:space="0" w:color="auto"/>
      </w:divBdr>
    </w:div>
    <w:div w:id="291256495">
      <w:bodyDiv w:val="1"/>
      <w:marLeft w:val="0"/>
      <w:marRight w:val="0"/>
      <w:marTop w:val="0"/>
      <w:marBottom w:val="0"/>
      <w:divBdr>
        <w:top w:val="none" w:sz="0" w:space="0" w:color="auto"/>
        <w:left w:val="none" w:sz="0" w:space="0" w:color="auto"/>
        <w:bottom w:val="none" w:sz="0" w:space="0" w:color="auto"/>
        <w:right w:val="none" w:sz="0" w:space="0" w:color="auto"/>
      </w:divBdr>
    </w:div>
    <w:div w:id="292177189">
      <w:bodyDiv w:val="1"/>
      <w:marLeft w:val="0"/>
      <w:marRight w:val="0"/>
      <w:marTop w:val="0"/>
      <w:marBottom w:val="0"/>
      <w:divBdr>
        <w:top w:val="none" w:sz="0" w:space="0" w:color="auto"/>
        <w:left w:val="none" w:sz="0" w:space="0" w:color="auto"/>
        <w:bottom w:val="none" w:sz="0" w:space="0" w:color="auto"/>
        <w:right w:val="none" w:sz="0" w:space="0" w:color="auto"/>
      </w:divBdr>
    </w:div>
    <w:div w:id="293099463">
      <w:bodyDiv w:val="1"/>
      <w:marLeft w:val="0"/>
      <w:marRight w:val="0"/>
      <w:marTop w:val="0"/>
      <w:marBottom w:val="0"/>
      <w:divBdr>
        <w:top w:val="none" w:sz="0" w:space="0" w:color="auto"/>
        <w:left w:val="none" w:sz="0" w:space="0" w:color="auto"/>
        <w:bottom w:val="none" w:sz="0" w:space="0" w:color="auto"/>
        <w:right w:val="none" w:sz="0" w:space="0" w:color="auto"/>
      </w:divBdr>
    </w:div>
    <w:div w:id="293101508">
      <w:bodyDiv w:val="1"/>
      <w:marLeft w:val="0"/>
      <w:marRight w:val="0"/>
      <w:marTop w:val="0"/>
      <w:marBottom w:val="0"/>
      <w:divBdr>
        <w:top w:val="none" w:sz="0" w:space="0" w:color="auto"/>
        <w:left w:val="none" w:sz="0" w:space="0" w:color="auto"/>
        <w:bottom w:val="none" w:sz="0" w:space="0" w:color="auto"/>
        <w:right w:val="none" w:sz="0" w:space="0" w:color="auto"/>
      </w:divBdr>
    </w:div>
    <w:div w:id="293633697">
      <w:bodyDiv w:val="1"/>
      <w:marLeft w:val="0"/>
      <w:marRight w:val="0"/>
      <w:marTop w:val="0"/>
      <w:marBottom w:val="0"/>
      <w:divBdr>
        <w:top w:val="none" w:sz="0" w:space="0" w:color="auto"/>
        <w:left w:val="none" w:sz="0" w:space="0" w:color="auto"/>
        <w:bottom w:val="none" w:sz="0" w:space="0" w:color="auto"/>
        <w:right w:val="none" w:sz="0" w:space="0" w:color="auto"/>
      </w:divBdr>
    </w:div>
    <w:div w:id="296761919">
      <w:bodyDiv w:val="1"/>
      <w:marLeft w:val="0"/>
      <w:marRight w:val="0"/>
      <w:marTop w:val="0"/>
      <w:marBottom w:val="0"/>
      <w:divBdr>
        <w:top w:val="none" w:sz="0" w:space="0" w:color="auto"/>
        <w:left w:val="none" w:sz="0" w:space="0" w:color="auto"/>
        <w:bottom w:val="none" w:sz="0" w:space="0" w:color="auto"/>
        <w:right w:val="none" w:sz="0" w:space="0" w:color="auto"/>
      </w:divBdr>
    </w:div>
    <w:div w:id="296884109">
      <w:bodyDiv w:val="1"/>
      <w:marLeft w:val="0"/>
      <w:marRight w:val="0"/>
      <w:marTop w:val="0"/>
      <w:marBottom w:val="0"/>
      <w:divBdr>
        <w:top w:val="none" w:sz="0" w:space="0" w:color="auto"/>
        <w:left w:val="none" w:sz="0" w:space="0" w:color="auto"/>
        <w:bottom w:val="none" w:sz="0" w:space="0" w:color="auto"/>
        <w:right w:val="none" w:sz="0" w:space="0" w:color="auto"/>
      </w:divBdr>
    </w:div>
    <w:div w:id="297147556">
      <w:bodyDiv w:val="1"/>
      <w:marLeft w:val="0"/>
      <w:marRight w:val="0"/>
      <w:marTop w:val="0"/>
      <w:marBottom w:val="0"/>
      <w:divBdr>
        <w:top w:val="none" w:sz="0" w:space="0" w:color="auto"/>
        <w:left w:val="none" w:sz="0" w:space="0" w:color="auto"/>
        <w:bottom w:val="none" w:sz="0" w:space="0" w:color="auto"/>
        <w:right w:val="none" w:sz="0" w:space="0" w:color="auto"/>
      </w:divBdr>
    </w:div>
    <w:div w:id="297495776">
      <w:bodyDiv w:val="1"/>
      <w:marLeft w:val="0"/>
      <w:marRight w:val="0"/>
      <w:marTop w:val="0"/>
      <w:marBottom w:val="0"/>
      <w:divBdr>
        <w:top w:val="none" w:sz="0" w:space="0" w:color="auto"/>
        <w:left w:val="none" w:sz="0" w:space="0" w:color="auto"/>
        <w:bottom w:val="none" w:sz="0" w:space="0" w:color="auto"/>
        <w:right w:val="none" w:sz="0" w:space="0" w:color="auto"/>
      </w:divBdr>
    </w:div>
    <w:div w:id="297807780">
      <w:bodyDiv w:val="1"/>
      <w:marLeft w:val="0"/>
      <w:marRight w:val="0"/>
      <w:marTop w:val="0"/>
      <w:marBottom w:val="0"/>
      <w:divBdr>
        <w:top w:val="none" w:sz="0" w:space="0" w:color="auto"/>
        <w:left w:val="none" w:sz="0" w:space="0" w:color="auto"/>
        <w:bottom w:val="none" w:sz="0" w:space="0" w:color="auto"/>
        <w:right w:val="none" w:sz="0" w:space="0" w:color="auto"/>
      </w:divBdr>
    </w:div>
    <w:div w:id="299459156">
      <w:bodyDiv w:val="1"/>
      <w:marLeft w:val="0"/>
      <w:marRight w:val="0"/>
      <w:marTop w:val="0"/>
      <w:marBottom w:val="0"/>
      <w:divBdr>
        <w:top w:val="none" w:sz="0" w:space="0" w:color="auto"/>
        <w:left w:val="none" w:sz="0" w:space="0" w:color="auto"/>
        <w:bottom w:val="none" w:sz="0" w:space="0" w:color="auto"/>
        <w:right w:val="none" w:sz="0" w:space="0" w:color="auto"/>
      </w:divBdr>
    </w:div>
    <w:div w:id="299844592">
      <w:bodyDiv w:val="1"/>
      <w:marLeft w:val="0"/>
      <w:marRight w:val="0"/>
      <w:marTop w:val="0"/>
      <w:marBottom w:val="0"/>
      <w:divBdr>
        <w:top w:val="none" w:sz="0" w:space="0" w:color="auto"/>
        <w:left w:val="none" w:sz="0" w:space="0" w:color="auto"/>
        <w:bottom w:val="none" w:sz="0" w:space="0" w:color="auto"/>
        <w:right w:val="none" w:sz="0" w:space="0" w:color="auto"/>
      </w:divBdr>
    </w:div>
    <w:div w:id="299962391">
      <w:bodyDiv w:val="1"/>
      <w:marLeft w:val="0"/>
      <w:marRight w:val="0"/>
      <w:marTop w:val="0"/>
      <w:marBottom w:val="0"/>
      <w:divBdr>
        <w:top w:val="none" w:sz="0" w:space="0" w:color="auto"/>
        <w:left w:val="none" w:sz="0" w:space="0" w:color="auto"/>
        <w:bottom w:val="none" w:sz="0" w:space="0" w:color="auto"/>
        <w:right w:val="none" w:sz="0" w:space="0" w:color="auto"/>
      </w:divBdr>
    </w:div>
    <w:div w:id="301277893">
      <w:bodyDiv w:val="1"/>
      <w:marLeft w:val="0"/>
      <w:marRight w:val="0"/>
      <w:marTop w:val="0"/>
      <w:marBottom w:val="0"/>
      <w:divBdr>
        <w:top w:val="none" w:sz="0" w:space="0" w:color="auto"/>
        <w:left w:val="none" w:sz="0" w:space="0" w:color="auto"/>
        <w:bottom w:val="none" w:sz="0" w:space="0" w:color="auto"/>
        <w:right w:val="none" w:sz="0" w:space="0" w:color="auto"/>
      </w:divBdr>
    </w:div>
    <w:div w:id="301473193">
      <w:bodyDiv w:val="1"/>
      <w:marLeft w:val="0"/>
      <w:marRight w:val="0"/>
      <w:marTop w:val="0"/>
      <w:marBottom w:val="0"/>
      <w:divBdr>
        <w:top w:val="none" w:sz="0" w:space="0" w:color="auto"/>
        <w:left w:val="none" w:sz="0" w:space="0" w:color="auto"/>
        <w:bottom w:val="none" w:sz="0" w:space="0" w:color="auto"/>
        <w:right w:val="none" w:sz="0" w:space="0" w:color="auto"/>
      </w:divBdr>
    </w:div>
    <w:div w:id="301546608">
      <w:bodyDiv w:val="1"/>
      <w:marLeft w:val="0"/>
      <w:marRight w:val="0"/>
      <w:marTop w:val="0"/>
      <w:marBottom w:val="0"/>
      <w:divBdr>
        <w:top w:val="none" w:sz="0" w:space="0" w:color="auto"/>
        <w:left w:val="none" w:sz="0" w:space="0" w:color="auto"/>
        <w:bottom w:val="none" w:sz="0" w:space="0" w:color="auto"/>
        <w:right w:val="none" w:sz="0" w:space="0" w:color="auto"/>
      </w:divBdr>
    </w:div>
    <w:div w:id="302543605">
      <w:bodyDiv w:val="1"/>
      <w:marLeft w:val="0"/>
      <w:marRight w:val="0"/>
      <w:marTop w:val="0"/>
      <w:marBottom w:val="0"/>
      <w:divBdr>
        <w:top w:val="none" w:sz="0" w:space="0" w:color="auto"/>
        <w:left w:val="none" w:sz="0" w:space="0" w:color="auto"/>
        <w:bottom w:val="none" w:sz="0" w:space="0" w:color="auto"/>
        <w:right w:val="none" w:sz="0" w:space="0" w:color="auto"/>
      </w:divBdr>
    </w:div>
    <w:div w:id="306128241">
      <w:bodyDiv w:val="1"/>
      <w:marLeft w:val="0"/>
      <w:marRight w:val="0"/>
      <w:marTop w:val="0"/>
      <w:marBottom w:val="0"/>
      <w:divBdr>
        <w:top w:val="none" w:sz="0" w:space="0" w:color="auto"/>
        <w:left w:val="none" w:sz="0" w:space="0" w:color="auto"/>
        <w:bottom w:val="none" w:sz="0" w:space="0" w:color="auto"/>
        <w:right w:val="none" w:sz="0" w:space="0" w:color="auto"/>
      </w:divBdr>
    </w:div>
    <w:div w:id="306477825">
      <w:bodyDiv w:val="1"/>
      <w:marLeft w:val="0"/>
      <w:marRight w:val="0"/>
      <w:marTop w:val="0"/>
      <w:marBottom w:val="0"/>
      <w:divBdr>
        <w:top w:val="none" w:sz="0" w:space="0" w:color="auto"/>
        <w:left w:val="none" w:sz="0" w:space="0" w:color="auto"/>
        <w:bottom w:val="none" w:sz="0" w:space="0" w:color="auto"/>
        <w:right w:val="none" w:sz="0" w:space="0" w:color="auto"/>
      </w:divBdr>
    </w:div>
    <w:div w:id="306517291">
      <w:bodyDiv w:val="1"/>
      <w:marLeft w:val="0"/>
      <w:marRight w:val="0"/>
      <w:marTop w:val="0"/>
      <w:marBottom w:val="0"/>
      <w:divBdr>
        <w:top w:val="none" w:sz="0" w:space="0" w:color="auto"/>
        <w:left w:val="none" w:sz="0" w:space="0" w:color="auto"/>
        <w:bottom w:val="none" w:sz="0" w:space="0" w:color="auto"/>
        <w:right w:val="none" w:sz="0" w:space="0" w:color="auto"/>
      </w:divBdr>
    </w:div>
    <w:div w:id="306589457">
      <w:bodyDiv w:val="1"/>
      <w:marLeft w:val="0"/>
      <w:marRight w:val="0"/>
      <w:marTop w:val="0"/>
      <w:marBottom w:val="0"/>
      <w:divBdr>
        <w:top w:val="none" w:sz="0" w:space="0" w:color="auto"/>
        <w:left w:val="none" w:sz="0" w:space="0" w:color="auto"/>
        <w:bottom w:val="none" w:sz="0" w:space="0" w:color="auto"/>
        <w:right w:val="none" w:sz="0" w:space="0" w:color="auto"/>
      </w:divBdr>
    </w:div>
    <w:div w:id="306781045">
      <w:bodyDiv w:val="1"/>
      <w:marLeft w:val="0"/>
      <w:marRight w:val="0"/>
      <w:marTop w:val="0"/>
      <w:marBottom w:val="0"/>
      <w:divBdr>
        <w:top w:val="none" w:sz="0" w:space="0" w:color="auto"/>
        <w:left w:val="none" w:sz="0" w:space="0" w:color="auto"/>
        <w:bottom w:val="none" w:sz="0" w:space="0" w:color="auto"/>
        <w:right w:val="none" w:sz="0" w:space="0" w:color="auto"/>
      </w:divBdr>
    </w:div>
    <w:div w:id="306937579">
      <w:bodyDiv w:val="1"/>
      <w:marLeft w:val="0"/>
      <w:marRight w:val="0"/>
      <w:marTop w:val="0"/>
      <w:marBottom w:val="0"/>
      <w:divBdr>
        <w:top w:val="none" w:sz="0" w:space="0" w:color="auto"/>
        <w:left w:val="none" w:sz="0" w:space="0" w:color="auto"/>
        <w:bottom w:val="none" w:sz="0" w:space="0" w:color="auto"/>
        <w:right w:val="none" w:sz="0" w:space="0" w:color="auto"/>
      </w:divBdr>
    </w:div>
    <w:div w:id="307128595">
      <w:bodyDiv w:val="1"/>
      <w:marLeft w:val="0"/>
      <w:marRight w:val="0"/>
      <w:marTop w:val="0"/>
      <w:marBottom w:val="0"/>
      <w:divBdr>
        <w:top w:val="none" w:sz="0" w:space="0" w:color="auto"/>
        <w:left w:val="none" w:sz="0" w:space="0" w:color="auto"/>
        <w:bottom w:val="none" w:sz="0" w:space="0" w:color="auto"/>
        <w:right w:val="none" w:sz="0" w:space="0" w:color="auto"/>
      </w:divBdr>
    </w:div>
    <w:div w:id="309024903">
      <w:bodyDiv w:val="1"/>
      <w:marLeft w:val="0"/>
      <w:marRight w:val="0"/>
      <w:marTop w:val="0"/>
      <w:marBottom w:val="0"/>
      <w:divBdr>
        <w:top w:val="none" w:sz="0" w:space="0" w:color="auto"/>
        <w:left w:val="none" w:sz="0" w:space="0" w:color="auto"/>
        <w:bottom w:val="none" w:sz="0" w:space="0" w:color="auto"/>
        <w:right w:val="none" w:sz="0" w:space="0" w:color="auto"/>
      </w:divBdr>
    </w:div>
    <w:div w:id="310523700">
      <w:bodyDiv w:val="1"/>
      <w:marLeft w:val="0"/>
      <w:marRight w:val="0"/>
      <w:marTop w:val="0"/>
      <w:marBottom w:val="0"/>
      <w:divBdr>
        <w:top w:val="none" w:sz="0" w:space="0" w:color="auto"/>
        <w:left w:val="none" w:sz="0" w:space="0" w:color="auto"/>
        <w:bottom w:val="none" w:sz="0" w:space="0" w:color="auto"/>
        <w:right w:val="none" w:sz="0" w:space="0" w:color="auto"/>
      </w:divBdr>
    </w:div>
    <w:div w:id="311297863">
      <w:bodyDiv w:val="1"/>
      <w:marLeft w:val="0"/>
      <w:marRight w:val="0"/>
      <w:marTop w:val="0"/>
      <w:marBottom w:val="0"/>
      <w:divBdr>
        <w:top w:val="none" w:sz="0" w:space="0" w:color="auto"/>
        <w:left w:val="none" w:sz="0" w:space="0" w:color="auto"/>
        <w:bottom w:val="none" w:sz="0" w:space="0" w:color="auto"/>
        <w:right w:val="none" w:sz="0" w:space="0" w:color="auto"/>
      </w:divBdr>
    </w:div>
    <w:div w:id="312299843">
      <w:bodyDiv w:val="1"/>
      <w:marLeft w:val="0"/>
      <w:marRight w:val="0"/>
      <w:marTop w:val="0"/>
      <w:marBottom w:val="0"/>
      <w:divBdr>
        <w:top w:val="none" w:sz="0" w:space="0" w:color="auto"/>
        <w:left w:val="none" w:sz="0" w:space="0" w:color="auto"/>
        <w:bottom w:val="none" w:sz="0" w:space="0" w:color="auto"/>
        <w:right w:val="none" w:sz="0" w:space="0" w:color="auto"/>
      </w:divBdr>
    </w:div>
    <w:div w:id="312609515">
      <w:bodyDiv w:val="1"/>
      <w:marLeft w:val="0"/>
      <w:marRight w:val="0"/>
      <w:marTop w:val="0"/>
      <w:marBottom w:val="0"/>
      <w:divBdr>
        <w:top w:val="none" w:sz="0" w:space="0" w:color="auto"/>
        <w:left w:val="none" w:sz="0" w:space="0" w:color="auto"/>
        <w:bottom w:val="none" w:sz="0" w:space="0" w:color="auto"/>
        <w:right w:val="none" w:sz="0" w:space="0" w:color="auto"/>
      </w:divBdr>
    </w:div>
    <w:div w:id="313219124">
      <w:bodyDiv w:val="1"/>
      <w:marLeft w:val="0"/>
      <w:marRight w:val="0"/>
      <w:marTop w:val="0"/>
      <w:marBottom w:val="0"/>
      <w:divBdr>
        <w:top w:val="none" w:sz="0" w:space="0" w:color="auto"/>
        <w:left w:val="none" w:sz="0" w:space="0" w:color="auto"/>
        <w:bottom w:val="none" w:sz="0" w:space="0" w:color="auto"/>
        <w:right w:val="none" w:sz="0" w:space="0" w:color="auto"/>
      </w:divBdr>
    </w:div>
    <w:div w:id="313723613">
      <w:bodyDiv w:val="1"/>
      <w:marLeft w:val="0"/>
      <w:marRight w:val="0"/>
      <w:marTop w:val="0"/>
      <w:marBottom w:val="0"/>
      <w:divBdr>
        <w:top w:val="none" w:sz="0" w:space="0" w:color="auto"/>
        <w:left w:val="none" w:sz="0" w:space="0" w:color="auto"/>
        <w:bottom w:val="none" w:sz="0" w:space="0" w:color="auto"/>
        <w:right w:val="none" w:sz="0" w:space="0" w:color="auto"/>
      </w:divBdr>
    </w:div>
    <w:div w:id="314338768">
      <w:bodyDiv w:val="1"/>
      <w:marLeft w:val="0"/>
      <w:marRight w:val="0"/>
      <w:marTop w:val="0"/>
      <w:marBottom w:val="0"/>
      <w:divBdr>
        <w:top w:val="none" w:sz="0" w:space="0" w:color="auto"/>
        <w:left w:val="none" w:sz="0" w:space="0" w:color="auto"/>
        <w:bottom w:val="none" w:sz="0" w:space="0" w:color="auto"/>
        <w:right w:val="none" w:sz="0" w:space="0" w:color="auto"/>
      </w:divBdr>
    </w:div>
    <w:div w:id="318385651">
      <w:bodyDiv w:val="1"/>
      <w:marLeft w:val="0"/>
      <w:marRight w:val="0"/>
      <w:marTop w:val="0"/>
      <w:marBottom w:val="0"/>
      <w:divBdr>
        <w:top w:val="none" w:sz="0" w:space="0" w:color="auto"/>
        <w:left w:val="none" w:sz="0" w:space="0" w:color="auto"/>
        <w:bottom w:val="none" w:sz="0" w:space="0" w:color="auto"/>
        <w:right w:val="none" w:sz="0" w:space="0" w:color="auto"/>
      </w:divBdr>
    </w:div>
    <w:div w:id="318925327">
      <w:bodyDiv w:val="1"/>
      <w:marLeft w:val="0"/>
      <w:marRight w:val="0"/>
      <w:marTop w:val="0"/>
      <w:marBottom w:val="0"/>
      <w:divBdr>
        <w:top w:val="none" w:sz="0" w:space="0" w:color="auto"/>
        <w:left w:val="none" w:sz="0" w:space="0" w:color="auto"/>
        <w:bottom w:val="none" w:sz="0" w:space="0" w:color="auto"/>
        <w:right w:val="none" w:sz="0" w:space="0" w:color="auto"/>
      </w:divBdr>
    </w:div>
    <w:div w:id="318970377">
      <w:bodyDiv w:val="1"/>
      <w:marLeft w:val="0"/>
      <w:marRight w:val="0"/>
      <w:marTop w:val="0"/>
      <w:marBottom w:val="0"/>
      <w:divBdr>
        <w:top w:val="none" w:sz="0" w:space="0" w:color="auto"/>
        <w:left w:val="none" w:sz="0" w:space="0" w:color="auto"/>
        <w:bottom w:val="none" w:sz="0" w:space="0" w:color="auto"/>
        <w:right w:val="none" w:sz="0" w:space="0" w:color="auto"/>
      </w:divBdr>
    </w:div>
    <w:div w:id="319388314">
      <w:bodyDiv w:val="1"/>
      <w:marLeft w:val="0"/>
      <w:marRight w:val="0"/>
      <w:marTop w:val="0"/>
      <w:marBottom w:val="0"/>
      <w:divBdr>
        <w:top w:val="none" w:sz="0" w:space="0" w:color="auto"/>
        <w:left w:val="none" w:sz="0" w:space="0" w:color="auto"/>
        <w:bottom w:val="none" w:sz="0" w:space="0" w:color="auto"/>
        <w:right w:val="none" w:sz="0" w:space="0" w:color="auto"/>
      </w:divBdr>
    </w:div>
    <w:div w:id="319584118">
      <w:bodyDiv w:val="1"/>
      <w:marLeft w:val="0"/>
      <w:marRight w:val="0"/>
      <w:marTop w:val="0"/>
      <w:marBottom w:val="0"/>
      <w:divBdr>
        <w:top w:val="none" w:sz="0" w:space="0" w:color="auto"/>
        <w:left w:val="none" w:sz="0" w:space="0" w:color="auto"/>
        <w:bottom w:val="none" w:sz="0" w:space="0" w:color="auto"/>
        <w:right w:val="none" w:sz="0" w:space="0" w:color="auto"/>
      </w:divBdr>
    </w:div>
    <w:div w:id="320040268">
      <w:bodyDiv w:val="1"/>
      <w:marLeft w:val="0"/>
      <w:marRight w:val="0"/>
      <w:marTop w:val="0"/>
      <w:marBottom w:val="0"/>
      <w:divBdr>
        <w:top w:val="none" w:sz="0" w:space="0" w:color="auto"/>
        <w:left w:val="none" w:sz="0" w:space="0" w:color="auto"/>
        <w:bottom w:val="none" w:sz="0" w:space="0" w:color="auto"/>
        <w:right w:val="none" w:sz="0" w:space="0" w:color="auto"/>
      </w:divBdr>
    </w:div>
    <w:div w:id="320160777">
      <w:bodyDiv w:val="1"/>
      <w:marLeft w:val="0"/>
      <w:marRight w:val="0"/>
      <w:marTop w:val="0"/>
      <w:marBottom w:val="0"/>
      <w:divBdr>
        <w:top w:val="none" w:sz="0" w:space="0" w:color="auto"/>
        <w:left w:val="none" w:sz="0" w:space="0" w:color="auto"/>
        <w:bottom w:val="none" w:sz="0" w:space="0" w:color="auto"/>
        <w:right w:val="none" w:sz="0" w:space="0" w:color="auto"/>
      </w:divBdr>
    </w:div>
    <w:div w:id="320357619">
      <w:bodyDiv w:val="1"/>
      <w:marLeft w:val="0"/>
      <w:marRight w:val="0"/>
      <w:marTop w:val="0"/>
      <w:marBottom w:val="0"/>
      <w:divBdr>
        <w:top w:val="none" w:sz="0" w:space="0" w:color="auto"/>
        <w:left w:val="none" w:sz="0" w:space="0" w:color="auto"/>
        <w:bottom w:val="none" w:sz="0" w:space="0" w:color="auto"/>
        <w:right w:val="none" w:sz="0" w:space="0" w:color="auto"/>
      </w:divBdr>
    </w:div>
    <w:div w:id="321392225">
      <w:bodyDiv w:val="1"/>
      <w:marLeft w:val="0"/>
      <w:marRight w:val="0"/>
      <w:marTop w:val="0"/>
      <w:marBottom w:val="0"/>
      <w:divBdr>
        <w:top w:val="none" w:sz="0" w:space="0" w:color="auto"/>
        <w:left w:val="none" w:sz="0" w:space="0" w:color="auto"/>
        <w:bottom w:val="none" w:sz="0" w:space="0" w:color="auto"/>
        <w:right w:val="none" w:sz="0" w:space="0" w:color="auto"/>
      </w:divBdr>
    </w:div>
    <w:div w:id="322584850">
      <w:bodyDiv w:val="1"/>
      <w:marLeft w:val="0"/>
      <w:marRight w:val="0"/>
      <w:marTop w:val="0"/>
      <w:marBottom w:val="0"/>
      <w:divBdr>
        <w:top w:val="none" w:sz="0" w:space="0" w:color="auto"/>
        <w:left w:val="none" w:sz="0" w:space="0" w:color="auto"/>
        <w:bottom w:val="none" w:sz="0" w:space="0" w:color="auto"/>
        <w:right w:val="none" w:sz="0" w:space="0" w:color="auto"/>
      </w:divBdr>
    </w:div>
    <w:div w:id="322591893">
      <w:bodyDiv w:val="1"/>
      <w:marLeft w:val="0"/>
      <w:marRight w:val="0"/>
      <w:marTop w:val="0"/>
      <w:marBottom w:val="0"/>
      <w:divBdr>
        <w:top w:val="none" w:sz="0" w:space="0" w:color="auto"/>
        <w:left w:val="none" w:sz="0" w:space="0" w:color="auto"/>
        <w:bottom w:val="none" w:sz="0" w:space="0" w:color="auto"/>
        <w:right w:val="none" w:sz="0" w:space="0" w:color="auto"/>
      </w:divBdr>
    </w:div>
    <w:div w:id="322658675">
      <w:bodyDiv w:val="1"/>
      <w:marLeft w:val="0"/>
      <w:marRight w:val="0"/>
      <w:marTop w:val="0"/>
      <w:marBottom w:val="0"/>
      <w:divBdr>
        <w:top w:val="none" w:sz="0" w:space="0" w:color="auto"/>
        <w:left w:val="none" w:sz="0" w:space="0" w:color="auto"/>
        <w:bottom w:val="none" w:sz="0" w:space="0" w:color="auto"/>
        <w:right w:val="none" w:sz="0" w:space="0" w:color="auto"/>
      </w:divBdr>
    </w:div>
    <w:div w:id="323163551">
      <w:bodyDiv w:val="1"/>
      <w:marLeft w:val="0"/>
      <w:marRight w:val="0"/>
      <w:marTop w:val="0"/>
      <w:marBottom w:val="0"/>
      <w:divBdr>
        <w:top w:val="none" w:sz="0" w:space="0" w:color="auto"/>
        <w:left w:val="none" w:sz="0" w:space="0" w:color="auto"/>
        <w:bottom w:val="none" w:sz="0" w:space="0" w:color="auto"/>
        <w:right w:val="none" w:sz="0" w:space="0" w:color="auto"/>
      </w:divBdr>
    </w:div>
    <w:div w:id="323362182">
      <w:bodyDiv w:val="1"/>
      <w:marLeft w:val="0"/>
      <w:marRight w:val="0"/>
      <w:marTop w:val="0"/>
      <w:marBottom w:val="0"/>
      <w:divBdr>
        <w:top w:val="none" w:sz="0" w:space="0" w:color="auto"/>
        <w:left w:val="none" w:sz="0" w:space="0" w:color="auto"/>
        <w:bottom w:val="none" w:sz="0" w:space="0" w:color="auto"/>
        <w:right w:val="none" w:sz="0" w:space="0" w:color="auto"/>
      </w:divBdr>
    </w:div>
    <w:div w:id="323556220">
      <w:bodyDiv w:val="1"/>
      <w:marLeft w:val="0"/>
      <w:marRight w:val="0"/>
      <w:marTop w:val="0"/>
      <w:marBottom w:val="0"/>
      <w:divBdr>
        <w:top w:val="none" w:sz="0" w:space="0" w:color="auto"/>
        <w:left w:val="none" w:sz="0" w:space="0" w:color="auto"/>
        <w:bottom w:val="none" w:sz="0" w:space="0" w:color="auto"/>
        <w:right w:val="none" w:sz="0" w:space="0" w:color="auto"/>
      </w:divBdr>
    </w:div>
    <w:div w:id="323748845">
      <w:bodyDiv w:val="1"/>
      <w:marLeft w:val="0"/>
      <w:marRight w:val="0"/>
      <w:marTop w:val="0"/>
      <w:marBottom w:val="0"/>
      <w:divBdr>
        <w:top w:val="none" w:sz="0" w:space="0" w:color="auto"/>
        <w:left w:val="none" w:sz="0" w:space="0" w:color="auto"/>
        <w:bottom w:val="none" w:sz="0" w:space="0" w:color="auto"/>
        <w:right w:val="none" w:sz="0" w:space="0" w:color="auto"/>
      </w:divBdr>
    </w:div>
    <w:div w:id="323778040">
      <w:bodyDiv w:val="1"/>
      <w:marLeft w:val="0"/>
      <w:marRight w:val="0"/>
      <w:marTop w:val="0"/>
      <w:marBottom w:val="0"/>
      <w:divBdr>
        <w:top w:val="none" w:sz="0" w:space="0" w:color="auto"/>
        <w:left w:val="none" w:sz="0" w:space="0" w:color="auto"/>
        <w:bottom w:val="none" w:sz="0" w:space="0" w:color="auto"/>
        <w:right w:val="none" w:sz="0" w:space="0" w:color="auto"/>
      </w:divBdr>
    </w:div>
    <w:div w:id="324482279">
      <w:bodyDiv w:val="1"/>
      <w:marLeft w:val="0"/>
      <w:marRight w:val="0"/>
      <w:marTop w:val="0"/>
      <w:marBottom w:val="0"/>
      <w:divBdr>
        <w:top w:val="none" w:sz="0" w:space="0" w:color="auto"/>
        <w:left w:val="none" w:sz="0" w:space="0" w:color="auto"/>
        <w:bottom w:val="none" w:sz="0" w:space="0" w:color="auto"/>
        <w:right w:val="none" w:sz="0" w:space="0" w:color="auto"/>
      </w:divBdr>
    </w:div>
    <w:div w:id="327248396">
      <w:bodyDiv w:val="1"/>
      <w:marLeft w:val="0"/>
      <w:marRight w:val="0"/>
      <w:marTop w:val="0"/>
      <w:marBottom w:val="0"/>
      <w:divBdr>
        <w:top w:val="none" w:sz="0" w:space="0" w:color="auto"/>
        <w:left w:val="none" w:sz="0" w:space="0" w:color="auto"/>
        <w:bottom w:val="none" w:sz="0" w:space="0" w:color="auto"/>
        <w:right w:val="none" w:sz="0" w:space="0" w:color="auto"/>
      </w:divBdr>
    </w:div>
    <w:div w:id="327556524">
      <w:bodyDiv w:val="1"/>
      <w:marLeft w:val="0"/>
      <w:marRight w:val="0"/>
      <w:marTop w:val="0"/>
      <w:marBottom w:val="0"/>
      <w:divBdr>
        <w:top w:val="none" w:sz="0" w:space="0" w:color="auto"/>
        <w:left w:val="none" w:sz="0" w:space="0" w:color="auto"/>
        <w:bottom w:val="none" w:sz="0" w:space="0" w:color="auto"/>
        <w:right w:val="none" w:sz="0" w:space="0" w:color="auto"/>
      </w:divBdr>
    </w:div>
    <w:div w:id="327711702">
      <w:bodyDiv w:val="1"/>
      <w:marLeft w:val="0"/>
      <w:marRight w:val="0"/>
      <w:marTop w:val="0"/>
      <w:marBottom w:val="0"/>
      <w:divBdr>
        <w:top w:val="none" w:sz="0" w:space="0" w:color="auto"/>
        <w:left w:val="none" w:sz="0" w:space="0" w:color="auto"/>
        <w:bottom w:val="none" w:sz="0" w:space="0" w:color="auto"/>
        <w:right w:val="none" w:sz="0" w:space="0" w:color="auto"/>
      </w:divBdr>
    </w:div>
    <w:div w:id="328794276">
      <w:bodyDiv w:val="1"/>
      <w:marLeft w:val="0"/>
      <w:marRight w:val="0"/>
      <w:marTop w:val="0"/>
      <w:marBottom w:val="0"/>
      <w:divBdr>
        <w:top w:val="none" w:sz="0" w:space="0" w:color="auto"/>
        <w:left w:val="none" w:sz="0" w:space="0" w:color="auto"/>
        <w:bottom w:val="none" w:sz="0" w:space="0" w:color="auto"/>
        <w:right w:val="none" w:sz="0" w:space="0" w:color="auto"/>
      </w:divBdr>
    </w:div>
    <w:div w:id="328876095">
      <w:bodyDiv w:val="1"/>
      <w:marLeft w:val="0"/>
      <w:marRight w:val="0"/>
      <w:marTop w:val="0"/>
      <w:marBottom w:val="0"/>
      <w:divBdr>
        <w:top w:val="none" w:sz="0" w:space="0" w:color="auto"/>
        <w:left w:val="none" w:sz="0" w:space="0" w:color="auto"/>
        <w:bottom w:val="none" w:sz="0" w:space="0" w:color="auto"/>
        <w:right w:val="none" w:sz="0" w:space="0" w:color="auto"/>
      </w:divBdr>
    </w:div>
    <w:div w:id="329723606">
      <w:bodyDiv w:val="1"/>
      <w:marLeft w:val="0"/>
      <w:marRight w:val="0"/>
      <w:marTop w:val="0"/>
      <w:marBottom w:val="0"/>
      <w:divBdr>
        <w:top w:val="none" w:sz="0" w:space="0" w:color="auto"/>
        <w:left w:val="none" w:sz="0" w:space="0" w:color="auto"/>
        <w:bottom w:val="none" w:sz="0" w:space="0" w:color="auto"/>
        <w:right w:val="none" w:sz="0" w:space="0" w:color="auto"/>
      </w:divBdr>
    </w:div>
    <w:div w:id="330329426">
      <w:bodyDiv w:val="1"/>
      <w:marLeft w:val="0"/>
      <w:marRight w:val="0"/>
      <w:marTop w:val="0"/>
      <w:marBottom w:val="0"/>
      <w:divBdr>
        <w:top w:val="none" w:sz="0" w:space="0" w:color="auto"/>
        <w:left w:val="none" w:sz="0" w:space="0" w:color="auto"/>
        <w:bottom w:val="none" w:sz="0" w:space="0" w:color="auto"/>
        <w:right w:val="none" w:sz="0" w:space="0" w:color="auto"/>
      </w:divBdr>
    </w:div>
    <w:div w:id="330523147">
      <w:bodyDiv w:val="1"/>
      <w:marLeft w:val="0"/>
      <w:marRight w:val="0"/>
      <w:marTop w:val="0"/>
      <w:marBottom w:val="0"/>
      <w:divBdr>
        <w:top w:val="none" w:sz="0" w:space="0" w:color="auto"/>
        <w:left w:val="none" w:sz="0" w:space="0" w:color="auto"/>
        <w:bottom w:val="none" w:sz="0" w:space="0" w:color="auto"/>
        <w:right w:val="none" w:sz="0" w:space="0" w:color="auto"/>
      </w:divBdr>
    </w:div>
    <w:div w:id="331107842">
      <w:bodyDiv w:val="1"/>
      <w:marLeft w:val="0"/>
      <w:marRight w:val="0"/>
      <w:marTop w:val="0"/>
      <w:marBottom w:val="0"/>
      <w:divBdr>
        <w:top w:val="none" w:sz="0" w:space="0" w:color="auto"/>
        <w:left w:val="none" w:sz="0" w:space="0" w:color="auto"/>
        <w:bottom w:val="none" w:sz="0" w:space="0" w:color="auto"/>
        <w:right w:val="none" w:sz="0" w:space="0" w:color="auto"/>
      </w:divBdr>
    </w:div>
    <w:div w:id="332758350">
      <w:bodyDiv w:val="1"/>
      <w:marLeft w:val="0"/>
      <w:marRight w:val="0"/>
      <w:marTop w:val="0"/>
      <w:marBottom w:val="0"/>
      <w:divBdr>
        <w:top w:val="none" w:sz="0" w:space="0" w:color="auto"/>
        <w:left w:val="none" w:sz="0" w:space="0" w:color="auto"/>
        <w:bottom w:val="none" w:sz="0" w:space="0" w:color="auto"/>
        <w:right w:val="none" w:sz="0" w:space="0" w:color="auto"/>
      </w:divBdr>
    </w:div>
    <w:div w:id="332996014">
      <w:bodyDiv w:val="1"/>
      <w:marLeft w:val="0"/>
      <w:marRight w:val="0"/>
      <w:marTop w:val="0"/>
      <w:marBottom w:val="0"/>
      <w:divBdr>
        <w:top w:val="none" w:sz="0" w:space="0" w:color="auto"/>
        <w:left w:val="none" w:sz="0" w:space="0" w:color="auto"/>
        <w:bottom w:val="none" w:sz="0" w:space="0" w:color="auto"/>
        <w:right w:val="none" w:sz="0" w:space="0" w:color="auto"/>
      </w:divBdr>
    </w:div>
    <w:div w:id="333152094">
      <w:bodyDiv w:val="1"/>
      <w:marLeft w:val="0"/>
      <w:marRight w:val="0"/>
      <w:marTop w:val="0"/>
      <w:marBottom w:val="0"/>
      <w:divBdr>
        <w:top w:val="none" w:sz="0" w:space="0" w:color="auto"/>
        <w:left w:val="none" w:sz="0" w:space="0" w:color="auto"/>
        <w:bottom w:val="none" w:sz="0" w:space="0" w:color="auto"/>
        <w:right w:val="none" w:sz="0" w:space="0" w:color="auto"/>
      </w:divBdr>
    </w:div>
    <w:div w:id="333462586">
      <w:bodyDiv w:val="1"/>
      <w:marLeft w:val="0"/>
      <w:marRight w:val="0"/>
      <w:marTop w:val="0"/>
      <w:marBottom w:val="0"/>
      <w:divBdr>
        <w:top w:val="none" w:sz="0" w:space="0" w:color="auto"/>
        <w:left w:val="none" w:sz="0" w:space="0" w:color="auto"/>
        <w:bottom w:val="none" w:sz="0" w:space="0" w:color="auto"/>
        <w:right w:val="none" w:sz="0" w:space="0" w:color="auto"/>
      </w:divBdr>
    </w:div>
    <w:div w:id="333922136">
      <w:bodyDiv w:val="1"/>
      <w:marLeft w:val="0"/>
      <w:marRight w:val="0"/>
      <w:marTop w:val="0"/>
      <w:marBottom w:val="0"/>
      <w:divBdr>
        <w:top w:val="none" w:sz="0" w:space="0" w:color="auto"/>
        <w:left w:val="none" w:sz="0" w:space="0" w:color="auto"/>
        <w:bottom w:val="none" w:sz="0" w:space="0" w:color="auto"/>
        <w:right w:val="none" w:sz="0" w:space="0" w:color="auto"/>
      </w:divBdr>
    </w:div>
    <w:div w:id="335303836">
      <w:bodyDiv w:val="1"/>
      <w:marLeft w:val="0"/>
      <w:marRight w:val="0"/>
      <w:marTop w:val="0"/>
      <w:marBottom w:val="0"/>
      <w:divBdr>
        <w:top w:val="none" w:sz="0" w:space="0" w:color="auto"/>
        <w:left w:val="none" w:sz="0" w:space="0" w:color="auto"/>
        <w:bottom w:val="none" w:sz="0" w:space="0" w:color="auto"/>
        <w:right w:val="none" w:sz="0" w:space="0" w:color="auto"/>
      </w:divBdr>
    </w:div>
    <w:div w:id="335348313">
      <w:bodyDiv w:val="1"/>
      <w:marLeft w:val="0"/>
      <w:marRight w:val="0"/>
      <w:marTop w:val="0"/>
      <w:marBottom w:val="0"/>
      <w:divBdr>
        <w:top w:val="none" w:sz="0" w:space="0" w:color="auto"/>
        <w:left w:val="none" w:sz="0" w:space="0" w:color="auto"/>
        <w:bottom w:val="none" w:sz="0" w:space="0" w:color="auto"/>
        <w:right w:val="none" w:sz="0" w:space="0" w:color="auto"/>
      </w:divBdr>
    </w:div>
    <w:div w:id="335426550">
      <w:bodyDiv w:val="1"/>
      <w:marLeft w:val="0"/>
      <w:marRight w:val="0"/>
      <w:marTop w:val="0"/>
      <w:marBottom w:val="0"/>
      <w:divBdr>
        <w:top w:val="none" w:sz="0" w:space="0" w:color="auto"/>
        <w:left w:val="none" w:sz="0" w:space="0" w:color="auto"/>
        <w:bottom w:val="none" w:sz="0" w:space="0" w:color="auto"/>
        <w:right w:val="none" w:sz="0" w:space="0" w:color="auto"/>
      </w:divBdr>
    </w:div>
    <w:div w:id="335962305">
      <w:bodyDiv w:val="1"/>
      <w:marLeft w:val="0"/>
      <w:marRight w:val="0"/>
      <w:marTop w:val="0"/>
      <w:marBottom w:val="0"/>
      <w:divBdr>
        <w:top w:val="none" w:sz="0" w:space="0" w:color="auto"/>
        <w:left w:val="none" w:sz="0" w:space="0" w:color="auto"/>
        <w:bottom w:val="none" w:sz="0" w:space="0" w:color="auto"/>
        <w:right w:val="none" w:sz="0" w:space="0" w:color="auto"/>
      </w:divBdr>
    </w:div>
    <w:div w:id="336007109">
      <w:bodyDiv w:val="1"/>
      <w:marLeft w:val="0"/>
      <w:marRight w:val="0"/>
      <w:marTop w:val="0"/>
      <w:marBottom w:val="0"/>
      <w:divBdr>
        <w:top w:val="none" w:sz="0" w:space="0" w:color="auto"/>
        <w:left w:val="none" w:sz="0" w:space="0" w:color="auto"/>
        <w:bottom w:val="none" w:sz="0" w:space="0" w:color="auto"/>
        <w:right w:val="none" w:sz="0" w:space="0" w:color="auto"/>
      </w:divBdr>
    </w:div>
    <w:div w:id="336077302">
      <w:bodyDiv w:val="1"/>
      <w:marLeft w:val="0"/>
      <w:marRight w:val="0"/>
      <w:marTop w:val="0"/>
      <w:marBottom w:val="0"/>
      <w:divBdr>
        <w:top w:val="none" w:sz="0" w:space="0" w:color="auto"/>
        <w:left w:val="none" w:sz="0" w:space="0" w:color="auto"/>
        <w:bottom w:val="none" w:sz="0" w:space="0" w:color="auto"/>
        <w:right w:val="none" w:sz="0" w:space="0" w:color="auto"/>
      </w:divBdr>
    </w:div>
    <w:div w:id="336080065">
      <w:bodyDiv w:val="1"/>
      <w:marLeft w:val="0"/>
      <w:marRight w:val="0"/>
      <w:marTop w:val="0"/>
      <w:marBottom w:val="0"/>
      <w:divBdr>
        <w:top w:val="none" w:sz="0" w:space="0" w:color="auto"/>
        <w:left w:val="none" w:sz="0" w:space="0" w:color="auto"/>
        <w:bottom w:val="none" w:sz="0" w:space="0" w:color="auto"/>
        <w:right w:val="none" w:sz="0" w:space="0" w:color="auto"/>
      </w:divBdr>
    </w:div>
    <w:div w:id="336271356">
      <w:bodyDiv w:val="1"/>
      <w:marLeft w:val="0"/>
      <w:marRight w:val="0"/>
      <w:marTop w:val="0"/>
      <w:marBottom w:val="0"/>
      <w:divBdr>
        <w:top w:val="none" w:sz="0" w:space="0" w:color="auto"/>
        <w:left w:val="none" w:sz="0" w:space="0" w:color="auto"/>
        <w:bottom w:val="none" w:sz="0" w:space="0" w:color="auto"/>
        <w:right w:val="none" w:sz="0" w:space="0" w:color="auto"/>
      </w:divBdr>
    </w:div>
    <w:div w:id="339283270">
      <w:bodyDiv w:val="1"/>
      <w:marLeft w:val="0"/>
      <w:marRight w:val="0"/>
      <w:marTop w:val="0"/>
      <w:marBottom w:val="0"/>
      <w:divBdr>
        <w:top w:val="none" w:sz="0" w:space="0" w:color="auto"/>
        <w:left w:val="none" w:sz="0" w:space="0" w:color="auto"/>
        <w:bottom w:val="none" w:sz="0" w:space="0" w:color="auto"/>
        <w:right w:val="none" w:sz="0" w:space="0" w:color="auto"/>
      </w:divBdr>
    </w:div>
    <w:div w:id="339898122">
      <w:bodyDiv w:val="1"/>
      <w:marLeft w:val="0"/>
      <w:marRight w:val="0"/>
      <w:marTop w:val="0"/>
      <w:marBottom w:val="0"/>
      <w:divBdr>
        <w:top w:val="none" w:sz="0" w:space="0" w:color="auto"/>
        <w:left w:val="none" w:sz="0" w:space="0" w:color="auto"/>
        <w:bottom w:val="none" w:sz="0" w:space="0" w:color="auto"/>
        <w:right w:val="none" w:sz="0" w:space="0" w:color="auto"/>
      </w:divBdr>
    </w:div>
    <w:div w:id="341861733">
      <w:bodyDiv w:val="1"/>
      <w:marLeft w:val="0"/>
      <w:marRight w:val="0"/>
      <w:marTop w:val="0"/>
      <w:marBottom w:val="0"/>
      <w:divBdr>
        <w:top w:val="none" w:sz="0" w:space="0" w:color="auto"/>
        <w:left w:val="none" w:sz="0" w:space="0" w:color="auto"/>
        <w:bottom w:val="none" w:sz="0" w:space="0" w:color="auto"/>
        <w:right w:val="none" w:sz="0" w:space="0" w:color="auto"/>
      </w:divBdr>
    </w:div>
    <w:div w:id="342634151">
      <w:bodyDiv w:val="1"/>
      <w:marLeft w:val="0"/>
      <w:marRight w:val="0"/>
      <w:marTop w:val="0"/>
      <w:marBottom w:val="0"/>
      <w:divBdr>
        <w:top w:val="none" w:sz="0" w:space="0" w:color="auto"/>
        <w:left w:val="none" w:sz="0" w:space="0" w:color="auto"/>
        <w:bottom w:val="none" w:sz="0" w:space="0" w:color="auto"/>
        <w:right w:val="none" w:sz="0" w:space="0" w:color="auto"/>
      </w:divBdr>
    </w:div>
    <w:div w:id="343678285">
      <w:bodyDiv w:val="1"/>
      <w:marLeft w:val="0"/>
      <w:marRight w:val="0"/>
      <w:marTop w:val="0"/>
      <w:marBottom w:val="0"/>
      <w:divBdr>
        <w:top w:val="none" w:sz="0" w:space="0" w:color="auto"/>
        <w:left w:val="none" w:sz="0" w:space="0" w:color="auto"/>
        <w:bottom w:val="none" w:sz="0" w:space="0" w:color="auto"/>
        <w:right w:val="none" w:sz="0" w:space="0" w:color="auto"/>
      </w:divBdr>
    </w:div>
    <w:div w:id="344524928">
      <w:bodyDiv w:val="1"/>
      <w:marLeft w:val="0"/>
      <w:marRight w:val="0"/>
      <w:marTop w:val="0"/>
      <w:marBottom w:val="0"/>
      <w:divBdr>
        <w:top w:val="none" w:sz="0" w:space="0" w:color="auto"/>
        <w:left w:val="none" w:sz="0" w:space="0" w:color="auto"/>
        <w:bottom w:val="none" w:sz="0" w:space="0" w:color="auto"/>
        <w:right w:val="none" w:sz="0" w:space="0" w:color="auto"/>
      </w:divBdr>
    </w:div>
    <w:div w:id="345055945">
      <w:bodyDiv w:val="1"/>
      <w:marLeft w:val="0"/>
      <w:marRight w:val="0"/>
      <w:marTop w:val="0"/>
      <w:marBottom w:val="0"/>
      <w:divBdr>
        <w:top w:val="none" w:sz="0" w:space="0" w:color="auto"/>
        <w:left w:val="none" w:sz="0" w:space="0" w:color="auto"/>
        <w:bottom w:val="none" w:sz="0" w:space="0" w:color="auto"/>
        <w:right w:val="none" w:sz="0" w:space="0" w:color="auto"/>
      </w:divBdr>
    </w:div>
    <w:div w:id="345059309">
      <w:bodyDiv w:val="1"/>
      <w:marLeft w:val="0"/>
      <w:marRight w:val="0"/>
      <w:marTop w:val="0"/>
      <w:marBottom w:val="0"/>
      <w:divBdr>
        <w:top w:val="none" w:sz="0" w:space="0" w:color="auto"/>
        <w:left w:val="none" w:sz="0" w:space="0" w:color="auto"/>
        <w:bottom w:val="none" w:sz="0" w:space="0" w:color="auto"/>
        <w:right w:val="none" w:sz="0" w:space="0" w:color="auto"/>
      </w:divBdr>
    </w:div>
    <w:div w:id="346560843">
      <w:bodyDiv w:val="1"/>
      <w:marLeft w:val="0"/>
      <w:marRight w:val="0"/>
      <w:marTop w:val="0"/>
      <w:marBottom w:val="0"/>
      <w:divBdr>
        <w:top w:val="none" w:sz="0" w:space="0" w:color="auto"/>
        <w:left w:val="none" w:sz="0" w:space="0" w:color="auto"/>
        <w:bottom w:val="none" w:sz="0" w:space="0" w:color="auto"/>
        <w:right w:val="none" w:sz="0" w:space="0" w:color="auto"/>
      </w:divBdr>
    </w:div>
    <w:div w:id="346759922">
      <w:bodyDiv w:val="1"/>
      <w:marLeft w:val="0"/>
      <w:marRight w:val="0"/>
      <w:marTop w:val="0"/>
      <w:marBottom w:val="0"/>
      <w:divBdr>
        <w:top w:val="none" w:sz="0" w:space="0" w:color="auto"/>
        <w:left w:val="none" w:sz="0" w:space="0" w:color="auto"/>
        <w:bottom w:val="none" w:sz="0" w:space="0" w:color="auto"/>
        <w:right w:val="none" w:sz="0" w:space="0" w:color="auto"/>
      </w:divBdr>
    </w:div>
    <w:div w:id="346905727">
      <w:bodyDiv w:val="1"/>
      <w:marLeft w:val="0"/>
      <w:marRight w:val="0"/>
      <w:marTop w:val="0"/>
      <w:marBottom w:val="0"/>
      <w:divBdr>
        <w:top w:val="none" w:sz="0" w:space="0" w:color="auto"/>
        <w:left w:val="none" w:sz="0" w:space="0" w:color="auto"/>
        <w:bottom w:val="none" w:sz="0" w:space="0" w:color="auto"/>
        <w:right w:val="none" w:sz="0" w:space="0" w:color="auto"/>
      </w:divBdr>
    </w:div>
    <w:div w:id="347634303">
      <w:bodyDiv w:val="1"/>
      <w:marLeft w:val="0"/>
      <w:marRight w:val="0"/>
      <w:marTop w:val="0"/>
      <w:marBottom w:val="0"/>
      <w:divBdr>
        <w:top w:val="none" w:sz="0" w:space="0" w:color="auto"/>
        <w:left w:val="none" w:sz="0" w:space="0" w:color="auto"/>
        <w:bottom w:val="none" w:sz="0" w:space="0" w:color="auto"/>
        <w:right w:val="none" w:sz="0" w:space="0" w:color="auto"/>
      </w:divBdr>
    </w:div>
    <w:div w:id="349139991">
      <w:bodyDiv w:val="1"/>
      <w:marLeft w:val="0"/>
      <w:marRight w:val="0"/>
      <w:marTop w:val="0"/>
      <w:marBottom w:val="0"/>
      <w:divBdr>
        <w:top w:val="none" w:sz="0" w:space="0" w:color="auto"/>
        <w:left w:val="none" w:sz="0" w:space="0" w:color="auto"/>
        <w:bottom w:val="none" w:sz="0" w:space="0" w:color="auto"/>
        <w:right w:val="none" w:sz="0" w:space="0" w:color="auto"/>
      </w:divBdr>
    </w:div>
    <w:div w:id="349721629">
      <w:bodyDiv w:val="1"/>
      <w:marLeft w:val="0"/>
      <w:marRight w:val="0"/>
      <w:marTop w:val="0"/>
      <w:marBottom w:val="0"/>
      <w:divBdr>
        <w:top w:val="none" w:sz="0" w:space="0" w:color="auto"/>
        <w:left w:val="none" w:sz="0" w:space="0" w:color="auto"/>
        <w:bottom w:val="none" w:sz="0" w:space="0" w:color="auto"/>
        <w:right w:val="none" w:sz="0" w:space="0" w:color="auto"/>
      </w:divBdr>
    </w:div>
    <w:div w:id="350498614">
      <w:bodyDiv w:val="1"/>
      <w:marLeft w:val="0"/>
      <w:marRight w:val="0"/>
      <w:marTop w:val="0"/>
      <w:marBottom w:val="0"/>
      <w:divBdr>
        <w:top w:val="none" w:sz="0" w:space="0" w:color="auto"/>
        <w:left w:val="none" w:sz="0" w:space="0" w:color="auto"/>
        <w:bottom w:val="none" w:sz="0" w:space="0" w:color="auto"/>
        <w:right w:val="none" w:sz="0" w:space="0" w:color="auto"/>
      </w:divBdr>
    </w:div>
    <w:div w:id="353313300">
      <w:bodyDiv w:val="1"/>
      <w:marLeft w:val="0"/>
      <w:marRight w:val="0"/>
      <w:marTop w:val="0"/>
      <w:marBottom w:val="0"/>
      <w:divBdr>
        <w:top w:val="none" w:sz="0" w:space="0" w:color="auto"/>
        <w:left w:val="none" w:sz="0" w:space="0" w:color="auto"/>
        <w:bottom w:val="none" w:sz="0" w:space="0" w:color="auto"/>
        <w:right w:val="none" w:sz="0" w:space="0" w:color="auto"/>
      </w:divBdr>
    </w:div>
    <w:div w:id="354039369">
      <w:bodyDiv w:val="1"/>
      <w:marLeft w:val="0"/>
      <w:marRight w:val="0"/>
      <w:marTop w:val="0"/>
      <w:marBottom w:val="0"/>
      <w:divBdr>
        <w:top w:val="none" w:sz="0" w:space="0" w:color="auto"/>
        <w:left w:val="none" w:sz="0" w:space="0" w:color="auto"/>
        <w:bottom w:val="none" w:sz="0" w:space="0" w:color="auto"/>
        <w:right w:val="none" w:sz="0" w:space="0" w:color="auto"/>
      </w:divBdr>
    </w:div>
    <w:div w:id="354775937">
      <w:bodyDiv w:val="1"/>
      <w:marLeft w:val="0"/>
      <w:marRight w:val="0"/>
      <w:marTop w:val="0"/>
      <w:marBottom w:val="0"/>
      <w:divBdr>
        <w:top w:val="none" w:sz="0" w:space="0" w:color="auto"/>
        <w:left w:val="none" w:sz="0" w:space="0" w:color="auto"/>
        <w:bottom w:val="none" w:sz="0" w:space="0" w:color="auto"/>
        <w:right w:val="none" w:sz="0" w:space="0" w:color="auto"/>
      </w:divBdr>
    </w:div>
    <w:div w:id="354814331">
      <w:bodyDiv w:val="1"/>
      <w:marLeft w:val="0"/>
      <w:marRight w:val="0"/>
      <w:marTop w:val="0"/>
      <w:marBottom w:val="0"/>
      <w:divBdr>
        <w:top w:val="none" w:sz="0" w:space="0" w:color="auto"/>
        <w:left w:val="none" w:sz="0" w:space="0" w:color="auto"/>
        <w:bottom w:val="none" w:sz="0" w:space="0" w:color="auto"/>
        <w:right w:val="none" w:sz="0" w:space="0" w:color="auto"/>
      </w:divBdr>
    </w:div>
    <w:div w:id="355233133">
      <w:bodyDiv w:val="1"/>
      <w:marLeft w:val="0"/>
      <w:marRight w:val="0"/>
      <w:marTop w:val="0"/>
      <w:marBottom w:val="0"/>
      <w:divBdr>
        <w:top w:val="none" w:sz="0" w:space="0" w:color="auto"/>
        <w:left w:val="none" w:sz="0" w:space="0" w:color="auto"/>
        <w:bottom w:val="none" w:sz="0" w:space="0" w:color="auto"/>
        <w:right w:val="none" w:sz="0" w:space="0" w:color="auto"/>
      </w:divBdr>
    </w:div>
    <w:div w:id="356931479">
      <w:bodyDiv w:val="1"/>
      <w:marLeft w:val="0"/>
      <w:marRight w:val="0"/>
      <w:marTop w:val="0"/>
      <w:marBottom w:val="0"/>
      <w:divBdr>
        <w:top w:val="none" w:sz="0" w:space="0" w:color="auto"/>
        <w:left w:val="none" w:sz="0" w:space="0" w:color="auto"/>
        <w:bottom w:val="none" w:sz="0" w:space="0" w:color="auto"/>
        <w:right w:val="none" w:sz="0" w:space="0" w:color="auto"/>
      </w:divBdr>
    </w:div>
    <w:div w:id="357316415">
      <w:bodyDiv w:val="1"/>
      <w:marLeft w:val="0"/>
      <w:marRight w:val="0"/>
      <w:marTop w:val="0"/>
      <w:marBottom w:val="0"/>
      <w:divBdr>
        <w:top w:val="none" w:sz="0" w:space="0" w:color="auto"/>
        <w:left w:val="none" w:sz="0" w:space="0" w:color="auto"/>
        <w:bottom w:val="none" w:sz="0" w:space="0" w:color="auto"/>
        <w:right w:val="none" w:sz="0" w:space="0" w:color="auto"/>
      </w:divBdr>
    </w:div>
    <w:div w:id="359211670">
      <w:bodyDiv w:val="1"/>
      <w:marLeft w:val="0"/>
      <w:marRight w:val="0"/>
      <w:marTop w:val="0"/>
      <w:marBottom w:val="0"/>
      <w:divBdr>
        <w:top w:val="none" w:sz="0" w:space="0" w:color="auto"/>
        <w:left w:val="none" w:sz="0" w:space="0" w:color="auto"/>
        <w:bottom w:val="none" w:sz="0" w:space="0" w:color="auto"/>
        <w:right w:val="none" w:sz="0" w:space="0" w:color="auto"/>
      </w:divBdr>
    </w:div>
    <w:div w:id="360207022">
      <w:bodyDiv w:val="1"/>
      <w:marLeft w:val="0"/>
      <w:marRight w:val="0"/>
      <w:marTop w:val="0"/>
      <w:marBottom w:val="0"/>
      <w:divBdr>
        <w:top w:val="none" w:sz="0" w:space="0" w:color="auto"/>
        <w:left w:val="none" w:sz="0" w:space="0" w:color="auto"/>
        <w:bottom w:val="none" w:sz="0" w:space="0" w:color="auto"/>
        <w:right w:val="none" w:sz="0" w:space="0" w:color="auto"/>
      </w:divBdr>
    </w:div>
    <w:div w:id="360279862">
      <w:bodyDiv w:val="1"/>
      <w:marLeft w:val="0"/>
      <w:marRight w:val="0"/>
      <w:marTop w:val="0"/>
      <w:marBottom w:val="0"/>
      <w:divBdr>
        <w:top w:val="none" w:sz="0" w:space="0" w:color="auto"/>
        <w:left w:val="none" w:sz="0" w:space="0" w:color="auto"/>
        <w:bottom w:val="none" w:sz="0" w:space="0" w:color="auto"/>
        <w:right w:val="none" w:sz="0" w:space="0" w:color="auto"/>
      </w:divBdr>
    </w:div>
    <w:div w:id="361592251">
      <w:bodyDiv w:val="1"/>
      <w:marLeft w:val="0"/>
      <w:marRight w:val="0"/>
      <w:marTop w:val="0"/>
      <w:marBottom w:val="0"/>
      <w:divBdr>
        <w:top w:val="none" w:sz="0" w:space="0" w:color="auto"/>
        <w:left w:val="none" w:sz="0" w:space="0" w:color="auto"/>
        <w:bottom w:val="none" w:sz="0" w:space="0" w:color="auto"/>
        <w:right w:val="none" w:sz="0" w:space="0" w:color="auto"/>
      </w:divBdr>
    </w:div>
    <w:div w:id="362681477">
      <w:bodyDiv w:val="1"/>
      <w:marLeft w:val="0"/>
      <w:marRight w:val="0"/>
      <w:marTop w:val="0"/>
      <w:marBottom w:val="0"/>
      <w:divBdr>
        <w:top w:val="none" w:sz="0" w:space="0" w:color="auto"/>
        <w:left w:val="none" w:sz="0" w:space="0" w:color="auto"/>
        <w:bottom w:val="none" w:sz="0" w:space="0" w:color="auto"/>
        <w:right w:val="none" w:sz="0" w:space="0" w:color="auto"/>
      </w:divBdr>
    </w:div>
    <w:div w:id="363674377">
      <w:bodyDiv w:val="1"/>
      <w:marLeft w:val="0"/>
      <w:marRight w:val="0"/>
      <w:marTop w:val="0"/>
      <w:marBottom w:val="0"/>
      <w:divBdr>
        <w:top w:val="none" w:sz="0" w:space="0" w:color="auto"/>
        <w:left w:val="none" w:sz="0" w:space="0" w:color="auto"/>
        <w:bottom w:val="none" w:sz="0" w:space="0" w:color="auto"/>
        <w:right w:val="none" w:sz="0" w:space="0" w:color="auto"/>
      </w:divBdr>
    </w:div>
    <w:div w:id="365180099">
      <w:bodyDiv w:val="1"/>
      <w:marLeft w:val="0"/>
      <w:marRight w:val="0"/>
      <w:marTop w:val="0"/>
      <w:marBottom w:val="0"/>
      <w:divBdr>
        <w:top w:val="none" w:sz="0" w:space="0" w:color="auto"/>
        <w:left w:val="none" w:sz="0" w:space="0" w:color="auto"/>
        <w:bottom w:val="none" w:sz="0" w:space="0" w:color="auto"/>
        <w:right w:val="none" w:sz="0" w:space="0" w:color="auto"/>
      </w:divBdr>
    </w:div>
    <w:div w:id="365832528">
      <w:bodyDiv w:val="1"/>
      <w:marLeft w:val="0"/>
      <w:marRight w:val="0"/>
      <w:marTop w:val="0"/>
      <w:marBottom w:val="0"/>
      <w:divBdr>
        <w:top w:val="none" w:sz="0" w:space="0" w:color="auto"/>
        <w:left w:val="none" w:sz="0" w:space="0" w:color="auto"/>
        <w:bottom w:val="none" w:sz="0" w:space="0" w:color="auto"/>
        <w:right w:val="none" w:sz="0" w:space="0" w:color="auto"/>
      </w:divBdr>
    </w:div>
    <w:div w:id="366947742">
      <w:bodyDiv w:val="1"/>
      <w:marLeft w:val="0"/>
      <w:marRight w:val="0"/>
      <w:marTop w:val="0"/>
      <w:marBottom w:val="0"/>
      <w:divBdr>
        <w:top w:val="none" w:sz="0" w:space="0" w:color="auto"/>
        <w:left w:val="none" w:sz="0" w:space="0" w:color="auto"/>
        <w:bottom w:val="none" w:sz="0" w:space="0" w:color="auto"/>
        <w:right w:val="none" w:sz="0" w:space="0" w:color="auto"/>
      </w:divBdr>
    </w:div>
    <w:div w:id="367222543">
      <w:bodyDiv w:val="1"/>
      <w:marLeft w:val="0"/>
      <w:marRight w:val="0"/>
      <w:marTop w:val="0"/>
      <w:marBottom w:val="0"/>
      <w:divBdr>
        <w:top w:val="none" w:sz="0" w:space="0" w:color="auto"/>
        <w:left w:val="none" w:sz="0" w:space="0" w:color="auto"/>
        <w:bottom w:val="none" w:sz="0" w:space="0" w:color="auto"/>
        <w:right w:val="none" w:sz="0" w:space="0" w:color="auto"/>
      </w:divBdr>
    </w:div>
    <w:div w:id="367679502">
      <w:bodyDiv w:val="1"/>
      <w:marLeft w:val="0"/>
      <w:marRight w:val="0"/>
      <w:marTop w:val="0"/>
      <w:marBottom w:val="0"/>
      <w:divBdr>
        <w:top w:val="none" w:sz="0" w:space="0" w:color="auto"/>
        <w:left w:val="none" w:sz="0" w:space="0" w:color="auto"/>
        <w:bottom w:val="none" w:sz="0" w:space="0" w:color="auto"/>
        <w:right w:val="none" w:sz="0" w:space="0" w:color="auto"/>
      </w:divBdr>
    </w:div>
    <w:div w:id="367873495">
      <w:bodyDiv w:val="1"/>
      <w:marLeft w:val="0"/>
      <w:marRight w:val="0"/>
      <w:marTop w:val="0"/>
      <w:marBottom w:val="0"/>
      <w:divBdr>
        <w:top w:val="none" w:sz="0" w:space="0" w:color="auto"/>
        <w:left w:val="none" w:sz="0" w:space="0" w:color="auto"/>
        <w:bottom w:val="none" w:sz="0" w:space="0" w:color="auto"/>
        <w:right w:val="none" w:sz="0" w:space="0" w:color="auto"/>
      </w:divBdr>
    </w:div>
    <w:div w:id="367951655">
      <w:bodyDiv w:val="1"/>
      <w:marLeft w:val="0"/>
      <w:marRight w:val="0"/>
      <w:marTop w:val="0"/>
      <w:marBottom w:val="0"/>
      <w:divBdr>
        <w:top w:val="none" w:sz="0" w:space="0" w:color="auto"/>
        <w:left w:val="none" w:sz="0" w:space="0" w:color="auto"/>
        <w:bottom w:val="none" w:sz="0" w:space="0" w:color="auto"/>
        <w:right w:val="none" w:sz="0" w:space="0" w:color="auto"/>
      </w:divBdr>
    </w:div>
    <w:div w:id="368574918">
      <w:bodyDiv w:val="1"/>
      <w:marLeft w:val="0"/>
      <w:marRight w:val="0"/>
      <w:marTop w:val="0"/>
      <w:marBottom w:val="0"/>
      <w:divBdr>
        <w:top w:val="none" w:sz="0" w:space="0" w:color="auto"/>
        <w:left w:val="none" w:sz="0" w:space="0" w:color="auto"/>
        <w:bottom w:val="none" w:sz="0" w:space="0" w:color="auto"/>
        <w:right w:val="none" w:sz="0" w:space="0" w:color="auto"/>
      </w:divBdr>
    </w:div>
    <w:div w:id="369115925">
      <w:bodyDiv w:val="1"/>
      <w:marLeft w:val="0"/>
      <w:marRight w:val="0"/>
      <w:marTop w:val="0"/>
      <w:marBottom w:val="0"/>
      <w:divBdr>
        <w:top w:val="none" w:sz="0" w:space="0" w:color="auto"/>
        <w:left w:val="none" w:sz="0" w:space="0" w:color="auto"/>
        <w:bottom w:val="none" w:sz="0" w:space="0" w:color="auto"/>
        <w:right w:val="none" w:sz="0" w:space="0" w:color="auto"/>
      </w:divBdr>
    </w:div>
    <w:div w:id="369189846">
      <w:bodyDiv w:val="1"/>
      <w:marLeft w:val="0"/>
      <w:marRight w:val="0"/>
      <w:marTop w:val="0"/>
      <w:marBottom w:val="0"/>
      <w:divBdr>
        <w:top w:val="none" w:sz="0" w:space="0" w:color="auto"/>
        <w:left w:val="none" w:sz="0" w:space="0" w:color="auto"/>
        <w:bottom w:val="none" w:sz="0" w:space="0" w:color="auto"/>
        <w:right w:val="none" w:sz="0" w:space="0" w:color="auto"/>
      </w:divBdr>
    </w:div>
    <w:div w:id="369841495">
      <w:bodyDiv w:val="1"/>
      <w:marLeft w:val="0"/>
      <w:marRight w:val="0"/>
      <w:marTop w:val="0"/>
      <w:marBottom w:val="0"/>
      <w:divBdr>
        <w:top w:val="none" w:sz="0" w:space="0" w:color="auto"/>
        <w:left w:val="none" w:sz="0" w:space="0" w:color="auto"/>
        <w:bottom w:val="none" w:sz="0" w:space="0" w:color="auto"/>
        <w:right w:val="none" w:sz="0" w:space="0" w:color="auto"/>
      </w:divBdr>
    </w:div>
    <w:div w:id="370689354">
      <w:bodyDiv w:val="1"/>
      <w:marLeft w:val="0"/>
      <w:marRight w:val="0"/>
      <w:marTop w:val="0"/>
      <w:marBottom w:val="0"/>
      <w:divBdr>
        <w:top w:val="none" w:sz="0" w:space="0" w:color="auto"/>
        <w:left w:val="none" w:sz="0" w:space="0" w:color="auto"/>
        <w:bottom w:val="none" w:sz="0" w:space="0" w:color="auto"/>
        <w:right w:val="none" w:sz="0" w:space="0" w:color="auto"/>
      </w:divBdr>
    </w:div>
    <w:div w:id="371656924">
      <w:bodyDiv w:val="1"/>
      <w:marLeft w:val="0"/>
      <w:marRight w:val="0"/>
      <w:marTop w:val="0"/>
      <w:marBottom w:val="0"/>
      <w:divBdr>
        <w:top w:val="none" w:sz="0" w:space="0" w:color="auto"/>
        <w:left w:val="none" w:sz="0" w:space="0" w:color="auto"/>
        <w:bottom w:val="none" w:sz="0" w:space="0" w:color="auto"/>
        <w:right w:val="none" w:sz="0" w:space="0" w:color="auto"/>
      </w:divBdr>
    </w:div>
    <w:div w:id="372970809">
      <w:bodyDiv w:val="1"/>
      <w:marLeft w:val="0"/>
      <w:marRight w:val="0"/>
      <w:marTop w:val="0"/>
      <w:marBottom w:val="0"/>
      <w:divBdr>
        <w:top w:val="none" w:sz="0" w:space="0" w:color="auto"/>
        <w:left w:val="none" w:sz="0" w:space="0" w:color="auto"/>
        <w:bottom w:val="none" w:sz="0" w:space="0" w:color="auto"/>
        <w:right w:val="none" w:sz="0" w:space="0" w:color="auto"/>
      </w:divBdr>
    </w:div>
    <w:div w:id="373044924">
      <w:bodyDiv w:val="1"/>
      <w:marLeft w:val="0"/>
      <w:marRight w:val="0"/>
      <w:marTop w:val="0"/>
      <w:marBottom w:val="0"/>
      <w:divBdr>
        <w:top w:val="none" w:sz="0" w:space="0" w:color="auto"/>
        <w:left w:val="none" w:sz="0" w:space="0" w:color="auto"/>
        <w:bottom w:val="none" w:sz="0" w:space="0" w:color="auto"/>
        <w:right w:val="none" w:sz="0" w:space="0" w:color="auto"/>
      </w:divBdr>
    </w:div>
    <w:div w:id="373699418">
      <w:bodyDiv w:val="1"/>
      <w:marLeft w:val="0"/>
      <w:marRight w:val="0"/>
      <w:marTop w:val="0"/>
      <w:marBottom w:val="0"/>
      <w:divBdr>
        <w:top w:val="none" w:sz="0" w:space="0" w:color="auto"/>
        <w:left w:val="none" w:sz="0" w:space="0" w:color="auto"/>
        <w:bottom w:val="none" w:sz="0" w:space="0" w:color="auto"/>
        <w:right w:val="none" w:sz="0" w:space="0" w:color="auto"/>
      </w:divBdr>
    </w:div>
    <w:div w:id="373891046">
      <w:bodyDiv w:val="1"/>
      <w:marLeft w:val="0"/>
      <w:marRight w:val="0"/>
      <w:marTop w:val="0"/>
      <w:marBottom w:val="0"/>
      <w:divBdr>
        <w:top w:val="none" w:sz="0" w:space="0" w:color="auto"/>
        <w:left w:val="none" w:sz="0" w:space="0" w:color="auto"/>
        <w:bottom w:val="none" w:sz="0" w:space="0" w:color="auto"/>
        <w:right w:val="none" w:sz="0" w:space="0" w:color="auto"/>
      </w:divBdr>
    </w:div>
    <w:div w:id="374282427">
      <w:bodyDiv w:val="1"/>
      <w:marLeft w:val="0"/>
      <w:marRight w:val="0"/>
      <w:marTop w:val="0"/>
      <w:marBottom w:val="0"/>
      <w:divBdr>
        <w:top w:val="none" w:sz="0" w:space="0" w:color="auto"/>
        <w:left w:val="none" w:sz="0" w:space="0" w:color="auto"/>
        <w:bottom w:val="none" w:sz="0" w:space="0" w:color="auto"/>
        <w:right w:val="none" w:sz="0" w:space="0" w:color="auto"/>
      </w:divBdr>
    </w:div>
    <w:div w:id="375662022">
      <w:bodyDiv w:val="1"/>
      <w:marLeft w:val="0"/>
      <w:marRight w:val="0"/>
      <w:marTop w:val="0"/>
      <w:marBottom w:val="0"/>
      <w:divBdr>
        <w:top w:val="none" w:sz="0" w:space="0" w:color="auto"/>
        <w:left w:val="none" w:sz="0" w:space="0" w:color="auto"/>
        <w:bottom w:val="none" w:sz="0" w:space="0" w:color="auto"/>
        <w:right w:val="none" w:sz="0" w:space="0" w:color="auto"/>
      </w:divBdr>
    </w:div>
    <w:div w:id="375934158">
      <w:bodyDiv w:val="1"/>
      <w:marLeft w:val="0"/>
      <w:marRight w:val="0"/>
      <w:marTop w:val="0"/>
      <w:marBottom w:val="0"/>
      <w:divBdr>
        <w:top w:val="none" w:sz="0" w:space="0" w:color="auto"/>
        <w:left w:val="none" w:sz="0" w:space="0" w:color="auto"/>
        <w:bottom w:val="none" w:sz="0" w:space="0" w:color="auto"/>
        <w:right w:val="none" w:sz="0" w:space="0" w:color="auto"/>
      </w:divBdr>
    </w:div>
    <w:div w:id="376588376">
      <w:bodyDiv w:val="1"/>
      <w:marLeft w:val="0"/>
      <w:marRight w:val="0"/>
      <w:marTop w:val="0"/>
      <w:marBottom w:val="0"/>
      <w:divBdr>
        <w:top w:val="none" w:sz="0" w:space="0" w:color="auto"/>
        <w:left w:val="none" w:sz="0" w:space="0" w:color="auto"/>
        <w:bottom w:val="none" w:sz="0" w:space="0" w:color="auto"/>
        <w:right w:val="none" w:sz="0" w:space="0" w:color="auto"/>
      </w:divBdr>
    </w:div>
    <w:div w:id="377632393">
      <w:bodyDiv w:val="1"/>
      <w:marLeft w:val="0"/>
      <w:marRight w:val="0"/>
      <w:marTop w:val="0"/>
      <w:marBottom w:val="0"/>
      <w:divBdr>
        <w:top w:val="none" w:sz="0" w:space="0" w:color="auto"/>
        <w:left w:val="none" w:sz="0" w:space="0" w:color="auto"/>
        <w:bottom w:val="none" w:sz="0" w:space="0" w:color="auto"/>
        <w:right w:val="none" w:sz="0" w:space="0" w:color="auto"/>
      </w:divBdr>
    </w:div>
    <w:div w:id="377634155">
      <w:bodyDiv w:val="1"/>
      <w:marLeft w:val="0"/>
      <w:marRight w:val="0"/>
      <w:marTop w:val="0"/>
      <w:marBottom w:val="0"/>
      <w:divBdr>
        <w:top w:val="none" w:sz="0" w:space="0" w:color="auto"/>
        <w:left w:val="none" w:sz="0" w:space="0" w:color="auto"/>
        <w:bottom w:val="none" w:sz="0" w:space="0" w:color="auto"/>
        <w:right w:val="none" w:sz="0" w:space="0" w:color="auto"/>
      </w:divBdr>
    </w:div>
    <w:div w:id="379549629">
      <w:bodyDiv w:val="1"/>
      <w:marLeft w:val="0"/>
      <w:marRight w:val="0"/>
      <w:marTop w:val="0"/>
      <w:marBottom w:val="0"/>
      <w:divBdr>
        <w:top w:val="none" w:sz="0" w:space="0" w:color="auto"/>
        <w:left w:val="none" w:sz="0" w:space="0" w:color="auto"/>
        <w:bottom w:val="none" w:sz="0" w:space="0" w:color="auto"/>
        <w:right w:val="none" w:sz="0" w:space="0" w:color="auto"/>
      </w:divBdr>
    </w:div>
    <w:div w:id="380128964">
      <w:bodyDiv w:val="1"/>
      <w:marLeft w:val="0"/>
      <w:marRight w:val="0"/>
      <w:marTop w:val="0"/>
      <w:marBottom w:val="0"/>
      <w:divBdr>
        <w:top w:val="none" w:sz="0" w:space="0" w:color="auto"/>
        <w:left w:val="none" w:sz="0" w:space="0" w:color="auto"/>
        <w:bottom w:val="none" w:sz="0" w:space="0" w:color="auto"/>
        <w:right w:val="none" w:sz="0" w:space="0" w:color="auto"/>
      </w:divBdr>
    </w:div>
    <w:div w:id="380595719">
      <w:bodyDiv w:val="1"/>
      <w:marLeft w:val="0"/>
      <w:marRight w:val="0"/>
      <w:marTop w:val="0"/>
      <w:marBottom w:val="0"/>
      <w:divBdr>
        <w:top w:val="none" w:sz="0" w:space="0" w:color="auto"/>
        <w:left w:val="none" w:sz="0" w:space="0" w:color="auto"/>
        <w:bottom w:val="none" w:sz="0" w:space="0" w:color="auto"/>
        <w:right w:val="none" w:sz="0" w:space="0" w:color="auto"/>
      </w:divBdr>
    </w:div>
    <w:div w:id="384069451">
      <w:bodyDiv w:val="1"/>
      <w:marLeft w:val="0"/>
      <w:marRight w:val="0"/>
      <w:marTop w:val="0"/>
      <w:marBottom w:val="0"/>
      <w:divBdr>
        <w:top w:val="none" w:sz="0" w:space="0" w:color="auto"/>
        <w:left w:val="none" w:sz="0" w:space="0" w:color="auto"/>
        <w:bottom w:val="none" w:sz="0" w:space="0" w:color="auto"/>
        <w:right w:val="none" w:sz="0" w:space="0" w:color="auto"/>
      </w:divBdr>
    </w:div>
    <w:div w:id="384257670">
      <w:bodyDiv w:val="1"/>
      <w:marLeft w:val="0"/>
      <w:marRight w:val="0"/>
      <w:marTop w:val="0"/>
      <w:marBottom w:val="0"/>
      <w:divBdr>
        <w:top w:val="none" w:sz="0" w:space="0" w:color="auto"/>
        <w:left w:val="none" w:sz="0" w:space="0" w:color="auto"/>
        <w:bottom w:val="none" w:sz="0" w:space="0" w:color="auto"/>
        <w:right w:val="none" w:sz="0" w:space="0" w:color="auto"/>
      </w:divBdr>
    </w:div>
    <w:div w:id="385028684">
      <w:bodyDiv w:val="1"/>
      <w:marLeft w:val="0"/>
      <w:marRight w:val="0"/>
      <w:marTop w:val="0"/>
      <w:marBottom w:val="0"/>
      <w:divBdr>
        <w:top w:val="none" w:sz="0" w:space="0" w:color="auto"/>
        <w:left w:val="none" w:sz="0" w:space="0" w:color="auto"/>
        <w:bottom w:val="none" w:sz="0" w:space="0" w:color="auto"/>
        <w:right w:val="none" w:sz="0" w:space="0" w:color="auto"/>
      </w:divBdr>
    </w:div>
    <w:div w:id="385109056">
      <w:bodyDiv w:val="1"/>
      <w:marLeft w:val="0"/>
      <w:marRight w:val="0"/>
      <w:marTop w:val="0"/>
      <w:marBottom w:val="0"/>
      <w:divBdr>
        <w:top w:val="none" w:sz="0" w:space="0" w:color="auto"/>
        <w:left w:val="none" w:sz="0" w:space="0" w:color="auto"/>
        <w:bottom w:val="none" w:sz="0" w:space="0" w:color="auto"/>
        <w:right w:val="none" w:sz="0" w:space="0" w:color="auto"/>
      </w:divBdr>
    </w:div>
    <w:div w:id="386417806">
      <w:bodyDiv w:val="1"/>
      <w:marLeft w:val="0"/>
      <w:marRight w:val="0"/>
      <w:marTop w:val="0"/>
      <w:marBottom w:val="0"/>
      <w:divBdr>
        <w:top w:val="none" w:sz="0" w:space="0" w:color="auto"/>
        <w:left w:val="none" w:sz="0" w:space="0" w:color="auto"/>
        <w:bottom w:val="none" w:sz="0" w:space="0" w:color="auto"/>
        <w:right w:val="none" w:sz="0" w:space="0" w:color="auto"/>
      </w:divBdr>
    </w:div>
    <w:div w:id="388265551">
      <w:bodyDiv w:val="1"/>
      <w:marLeft w:val="0"/>
      <w:marRight w:val="0"/>
      <w:marTop w:val="0"/>
      <w:marBottom w:val="0"/>
      <w:divBdr>
        <w:top w:val="none" w:sz="0" w:space="0" w:color="auto"/>
        <w:left w:val="none" w:sz="0" w:space="0" w:color="auto"/>
        <w:bottom w:val="none" w:sz="0" w:space="0" w:color="auto"/>
        <w:right w:val="none" w:sz="0" w:space="0" w:color="auto"/>
      </w:divBdr>
    </w:div>
    <w:div w:id="390075671">
      <w:bodyDiv w:val="1"/>
      <w:marLeft w:val="0"/>
      <w:marRight w:val="0"/>
      <w:marTop w:val="0"/>
      <w:marBottom w:val="0"/>
      <w:divBdr>
        <w:top w:val="none" w:sz="0" w:space="0" w:color="auto"/>
        <w:left w:val="none" w:sz="0" w:space="0" w:color="auto"/>
        <w:bottom w:val="none" w:sz="0" w:space="0" w:color="auto"/>
        <w:right w:val="none" w:sz="0" w:space="0" w:color="auto"/>
      </w:divBdr>
    </w:div>
    <w:div w:id="390465559">
      <w:bodyDiv w:val="1"/>
      <w:marLeft w:val="0"/>
      <w:marRight w:val="0"/>
      <w:marTop w:val="0"/>
      <w:marBottom w:val="0"/>
      <w:divBdr>
        <w:top w:val="none" w:sz="0" w:space="0" w:color="auto"/>
        <w:left w:val="none" w:sz="0" w:space="0" w:color="auto"/>
        <w:bottom w:val="none" w:sz="0" w:space="0" w:color="auto"/>
        <w:right w:val="none" w:sz="0" w:space="0" w:color="auto"/>
      </w:divBdr>
    </w:div>
    <w:div w:id="391083650">
      <w:bodyDiv w:val="1"/>
      <w:marLeft w:val="0"/>
      <w:marRight w:val="0"/>
      <w:marTop w:val="0"/>
      <w:marBottom w:val="0"/>
      <w:divBdr>
        <w:top w:val="none" w:sz="0" w:space="0" w:color="auto"/>
        <w:left w:val="none" w:sz="0" w:space="0" w:color="auto"/>
        <w:bottom w:val="none" w:sz="0" w:space="0" w:color="auto"/>
        <w:right w:val="none" w:sz="0" w:space="0" w:color="auto"/>
      </w:divBdr>
    </w:div>
    <w:div w:id="391118899">
      <w:bodyDiv w:val="1"/>
      <w:marLeft w:val="0"/>
      <w:marRight w:val="0"/>
      <w:marTop w:val="0"/>
      <w:marBottom w:val="0"/>
      <w:divBdr>
        <w:top w:val="none" w:sz="0" w:space="0" w:color="auto"/>
        <w:left w:val="none" w:sz="0" w:space="0" w:color="auto"/>
        <w:bottom w:val="none" w:sz="0" w:space="0" w:color="auto"/>
        <w:right w:val="none" w:sz="0" w:space="0" w:color="auto"/>
      </w:divBdr>
    </w:div>
    <w:div w:id="393168185">
      <w:bodyDiv w:val="1"/>
      <w:marLeft w:val="0"/>
      <w:marRight w:val="0"/>
      <w:marTop w:val="0"/>
      <w:marBottom w:val="0"/>
      <w:divBdr>
        <w:top w:val="none" w:sz="0" w:space="0" w:color="auto"/>
        <w:left w:val="none" w:sz="0" w:space="0" w:color="auto"/>
        <w:bottom w:val="none" w:sz="0" w:space="0" w:color="auto"/>
        <w:right w:val="none" w:sz="0" w:space="0" w:color="auto"/>
      </w:divBdr>
    </w:div>
    <w:div w:id="397242305">
      <w:bodyDiv w:val="1"/>
      <w:marLeft w:val="0"/>
      <w:marRight w:val="0"/>
      <w:marTop w:val="0"/>
      <w:marBottom w:val="0"/>
      <w:divBdr>
        <w:top w:val="none" w:sz="0" w:space="0" w:color="auto"/>
        <w:left w:val="none" w:sz="0" w:space="0" w:color="auto"/>
        <w:bottom w:val="none" w:sz="0" w:space="0" w:color="auto"/>
        <w:right w:val="none" w:sz="0" w:space="0" w:color="auto"/>
      </w:divBdr>
    </w:div>
    <w:div w:id="397437141">
      <w:bodyDiv w:val="1"/>
      <w:marLeft w:val="0"/>
      <w:marRight w:val="0"/>
      <w:marTop w:val="0"/>
      <w:marBottom w:val="0"/>
      <w:divBdr>
        <w:top w:val="none" w:sz="0" w:space="0" w:color="auto"/>
        <w:left w:val="none" w:sz="0" w:space="0" w:color="auto"/>
        <w:bottom w:val="none" w:sz="0" w:space="0" w:color="auto"/>
        <w:right w:val="none" w:sz="0" w:space="0" w:color="auto"/>
      </w:divBdr>
    </w:div>
    <w:div w:id="399326284">
      <w:bodyDiv w:val="1"/>
      <w:marLeft w:val="0"/>
      <w:marRight w:val="0"/>
      <w:marTop w:val="0"/>
      <w:marBottom w:val="0"/>
      <w:divBdr>
        <w:top w:val="none" w:sz="0" w:space="0" w:color="auto"/>
        <w:left w:val="none" w:sz="0" w:space="0" w:color="auto"/>
        <w:bottom w:val="none" w:sz="0" w:space="0" w:color="auto"/>
        <w:right w:val="none" w:sz="0" w:space="0" w:color="auto"/>
      </w:divBdr>
    </w:div>
    <w:div w:id="399789416">
      <w:bodyDiv w:val="1"/>
      <w:marLeft w:val="0"/>
      <w:marRight w:val="0"/>
      <w:marTop w:val="0"/>
      <w:marBottom w:val="0"/>
      <w:divBdr>
        <w:top w:val="none" w:sz="0" w:space="0" w:color="auto"/>
        <w:left w:val="none" w:sz="0" w:space="0" w:color="auto"/>
        <w:bottom w:val="none" w:sz="0" w:space="0" w:color="auto"/>
        <w:right w:val="none" w:sz="0" w:space="0" w:color="auto"/>
      </w:divBdr>
    </w:div>
    <w:div w:id="400253039">
      <w:bodyDiv w:val="1"/>
      <w:marLeft w:val="0"/>
      <w:marRight w:val="0"/>
      <w:marTop w:val="0"/>
      <w:marBottom w:val="0"/>
      <w:divBdr>
        <w:top w:val="none" w:sz="0" w:space="0" w:color="auto"/>
        <w:left w:val="none" w:sz="0" w:space="0" w:color="auto"/>
        <w:bottom w:val="none" w:sz="0" w:space="0" w:color="auto"/>
        <w:right w:val="none" w:sz="0" w:space="0" w:color="auto"/>
      </w:divBdr>
    </w:div>
    <w:div w:id="401680321">
      <w:bodyDiv w:val="1"/>
      <w:marLeft w:val="0"/>
      <w:marRight w:val="0"/>
      <w:marTop w:val="0"/>
      <w:marBottom w:val="0"/>
      <w:divBdr>
        <w:top w:val="none" w:sz="0" w:space="0" w:color="auto"/>
        <w:left w:val="none" w:sz="0" w:space="0" w:color="auto"/>
        <w:bottom w:val="none" w:sz="0" w:space="0" w:color="auto"/>
        <w:right w:val="none" w:sz="0" w:space="0" w:color="auto"/>
      </w:divBdr>
    </w:div>
    <w:div w:id="402720967">
      <w:bodyDiv w:val="1"/>
      <w:marLeft w:val="0"/>
      <w:marRight w:val="0"/>
      <w:marTop w:val="0"/>
      <w:marBottom w:val="0"/>
      <w:divBdr>
        <w:top w:val="none" w:sz="0" w:space="0" w:color="auto"/>
        <w:left w:val="none" w:sz="0" w:space="0" w:color="auto"/>
        <w:bottom w:val="none" w:sz="0" w:space="0" w:color="auto"/>
        <w:right w:val="none" w:sz="0" w:space="0" w:color="auto"/>
      </w:divBdr>
    </w:div>
    <w:div w:id="403457416">
      <w:bodyDiv w:val="1"/>
      <w:marLeft w:val="0"/>
      <w:marRight w:val="0"/>
      <w:marTop w:val="0"/>
      <w:marBottom w:val="0"/>
      <w:divBdr>
        <w:top w:val="none" w:sz="0" w:space="0" w:color="auto"/>
        <w:left w:val="none" w:sz="0" w:space="0" w:color="auto"/>
        <w:bottom w:val="none" w:sz="0" w:space="0" w:color="auto"/>
        <w:right w:val="none" w:sz="0" w:space="0" w:color="auto"/>
      </w:divBdr>
    </w:div>
    <w:div w:id="405147163">
      <w:bodyDiv w:val="1"/>
      <w:marLeft w:val="0"/>
      <w:marRight w:val="0"/>
      <w:marTop w:val="0"/>
      <w:marBottom w:val="0"/>
      <w:divBdr>
        <w:top w:val="none" w:sz="0" w:space="0" w:color="auto"/>
        <w:left w:val="none" w:sz="0" w:space="0" w:color="auto"/>
        <w:bottom w:val="none" w:sz="0" w:space="0" w:color="auto"/>
        <w:right w:val="none" w:sz="0" w:space="0" w:color="auto"/>
      </w:divBdr>
    </w:div>
    <w:div w:id="405617568">
      <w:bodyDiv w:val="1"/>
      <w:marLeft w:val="0"/>
      <w:marRight w:val="0"/>
      <w:marTop w:val="0"/>
      <w:marBottom w:val="0"/>
      <w:divBdr>
        <w:top w:val="none" w:sz="0" w:space="0" w:color="auto"/>
        <w:left w:val="none" w:sz="0" w:space="0" w:color="auto"/>
        <w:bottom w:val="none" w:sz="0" w:space="0" w:color="auto"/>
        <w:right w:val="none" w:sz="0" w:space="0" w:color="auto"/>
      </w:divBdr>
    </w:div>
    <w:div w:id="406537556">
      <w:bodyDiv w:val="1"/>
      <w:marLeft w:val="0"/>
      <w:marRight w:val="0"/>
      <w:marTop w:val="0"/>
      <w:marBottom w:val="0"/>
      <w:divBdr>
        <w:top w:val="none" w:sz="0" w:space="0" w:color="auto"/>
        <w:left w:val="none" w:sz="0" w:space="0" w:color="auto"/>
        <w:bottom w:val="none" w:sz="0" w:space="0" w:color="auto"/>
        <w:right w:val="none" w:sz="0" w:space="0" w:color="auto"/>
      </w:divBdr>
    </w:div>
    <w:div w:id="407271576">
      <w:bodyDiv w:val="1"/>
      <w:marLeft w:val="0"/>
      <w:marRight w:val="0"/>
      <w:marTop w:val="0"/>
      <w:marBottom w:val="0"/>
      <w:divBdr>
        <w:top w:val="none" w:sz="0" w:space="0" w:color="auto"/>
        <w:left w:val="none" w:sz="0" w:space="0" w:color="auto"/>
        <w:bottom w:val="none" w:sz="0" w:space="0" w:color="auto"/>
        <w:right w:val="none" w:sz="0" w:space="0" w:color="auto"/>
      </w:divBdr>
    </w:div>
    <w:div w:id="407700940">
      <w:bodyDiv w:val="1"/>
      <w:marLeft w:val="0"/>
      <w:marRight w:val="0"/>
      <w:marTop w:val="0"/>
      <w:marBottom w:val="0"/>
      <w:divBdr>
        <w:top w:val="none" w:sz="0" w:space="0" w:color="auto"/>
        <w:left w:val="none" w:sz="0" w:space="0" w:color="auto"/>
        <w:bottom w:val="none" w:sz="0" w:space="0" w:color="auto"/>
        <w:right w:val="none" w:sz="0" w:space="0" w:color="auto"/>
      </w:divBdr>
    </w:div>
    <w:div w:id="409499482">
      <w:bodyDiv w:val="1"/>
      <w:marLeft w:val="0"/>
      <w:marRight w:val="0"/>
      <w:marTop w:val="0"/>
      <w:marBottom w:val="0"/>
      <w:divBdr>
        <w:top w:val="none" w:sz="0" w:space="0" w:color="auto"/>
        <w:left w:val="none" w:sz="0" w:space="0" w:color="auto"/>
        <w:bottom w:val="none" w:sz="0" w:space="0" w:color="auto"/>
        <w:right w:val="none" w:sz="0" w:space="0" w:color="auto"/>
      </w:divBdr>
    </w:div>
    <w:div w:id="409887848">
      <w:bodyDiv w:val="1"/>
      <w:marLeft w:val="0"/>
      <w:marRight w:val="0"/>
      <w:marTop w:val="0"/>
      <w:marBottom w:val="0"/>
      <w:divBdr>
        <w:top w:val="none" w:sz="0" w:space="0" w:color="auto"/>
        <w:left w:val="none" w:sz="0" w:space="0" w:color="auto"/>
        <w:bottom w:val="none" w:sz="0" w:space="0" w:color="auto"/>
        <w:right w:val="none" w:sz="0" w:space="0" w:color="auto"/>
      </w:divBdr>
    </w:div>
    <w:div w:id="410586607">
      <w:bodyDiv w:val="1"/>
      <w:marLeft w:val="0"/>
      <w:marRight w:val="0"/>
      <w:marTop w:val="0"/>
      <w:marBottom w:val="0"/>
      <w:divBdr>
        <w:top w:val="none" w:sz="0" w:space="0" w:color="auto"/>
        <w:left w:val="none" w:sz="0" w:space="0" w:color="auto"/>
        <w:bottom w:val="none" w:sz="0" w:space="0" w:color="auto"/>
        <w:right w:val="none" w:sz="0" w:space="0" w:color="auto"/>
      </w:divBdr>
    </w:div>
    <w:div w:id="410810148">
      <w:bodyDiv w:val="1"/>
      <w:marLeft w:val="0"/>
      <w:marRight w:val="0"/>
      <w:marTop w:val="0"/>
      <w:marBottom w:val="0"/>
      <w:divBdr>
        <w:top w:val="none" w:sz="0" w:space="0" w:color="auto"/>
        <w:left w:val="none" w:sz="0" w:space="0" w:color="auto"/>
        <w:bottom w:val="none" w:sz="0" w:space="0" w:color="auto"/>
        <w:right w:val="none" w:sz="0" w:space="0" w:color="auto"/>
      </w:divBdr>
    </w:div>
    <w:div w:id="413281584">
      <w:bodyDiv w:val="1"/>
      <w:marLeft w:val="0"/>
      <w:marRight w:val="0"/>
      <w:marTop w:val="0"/>
      <w:marBottom w:val="0"/>
      <w:divBdr>
        <w:top w:val="none" w:sz="0" w:space="0" w:color="auto"/>
        <w:left w:val="none" w:sz="0" w:space="0" w:color="auto"/>
        <w:bottom w:val="none" w:sz="0" w:space="0" w:color="auto"/>
        <w:right w:val="none" w:sz="0" w:space="0" w:color="auto"/>
      </w:divBdr>
    </w:div>
    <w:div w:id="414673211">
      <w:bodyDiv w:val="1"/>
      <w:marLeft w:val="0"/>
      <w:marRight w:val="0"/>
      <w:marTop w:val="0"/>
      <w:marBottom w:val="0"/>
      <w:divBdr>
        <w:top w:val="none" w:sz="0" w:space="0" w:color="auto"/>
        <w:left w:val="none" w:sz="0" w:space="0" w:color="auto"/>
        <w:bottom w:val="none" w:sz="0" w:space="0" w:color="auto"/>
        <w:right w:val="none" w:sz="0" w:space="0" w:color="auto"/>
      </w:divBdr>
    </w:div>
    <w:div w:id="416636212">
      <w:bodyDiv w:val="1"/>
      <w:marLeft w:val="0"/>
      <w:marRight w:val="0"/>
      <w:marTop w:val="0"/>
      <w:marBottom w:val="0"/>
      <w:divBdr>
        <w:top w:val="none" w:sz="0" w:space="0" w:color="auto"/>
        <w:left w:val="none" w:sz="0" w:space="0" w:color="auto"/>
        <w:bottom w:val="none" w:sz="0" w:space="0" w:color="auto"/>
        <w:right w:val="none" w:sz="0" w:space="0" w:color="auto"/>
      </w:divBdr>
    </w:div>
    <w:div w:id="418143302">
      <w:bodyDiv w:val="1"/>
      <w:marLeft w:val="0"/>
      <w:marRight w:val="0"/>
      <w:marTop w:val="0"/>
      <w:marBottom w:val="0"/>
      <w:divBdr>
        <w:top w:val="none" w:sz="0" w:space="0" w:color="auto"/>
        <w:left w:val="none" w:sz="0" w:space="0" w:color="auto"/>
        <w:bottom w:val="none" w:sz="0" w:space="0" w:color="auto"/>
        <w:right w:val="none" w:sz="0" w:space="0" w:color="auto"/>
      </w:divBdr>
    </w:div>
    <w:div w:id="418596691">
      <w:bodyDiv w:val="1"/>
      <w:marLeft w:val="0"/>
      <w:marRight w:val="0"/>
      <w:marTop w:val="0"/>
      <w:marBottom w:val="0"/>
      <w:divBdr>
        <w:top w:val="none" w:sz="0" w:space="0" w:color="auto"/>
        <w:left w:val="none" w:sz="0" w:space="0" w:color="auto"/>
        <w:bottom w:val="none" w:sz="0" w:space="0" w:color="auto"/>
        <w:right w:val="none" w:sz="0" w:space="0" w:color="auto"/>
      </w:divBdr>
    </w:div>
    <w:div w:id="418605130">
      <w:bodyDiv w:val="1"/>
      <w:marLeft w:val="0"/>
      <w:marRight w:val="0"/>
      <w:marTop w:val="0"/>
      <w:marBottom w:val="0"/>
      <w:divBdr>
        <w:top w:val="none" w:sz="0" w:space="0" w:color="auto"/>
        <w:left w:val="none" w:sz="0" w:space="0" w:color="auto"/>
        <w:bottom w:val="none" w:sz="0" w:space="0" w:color="auto"/>
        <w:right w:val="none" w:sz="0" w:space="0" w:color="auto"/>
      </w:divBdr>
    </w:div>
    <w:div w:id="418797205">
      <w:bodyDiv w:val="1"/>
      <w:marLeft w:val="0"/>
      <w:marRight w:val="0"/>
      <w:marTop w:val="0"/>
      <w:marBottom w:val="0"/>
      <w:divBdr>
        <w:top w:val="none" w:sz="0" w:space="0" w:color="auto"/>
        <w:left w:val="none" w:sz="0" w:space="0" w:color="auto"/>
        <w:bottom w:val="none" w:sz="0" w:space="0" w:color="auto"/>
        <w:right w:val="none" w:sz="0" w:space="0" w:color="auto"/>
      </w:divBdr>
    </w:div>
    <w:div w:id="418913959">
      <w:bodyDiv w:val="1"/>
      <w:marLeft w:val="0"/>
      <w:marRight w:val="0"/>
      <w:marTop w:val="0"/>
      <w:marBottom w:val="0"/>
      <w:divBdr>
        <w:top w:val="none" w:sz="0" w:space="0" w:color="auto"/>
        <w:left w:val="none" w:sz="0" w:space="0" w:color="auto"/>
        <w:bottom w:val="none" w:sz="0" w:space="0" w:color="auto"/>
        <w:right w:val="none" w:sz="0" w:space="0" w:color="auto"/>
      </w:divBdr>
    </w:div>
    <w:div w:id="418915503">
      <w:bodyDiv w:val="1"/>
      <w:marLeft w:val="0"/>
      <w:marRight w:val="0"/>
      <w:marTop w:val="0"/>
      <w:marBottom w:val="0"/>
      <w:divBdr>
        <w:top w:val="none" w:sz="0" w:space="0" w:color="auto"/>
        <w:left w:val="none" w:sz="0" w:space="0" w:color="auto"/>
        <w:bottom w:val="none" w:sz="0" w:space="0" w:color="auto"/>
        <w:right w:val="none" w:sz="0" w:space="0" w:color="auto"/>
      </w:divBdr>
    </w:div>
    <w:div w:id="419182924">
      <w:bodyDiv w:val="1"/>
      <w:marLeft w:val="0"/>
      <w:marRight w:val="0"/>
      <w:marTop w:val="0"/>
      <w:marBottom w:val="0"/>
      <w:divBdr>
        <w:top w:val="none" w:sz="0" w:space="0" w:color="auto"/>
        <w:left w:val="none" w:sz="0" w:space="0" w:color="auto"/>
        <w:bottom w:val="none" w:sz="0" w:space="0" w:color="auto"/>
        <w:right w:val="none" w:sz="0" w:space="0" w:color="auto"/>
      </w:divBdr>
    </w:div>
    <w:div w:id="422608716">
      <w:bodyDiv w:val="1"/>
      <w:marLeft w:val="0"/>
      <w:marRight w:val="0"/>
      <w:marTop w:val="0"/>
      <w:marBottom w:val="0"/>
      <w:divBdr>
        <w:top w:val="none" w:sz="0" w:space="0" w:color="auto"/>
        <w:left w:val="none" w:sz="0" w:space="0" w:color="auto"/>
        <w:bottom w:val="none" w:sz="0" w:space="0" w:color="auto"/>
        <w:right w:val="none" w:sz="0" w:space="0" w:color="auto"/>
      </w:divBdr>
    </w:div>
    <w:div w:id="426655128">
      <w:bodyDiv w:val="1"/>
      <w:marLeft w:val="0"/>
      <w:marRight w:val="0"/>
      <w:marTop w:val="0"/>
      <w:marBottom w:val="0"/>
      <w:divBdr>
        <w:top w:val="none" w:sz="0" w:space="0" w:color="auto"/>
        <w:left w:val="none" w:sz="0" w:space="0" w:color="auto"/>
        <w:bottom w:val="none" w:sz="0" w:space="0" w:color="auto"/>
        <w:right w:val="none" w:sz="0" w:space="0" w:color="auto"/>
      </w:divBdr>
    </w:div>
    <w:div w:id="429785719">
      <w:bodyDiv w:val="1"/>
      <w:marLeft w:val="0"/>
      <w:marRight w:val="0"/>
      <w:marTop w:val="0"/>
      <w:marBottom w:val="0"/>
      <w:divBdr>
        <w:top w:val="none" w:sz="0" w:space="0" w:color="auto"/>
        <w:left w:val="none" w:sz="0" w:space="0" w:color="auto"/>
        <w:bottom w:val="none" w:sz="0" w:space="0" w:color="auto"/>
        <w:right w:val="none" w:sz="0" w:space="0" w:color="auto"/>
      </w:divBdr>
    </w:div>
    <w:div w:id="430126221">
      <w:bodyDiv w:val="1"/>
      <w:marLeft w:val="0"/>
      <w:marRight w:val="0"/>
      <w:marTop w:val="0"/>
      <w:marBottom w:val="0"/>
      <w:divBdr>
        <w:top w:val="none" w:sz="0" w:space="0" w:color="auto"/>
        <w:left w:val="none" w:sz="0" w:space="0" w:color="auto"/>
        <w:bottom w:val="none" w:sz="0" w:space="0" w:color="auto"/>
        <w:right w:val="none" w:sz="0" w:space="0" w:color="auto"/>
      </w:divBdr>
    </w:div>
    <w:div w:id="430784437">
      <w:bodyDiv w:val="1"/>
      <w:marLeft w:val="0"/>
      <w:marRight w:val="0"/>
      <w:marTop w:val="0"/>
      <w:marBottom w:val="0"/>
      <w:divBdr>
        <w:top w:val="none" w:sz="0" w:space="0" w:color="auto"/>
        <w:left w:val="none" w:sz="0" w:space="0" w:color="auto"/>
        <w:bottom w:val="none" w:sz="0" w:space="0" w:color="auto"/>
        <w:right w:val="none" w:sz="0" w:space="0" w:color="auto"/>
      </w:divBdr>
    </w:div>
    <w:div w:id="433674676">
      <w:bodyDiv w:val="1"/>
      <w:marLeft w:val="0"/>
      <w:marRight w:val="0"/>
      <w:marTop w:val="0"/>
      <w:marBottom w:val="0"/>
      <w:divBdr>
        <w:top w:val="none" w:sz="0" w:space="0" w:color="auto"/>
        <w:left w:val="none" w:sz="0" w:space="0" w:color="auto"/>
        <w:bottom w:val="none" w:sz="0" w:space="0" w:color="auto"/>
        <w:right w:val="none" w:sz="0" w:space="0" w:color="auto"/>
      </w:divBdr>
    </w:div>
    <w:div w:id="433984727">
      <w:bodyDiv w:val="1"/>
      <w:marLeft w:val="0"/>
      <w:marRight w:val="0"/>
      <w:marTop w:val="0"/>
      <w:marBottom w:val="0"/>
      <w:divBdr>
        <w:top w:val="none" w:sz="0" w:space="0" w:color="auto"/>
        <w:left w:val="none" w:sz="0" w:space="0" w:color="auto"/>
        <w:bottom w:val="none" w:sz="0" w:space="0" w:color="auto"/>
        <w:right w:val="none" w:sz="0" w:space="0" w:color="auto"/>
      </w:divBdr>
    </w:div>
    <w:div w:id="434250978">
      <w:bodyDiv w:val="1"/>
      <w:marLeft w:val="0"/>
      <w:marRight w:val="0"/>
      <w:marTop w:val="0"/>
      <w:marBottom w:val="0"/>
      <w:divBdr>
        <w:top w:val="none" w:sz="0" w:space="0" w:color="auto"/>
        <w:left w:val="none" w:sz="0" w:space="0" w:color="auto"/>
        <w:bottom w:val="none" w:sz="0" w:space="0" w:color="auto"/>
        <w:right w:val="none" w:sz="0" w:space="0" w:color="auto"/>
      </w:divBdr>
    </w:div>
    <w:div w:id="434904855">
      <w:bodyDiv w:val="1"/>
      <w:marLeft w:val="0"/>
      <w:marRight w:val="0"/>
      <w:marTop w:val="0"/>
      <w:marBottom w:val="0"/>
      <w:divBdr>
        <w:top w:val="none" w:sz="0" w:space="0" w:color="auto"/>
        <w:left w:val="none" w:sz="0" w:space="0" w:color="auto"/>
        <w:bottom w:val="none" w:sz="0" w:space="0" w:color="auto"/>
        <w:right w:val="none" w:sz="0" w:space="0" w:color="auto"/>
      </w:divBdr>
    </w:div>
    <w:div w:id="436096185">
      <w:bodyDiv w:val="1"/>
      <w:marLeft w:val="0"/>
      <w:marRight w:val="0"/>
      <w:marTop w:val="0"/>
      <w:marBottom w:val="0"/>
      <w:divBdr>
        <w:top w:val="none" w:sz="0" w:space="0" w:color="auto"/>
        <w:left w:val="none" w:sz="0" w:space="0" w:color="auto"/>
        <w:bottom w:val="none" w:sz="0" w:space="0" w:color="auto"/>
        <w:right w:val="none" w:sz="0" w:space="0" w:color="auto"/>
      </w:divBdr>
    </w:div>
    <w:div w:id="436289209">
      <w:bodyDiv w:val="1"/>
      <w:marLeft w:val="0"/>
      <w:marRight w:val="0"/>
      <w:marTop w:val="0"/>
      <w:marBottom w:val="0"/>
      <w:divBdr>
        <w:top w:val="none" w:sz="0" w:space="0" w:color="auto"/>
        <w:left w:val="none" w:sz="0" w:space="0" w:color="auto"/>
        <w:bottom w:val="none" w:sz="0" w:space="0" w:color="auto"/>
        <w:right w:val="none" w:sz="0" w:space="0" w:color="auto"/>
      </w:divBdr>
    </w:div>
    <w:div w:id="436488018">
      <w:bodyDiv w:val="1"/>
      <w:marLeft w:val="0"/>
      <w:marRight w:val="0"/>
      <w:marTop w:val="0"/>
      <w:marBottom w:val="0"/>
      <w:divBdr>
        <w:top w:val="none" w:sz="0" w:space="0" w:color="auto"/>
        <w:left w:val="none" w:sz="0" w:space="0" w:color="auto"/>
        <w:bottom w:val="none" w:sz="0" w:space="0" w:color="auto"/>
        <w:right w:val="none" w:sz="0" w:space="0" w:color="auto"/>
      </w:divBdr>
    </w:div>
    <w:div w:id="437723228">
      <w:bodyDiv w:val="1"/>
      <w:marLeft w:val="0"/>
      <w:marRight w:val="0"/>
      <w:marTop w:val="0"/>
      <w:marBottom w:val="0"/>
      <w:divBdr>
        <w:top w:val="none" w:sz="0" w:space="0" w:color="auto"/>
        <w:left w:val="none" w:sz="0" w:space="0" w:color="auto"/>
        <w:bottom w:val="none" w:sz="0" w:space="0" w:color="auto"/>
        <w:right w:val="none" w:sz="0" w:space="0" w:color="auto"/>
      </w:divBdr>
    </w:div>
    <w:div w:id="440533231">
      <w:bodyDiv w:val="1"/>
      <w:marLeft w:val="0"/>
      <w:marRight w:val="0"/>
      <w:marTop w:val="0"/>
      <w:marBottom w:val="0"/>
      <w:divBdr>
        <w:top w:val="none" w:sz="0" w:space="0" w:color="auto"/>
        <w:left w:val="none" w:sz="0" w:space="0" w:color="auto"/>
        <w:bottom w:val="none" w:sz="0" w:space="0" w:color="auto"/>
        <w:right w:val="none" w:sz="0" w:space="0" w:color="auto"/>
      </w:divBdr>
    </w:div>
    <w:div w:id="441614206">
      <w:bodyDiv w:val="1"/>
      <w:marLeft w:val="0"/>
      <w:marRight w:val="0"/>
      <w:marTop w:val="0"/>
      <w:marBottom w:val="0"/>
      <w:divBdr>
        <w:top w:val="none" w:sz="0" w:space="0" w:color="auto"/>
        <w:left w:val="none" w:sz="0" w:space="0" w:color="auto"/>
        <w:bottom w:val="none" w:sz="0" w:space="0" w:color="auto"/>
        <w:right w:val="none" w:sz="0" w:space="0" w:color="auto"/>
      </w:divBdr>
    </w:div>
    <w:div w:id="441925116">
      <w:bodyDiv w:val="1"/>
      <w:marLeft w:val="0"/>
      <w:marRight w:val="0"/>
      <w:marTop w:val="0"/>
      <w:marBottom w:val="0"/>
      <w:divBdr>
        <w:top w:val="none" w:sz="0" w:space="0" w:color="auto"/>
        <w:left w:val="none" w:sz="0" w:space="0" w:color="auto"/>
        <w:bottom w:val="none" w:sz="0" w:space="0" w:color="auto"/>
        <w:right w:val="none" w:sz="0" w:space="0" w:color="auto"/>
      </w:divBdr>
    </w:div>
    <w:div w:id="442186124">
      <w:bodyDiv w:val="1"/>
      <w:marLeft w:val="0"/>
      <w:marRight w:val="0"/>
      <w:marTop w:val="0"/>
      <w:marBottom w:val="0"/>
      <w:divBdr>
        <w:top w:val="none" w:sz="0" w:space="0" w:color="auto"/>
        <w:left w:val="none" w:sz="0" w:space="0" w:color="auto"/>
        <w:bottom w:val="none" w:sz="0" w:space="0" w:color="auto"/>
        <w:right w:val="none" w:sz="0" w:space="0" w:color="auto"/>
      </w:divBdr>
    </w:div>
    <w:div w:id="442309358">
      <w:bodyDiv w:val="1"/>
      <w:marLeft w:val="0"/>
      <w:marRight w:val="0"/>
      <w:marTop w:val="0"/>
      <w:marBottom w:val="0"/>
      <w:divBdr>
        <w:top w:val="none" w:sz="0" w:space="0" w:color="auto"/>
        <w:left w:val="none" w:sz="0" w:space="0" w:color="auto"/>
        <w:bottom w:val="none" w:sz="0" w:space="0" w:color="auto"/>
        <w:right w:val="none" w:sz="0" w:space="0" w:color="auto"/>
      </w:divBdr>
    </w:div>
    <w:div w:id="444546610">
      <w:bodyDiv w:val="1"/>
      <w:marLeft w:val="0"/>
      <w:marRight w:val="0"/>
      <w:marTop w:val="0"/>
      <w:marBottom w:val="0"/>
      <w:divBdr>
        <w:top w:val="none" w:sz="0" w:space="0" w:color="auto"/>
        <w:left w:val="none" w:sz="0" w:space="0" w:color="auto"/>
        <w:bottom w:val="none" w:sz="0" w:space="0" w:color="auto"/>
        <w:right w:val="none" w:sz="0" w:space="0" w:color="auto"/>
      </w:divBdr>
    </w:div>
    <w:div w:id="445470337">
      <w:bodyDiv w:val="1"/>
      <w:marLeft w:val="0"/>
      <w:marRight w:val="0"/>
      <w:marTop w:val="0"/>
      <w:marBottom w:val="0"/>
      <w:divBdr>
        <w:top w:val="none" w:sz="0" w:space="0" w:color="auto"/>
        <w:left w:val="none" w:sz="0" w:space="0" w:color="auto"/>
        <w:bottom w:val="none" w:sz="0" w:space="0" w:color="auto"/>
        <w:right w:val="none" w:sz="0" w:space="0" w:color="auto"/>
      </w:divBdr>
    </w:div>
    <w:div w:id="445538174">
      <w:bodyDiv w:val="1"/>
      <w:marLeft w:val="0"/>
      <w:marRight w:val="0"/>
      <w:marTop w:val="0"/>
      <w:marBottom w:val="0"/>
      <w:divBdr>
        <w:top w:val="none" w:sz="0" w:space="0" w:color="auto"/>
        <w:left w:val="none" w:sz="0" w:space="0" w:color="auto"/>
        <w:bottom w:val="none" w:sz="0" w:space="0" w:color="auto"/>
        <w:right w:val="none" w:sz="0" w:space="0" w:color="auto"/>
      </w:divBdr>
    </w:div>
    <w:div w:id="446629276">
      <w:bodyDiv w:val="1"/>
      <w:marLeft w:val="0"/>
      <w:marRight w:val="0"/>
      <w:marTop w:val="0"/>
      <w:marBottom w:val="0"/>
      <w:divBdr>
        <w:top w:val="none" w:sz="0" w:space="0" w:color="auto"/>
        <w:left w:val="none" w:sz="0" w:space="0" w:color="auto"/>
        <w:bottom w:val="none" w:sz="0" w:space="0" w:color="auto"/>
        <w:right w:val="none" w:sz="0" w:space="0" w:color="auto"/>
      </w:divBdr>
    </w:div>
    <w:div w:id="448856975">
      <w:bodyDiv w:val="1"/>
      <w:marLeft w:val="0"/>
      <w:marRight w:val="0"/>
      <w:marTop w:val="0"/>
      <w:marBottom w:val="0"/>
      <w:divBdr>
        <w:top w:val="none" w:sz="0" w:space="0" w:color="auto"/>
        <w:left w:val="none" w:sz="0" w:space="0" w:color="auto"/>
        <w:bottom w:val="none" w:sz="0" w:space="0" w:color="auto"/>
        <w:right w:val="none" w:sz="0" w:space="0" w:color="auto"/>
      </w:divBdr>
    </w:div>
    <w:div w:id="448940985">
      <w:bodyDiv w:val="1"/>
      <w:marLeft w:val="0"/>
      <w:marRight w:val="0"/>
      <w:marTop w:val="0"/>
      <w:marBottom w:val="0"/>
      <w:divBdr>
        <w:top w:val="none" w:sz="0" w:space="0" w:color="auto"/>
        <w:left w:val="none" w:sz="0" w:space="0" w:color="auto"/>
        <w:bottom w:val="none" w:sz="0" w:space="0" w:color="auto"/>
        <w:right w:val="none" w:sz="0" w:space="0" w:color="auto"/>
      </w:divBdr>
    </w:div>
    <w:div w:id="449400647">
      <w:bodyDiv w:val="1"/>
      <w:marLeft w:val="0"/>
      <w:marRight w:val="0"/>
      <w:marTop w:val="0"/>
      <w:marBottom w:val="0"/>
      <w:divBdr>
        <w:top w:val="none" w:sz="0" w:space="0" w:color="auto"/>
        <w:left w:val="none" w:sz="0" w:space="0" w:color="auto"/>
        <w:bottom w:val="none" w:sz="0" w:space="0" w:color="auto"/>
        <w:right w:val="none" w:sz="0" w:space="0" w:color="auto"/>
      </w:divBdr>
    </w:div>
    <w:div w:id="449907307">
      <w:bodyDiv w:val="1"/>
      <w:marLeft w:val="0"/>
      <w:marRight w:val="0"/>
      <w:marTop w:val="0"/>
      <w:marBottom w:val="0"/>
      <w:divBdr>
        <w:top w:val="none" w:sz="0" w:space="0" w:color="auto"/>
        <w:left w:val="none" w:sz="0" w:space="0" w:color="auto"/>
        <w:bottom w:val="none" w:sz="0" w:space="0" w:color="auto"/>
        <w:right w:val="none" w:sz="0" w:space="0" w:color="auto"/>
      </w:divBdr>
    </w:div>
    <w:div w:id="450634043">
      <w:bodyDiv w:val="1"/>
      <w:marLeft w:val="0"/>
      <w:marRight w:val="0"/>
      <w:marTop w:val="0"/>
      <w:marBottom w:val="0"/>
      <w:divBdr>
        <w:top w:val="none" w:sz="0" w:space="0" w:color="auto"/>
        <w:left w:val="none" w:sz="0" w:space="0" w:color="auto"/>
        <w:bottom w:val="none" w:sz="0" w:space="0" w:color="auto"/>
        <w:right w:val="none" w:sz="0" w:space="0" w:color="auto"/>
      </w:divBdr>
    </w:div>
    <w:div w:id="451676454">
      <w:bodyDiv w:val="1"/>
      <w:marLeft w:val="0"/>
      <w:marRight w:val="0"/>
      <w:marTop w:val="0"/>
      <w:marBottom w:val="0"/>
      <w:divBdr>
        <w:top w:val="none" w:sz="0" w:space="0" w:color="auto"/>
        <w:left w:val="none" w:sz="0" w:space="0" w:color="auto"/>
        <w:bottom w:val="none" w:sz="0" w:space="0" w:color="auto"/>
        <w:right w:val="none" w:sz="0" w:space="0" w:color="auto"/>
      </w:divBdr>
    </w:div>
    <w:div w:id="451873203">
      <w:bodyDiv w:val="1"/>
      <w:marLeft w:val="0"/>
      <w:marRight w:val="0"/>
      <w:marTop w:val="0"/>
      <w:marBottom w:val="0"/>
      <w:divBdr>
        <w:top w:val="none" w:sz="0" w:space="0" w:color="auto"/>
        <w:left w:val="none" w:sz="0" w:space="0" w:color="auto"/>
        <w:bottom w:val="none" w:sz="0" w:space="0" w:color="auto"/>
        <w:right w:val="none" w:sz="0" w:space="0" w:color="auto"/>
      </w:divBdr>
    </w:div>
    <w:div w:id="451902897">
      <w:bodyDiv w:val="1"/>
      <w:marLeft w:val="0"/>
      <w:marRight w:val="0"/>
      <w:marTop w:val="0"/>
      <w:marBottom w:val="0"/>
      <w:divBdr>
        <w:top w:val="none" w:sz="0" w:space="0" w:color="auto"/>
        <w:left w:val="none" w:sz="0" w:space="0" w:color="auto"/>
        <w:bottom w:val="none" w:sz="0" w:space="0" w:color="auto"/>
        <w:right w:val="none" w:sz="0" w:space="0" w:color="auto"/>
      </w:divBdr>
    </w:div>
    <w:div w:id="452334362">
      <w:bodyDiv w:val="1"/>
      <w:marLeft w:val="0"/>
      <w:marRight w:val="0"/>
      <w:marTop w:val="0"/>
      <w:marBottom w:val="0"/>
      <w:divBdr>
        <w:top w:val="none" w:sz="0" w:space="0" w:color="auto"/>
        <w:left w:val="none" w:sz="0" w:space="0" w:color="auto"/>
        <w:bottom w:val="none" w:sz="0" w:space="0" w:color="auto"/>
        <w:right w:val="none" w:sz="0" w:space="0" w:color="auto"/>
      </w:divBdr>
    </w:div>
    <w:div w:id="452482057">
      <w:bodyDiv w:val="1"/>
      <w:marLeft w:val="0"/>
      <w:marRight w:val="0"/>
      <w:marTop w:val="0"/>
      <w:marBottom w:val="0"/>
      <w:divBdr>
        <w:top w:val="none" w:sz="0" w:space="0" w:color="auto"/>
        <w:left w:val="none" w:sz="0" w:space="0" w:color="auto"/>
        <w:bottom w:val="none" w:sz="0" w:space="0" w:color="auto"/>
        <w:right w:val="none" w:sz="0" w:space="0" w:color="auto"/>
      </w:divBdr>
    </w:div>
    <w:div w:id="453330724">
      <w:bodyDiv w:val="1"/>
      <w:marLeft w:val="0"/>
      <w:marRight w:val="0"/>
      <w:marTop w:val="0"/>
      <w:marBottom w:val="0"/>
      <w:divBdr>
        <w:top w:val="none" w:sz="0" w:space="0" w:color="auto"/>
        <w:left w:val="none" w:sz="0" w:space="0" w:color="auto"/>
        <w:bottom w:val="none" w:sz="0" w:space="0" w:color="auto"/>
        <w:right w:val="none" w:sz="0" w:space="0" w:color="auto"/>
      </w:divBdr>
    </w:div>
    <w:div w:id="454057708">
      <w:bodyDiv w:val="1"/>
      <w:marLeft w:val="0"/>
      <w:marRight w:val="0"/>
      <w:marTop w:val="0"/>
      <w:marBottom w:val="0"/>
      <w:divBdr>
        <w:top w:val="none" w:sz="0" w:space="0" w:color="auto"/>
        <w:left w:val="none" w:sz="0" w:space="0" w:color="auto"/>
        <w:bottom w:val="none" w:sz="0" w:space="0" w:color="auto"/>
        <w:right w:val="none" w:sz="0" w:space="0" w:color="auto"/>
      </w:divBdr>
    </w:div>
    <w:div w:id="454101069">
      <w:bodyDiv w:val="1"/>
      <w:marLeft w:val="0"/>
      <w:marRight w:val="0"/>
      <w:marTop w:val="0"/>
      <w:marBottom w:val="0"/>
      <w:divBdr>
        <w:top w:val="none" w:sz="0" w:space="0" w:color="auto"/>
        <w:left w:val="none" w:sz="0" w:space="0" w:color="auto"/>
        <w:bottom w:val="none" w:sz="0" w:space="0" w:color="auto"/>
        <w:right w:val="none" w:sz="0" w:space="0" w:color="auto"/>
      </w:divBdr>
    </w:div>
    <w:div w:id="454956165">
      <w:bodyDiv w:val="1"/>
      <w:marLeft w:val="0"/>
      <w:marRight w:val="0"/>
      <w:marTop w:val="0"/>
      <w:marBottom w:val="0"/>
      <w:divBdr>
        <w:top w:val="none" w:sz="0" w:space="0" w:color="auto"/>
        <w:left w:val="none" w:sz="0" w:space="0" w:color="auto"/>
        <w:bottom w:val="none" w:sz="0" w:space="0" w:color="auto"/>
        <w:right w:val="none" w:sz="0" w:space="0" w:color="auto"/>
      </w:divBdr>
    </w:div>
    <w:div w:id="455176067">
      <w:bodyDiv w:val="1"/>
      <w:marLeft w:val="0"/>
      <w:marRight w:val="0"/>
      <w:marTop w:val="0"/>
      <w:marBottom w:val="0"/>
      <w:divBdr>
        <w:top w:val="none" w:sz="0" w:space="0" w:color="auto"/>
        <w:left w:val="none" w:sz="0" w:space="0" w:color="auto"/>
        <w:bottom w:val="none" w:sz="0" w:space="0" w:color="auto"/>
        <w:right w:val="none" w:sz="0" w:space="0" w:color="auto"/>
      </w:divBdr>
    </w:div>
    <w:div w:id="455488917">
      <w:bodyDiv w:val="1"/>
      <w:marLeft w:val="0"/>
      <w:marRight w:val="0"/>
      <w:marTop w:val="0"/>
      <w:marBottom w:val="0"/>
      <w:divBdr>
        <w:top w:val="none" w:sz="0" w:space="0" w:color="auto"/>
        <w:left w:val="none" w:sz="0" w:space="0" w:color="auto"/>
        <w:bottom w:val="none" w:sz="0" w:space="0" w:color="auto"/>
        <w:right w:val="none" w:sz="0" w:space="0" w:color="auto"/>
      </w:divBdr>
    </w:div>
    <w:div w:id="456031060">
      <w:bodyDiv w:val="1"/>
      <w:marLeft w:val="0"/>
      <w:marRight w:val="0"/>
      <w:marTop w:val="0"/>
      <w:marBottom w:val="0"/>
      <w:divBdr>
        <w:top w:val="none" w:sz="0" w:space="0" w:color="auto"/>
        <w:left w:val="none" w:sz="0" w:space="0" w:color="auto"/>
        <w:bottom w:val="none" w:sz="0" w:space="0" w:color="auto"/>
        <w:right w:val="none" w:sz="0" w:space="0" w:color="auto"/>
      </w:divBdr>
    </w:div>
    <w:div w:id="458063569">
      <w:bodyDiv w:val="1"/>
      <w:marLeft w:val="0"/>
      <w:marRight w:val="0"/>
      <w:marTop w:val="0"/>
      <w:marBottom w:val="0"/>
      <w:divBdr>
        <w:top w:val="none" w:sz="0" w:space="0" w:color="auto"/>
        <w:left w:val="none" w:sz="0" w:space="0" w:color="auto"/>
        <w:bottom w:val="none" w:sz="0" w:space="0" w:color="auto"/>
        <w:right w:val="none" w:sz="0" w:space="0" w:color="auto"/>
      </w:divBdr>
    </w:div>
    <w:div w:id="458718263">
      <w:bodyDiv w:val="1"/>
      <w:marLeft w:val="0"/>
      <w:marRight w:val="0"/>
      <w:marTop w:val="0"/>
      <w:marBottom w:val="0"/>
      <w:divBdr>
        <w:top w:val="none" w:sz="0" w:space="0" w:color="auto"/>
        <w:left w:val="none" w:sz="0" w:space="0" w:color="auto"/>
        <w:bottom w:val="none" w:sz="0" w:space="0" w:color="auto"/>
        <w:right w:val="none" w:sz="0" w:space="0" w:color="auto"/>
      </w:divBdr>
    </w:div>
    <w:div w:id="459304545">
      <w:bodyDiv w:val="1"/>
      <w:marLeft w:val="0"/>
      <w:marRight w:val="0"/>
      <w:marTop w:val="0"/>
      <w:marBottom w:val="0"/>
      <w:divBdr>
        <w:top w:val="none" w:sz="0" w:space="0" w:color="auto"/>
        <w:left w:val="none" w:sz="0" w:space="0" w:color="auto"/>
        <w:bottom w:val="none" w:sz="0" w:space="0" w:color="auto"/>
        <w:right w:val="none" w:sz="0" w:space="0" w:color="auto"/>
      </w:divBdr>
    </w:div>
    <w:div w:id="459763078">
      <w:bodyDiv w:val="1"/>
      <w:marLeft w:val="0"/>
      <w:marRight w:val="0"/>
      <w:marTop w:val="0"/>
      <w:marBottom w:val="0"/>
      <w:divBdr>
        <w:top w:val="none" w:sz="0" w:space="0" w:color="auto"/>
        <w:left w:val="none" w:sz="0" w:space="0" w:color="auto"/>
        <w:bottom w:val="none" w:sz="0" w:space="0" w:color="auto"/>
        <w:right w:val="none" w:sz="0" w:space="0" w:color="auto"/>
      </w:divBdr>
    </w:div>
    <w:div w:id="459957194">
      <w:bodyDiv w:val="1"/>
      <w:marLeft w:val="0"/>
      <w:marRight w:val="0"/>
      <w:marTop w:val="0"/>
      <w:marBottom w:val="0"/>
      <w:divBdr>
        <w:top w:val="none" w:sz="0" w:space="0" w:color="auto"/>
        <w:left w:val="none" w:sz="0" w:space="0" w:color="auto"/>
        <w:bottom w:val="none" w:sz="0" w:space="0" w:color="auto"/>
        <w:right w:val="none" w:sz="0" w:space="0" w:color="auto"/>
      </w:divBdr>
    </w:div>
    <w:div w:id="460463518">
      <w:bodyDiv w:val="1"/>
      <w:marLeft w:val="0"/>
      <w:marRight w:val="0"/>
      <w:marTop w:val="0"/>
      <w:marBottom w:val="0"/>
      <w:divBdr>
        <w:top w:val="none" w:sz="0" w:space="0" w:color="auto"/>
        <w:left w:val="none" w:sz="0" w:space="0" w:color="auto"/>
        <w:bottom w:val="none" w:sz="0" w:space="0" w:color="auto"/>
        <w:right w:val="none" w:sz="0" w:space="0" w:color="auto"/>
      </w:divBdr>
    </w:div>
    <w:div w:id="460996054">
      <w:bodyDiv w:val="1"/>
      <w:marLeft w:val="0"/>
      <w:marRight w:val="0"/>
      <w:marTop w:val="0"/>
      <w:marBottom w:val="0"/>
      <w:divBdr>
        <w:top w:val="none" w:sz="0" w:space="0" w:color="auto"/>
        <w:left w:val="none" w:sz="0" w:space="0" w:color="auto"/>
        <w:bottom w:val="none" w:sz="0" w:space="0" w:color="auto"/>
        <w:right w:val="none" w:sz="0" w:space="0" w:color="auto"/>
      </w:divBdr>
    </w:div>
    <w:div w:id="461272078">
      <w:bodyDiv w:val="1"/>
      <w:marLeft w:val="0"/>
      <w:marRight w:val="0"/>
      <w:marTop w:val="0"/>
      <w:marBottom w:val="0"/>
      <w:divBdr>
        <w:top w:val="none" w:sz="0" w:space="0" w:color="auto"/>
        <w:left w:val="none" w:sz="0" w:space="0" w:color="auto"/>
        <w:bottom w:val="none" w:sz="0" w:space="0" w:color="auto"/>
        <w:right w:val="none" w:sz="0" w:space="0" w:color="auto"/>
      </w:divBdr>
    </w:div>
    <w:div w:id="461460209">
      <w:bodyDiv w:val="1"/>
      <w:marLeft w:val="0"/>
      <w:marRight w:val="0"/>
      <w:marTop w:val="0"/>
      <w:marBottom w:val="0"/>
      <w:divBdr>
        <w:top w:val="none" w:sz="0" w:space="0" w:color="auto"/>
        <w:left w:val="none" w:sz="0" w:space="0" w:color="auto"/>
        <w:bottom w:val="none" w:sz="0" w:space="0" w:color="auto"/>
        <w:right w:val="none" w:sz="0" w:space="0" w:color="auto"/>
      </w:divBdr>
    </w:div>
    <w:div w:id="461729432">
      <w:bodyDiv w:val="1"/>
      <w:marLeft w:val="0"/>
      <w:marRight w:val="0"/>
      <w:marTop w:val="0"/>
      <w:marBottom w:val="0"/>
      <w:divBdr>
        <w:top w:val="none" w:sz="0" w:space="0" w:color="auto"/>
        <w:left w:val="none" w:sz="0" w:space="0" w:color="auto"/>
        <w:bottom w:val="none" w:sz="0" w:space="0" w:color="auto"/>
        <w:right w:val="none" w:sz="0" w:space="0" w:color="auto"/>
      </w:divBdr>
    </w:div>
    <w:div w:id="463163846">
      <w:bodyDiv w:val="1"/>
      <w:marLeft w:val="0"/>
      <w:marRight w:val="0"/>
      <w:marTop w:val="0"/>
      <w:marBottom w:val="0"/>
      <w:divBdr>
        <w:top w:val="none" w:sz="0" w:space="0" w:color="auto"/>
        <w:left w:val="none" w:sz="0" w:space="0" w:color="auto"/>
        <w:bottom w:val="none" w:sz="0" w:space="0" w:color="auto"/>
        <w:right w:val="none" w:sz="0" w:space="0" w:color="auto"/>
      </w:divBdr>
    </w:div>
    <w:div w:id="463499359">
      <w:bodyDiv w:val="1"/>
      <w:marLeft w:val="0"/>
      <w:marRight w:val="0"/>
      <w:marTop w:val="0"/>
      <w:marBottom w:val="0"/>
      <w:divBdr>
        <w:top w:val="none" w:sz="0" w:space="0" w:color="auto"/>
        <w:left w:val="none" w:sz="0" w:space="0" w:color="auto"/>
        <w:bottom w:val="none" w:sz="0" w:space="0" w:color="auto"/>
        <w:right w:val="none" w:sz="0" w:space="0" w:color="auto"/>
      </w:divBdr>
    </w:div>
    <w:div w:id="463810344">
      <w:bodyDiv w:val="1"/>
      <w:marLeft w:val="0"/>
      <w:marRight w:val="0"/>
      <w:marTop w:val="0"/>
      <w:marBottom w:val="0"/>
      <w:divBdr>
        <w:top w:val="none" w:sz="0" w:space="0" w:color="auto"/>
        <w:left w:val="none" w:sz="0" w:space="0" w:color="auto"/>
        <w:bottom w:val="none" w:sz="0" w:space="0" w:color="auto"/>
        <w:right w:val="none" w:sz="0" w:space="0" w:color="auto"/>
      </w:divBdr>
    </w:div>
    <w:div w:id="465123810">
      <w:bodyDiv w:val="1"/>
      <w:marLeft w:val="0"/>
      <w:marRight w:val="0"/>
      <w:marTop w:val="0"/>
      <w:marBottom w:val="0"/>
      <w:divBdr>
        <w:top w:val="none" w:sz="0" w:space="0" w:color="auto"/>
        <w:left w:val="none" w:sz="0" w:space="0" w:color="auto"/>
        <w:bottom w:val="none" w:sz="0" w:space="0" w:color="auto"/>
        <w:right w:val="none" w:sz="0" w:space="0" w:color="auto"/>
      </w:divBdr>
    </w:div>
    <w:div w:id="465507061">
      <w:bodyDiv w:val="1"/>
      <w:marLeft w:val="0"/>
      <w:marRight w:val="0"/>
      <w:marTop w:val="0"/>
      <w:marBottom w:val="0"/>
      <w:divBdr>
        <w:top w:val="none" w:sz="0" w:space="0" w:color="auto"/>
        <w:left w:val="none" w:sz="0" w:space="0" w:color="auto"/>
        <w:bottom w:val="none" w:sz="0" w:space="0" w:color="auto"/>
        <w:right w:val="none" w:sz="0" w:space="0" w:color="auto"/>
      </w:divBdr>
    </w:div>
    <w:div w:id="468321932">
      <w:bodyDiv w:val="1"/>
      <w:marLeft w:val="0"/>
      <w:marRight w:val="0"/>
      <w:marTop w:val="0"/>
      <w:marBottom w:val="0"/>
      <w:divBdr>
        <w:top w:val="none" w:sz="0" w:space="0" w:color="auto"/>
        <w:left w:val="none" w:sz="0" w:space="0" w:color="auto"/>
        <w:bottom w:val="none" w:sz="0" w:space="0" w:color="auto"/>
        <w:right w:val="none" w:sz="0" w:space="0" w:color="auto"/>
      </w:divBdr>
    </w:div>
    <w:div w:id="469250135">
      <w:bodyDiv w:val="1"/>
      <w:marLeft w:val="0"/>
      <w:marRight w:val="0"/>
      <w:marTop w:val="0"/>
      <w:marBottom w:val="0"/>
      <w:divBdr>
        <w:top w:val="none" w:sz="0" w:space="0" w:color="auto"/>
        <w:left w:val="none" w:sz="0" w:space="0" w:color="auto"/>
        <w:bottom w:val="none" w:sz="0" w:space="0" w:color="auto"/>
        <w:right w:val="none" w:sz="0" w:space="0" w:color="auto"/>
      </w:divBdr>
    </w:div>
    <w:div w:id="469857967">
      <w:bodyDiv w:val="1"/>
      <w:marLeft w:val="0"/>
      <w:marRight w:val="0"/>
      <w:marTop w:val="0"/>
      <w:marBottom w:val="0"/>
      <w:divBdr>
        <w:top w:val="none" w:sz="0" w:space="0" w:color="auto"/>
        <w:left w:val="none" w:sz="0" w:space="0" w:color="auto"/>
        <w:bottom w:val="none" w:sz="0" w:space="0" w:color="auto"/>
        <w:right w:val="none" w:sz="0" w:space="0" w:color="auto"/>
      </w:divBdr>
    </w:div>
    <w:div w:id="471748751">
      <w:bodyDiv w:val="1"/>
      <w:marLeft w:val="0"/>
      <w:marRight w:val="0"/>
      <w:marTop w:val="0"/>
      <w:marBottom w:val="0"/>
      <w:divBdr>
        <w:top w:val="none" w:sz="0" w:space="0" w:color="auto"/>
        <w:left w:val="none" w:sz="0" w:space="0" w:color="auto"/>
        <w:bottom w:val="none" w:sz="0" w:space="0" w:color="auto"/>
        <w:right w:val="none" w:sz="0" w:space="0" w:color="auto"/>
      </w:divBdr>
    </w:div>
    <w:div w:id="472143157">
      <w:bodyDiv w:val="1"/>
      <w:marLeft w:val="0"/>
      <w:marRight w:val="0"/>
      <w:marTop w:val="0"/>
      <w:marBottom w:val="0"/>
      <w:divBdr>
        <w:top w:val="none" w:sz="0" w:space="0" w:color="auto"/>
        <w:left w:val="none" w:sz="0" w:space="0" w:color="auto"/>
        <w:bottom w:val="none" w:sz="0" w:space="0" w:color="auto"/>
        <w:right w:val="none" w:sz="0" w:space="0" w:color="auto"/>
      </w:divBdr>
    </w:div>
    <w:div w:id="473569692">
      <w:bodyDiv w:val="1"/>
      <w:marLeft w:val="0"/>
      <w:marRight w:val="0"/>
      <w:marTop w:val="0"/>
      <w:marBottom w:val="0"/>
      <w:divBdr>
        <w:top w:val="none" w:sz="0" w:space="0" w:color="auto"/>
        <w:left w:val="none" w:sz="0" w:space="0" w:color="auto"/>
        <w:bottom w:val="none" w:sz="0" w:space="0" w:color="auto"/>
        <w:right w:val="none" w:sz="0" w:space="0" w:color="auto"/>
      </w:divBdr>
    </w:div>
    <w:div w:id="473789819">
      <w:bodyDiv w:val="1"/>
      <w:marLeft w:val="0"/>
      <w:marRight w:val="0"/>
      <w:marTop w:val="0"/>
      <w:marBottom w:val="0"/>
      <w:divBdr>
        <w:top w:val="none" w:sz="0" w:space="0" w:color="auto"/>
        <w:left w:val="none" w:sz="0" w:space="0" w:color="auto"/>
        <w:bottom w:val="none" w:sz="0" w:space="0" w:color="auto"/>
        <w:right w:val="none" w:sz="0" w:space="0" w:color="auto"/>
      </w:divBdr>
    </w:div>
    <w:div w:id="474881478">
      <w:bodyDiv w:val="1"/>
      <w:marLeft w:val="0"/>
      <w:marRight w:val="0"/>
      <w:marTop w:val="0"/>
      <w:marBottom w:val="0"/>
      <w:divBdr>
        <w:top w:val="none" w:sz="0" w:space="0" w:color="auto"/>
        <w:left w:val="none" w:sz="0" w:space="0" w:color="auto"/>
        <w:bottom w:val="none" w:sz="0" w:space="0" w:color="auto"/>
        <w:right w:val="none" w:sz="0" w:space="0" w:color="auto"/>
      </w:divBdr>
    </w:div>
    <w:div w:id="475534873">
      <w:bodyDiv w:val="1"/>
      <w:marLeft w:val="0"/>
      <w:marRight w:val="0"/>
      <w:marTop w:val="0"/>
      <w:marBottom w:val="0"/>
      <w:divBdr>
        <w:top w:val="none" w:sz="0" w:space="0" w:color="auto"/>
        <w:left w:val="none" w:sz="0" w:space="0" w:color="auto"/>
        <w:bottom w:val="none" w:sz="0" w:space="0" w:color="auto"/>
        <w:right w:val="none" w:sz="0" w:space="0" w:color="auto"/>
      </w:divBdr>
    </w:div>
    <w:div w:id="476533060">
      <w:bodyDiv w:val="1"/>
      <w:marLeft w:val="0"/>
      <w:marRight w:val="0"/>
      <w:marTop w:val="0"/>
      <w:marBottom w:val="0"/>
      <w:divBdr>
        <w:top w:val="none" w:sz="0" w:space="0" w:color="auto"/>
        <w:left w:val="none" w:sz="0" w:space="0" w:color="auto"/>
        <w:bottom w:val="none" w:sz="0" w:space="0" w:color="auto"/>
        <w:right w:val="none" w:sz="0" w:space="0" w:color="auto"/>
      </w:divBdr>
    </w:div>
    <w:div w:id="477382675">
      <w:bodyDiv w:val="1"/>
      <w:marLeft w:val="0"/>
      <w:marRight w:val="0"/>
      <w:marTop w:val="0"/>
      <w:marBottom w:val="0"/>
      <w:divBdr>
        <w:top w:val="none" w:sz="0" w:space="0" w:color="auto"/>
        <w:left w:val="none" w:sz="0" w:space="0" w:color="auto"/>
        <w:bottom w:val="none" w:sz="0" w:space="0" w:color="auto"/>
        <w:right w:val="none" w:sz="0" w:space="0" w:color="auto"/>
      </w:divBdr>
    </w:div>
    <w:div w:id="477770208">
      <w:bodyDiv w:val="1"/>
      <w:marLeft w:val="0"/>
      <w:marRight w:val="0"/>
      <w:marTop w:val="0"/>
      <w:marBottom w:val="0"/>
      <w:divBdr>
        <w:top w:val="none" w:sz="0" w:space="0" w:color="auto"/>
        <w:left w:val="none" w:sz="0" w:space="0" w:color="auto"/>
        <w:bottom w:val="none" w:sz="0" w:space="0" w:color="auto"/>
        <w:right w:val="none" w:sz="0" w:space="0" w:color="auto"/>
      </w:divBdr>
    </w:div>
    <w:div w:id="479926579">
      <w:bodyDiv w:val="1"/>
      <w:marLeft w:val="0"/>
      <w:marRight w:val="0"/>
      <w:marTop w:val="0"/>
      <w:marBottom w:val="0"/>
      <w:divBdr>
        <w:top w:val="none" w:sz="0" w:space="0" w:color="auto"/>
        <w:left w:val="none" w:sz="0" w:space="0" w:color="auto"/>
        <w:bottom w:val="none" w:sz="0" w:space="0" w:color="auto"/>
        <w:right w:val="none" w:sz="0" w:space="0" w:color="auto"/>
      </w:divBdr>
    </w:div>
    <w:div w:id="480266690">
      <w:bodyDiv w:val="1"/>
      <w:marLeft w:val="0"/>
      <w:marRight w:val="0"/>
      <w:marTop w:val="0"/>
      <w:marBottom w:val="0"/>
      <w:divBdr>
        <w:top w:val="none" w:sz="0" w:space="0" w:color="auto"/>
        <w:left w:val="none" w:sz="0" w:space="0" w:color="auto"/>
        <w:bottom w:val="none" w:sz="0" w:space="0" w:color="auto"/>
        <w:right w:val="none" w:sz="0" w:space="0" w:color="auto"/>
      </w:divBdr>
    </w:div>
    <w:div w:id="480584163">
      <w:bodyDiv w:val="1"/>
      <w:marLeft w:val="0"/>
      <w:marRight w:val="0"/>
      <w:marTop w:val="0"/>
      <w:marBottom w:val="0"/>
      <w:divBdr>
        <w:top w:val="none" w:sz="0" w:space="0" w:color="auto"/>
        <w:left w:val="none" w:sz="0" w:space="0" w:color="auto"/>
        <w:bottom w:val="none" w:sz="0" w:space="0" w:color="auto"/>
        <w:right w:val="none" w:sz="0" w:space="0" w:color="auto"/>
      </w:divBdr>
    </w:div>
    <w:div w:id="481586676">
      <w:bodyDiv w:val="1"/>
      <w:marLeft w:val="0"/>
      <w:marRight w:val="0"/>
      <w:marTop w:val="0"/>
      <w:marBottom w:val="0"/>
      <w:divBdr>
        <w:top w:val="none" w:sz="0" w:space="0" w:color="auto"/>
        <w:left w:val="none" w:sz="0" w:space="0" w:color="auto"/>
        <w:bottom w:val="none" w:sz="0" w:space="0" w:color="auto"/>
        <w:right w:val="none" w:sz="0" w:space="0" w:color="auto"/>
      </w:divBdr>
    </w:div>
    <w:div w:id="481702049">
      <w:bodyDiv w:val="1"/>
      <w:marLeft w:val="0"/>
      <w:marRight w:val="0"/>
      <w:marTop w:val="0"/>
      <w:marBottom w:val="0"/>
      <w:divBdr>
        <w:top w:val="none" w:sz="0" w:space="0" w:color="auto"/>
        <w:left w:val="none" w:sz="0" w:space="0" w:color="auto"/>
        <w:bottom w:val="none" w:sz="0" w:space="0" w:color="auto"/>
        <w:right w:val="none" w:sz="0" w:space="0" w:color="auto"/>
      </w:divBdr>
    </w:div>
    <w:div w:id="481776681">
      <w:bodyDiv w:val="1"/>
      <w:marLeft w:val="0"/>
      <w:marRight w:val="0"/>
      <w:marTop w:val="0"/>
      <w:marBottom w:val="0"/>
      <w:divBdr>
        <w:top w:val="none" w:sz="0" w:space="0" w:color="auto"/>
        <w:left w:val="none" w:sz="0" w:space="0" w:color="auto"/>
        <w:bottom w:val="none" w:sz="0" w:space="0" w:color="auto"/>
        <w:right w:val="none" w:sz="0" w:space="0" w:color="auto"/>
      </w:divBdr>
    </w:div>
    <w:div w:id="481846881">
      <w:bodyDiv w:val="1"/>
      <w:marLeft w:val="0"/>
      <w:marRight w:val="0"/>
      <w:marTop w:val="0"/>
      <w:marBottom w:val="0"/>
      <w:divBdr>
        <w:top w:val="none" w:sz="0" w:space="0" w:color="auto"/>
        <w:left w:val="none" w:sz="0" w:space="0" w:color="auto"/>
        <w:bottom w:val="none" w:sz="0" w:space="0" w:color="auto"/>
        <w:right w:val="none" w:sz="0" w:space="0" w:color="auto"/>
      </w:divBdr>
    </w:div>
    <w:div w:id="482241728">
      <w:bodyDiv w:val="1"/>
      <w:marLeft w:val="0"/>
      <w:marRight w:val="0"/>
      <w:marTop w:val="0"/>
      <w:marBottom w:val="0"/>
      <w:divBdr>
        <w:top w:val="none" w:sz="0" w:space="0" w:color="auto"/>
        <w:left w:val="none" w:sz="0" w:space="0" w:color="auto"/>
        <w:bottom w:val="none" w:sz="0" w:space="0" w:color="auto"/>
        <w:right w:val="none" w:sz="0" w:space="0" w:color="auto"/>
      </w:divBdr>
    </w:div>
    <w:div w:id="482352191">
      <w:bodyDiv w:val="1"/>
      <w:marLeft w:val="0"/>
      <w:marRight w:val="0"/>
      <w:marTop w:val="0"/>
      <w:marBottom w:val="0"/>
      <w:divBdr>
        <w:top w:val="none" w:sz="0" w:space="0" w:color="auto"/>
        <w:left w:val="none" w:sz="0" w:space="0" w:color="auto"/>
        <w:bottom w:val="none" w:sz="0" w:space="0" w:color="auto"/>
        <w:right w:val="none" w:sz="0" w:space="0" w:color="auto"/>
      </w:divBdr>
    </w:div>
    <w:div w:id="482432690">
      <w:bodyDiv w:val="1"/>
      <w:marLeft w:val="0"/>
      <w:marRight w:val="0"/>
      <w:marTop w:val="0"/>
      <w:marBottom w:val="0"/>
      <w:divBdr>
        <w:top w:val="none" w:sz="0" w:space="0" w:color="auto"/>
        <w:left w:val="none" w:sz="0" w:space="0" w:color="auto"/>
        <w:bottom w:val="none" w:sz="0" w:space="0" w:color="auto"/>
        <w:right w:val="none" w:sz="0" w:space="0" w:color="auto"/>
      </w:divBdr>
    </w:div>
    <w:div w:id="483661400">
      <w:bodyDiv w:val="1"/>
      <w:marLeft w:val="0"/>
      <w:marRight w:val="0"/>
      <w:marTop w:val="0"/>
      <w:marBottom w:val="0"/>
      <w:divBdr>
        <w:top w:val="none" w:sz="0" w:space="0" w:color="auto"/>
        <w:left w:val="none" w:sz="0" w:space="0" w:color="auto"/>
        <w:bottom w:val="none" w:sz="0" w:space="0" w:color="auto"/>
        <w:right w:val="none" w:sz="0" w:space="0" w:color="auto"/>
      </w:divBdr>
    </w:div>
    <w:div w:id="484786112">
      <w:bodyDiv w:val="1"/>
      <w:marLeft w:val="0"/>
      <w:marRight w:val="0"/>
      <w:marTop w:val="0"/>
      <w:marBottom w:val="0"/>
      <w:divBdr>
        <w:top w:val="none" w:sz="0" w:space="0" w:color="auto"/>
        <w:left w:val="none" w:sz="0" w:space="0" w:color="auto"/>
        <w:bottom w:val="none" w:sz="0" w:space="0" w:color="auto"/>
        <w:right w:val="none" w:sz="0" w:space="0" w:color="auto"/>
      </w:divBdr>
    </w:div>
    <w:div w:id="485124808">
      <w:bodyDiv w:val="1"/>
      <w:marLeft w:val="0"/>
      <w:marRight w:val="0"/>
      <w:marTop w:val="0"/>
      <w:marBottom w:val="0"/>
      <w:divBdr>
        <w:top w:val="none" w:sz="0" w:space="0" w:color="auto"/>
        <w:left w:val="none" w:sz="0" w:space="0" w:color="auto"/>
        <w:bottom w:val="none" w:sz="0" w:space="0" w:color="auto"/>
        <w:right w:val="none" w:sz="0" w:space="0" w:color="auto"/>
      </w:divBdr>
    </w:div>
    <w:div w:id="486632994">
      <w:bodyDiv w:val="1"/>
      <w:marLeft w:val="0"/>
      <w:marRight w:val="0"/>
      <w:marTop w:val="0"/>
      <w:marBottom w:val="0"/>
      <w:divBdr>
        <w:top w:val="none" w:sz="0" w:space="0" w:color="auto"/>
        <w:left w:val="none" w:sz="0" w:space="0" w:color="auto"/>
        <w:bottom w:val="none" w:sz="0" w:space="0" w:color="auto"/>
        <w:right w:val="none" w:sz="0" w:space="0" w:color="auto"/>
      </w:divBdr>
    </w:div>
    <w:div w:id="487063678">
      <w:bodyDiv w:val="1"/>
      <w:marLeft w:val="0"/>
      <w:marRight w:val="0"/>
      <w:marTop w:val="0"/>
      <w:marBottom w:val="0"/>
      <w:divBdr>
        <w:top w:val="none" w:sz="0" w:space="0" w:color="auto"/>
        <w:left w:val="none" w:sz="0" w:space="0" w:color="auto"/>
        <w:bottom w:val="none" w:sz="0" w:space="0" w:color="auto"/>
        <w:right w:val="none" w:sz="0" w:space="0" w:color="auto"/>
      </w:divBdr>
    </w:div>
    <w:div w:id="487133561">
      <w:bodyDiv w:val="1"/>
      <w:marLeft w:val="0"/>
      <w:marRight w:val="0"/>
      <w:marTop w:val="0"/>
      <w:marBottom w:val="0"/>
      <w:divBdr>
        <w:top w:val="none" w:sz="0" w:space="0" w:color="auto"/>
        <w:left w:val="none" w:sz="0" w:space="0" w:color="auto"/>
        <w:bottom w:val="none" w:sz="0" w:space="0" w:color="auto"/>
        <w:right w:val="none" w:sz="0" w:space="0" w:color="auto"/>
      </w:divBdr>
    </w:div>
    <w:div w:id="488253461">
      <w:bodyDiv w:val="1"/>
      <w:marLeft w:val="0"/>
      <w:marRight w:val="0"/>
      <w:marTop w:val="0"/>
      <w:marBottom w:val="0"/>
      <w:divBdr>
        <w:top w:val="none" w:sz="0" w:space="0" w:color="auto"/>
        <w:left w:val="none" w:sz="0" w:space="0" w:color="auto"/>
        <w:bottom w:val="none" w:sz="0" w:space="0" w:color="auto"/>
        <w:right w:val="none" w:sz="0" w:space="0" w:color="auto"/>
      </w:divBdr>
    </w:div>
    <w:div w:id="488788563">
      <w:bodyDiv w:val="1"/>
      <w:marLeft w:val="0"/>
      <w:marRight w:val="0"/>
      <w:marTop w:val="0"/>
      <w:marBottom w:val="0"/>
      <w:divBdr>
        <w:top w:val="none" w:sz="0" w:space="0" w:color="auto"/>
        <w:left w:val="none" w:sz="0" w:space="0" w:color="auto"/>
        <w:bottom w:val="none" w:sz="0" w:space="0" w:color="auto"/>
        <w:right w:val="none" w:sz="0" w:space="0" w:color="auto"/>
      </w:divBdr>
    </w:div>
    <w:div w:id="488788873">
      <w:bodyDiv w:val="1"/>
      <w:marLeft w:val="0"/>
      <w:marRight w:val="0"/>
      <w:marTop w:val="0"/>
      <w:marBottom w:val="0"/>
      <w:divBdr>
        <w:top w:val="none" w:sz="0" w:space="0" w:color="auto"/>
        <w:left w:val="none" w:sz="0" w:space="0" w:color="auto"/>
        <w:bottom w:val="none" w:sz="0" w:space="0" w:color="auto"/>
        <w:right w:val="none" w:sz="0" w:space="0" w:color="auto"/>
      </w:divBdr>
    </w:div>
    <w:div w:id="489173883">
      <w:bodyDiv w:val="1"/>
      <w:marLeft w:val="0"/>
      <w:marRight w:val="0"/>
      <w:marTop w:val="0"/>
      <w:marBottom w:val="0"/>
      <w:divBdr>
        <w:top w:val="none" w:sz="0" w:space="0" w:color="auto"/>
        <w:left w:val="none" w:sz="0" w:space="0" w:color="auto"/>
        <w:bottom w:val="none" w:sz="0" w:space="0" w:color="auto"/>
        <w:right w:val="none" w:sz="0" w:space="0" w:color="auto"/>
      </w:divBdr>
    </w:div>
    <w:div w:id="490683547">
      <w:bodyDiv w:val="1"/>
      <w:marLeft w:val="0"/>
      <w:marRight w:val="0"/>
      <w:marTop w:val="0"/>
      <w:marBottom w:val="0"/>
      <w:divBdr>
        <w:top w:val="none" w:sz="0" w:space="0" w:color="auto"/>
        <w:left w:val="none" w:sz="0" w:space="0" w:color="auto"/>
        <w:bottom w:val="none" w:sz="0" w:space="0" w:color="auto"/>
        <w:right w:val="none" w:sz="0" w:space="0" w:color="auto"/>
      </w:divBdr>
    </w:div>
    <w:div w:id="491258192">
      <w:bodyDiv w:val="1"/>
      <w:marLeft w:val="0"/>
      <w:marRight w:val="0"/>
      <w:marTop w:val="0"/>
      <w:marBottom w:val="0"/>
      <w:divBdr>
        <w:top w:val="none" w:sz="0" w:space="0" w:color="auto"/>
        <w:left w:val="none" w:sz="0" w:space="0" w:color="auto"/>
        <w:bottom w:val="none" w:sz="0" w:space="0" w:color="auto"/>
        <w:right w:val="none" w:sz="0" w:space="0" w:color="auto"/>
      </w:divBdr>
    </w:div>
    <w:div w:id="492331483">
      <w:bodyDiv w:val="1"/>
      <w:marLeft w:val="0"/>
      <w:marRight w:val="0"/>
      <w:marTop w:val="0"/>
      <w:marBottom w:val="0"/>
      <w:divBdr>
        <w:top w:val="none" w:sz="0" w:space="0" w:color="auto"/>
        <w:left w:val="none" w:sz="0" w:space="0" w:color="auto"/>
        <w:bottom w:val="none" w:sz="0" w:space="0" w:color="auto"/>
        <w:right w:val="none" w:sz="0" w:space="0" w:color="auto"/>
      </w:divBdr>
    </w:div>
    <w:div w:id="492528661">
      <w:bodyDiv w:val="1"/>
      <w:marLeft w:val="0"/>
      <w:marRight w:val="0"/>
      <w:marTop w:val="0"/>
      <w:marBottom w:val="0"/>
      <w:divBdr>
        <w:top w:val="none" w:sz="0" w:space="0" w:color="auto"/>
        <w:left w:val="none" w:sz="0" w:space="0" w:color="auto"/>
        <w:bottom w:val="none" w:sz="0" w:space="0" w:color="auto"/>
        <w:right w:val="none" w:sz="0" w:space="0" w:color="auto"/>
      </w:divBdr>
    </w:div>
    <w:div w:id="492913049">
      <w:bodyDiv w:val="1"/>
      <w:marLeft w:val="0"/>
      <w:marRight w:val="0"/>
      <w:marTop w:val="0"/>
      <w:marBottom w:val="0"/>
      <w:divBdr>
        <w:top w:val="none" w:sz="0" w:space="0" w:color="auto"/>
        <w:left w:val="none" w:sz="0" w:space="0" w:color="auto"/>
        <w:bottom w:val="none" w:sz="0" w:space="0" w:color="auto"/>
        <w:right w:val="none" w:sz="0" w:space="0" w:color="auto"/>
      </w:divBdr>
    </w:div>
    <w:div w:id="493188174">
      <w:bodyDiv w:val="1"/>
      <w:marLeft w:val="0"/>
      <w:marRight w:val="0"/>
      <w:marTop w:val="0"/>
      <w:marBottom w:val="0"/>
      <w:divBdr>
        <w:top w:val="none" w:sz="0" w:space="0" w:color="auto"/>
        <w:left w:val="none" w:sz="0" w:space="0" w:color="auto"/>
        <w:bottom w:val="none" w:sz="0" w:space="0" w:color="auto"/>
        <w:right w:val="none" w:sz="0" w:space="0" w:color="auto"/>
      </w:divBdr>
    </w:div>
    <w:div w:id="493376726">
      <w:bodyDiv w:val="1"/>
      <w:marLeft w:val="0"/>
      <w:marRight w:val="0"/>
      <w:marTop w:val="0"/>
      <w:marBottom w:val="0"/>
      <w:divBdr>
        <w:top w:val="none" w:sz="0" w:space="0" w:color="auto"/>
        <w:left w:val="none" w:sz="0" w:space="0" w:color="auto"/>
        <w:bottom w:val="none" w:sz="0" w:space="0" w:color="auto"/>
        <w:right w:val="none" w:sz="0" w:space="0" w:color="auto"/>
      </w:divBdr>
    </w:div>
    <w:div w:id="493570587">
      <w:bodyDiv w:val="1"/>
      <w:marLeft w:val="0"/>
      <w:marRight w:val="0"/>
      <w:marTop w:val="0"/>
      <w:marBottom w:val="0"/>
      <w:divBdr>
        <w:top w:val="none" w:sz="0" w:space="0" w:color="auto"/>
        <w:left w:val="none" w:sz="0" w:space="0" w:color="auto"/>
        <w:bottom w:val="none" w:sz="0" w:space="0" w:color="auto"/>
        <w:right w:val="none" w:sz="0" w:space="0" w:color="auto"/>
      </w:divBdr>
    </w:div>
    <w:div w:id="493570831">
      <w:bodyDiv w:val="1"/>
      <w:marLeft w:val="0"/>
      <w:marRight w:val="0"/>
      <w:marTop w:val="0"/>
      <w:marBottom w:val="0"/>
      <w:divBdr>
        <w:top w:val="none" w:sz="0" w:space="0" w:color="auto"/>
        <w:left w:val="none" w:sz="0" w:space="0" w:color="auto"/>
        <w:bottom w:val="none" w:sz="0" w:space="0" w:color="auto"/>
        <w:right w:val="none" w:sz="0" w:space="0" w:color="auto"/>
      </w:divBdr>
    </w:div>
    <w:div w:id="493952638">
      <w:bodyDiv w:val="1"/>
      <w:marLeft w:val="0"/>
      <w:marRight w:val="0"/>
      <w:marTop w:val="0"/>
      <w:marBottom w:val="0"/>
      <w:divBdr>
        <w:top w:val="none" w:sz="0" w:space="0" w:color="auto"/>
        <w:left w:val="none" w:sz="0" w:space="0" w:color="auto"/>
        <w:bottom w:val="none" w:sz="0" w:space="0" w:color="auto"/>
        <w:right w:val="none" w:sz="0" w:space="0" w:color="auto"/>
      </w:divBdr>
    </w:div>
    <w:div w:id="494565358">
      <w:bodyDiv w:val="1"/>
      <w:marLeft w:val="0"/>
      <w:marRight w:val="0"/>
      <w:marTop w:val="0"/>
      <w:marBottom w:val="0"/>
      <w:divBdr>
        <w:top w:val="none" w:sz="0" w:space="0" w:color="auto"/>
        <w:left w:val="none" w:sz="0" w:space="0" w:color="auto"/>
        <w:bottom w:val="none" w:sz="0" w:space="0" w:color="auto"/>
        <w:right w:val="none" w:sz="0" w:space="0" w:color="auto"/>
      </w:divBdr>
    </w:div>
    <w:div w:id="494683837">
      <w:bodyDiv w:val="1"/>
      <w:marLeft w:val="0"/>
      <w:marRight w:val="0"/>
      <w:marTop w:val="0"/>
      <w:marBottom w:val="0"/>
      <w:divBdr>
        <w:top w:val="none" w:sz="0" w:space="0" w:color="auto"/>
        <w:left w:val="none" w:sz="0" w:space="0" w:color="auto"/>
        <w:bottom w:val="none" w:sz="0" w:space="0" w:color="auto"/>
        <w:right w:val="none" w:sz="0" w:space="0" w:color="auto"/>
      </w:divBdr>
    </w:div>
    <w:div w:id="494805383">
      <w:bodyDiv w:val="1"/>
      <w:marLeft w:val="0"/>
      <w:marRight w:val="0"/>
      <w:marTop w:val="0"/>
      <w:marBottom w:val="0"/>
      <w:divBdr>
        <w:top w:val="none" w:sz="0" w:space="0" w:color="auto"/>
        <w:left w:val="none" w:sz="0" w:space="0" w:color="auto"/>
        <w:bottom w:val="none" w:sz="0" w:space="0" w:color="auto"/>
        <w:right w:val="none" w:sz="0" w:space="0" w:color="auto"/>
      </w:divBdr>
    </w:div>
    <w:div w:id="495338875">
      <w:bodyDiv w:val="1"/>
      <w:marLeft w:val="0"/>
      <w:marRight w:val="0"/>
      <w:marTop w:val="0"/>
      <w:marBottom w:val="0"/>
      <w:divBdr>
        <w:top w:val="none" w:sz="0" w:space="0" w:color="auto"/>
        <w:left w:val="none" w:sz="0" w:space="0" w:color="auto"/>
        <w:bottom w:val="none" w:sz="0" w:space="0" w:color="auto"/>
        <w:right w:val="none" w:sz="0" w:space="0" w:color="auto"/>
      </w:divBdr>
    </w:div>
    <w:div w:id="495650259">
      <w:bodyDiv w:val="1"/>
      <w:marLeft w:val="0"/>
      <w:marRight w:val="0"/>
      <w:marTop w:val="0"/>
      <w:marBottom w:val="0"/>
      <w:divBdr>
        <w:top w:val="none" w:sz="0" w:space="0" w:color="auto"/>
        <w:left w:val="none" w:sz="0" w:space="0" w:color="auto"/>
        <w:bottom w:val="none" w:sz="0" w:space="0" w:color="auto"/>
        <w:right w:val="none" w:sz="0" w:space="0" w:color="auto"/>
      </w:divBdr>
    </w:div>
    <w:div w:id="497039102">
      <w:bodyDiv w:val="1"/>
      <w:marLeft w:val="0"/>
      <w:marRight w:val="0"/>
      <w:marTop w:val="0"/>
      <w:marBottom w:val="0"/>
      <w:divBdr>
        <w:top w:val="none" w:sz="0" w:space="0" w:color="auto"/>
        <w:left w:val="none" w:sz="0" w:space="0" w:color="auto"/>
        <w:bottom w:val="none" w:sz="0" w:space="0" w:color="auto"/>
        <w:right w:val="none" w:sz="0" w:space="0" w:color="auto"/>
      </w:divBdr>
    </w:div>
    <w:div w:id="498083651">
      <w:bodyDiv w:val="1"/>
      <w:marLeft w:val="0"/>
      <w:marRight w:val="0"/>
      <w:marTop w:val="0"/>
      <w:marBottom w:val="0"/>
      <w:divBdr>
        <w:top w:val="none" w:sz="0" w:space="0" w:color="auto"/>
        <w:left w:val="none" w:sz="0" w:space="0" w:color="auto"/>
        <w:bottom w:val="none" w:sz="0" w:space="0" w:color="auto"/>
        <w:right w:val="none" w:sz="0" w:space="0" w:color="auto"/>
      </w:divBdr>
    </w:div>
    <w:div w:id="499004296">
      <w:bodyDiv w:val="1"/>
      <w:marLeft w:val="0"/>
      <w:marRight w:val="0"/>
      <w:marTop w:val="0"/>
      <w:marBottom w:val="0"/>
      <w:divBdr>
        <w:top w:val="none" w:sz="0" w:space="0" w:color="auto"/>
        <w:left w:val="none" w:sz="0" w:space="0" w:color="auto"/>
        <w:bottom w:val="none" w:sz="0" w:space="0" w:color="auto"/>
        <w:right w:val="none" w:sz="0" w:space="0" w:color="auto"/>
      </w:divBdr>
    </w:div>
    <w:div w:id="499663368">
      <w:bodyDiv w:val="1"/>
      <w:marLeft w:val="0"/>
      <w:marRight w:val="0"/>
      <w:marTop w:val="0"/>
      <w:marBottom w:val="0"/>
      <w:divBdr>
        <w:top w:val="none" w:sz="0" w:space="0" w:color="auto"/>
        <w:left w:val="none" w:sz="0" w:space="0" w:color="auto"/>
        <w:bottom w:val="none" w:sz="0" w:space="0" w:color="auto"/>
        <w:right w:val="none" w:sz="0" w:space="0" w:color="auto"/>
      </w:divBdr>
    </w:div>
    <w:div w:id="500585845">
      <w:bodyDiv w:val="1"/>
      <w:marLeft w:val="0"/>
      <w:marRight w:val="0"/>
      <w:marTop w:val="0"/>
      <w:marBottom w:val="0"/>
      <w:divBdr>
        <w:top w:val="none" w:sz="0" w:space="0" w:color="auto"/>
        <w:left w:val="none" w:sz="0" w:space="0" w:color="auto"/>
        <w:bottom w:val="none" w:sz="0" w:space="0" w:color="auto"/>
        <w:right w:val="none" w:sz="0" w:space="0" w:color="auto"/>
      </w:divBdr>
    </w:div>
    <w:div w:id="501899675">
      <w:bodyDiv w:val="1"/>
      <w:marLeft w:val="0"/>
      <w:marRight w:val="0"/>
      <w:marTop w:val="0"/>
      <w:marBottom w:val="0"/>
      <w:divBdr>
        <w:top w:val="none" w:sz="0" w:space="0" w:color="auto"/>
        <w:left w:val="none" w:sz="0" w:space="0" w:color="auto"/>
        <w:bottom w:val="none" w:sz="0" w:space="0" w:color="auto"/>
        <w:right w:val="none" w:sz="0" w:space="0" w:color="auto"/>
      </w:divBdr>
    </w:div>
    <w:div w:id="502278519">
      <w:bodyDiv w:val="1"/>
      <w:marLeft w:val="0"/>
      <w:marRight w:val="0"/>
      <w:marTop w:val="0"/>
      <w:marBottom w:val="0"/>
      <w:divBdr>
        <w:top w:val="none" w:sz="0" w:space="0" w:color="auto"/>
        <w:left w:val="none" w:sz="0" w:space="0" w:color="auto"/>
        <w:bottom w:val="none" w:sz="0" w:space="0" w:color="auto"/>
        <w:right w:val="none" w:sz="0" w:space="0" w:color="auto"/>
      </w:divBdr>
    </w:div>
    <w:div w:id="503205093">
      <w:bodyDiv w:val="1"/>
      <w:marLeft w:val="0"/>
      <w:marRight w:val="0"/>
      <w:marTop w:val="0"/>
      <w:marBottom w:val="0"/>
      <w:divBdr>
        <w:top w:val="none" w:sz="0" w:space="0" w:color="auto"/>
        <w:left w:val="none" w:sz="0" w:space="0" w:color="auto"/>
        <w:bottom w:val="none" w:sz="0" w:space="0" w:color="auto"/>
        <w:right w:val="none" w:sz="0" w:space="0" w:color="auto"/>
      </w:divBdr>
    </w:div>
    <w:div w:id="503281830">
      <w:bodyDiv w:val="1"/>
      <w:marLeft w:val="0"/>
      <w:marRight w:val="0"/>
      <w:marTop w:val="0"/>
      <w:marBottom w:val="0"/>
      <w:divBdr>
        <w:top w:val="none" w:sz="0" w:space="0" w:color="auto"/>
        <w:left w:val="none" w:sz="0" w:space="0" w:color="auto"/>
        <w:bottom w:val="none" w:sz="0" w:space="0" w:color="auto"/>
        <w:right w:val="none" w:sz="0" w:space="0" w:color="auto"/>
      </w:divBdr>
    </w:div>
    <w:div w:id="504439621">
      <w:bodyDiv w:val="1"/>
      <w:marLeft w:val="0"/>
      <w:marRight w:val="0"/>
      <w:marTop w:val="0"/>
      <w:marBottom w:val="0"/>
      <w:divBdr>
        <w:top w:val="none" w:sz="0" w:space="0" w:color="auto"/>
        <w:left w:val="none" w:sz="0" w:space="0" w:color="auto"/>
        <w:bottom w:val="none" w:sz="0" w:space="0" w:color="auto"/>
        <w:right w:val="none" w:sz="0" w:space="0" w:color="auto"/>
      </w:divBdr>
    </w:div>
    <w:div w:id="504903669">
      <w:bodyDiv w:val="1"/>
      <w:marLeft w:val="0"/>
      <w:marRight w:val="0"/>
      <w:marTop w:val="0"/>
      <w:marBottom w:val="0"/>
      <w:divBdr>
        <w:top w:val="none" w:sz="0" w:space="0" w:color="auto"/>
        <w:left w:val="none" w:sz="0" w:space="0" w:color="auto"/>
        <w:bottom w:val="none" w:sz="0" w:space="0" w:color="auto"/>
        <w:right w:val="none" w:sz="0" w:space="0" w:color="auto"/>
      </w:divBdr>
    </w:div>
    <w:div w:id="505172135">
      <w:bodyDiv w:val="1"/>
      <w:marLeft w:val="0"/>
      <w:marRight w:val="0"/>
      <w:marTop w:val="0"/>
      <w:marBottom w:val="0"/>
      <w:divBdr>
        <w:top w:val="none" w:sz="0" w:space="0" w:color="auto"/>
        <w:left w:val="none" w:sz="0" w:space="0" w:color="auto"/>
        <w:bottom w:val="none" w:sz="0" w:space="0" w:color="auto"/>
        <w:right w:val="none" w:sz="0" w:space="0" w:color="auto"/>
      </w:divBdr>
    </w:div>
    <w:div w:id="505873119">
      <w:bodyDiv w:val="1"/>
      <w:marLeft w:val="0"/>
      <w:marRight w:val="0"/>
      <w:marTop w:val="0"/>
      <w:marBottom w:val="0"/>
      <w:divBdr>
        <w:top w:val="none" w:sz="0" w:space="0" w:color="auto"/>
        <w:left w:val="none" w:sz="0" w:space="0" w:color="auto"/>
        <w:bottom w:val="none" w:sz="0" w:space="0" w:color="auto"/>
        <w:right w:val="none" w:sz="0" w:space="0" w:color="auto"/>
      </w:divBdr>
    </w:div>
    <w:div w:id="506016656">
      <w:bodyDiv w:val="1"/>
      <w:marLeft w:val="0"/>
      <w:marRight w:val="0"/>
      <w:marTop w:val="0"/>
      <w:marBottom w:val="0"/>
      <w:divBdr>
        <w:top w:val="none" w:sz="0" w:space="0" w:color="auto"/>
        <w:left w:val="none" w:sz="0" w:space="0" w:color="auto"/>
        <w:bottom w:val="none" w:sz="0" w:space="0" w:color="auto"/>
        <w:right w:val="none" w:sz="0" w:space="0" w:color="auto"/>
      </w:divBdr>
    </w:div>
    <w:div w:id="506217384">
      <w:bodyDiv w:val="1"/>
      <w:marLeft w:val="0"/>
      <w:marRight w:val="0"/>
      <w:marTop w:val="0"/>
      <w:marBottom w:val="0"/>
      <w:divBdr>
        <w:top w:val="none" w:sz="0" w:space="0" w:color="auto"/>
        <w:left w:val="none" w:sz="0" w:space="0" w:color="auto"/>
        <w:bottom w:val="none" w:sz="0" w:space="0" w:color="auto"/>
        <w:right w:val="none" w:sz="0" w:space="0" w:color="auto"/>
      </w:divBdr>
    </w:div>
    <w:div w:id="507407178">
      <w:bodyDiv w:val="1"/>
      <w:marLeft w:val="0"/>
      <w:marRight w:val="0"/>
      <w:marTop w:val="0"/>
      <w:marBottom w:val="0"/>
      <w:divBdr>
        <w:top w:val="none" w:sz="0" w:space="0" w:color="auto"/>
        <w:left w:val="none" w:sz="0" w:space="0" w:color="auto"/>
        <w:bottom w:val="none" w:sz="0" w:space="0" w:color="auto"/>
        <w:right w:val="none" w:sz="0" w:space="0" w:color="auto"/>
      </w:divBdr>
    </w:div>
    <w:div w:id="507866770">
      <w:bodyDiv w:val="1"/>
      <w:marLeft w:val="0"/>
      <w:marRight w:val="0"/>
      <w:marTop w:val="0"/>
      <w:marBottom w:val="0"/>
      <w:divBdr>
        <w:top w:val="none" w:sz="0" w:space="0" w:color="auto"/>
        <w:left w:val="none" w:sz="0" w:space="0" w:color="auto"/>
        <w:bottom w:val="none" w:sz="0" w:space="0" w:color="auto"/>
        <w:right w:val="none" w:sz="0" w:space="0" w:color="auto"/>
      </w:divBdr>
    </w:div>
    <w:div w:id="508445442">
      <w:bodyDiv w:val="1"/>
      <w:marLeft w:val="0"/>
      <w:marRight w:val="0"/>
      <w:marTop w:val="0"/>
      <w:marBottom w:val="0"/>
      <w:divBdr>
        <w:top w:val="none" w:sz="0" w:space="0" w:color="auto"/>
        <w:left w:val="none" w:sz="0" w:space="0" w:color="auto"/>
        <w:bottom w:val="none" w:sz="0" w:space="0" w:color="auto"/>
        <w:right w:val="none" w:sz="0" w:space="0" w:color="auto"/>
      </w:divBdr>
    </w:div>
    <w:div w:id="509829166">
      <w:bodyDiv w:val="1"/>
      <w:marLeft w:val="0"/>
      <w:marRight w:val="0"/>
      <w:marTop w:val="0"/>
      <w:marBottom w:val="0"/>
      <w:divBdr>
        <w:top w:val="none" w:sz="0" w:space="0" w:color="auto"/>
        <w:left w:val="none" w:sz="0" w:space="0" w:color="auto"/>
        <w:bottom w:val="none" w:sz="0" w:space="0" w:color="auto"/>
        <w:right w:val="none" w:sz="0" w:space="0" w:color="auto"/>
      </w:divBdr>
    </w:div>
    <w:div w:id="510144939">
      <w:bodyDiv w:val="1"/>
      <w:marLeft w:val="0"/>
      <w:marRight w:val="0"/>
      <w:marTop w:val="0"/>
      <w:marBottom w:val="0"/>
      <w:divBdr>
        <w:top w:val="none" w:sz="0" w:space="0" w:color="auto"/>
        <w:left w:val="none" w:sz="0" w:space="0" w:color="auto"/>
        <w:bottom w:val="none" w:sz="0" w:space="0" w:color="auto"/>
        <w:right w:val="none" w:sz="0" w:space="0" w:color="auto"/>
      </w:divBdr>
    </w:div>
    <w:div w:id="510267646">
      <w:bodyDiv w:val="1"/>
      <w:marLeft w:val="0"/>
      <w:marRight w:val="0"/>
      <w:marTop w:val="0"/>
      <w:marBottom w:val="0"/>
      <w:divBdr>
        <w:top w:val="none" w:sz="0" w:space="0" w:color="auto"/>
        <w:left w:val="none" w:sz="0" w:space="0" w:color="auto"/>
        <w:bottom w:val="none" w:sz="0" w:space="0" w:color="auto"/>
        <w:right w:val="none" w:sz="0" w:space="0" w:color="auto"/>
      </w:divBdr>
    </w:div>
    <w:div w:id="510341477">
      <w:bodyDiv w:val="1"/>
      <w:marLeft w:val="0"/>
      <w:marRight w:val="0"/>
      <w:marTop w:val="0"/>
      <w:marBottom w:val="0"/>
      <w:divBdr>
        <w:top w:val="none" w:sz="0" w:space="0" w:color="auto"/>
        <w:left w:val="none" w:sz="0" w:space="0" w:color="auto"/>
        <w:bottom w:val="none" w:sz="0" w:space="0" w:color="auto"/>
        <w:right w:val="none" w:sz="0" w:space="0" w:color="auto"/>
      </w:divBdr>
    </w:div>
    <w:div w:id="511992131">
      <w:bodyDiv w:val="1"/>
      <w:marLeft w:val="0"/>
      <w:marRight w:val="0"/>
      <w:marTop w:val="0"/>
      <w:marBottom w:val="0"/>
      <w:divBdr>
        <w:top w:val="none" w:sz="0" w:space="0" w:color="auto"/>
        <w:left w:val="none" w:sz="0" w:space="0" w:color="auto"/>
        <w:bottom w:val="none" w:sz="0" w:space="0" w:color="auto"/>
        <w:right w:val="none" w:sz="0" w:space="0" w:color="auto"/>
      </w:divBdr>
    </w:div>
    <w:div w:id="512113487">
      <w:bodyDiv w:val="1"/>
      <w:marLeft w:val="0"/>
      <w:marRight w:val="0"/>
      <w:marTop w:val="0"/>
      <w:marBottom w:val="0"/>
      <w:divBdr>
        <w:top w:val="none" w:sz="0" w:space="0" w:color="auto"/>
        <w:left w:val="none" w:sz="0" w:space="0" w:color="auto"/>
        <w:bottom w:val="none" w:sz="0" w:space="0" w:color="auto"/>
        <w:right w:val="none" w:sz="0" w:space="0" w:color="auto"/>
      </w:divBdr>
    </w:div>
    <w:div w:id="512767277">
      <w:bodyDiv w:val="1"/>
      <w:marLeft w:val="0"/>
      <w:marRight w:val="0"/>
      <w:marTop w:val="0"/>
      <w:marBottom w:val="0"/>
      <w:divBdr>
        <w:top w:val="none" w:sz="0" w:space="0" w:color="auto"/>
        <w:left w:val="none" w:sz="0" w:space="0" w:color="auto"/>
        <w:bottom w:val="none" w:sz="0" w:space="0" w:color="auto"/>
        <w:right w:val="none" w:sz="0" w:space="0" w:color="auto"/>
      </w:divBdr>
    </w:div>
    <w:div w:id="513420280">
      <w:bodyDiv w:val="1"/>
      <w:marLeft w:val="0"/>
      <w:marRight w:val="0"/>
      <w:marTop w:val="0"/>
      <w:marBottom w:val="0"/>
      <w:divBdr>
        <w:top w:val="none" w:sz="0" w:space="0" w:color="auto"/>
        <w:left w:val="none" w:sz="0" w:space="0" w:color="auto"/>
        <w:bottom w:val="none" w:sz="0" w:space="0" w:color="auto"/>
        <w:right w:val="none" w:sz="0" w:space="0" w:color="auto"/>
      </w:divBdr>
    </w:div>
    <w:div w:id="514423279">
      <w:bodyDiv w:val="1"/>
      <w:marLeft w:val="0"/>
      <w:marRight w:val="0"/>
      <w:marTop w:val="0"/>
      <w:marBottom w:val="0"/>
      <w:divBdr>
        <w:top w:val="none" w:sz="0" w:space="0" w:color="auto"/>
        <w:left w:val="none" w:sz="0" w:space="0" w:color="auto"/>
        <w:bottom w:val="none" w:sz="0" w:space="0" w:color="auto"/>
        <w:right w:val="none" w:sz="0" w:space="0" w:color="auto"/>
      </w:divBdr>
    </w:div>
    <w:div w:id="515848669">
      <w:bodyDiv w:val="1"/>
      <w:marLeft w:val="0"/>
      <w:marRight w:val="0"/>
      <w:marTop w:val="0"/>
      <w:marBottom w:val="0"/>
      <w:divBdr>
        <w:top w:val="none" w:sz="0" w:space="0" w:color="auto"/>
        <w:left w:val="none" w:sz="0" w:space="0" w:color="auto"/>
        <w:bottom w:val="none" w:sz="0" w:space="0" w:color="auto"/>
        <w:right w:val="none" w:sz="0" w:space="0" w:color="auto"/>
      </w:divBdr>
    </w:div>
    <w:div w:id="516695025">
      <w:bodyDiv w:val="1"/>
      <w:marLeft w:val="0"/>
      <w:marRight w:val="0"/>
      <w:marTop w:val="0"/>
      <w:marBottom w:val="0"/>
      <w:divBdr>
        <w:top w:val="none" w:sz="0" w:space="0" w:color="auto"/>
        <w:left w:val="none" w:sz="0" w:space="0" w:color="auto"/>
        <w:bottom w:val="none" w:sz="0" w:space="0" w:color="auto"/>
        <w:right w:val="none" w:sz="0" w:space="0" w:color="auto"/>
      </w:divBdr>
    </w:div>
    <w:div w:id="516699654">
      <w:bodyDiv w:val="1"/>
      <w:marLeft w:val="0"/>
      <w:marRight w:val="0"/>
      <w:marTop w:val="0"/>
      <w:marBottom w:val="0"/>
      <w:divBdr>
        <w:top w:val="none" w:sz="0" w:space="0" w:color="auto"/>
        <w:left w:val="none" w:sz="0" w:space="0" w:color="auto"/>
        <w:bottom w:val="none" w:sz="0" w:space="0" w:color="auto"/>
        <w:right w:val="none" w:sz="0" w:space="0" w:color="auto"/>
      </w:divBdr>
    </w:div>
    <w:div w:id="517427683">
      <w:bodyDiv w:val="1"/>
      <w:marLeft w:val="0"/>
      <w:marRight w:val="0"/>
      <w:marTop w:val="0"/>
      <w:marBottom w:val="0"/>
      <w:divBdr>
        <w:top w:val="none" w:sz="0" w:space="0" w:color="auto"/>
        <w:left w:val="none" w:sz="0" w:space="0" w:color="auto"/>
        <w:bottom w:val="none" w:sz="0" w:space="0" w:color="auto"/>
        <w:right w:val="none" w:sz="0" w:space="0" w:color="auto"/>
      </w:divBdr>
    </w:div>
    <w:div w:id="517741409">
      <w:bodyDiv w:val="1"/>
      <w:marLeft w:val="0"/>
      <w:marRight w:val="0"/>
      <w:marTop w:val="0"/>
      <w:marBottom w:val="0"/>
      <w:divBdr>
        <w:top w:val="none" w:sz="0" w:space="0" w:color="auto"/>
        <w:left w:val="none" w:sz="0" w:space="0" w:color="auto"/>
        <w:bottom w:val="none" w:sz="0" w:space="0" w:color="auto"/>
        <w:right w:val="none" w:sz="0" w:space="0" w:color="auto"/>
      </w:divBdr>
    </w:div>
    <w:div w:id="518197010">
      <w:bodyDiv w:val="1"/>
      <w:marLeft w:val="0"/>
      <w:marRight w:val="0"/>
      <w:marTop w:val="0"/>
      <w:marBottom w:val="0"/>
      <w:divBdr>
        <w:top w:val="none" w:sz="0" w:space="0" w:color="auto"/>
        <w:left w:val="none" w:sz="0" w:space="0" w:color="auto"/>
        <w:bottom w:val="none" w:sz="0" w:space="0" w:color="auto"/>
        <w:right w:val="none" w:sz="0" w:space="0" w:color="auto"/>
      </w:divBdr>
    </w:div>
    <w:div w:id="519466696">
      <w:bodyDiv w:val="1"/>
      <w:marLeft w:val="0"/>
      <w:marRight w:val="0"/>
      <w:marTop w:val="0"/>
      <w:marBottom w:val="0"/>
      <w:divBdr>
        <w:top w:val="none" w:sz="0" w:space="0" w:color="auto"/>
        <w:left w:val="none" w:sz="0" w:space="0" w:color="auto"/>
        <w:bottom w:val="none" w:sz="0" w:space="0" w:color="auto"/>
        <w:right w:val="none" w:sz="0" w:space="0" w:color="auto"/>
      </w:divBdr>
    </w:div>
    <w:div w:id="521823638">
      <w:bodyDiv w:val="1"/>
      <w:marLeft w:val="0"/>
      <w:marRight w:val="0"/>
      <w:marTop w:val="0"/>
      <w:marBottom w:val="0"/>
      <w:divBdr>
        <w:top w:val="none" w:sz="0" w:space="0" w:color="auto"/>
        <w:left w:val="none" w:sz="0" w:space="0" w:color="auto"/>
        <w:bottom w:val="none" w:sz="0" w:space="0" w:color="auto"/>
        <w:right w:val="none" w:sz="0" w:space="0" w:color="auto"/>
      </w:divBdr>
    </w:div>
    <w:div w:id="522860843">
      <w:bodyDiv w:val="1"/>
      <w:marLeft w:val="0"/>
      <w:marRight w:val="0"/>
      <w:marTop w:val="0"/>
      <w:marBottom w:val="0"/>
      <w:divBdr>
        <w:top w:val="none" w:sz="0" w:space="0" w:color="auto"/>
        <w:left w:val="none" w:sz="0" w:space="0" w:color="auto"/>
        <w:bottom w:val="none" w:sz="0" w:space="0" w:color="auto"/>
        <w:right w:val="none" w:sz="0" w:space="0" w:color="auto"/>
      </w:divBdr>
    </w:div>
    <w:div w:id="524490295">
      <w:bodyDiv w:val="1"/>
      <w:marLeft w:val="0"/>
      <w:marRight w:val="0"/>
      <w:marTop w:val="0"/>
      <w:marBottom w:val="0"/>
      <w:divBdr>
        <w:top w:val="none" w:sz="0" w:space="0" w:color="auto"/>
        <w:left w:val="none" w:sz="0" w:space="0" w:color="auto"/>
        <w:bottom w:val="none" w:sz="0" w:space="0" w:color="auto"/>
        <w:right w:val="none" w:sz="0" w:space="0" w:color="auto"/>
      </w:divBdr>
    </w:div>
    <w:div w:id="524758991">
      <w:bodyDiv w:val="1"/>
      <w:marLeft w:val="0"/>
      <w:marRight w:val="0"/>
      <w:marTop w:val="0"/>
      <w:marBottom w:val="0"/>
      <w:divBdr>
        <w:top w:val="none" w:sz="0" w:space="0" w:color="auto"/>
        <w:left w:val="none" w:sz="0" w:space="0" w:color="auto"/>
        <w:bottom w:val="none" w:sz="0" w:space="0" w:color="auto"/>
        <w:right w:val="none" w:sz="0" w:space="0" w:color="auto"/>
      </w:divBdr>
    </w:div>
    <w:div w:id="526602736">
      <w:bodyDiv w:val="1"/>
      <w:marLeft w:val="0"/>
      <w:marRight w:val="0"/>
      <w:marTop w:val="0"/>
      <w:marBottom w:val="0"/>
      <w:divBdr>
        <w:top w:val="none" w:sz="0" w:space="0" w:color="auto"/>
        <w:left w:val="none" w:sz="0" w:space="0" w:color="auto"/>
        <w:bottom w:val="none" w:sz="0" w:space="0" w:color="auto"/>
        <w:right w:val="none" w:sz="0" w:space="0" w:color="auto"/>
      </w:divBdr>
    </w:div>
    <w:div w:id="527841807">
      <w:bodyDiv w:val="1"/>
      <w:marLeft w:val="0"/>
      <w:marRight w:val="0"/>
      <w:marTop w:val="0"/>
      <w:marBottom w:val="0"/>
      <w:divBdr>
        <w:top w:val="none" w:sz="0" w:space="0" w:color="auto"/>
        <w:left w:val="none" w:sz="0" w:space="0" w:color="auto"/>
        <w:bottom w:val="none" w:sz="0" w:space="0" w:color="auto"/>
        <w:right w:val="none" w:sz="0" w:space="0" w:color="auto"/>
      </w:divBdr>
    </w:div>
    <w:div w:id="528301577">
      <w:bodyDiv w:val="1"/>
      <w:marLeft w:val="0"/>
      <w:marRight w:val="0"/>
      <w:marTop w:val="0"/>
      <w:marBottom w:val="0"/>
      <w:divBdr>
        <w:top w:val="none" w:sz="0" w:space="0" w:color="auto"/>
        <w:left w:val="none" w:sz="0" w:space="0" w:color="auto"/>
        <w:bottom w:val="none" w:sz="0" w:space="0" w:color="auto"/>
        <w:right w:val="none" w:sz="0" w:space="0" w:color="auto"/>
      </w:divBdr>
    </w:div>
    <w:div w:id="528373392">
      <w:bodyDiv w:val="1"/>
      <w:marLeft w:val="0"/>
      <w:marRight w:val="0"/>
      <w:marTop w:val="0"/>
      <w:marBottom w:val="0"/>
      <w:divBdr>
        <w:top w:val="none" w:sz="0" w:space="0" w:color="auto"/>
        <w:left w:val="none" w:sz="0" w:space="0" w:color="auto"/>
        <w:bottom w:val="none" w:sz="0" w:space="0" w:color="auto"/>
        <w:right w:val="none" w:sz="0" w:space="0" w:color="auto"/>
      </w:divBdr>
    </w:div>
    <w:div w:id="529343205">
      <w:bodyDiv w:val="1"/>
      <w:marLeft w:val="0"/>
      <w:marRight w:val="0"/>
      <w:marTop w:val="0"/>
      <w:marBottom w:val="0"/>
      <w:divBdr>
        <w:top w:val="none" w:sz="0" w:space="0" w:color="auto"/>
        <w:left w:val="none" w:sz="0" w:space="0" w:color="auto"/>
        <w:bottom w:val="none" w:sz="0" w:space="0" w:color="auto"/>
        <w:right w:val="none" w:sz="0" w:space="0" w:color="auto"/>
      </w:divBdr>
    </w:div>
    <w:div w:id="529802620">
      <w:bodyDiv w:val="1"/>
      <w:marLeft w:val="0"/>
      <w:marRight w:val="0"/>
      <w:marTop w:val="0"/>
      <w:marBottom w:val="0"/>
      <w:divBdr>
        <w:top w:val="none" w:sz="0" w:space="0" w:color="auto"/>
        <w:left w:val="none" w:sz="0" w:space="0" w:color="auto"/>
        <w:bottom w:val="none" w:sz="0" w:space="0" w:color="auto"/>
        <w:right w:val="none" w:sz="0" w:space="0" w:color="auto"/>
      </w:divBdr>
    </w:div>
    <w:div w:id="529875130">
      <w:bodyDiv w:val="1"/>
      <w:marLeft w:val="0"/>
      <w:marRight w:val="0"/>
      <w:marTop w:val="0"/>
      <w:marBottom w:val="0"/>
      <w:divBdr>
        <w:top w:val="none" w:sz="0" w:space="0" w:color="auto"/>
        <w:left w:val="none" w:sz="0" w:space="0" w:color="auto"/>
        <w:bottom w:val="none" w:sz="0" w:space="0" w:color="auto"/>
        <w:right w:val="none" w:sz="0" w:space="0" w:color="auto"/>
      </w:divBdr>
    </w:div>
    <w:div w:id="532040936">
      <w:bodyDiv w:val="1"/>
      <w:marLeft w:val="0"/>
      <w:marRight w:val="0"/>
      <w:marTop w:val="0"/>
      <w:marBottom w:val="0"/>
      <w:divBdr>
        <w:top w:val="none" w:sz="0" w:space="0" w:color="auto"/>
        <w:left w:val="none" w:sz="0" w:space="0" w:color="auto"/>
        <w:bottom w:val="none" w:sz="0" w:space="0" w:color="auto"/>
        <w:right w:val="none" w:sz="0" w:space="0" w:color="auto"/>
      </w:divBdr>
    </w:div>
    <w:div w:id="532152861">
      <w:bodyDiv w:val="1"/>
      <w:marLeft w:val="0"/>
      <w:marRight w:val="0"/>
      <w:marTop w:val="0"/>
      <w:marBottom w:val="0"/>
      <w:divBdr>
        <w:top w:val="none" w:sz="0" w:space="0" w:color="auto"/>
        <w:left w:val="none" w:sz="0" w:space="0" w:color="auto"/>
        <w:bottom w:val="none" w:sz="0" w:space="0" w:color="auto"/>
        <w:right w:val="none" w:sz="0" w:space="0" w:color="auto"/>
      </w:divBdr>
    </w:div>
    <w:div w:id="532379700">
      <w:bodyDiv w:val="1"/>
      <w:marLeft w:val="0"/>
      <w:marRight w:val="0"/>
      <w:marTop w:val="0"/>
      <w:marBottom w:val="0"/>
      <w:divBdr>
        <w:top w:val="none" w:sz="0" w:space="0" w:color="auto"/>
        <w:left w:val="none" w:sz="0" w:space="0" w:color="auto"/>
        <w:bottom w:val="none" w:sz="0" w:space="0" w:color="auto"/>
        <w:right w:val="none" w:sz="0" w:space="0" w:color="auto"/>
      </w:divBdr>
    </w:div>
    <w:div w:id="533076091">
      <w:bodyDiv w:val="1"/>
      <w:marLeft w:val="0"/>
      <w:marRight w:val="0"/>
      <w:marTop w:val="0"/>
      <w:marBottom w:val="0"/>
      <w:divBdr>
        <w:top w:val="none" w:sz="0" w:space="0" w:color="auto"/>
        <w:left w:val="none" w:sz="0" w:space="0" w:color="auto"/>
        <w:bottom w:val="none" w:sz="0" w:space="0" w:color="auto"/>
        <w:right w:val="none" w:sz="0" w:space="0" w:color="auto"/>
      </w:divBdr>
    </w:div>
    <w:div w:id="533661193">
      <w:bodyDiv w:val="1"/>
      <w:marLeft w:val="0"/>
      <w:marRight w:val="0"/>
      <w:marTop w:val="0"/>
      <w:marBottom w:val="0"/>
      <w:divBdr>
        <w:top w:val="none" w:sz="0" w:space="0" w:color="auto"/>
        <w:left w:val="none" w:sz="0" w:space="0" w:color="auto"/>
        <w:bottom w:val="none" w:sz="0" w:space="0" w:color="auto"/>
        <w:right w:val="none" w:sz="0" w:space="0" w:color="auto"/>
      </w:divBdr>
    </w:div>
    <w:div w:id="533692079">
      <w:bodyDiv w:val="1"/>
      <w:marLeft w:val="0"/>
      <w:marRight w:val="0"/>
      <w:marTop w:val="0"/>
      <w:marBottom w:val="0"/>
      <w:divBdr>
        <w:top w:val="none" w:sz="0" w:space="0" w:color="auto"/>
        <w:left w:val="none" w:sz="0" w:space="0" w:color="auto"/>
        <w:bottom w:val="none" w:sz="0" w:space="0" w:color="auto"/>
        <w:right w:val="none" w:sz="0" w:space="0" w:color="auto"/>
      </w:divBdr>
    </w:div>
    <w:div w:id="535776913">
      <w:bodyDiv w:val="1"/>
      <w:marLeft w:val="0"/>
      <w:marRight w:val="0"/>
      <w:marTop w:val="0"/>
      <w:marBottom w:val="0"/>
      <w:divBdr>
        <w:top w:val="none" w:sz="0" w:space="0" w:color="auto"/>
        <w:left w:val="none" w:sz="0" w:space="0" w:color="auto"/>
        <w:bottom w:val="none" w:sz="0" w:space="0" w:color="auto"/>
        <w:right w:val="none" w:sz="0" w:space="0" w:color="auto"/>
      </w:divBdr>
    </w:div>
    <w:div w:id="537354122">
      <w:bodyDiv w:val="1"/>
      <w:marLeft w:val="0"/>
      <w:marRight w:val="0"/>
      <w:marTop w:val="0"/>
      <w:marBottom w:val="0"/>
      <w:divBdr>
        <w:top w:val="none" w:sz="0" w:space="0" w:color="auto"/>
        <w:left w:val="none" w:sz="0" w:space="0" w:color="auto"/>
        <w:bottom w:val="none" w:sz="0" w:space="0" w:color="auto"/>
        <w:right w:val="none" w:sz="0" w:space="0" w:color="auto"/>
      </w:divBdr>
    </w:div>
    <w:div w:id="537820649">
      <w:bodyDiv w:val="1"/>
      <w:marLeft w:val="0"/>
      <w:marRight w:val="0"/>
      <w:marTop w:val="0"/>
      <w:marBottom w:val="0"/>
      <w:divBdr>
        <w:top w:val="none" w:sz="0" w:space="0" w:color="auto"/>
        <w:left w:val="none" w:sz="0" w:space="0" w:color="auto"/>
        <w:bottom w:val="none" w:sz="0" w:space="0" w:color="auto"/>
        <w:right w:val="none" w:sz="0" w:space="0" w:color="auto"/>
      </w:divBdr>
    </w:div>
    <w:div w:id="539977834">
      <w:bodyDiv w:val="1"/>
      <w:marLeft w:val="0"/>
      <w:marRight w:val="0"/>
      <w:marTop w:val="0"/>
      <w:marBottom w:val="0"/>
      <w:divBdr>
        <w:top w:val="none" w:sz="0" w:space="0" w:color="auto"/>
        <w:left w:val="none" w:sz="0" w:space="0" w:color="auto"/>
        <w:bottom w:val="none" w:sz="0" w:space="0" w:color="auto"/>
        <w:right w:val="none" w:sz="0" w:space="0" w:color="auto"/>
      </w:divBdr>
    </w:div>
    <w:div w:id="541023056">
      <w:bodyDiv w:val="1"/>
      <w:marLeft w:val="0"/>
      <w:marRight w:val="0"/>
      <w:marTop w:val="0"/>
      <w:marBottom w:val="0"/>
      <w:divBdr>
        <w:top w:val="none" w:sz="0" w:space="0" w:color="auto"/>
        <w:left w:val="none" w:sz="0" w:space="0" w:color="auto"/>
        <w:bottom w:val="none" w:sz="0" w:space="0" w:color="auto"/>
        <w:right w:val="none" w:sz="0" w:space="0" w:color="auto"/>
      </w:divBdr>
    </w:div>
    <w:div w:id="541095931">
      <w:bodyDiv w:val="1"/>
      <w:marLeft w:val="0"/>
      <w:marRight w:val="0"/>
      <w:marTop w:val="0"/>
      <w:marBottom w:val="0"/>
      <w:divBdr>
        <w:top w:val="none" w:sz="0" w:space="0" w:color="auto"/>
        <w:left w:val="none" w:sz="0" w:space="0" w:color="auto"/>
        <w:bottom w:val="none" w:sz="0" w:space="0" w:color="auto"/>
        <w:right w:val="none" w:sz="0" w:space="0" w:color="auto"/>
      </w:divBdr>
    </w:div>
    <w:div w:id="545289628">
      <w:bodyDiv w:val="1"/>
      <w:marLeft w:val="0"/>
      <w:marRight w:val="0"/>
      <w:marTop w:val="0"/>
      <w:marBottom w:val="0"/>
      <w:divBdr>
        <w:top w:val="none" w:sz="0" w:space="0" w:color="auto"/>
        <w:left w:val="none" w:sz="0" w:space="0" w:color="auto"/>
        <w:bottom w:val="none" w:sz="0" w:space="0" w:color="auto"/>
        <w:right w:val="none" w:sz="0" w:space="0" w:color="auto"/>
      </w:divBdr>
    </w:div>
    <w:div w:id="545799698">
      <w:bodyDiv w:val="1"/>
      <w:marLeft w:val="0"/>
      <w:marRight w:val="0"/>
      <w:marTop w:val="0"/>
      <w:marBottom w:val="0"/>
      <w:divBdr>
        <w:top w:val="none" w:sz="0" w:space="0" w:color="auto"/>
        <w:left w:val="none" w:sz="0" w:space="0" w:color="auto"/>
        <w:bottom w:val="none" w:sz="0" w:space="0" w:color="auto"/>
        <w:right w:val="none" w:sz="0" w:space="0" w:color="auto"/>
      </w:divBdr>
    </w:div>
    <w:div w:id="547228309">
      <w:bodyDiv w:val="1"/>
      <w:marLeft w:val="0"/>
      <w:marRight w:val="0"/>
      <w:marTop w:val="0"/>
      <w:marBottom w:val="0"/>
      <w:divBdr>
        <w:top w:val="none" w:sz="0" w:space="0" w:color="auto"/>
        <w:left w:val="none" w:sz="0" w:space="0" w:color="auto"/>
        <w:bottom w:val="none" w:sz="0" w:space="0" w:color="auto"/>
        <w:right w:val="none" w:sz="0" w:space="0" w:color="auto"/>
      </w:divBdr>
    </w:div>
    <w:div w:id="547303753">
      <w:bodyDiv w:val="1"/>
      <w:marLeft w:val="0"/>
      <w:marRight w:val="0"/>
      <w:marTop w:val="0"/>
      <w:marBottom w:val="0"/>
      <w:divBdr>
        <w:top w:val="none" w:sz="0" w:space="0" w:color="auto"/>
        <w:left w:val="none" w:sz="0" w:space="0" w:color="auto"/>
        <w:bottom w:val="none" w:sz="0" w:space="0" w:color="auto"/>
        <w:right w:val="none" w:sz="0" w:space="0" w:color="auto"/>
      </w:divBdr>
    </w:div>
    <w:div w:id="548806220">
      <w:bodyDiv w:val="1"/>
      <w:marLeft w:val="0"/>
      <w:marRight w:val="0"/>
      <w:marTop w:val="0"/>
      <w:marBottom w:val="0"/>
      <w:divBdr>
        <w:top w:val="none" w:sz="0" w:space="0" w:color="auto"/>
        <w:left w:val="none" w:sz="0" w:space="0" w:color="auto"/>
        <w:bottom w:val="none" w:sz="0" w:space="0" w:color="auto"/>
        <w:right w:val="none" w:sz="0" w:space="0" w:color="auto"/>
      </w:divBdr>
    </w:div>
    <w:div w:id="549150618">
      <w:bodyDiv w:val="1"/>
      <w:marLeft w:val="0"/>
      <w:marRight w:val="0"/>
      <w:marTop w:val="0"/>
      <w:marBottom w:val="0"/>
      <w:divBdr>
        <w:top w:val="none" w:sz="0" w:space="0" w:color="auto"/>
        <w:left w:val="none" w:sz="0" w:space="0" w:color="auto"/>
        <w:bottom w:val="none" w:sz="0" w:space="0" w:color="auto"/>
        <w:right w:val="none" w:sz="0" w:space="0" w:color="auto"/>
      </w:divBdr>
    </w:div>
    <w:div w:id="550505150">
      <w:bodyDiv w:val="1"/>
      <w:marLeft w:val="0"/>
      <w:marRight w:val="0"/>
      <w:marTop w:val="0"/>
      <w:marBottom w:val="0"/>
      <w:divBdr>
        <w:top w:val="none" w:sz="0" w:space="0" w:color="auto"/>
        <w:left w:val="none" w:sz="0" w:space="0" w:color="auto"/>
        <w:bottom w:val="none" w:sz="0" w:space="0" w:color="auto"/>
        <w:right w:val="none" w:sz="0" w:space="0" w:color="auto"/>
      </w:divBdr>
    </w:div>
    <w:div w:id="551616748">
      <w:bodyDiv w:val="1"/>
      <w:marLeft w:val="0"/>
      <w:marRight w:val="0"/>
      <w:marTop w:val="0"/>
      <w:marBottom w:val="0"/>
      <w:divBdr>
        <w:top w:val="none" w:sz="0" w:space="0" w:color="auto"/>
        <w:left w:val="none" w:sz="0" w:space="0" w:color="auto"/>
        <w:bottom w:val="none" w:sz="0" w:space="0" w:color="auto"/>
        <w:right w:val="none" w:sz="0" w:space="0" w:color="auto"/>
      </w:divBdr>
    </w:div>
    <w:div w:id="551624297">
      <w:bodyDiv w:val="1"/>
      <w:marLeft w:val="0"/>
      <w:marRight w:val="0"/>
      <w:marTop w:val="0"/>
      <w:marBottom w:val="0"/>
      <w:divBdr>
        <w:top w:val="none" w:sz="0" w:space="0" w:color="auto"/>
        <w:left w:val="none" w:sz="0" w:space="0" w:color="auto"/>
        <w:bottom w:val="none" w:sz="0" w:space="0" w:color="auto"/>
        <w:right w:val="none" w:sz="0" w:space="0" w:color="auto"/>
      </w:divBdr>
    </w:div>
    <w:div w:id="552086515">
      <w:bodyDiv w:val="1"/>
      <w:marLeft w:val="0"/>
      <w:marRight w:val="0"/>
      <w:marTop w:val="0"/>
      <w:marBottom w:val="0"/>
      <w:divBdr>
        <w:top w:val="none" w:sz="0" w:space="0" w:color="auto"/>
        <w:left w:val="none" w:sz="0" w:space="0" w:color="auto"/>
        <w:bottom w:val="none" w:sz="0" w:space="0" w:color="auto"/>
        <w:right w:val="none" w:sz="0" w:space="0" w:color="auto"/>
      </w:divBdr>
    </w:div>
    <w:div w:id="552544215">
      <w:bodyDiv w:val="1"/>
      <w:marLeft w:val="0"/>
      <w:marRight w:val="0"/>
      <w:marTop w:val="0"/>
      <w:marBottom w:val="0"/>
      <w:divBdr>
        <w:top w:val="none" w:sz="0" w:space="0" w:color="auto"/>
        <w:left w:val="none" w:sz="0" w:space="0" w:color="auto"/>
        <w:bottom w:val="none" w:sz="0" w:space="0" w:color="auto"/>
        <w:right w:val="none" w:sz="0" w:space="0" w:color="auto"/>
      </w:divBdr>
    </w:div>
    <w:div w:id="554507462">
      <w:bodyDiv w:val="1"/>
      <w:marLeft w:val="0"/>
      <w:marRight w:val="0"/>
      <w:marTop w:val="0"/>
      <w:marBottom w:val="0"/>
      <w:divBdr>
        <w:top w:val="none" w:sz="0" w:space="0" w:color="auto"/>
        <w:left w:val="none" w:sz="0" w:space="0" w:color="auto"/>
        <w:bottom w:val="none" w:sz="0" w:space="0" w:color="auto"/>
        <w:right w:val="none" w:sz="0" w:space="0" w:color="auto"/>
      </w:divBdr>
    </w:div>
    <w:div w:id="555363125">
      <w:bodyDiv w:val="1"/>
      <w:marLeft w:val="0"/>
      <w:marRight w:val="0"/>
      <w:marTop w:val="0"/>
      <w:marBottom w:val="0"/>
      <w:divBdr>
        <w:top w:val="none" w:sz="0" w:space="0" w:color="auto"/>
        <w:left w:val="none" w:sz="0" w:space="0" w:color="auto"/>
        <w:bottom w:val="none" w:sz="0" w:space="0" w:color="auto"/>
        <w:right w:val="none" w:sz="0" w:space="0" w:color="auto"/>
      </w:divBdr>
    </w:div>
    <w:div w:id="555824498">
      <w:bodyDiv w:val="1"/>
      <w:marLeft w:val="0"/>
      <w:marRight w:val="0"/>
      <w:marTop w:val="0"/>
      <w:marBottom w:val="0"/>
      <w:divBdr>
        <w:top w:val="none" w:sz="0" w:space="0" w:color="auto"/>
        <w:left w:val="none" w:sz="0" w:space="0" w:color="auto"/>
        <w:bottom w:val="none" w:sz="0" w:space="0" w:color="auto"/>
        <w:right w:val="none" w:sz="0" w:space="0" w:color="auto"/>
      </w:divBdr>
    </w:div>
    <w:div w:id="556010276">
      <w:bodyDiv w:val="1"/>
      <w:marLeft w:val="0"/>
      <w:marRight w:val="0"/>
      <w:marTop w:val="0"/>
      <w:marBottom w:val="0"/>
      <w:divBdr>
        <w:top w:val="none" w:sz="0" w:space="0" w:color="auto"/>
        <w:left w:val="none" w:sz="0" w:space="0" w:color="auto"/>
        <w:bottom w:val="none" w:sz="0" w:space="0" w:color="auto"/>
        <w:right w:val="none" w:sz="0" w:space="0" w:color="auto"/>
      </w:divBdr>
    </w:div>
    <w:div w:id="556623392">
      <w:bodyDiv w:val="1"/>
      <w:marLeft w:val="0"/>
      <w:marRight w:val="0"/>
      <w:marTop w:val="0"/>
      <w:marBottom w:val="0"/>
      <w:divBdr>
        <w:top w:val="none" w:sz="0" w:space="0" w:color="auto"/>
        <w:left w:val="none" w:sz="0" w:space="0" w:color="auto"/>
        <w:bottom w:val="none" w:sz="0" w:space="0" w:color="auto"/>
        <w:right w:val="none" w:sz="0" w:space="0" w:color="auto"/>
      </w:divBdr>
    </w:div>
    <w:div w:id="557595245">
      <w:bodyDiv w:val="1"/>
      <w:marLeft w:val="0"/>
      <w:marRight w:val="0"/>
      <w:marTop w:val="0"/>
      <w:marBottom w:val="0"/>
      <w:divBdr>
        <w:top w:val="none" w:sz="0" w:space="0" w:color="auto"/>
        <w:left w:val="none" w:sz="0" w:space="0" w:color="auto"/>
        <w:bottom w:val="none" w:sz="0" w:space="0" w:color="auto"/>
        <w:right w:val="none" w:sz="0" w:space="0" w:color="auto"/>
      </w:divBdr>
    </w:div>
    <w:div w:id="558131185">
      <w:bodyDiv w:val="1"/>
      <w:marLeft w:val="0"/>
      <w:marRight w:val="0"/>
      <w:marTop w:val="0"/>
      <w:marBottom w:val="0"/>
      <w:divBdr>
        <w:top w:val="none" w:sz="0" w:space="0" w:color="auto"/>
        <w:left w:val="none" w:sz="0" w:space="0" w:color="auto"/>
        <w:bottom w:val="none" w:sz="0" w:space="0" w:color="auto"/>
        <w:right w:val="none" w:sz="0" w:space="0" w:color="auto"/>
      </w:divBdr>
    </w:div>
    <w:div w:id="560867020">
      <w:bodyDiv w:val="1"/>
      <w:marLeft w:val="0"/>
      <w:marRight w:val="0"/>
      <w:marTop w:val="0"/>
      <w:marBottom w:val="0"/>
      <w:divBdr>
        <w:top w:val="none" w:sz="0" w:space="0" w:color="auto"/>
        <w:left w:val="none" w:sz="0" w:space="0" w:color="auto"/>
        <w:bottom w:val="none" w:sz="0" w:space="0" w:color="auto"/>
        <w:right w:val="none" w:sz="0" w:space="0" w:color="auto"/>
      </w:divBdr>
    </w:div>
    <w:div w:id="561520879">
      <w:bodyDiv w:val="1"/>
      <w:marLeft w:val="0"/>
      <w:marRight w:val="0"/>
      <w:marTop w:val="0"/>
      <w:marBottom w:val="0"/>
      <w:divBdr>
        <w:top w:val="none" w:sz="0" w:space="0" w:color="auto"/>
        <w:left w:val="none" w:sz="0" w:space="0" w:color="auto"/>
        <w:bottom w:val="none" w:sz="0" w:space="0" w:color="auto"/>
        <w:right w:val="none" w:sz="0" w:space="0" w:color="auto"/>
      </w:divBdr>
    </w:div>
    <w:div w:id="562066348">
      <w:bodyDiv w:val="1"/>
      <w:marLeft w:val="0"/>
      <w:marRight w:val="0"/>
      <w:marTop w:val="0"/>
      <w:marBottom w:val="0"/>
      <w:divBdr>
        <w:top w:val="none" w:sz="0" w:space="0" w:color="auto"/>
        <w:left w:val="none" w:sz="0" w:space="0" w:color="auto"/>
        <w:bottom w:val="none" w:sz="0" w:space="0" w:color="auto"/>
        <w:right w:val="none" w:sz="0" w:space="0" w:color="auto"/>
      </w:divBdr>
    </w:div>
    <w:div w:id="562837367">
      <w:bodyDiv w:val="1"/>
      <w:marLeft w:val="0"/>
      <w:marRight w:val="0"/>
      <w:marTop w:val="0"/>
      <w:marBottom w:val="0"/>
      <w:divBdr>
        <w:top w:val="none" w:sz="0" w:space="0" w:color="auto"/>
        <w:left w:val="none" w:sz="0" w:space="0" w:color="auto"/>
        <w:bottom w:val="none" w:sz="0" w:space="0" w:color="auto"/>
        <w:right w:val="none" w:sz="0" w:space="0" w:color="auto"/>
      </w:divBdr>
    </w:div>
    <w:div w:id="563687380">
      <w:bodyDiv w:val="1"/>
      <w:marLeft w:val="0"/>
      <w:marRight w:val="0"/>
      <w:marTop w:val="0"/>
      <w:marBottom w:val="0"/>
      <w:divBdr>
        <w:top w:val="none" w:sz="0" w:space="0" w:color="auto"/>
        <w:left w:val="none" w:sz="0" w:space="0" w:color="auto"/>
        <w:bottom w:val="none" w:sz="0" w:space="0" w:color="auto"/>
        <w:right w:val="none" w:sz="0" w:space="0" w:color="auto"/>
      </w:divBdr>
    </w:div>
    <w:div w:id="564492398">
      <w:bodyDiv w:val="1"/>
      <w:marLeft w:val="0"/>
      <w:marRight w:val="0"/>
      <w:marTop w:val="0"/>
      <w:marBottom w:val="0"/>
      <w:divBdr>
        <w:top w:val="none" w:sz="0" w:space="0" w:color="auto"/>
        <w:left w:val="none" w:sz="0" w:space="0" w:color="auto"/>
        <w:bottom w:val="none" w:sz="0" w:space="0" w:color="auto"/>
        <w:right w:val="none" w:sz="0" w:space="0" w:color="auto"/>
      </w:divBdr>
    </w:div>
    <w:div w:id="565575857">
      <w:bodyDiv w:val="1"/>
      <w:marLeft w:val="0"/>
      <w:marRight w:val="0"/>
      <w:marTop w:val="0"/>
      <w:marBottom w:val="0"/>
      <w:divBdr>
        <w:top w:val="none" w:sz="0" w:space="0" w:color="auto"/>
        <w:left w:val="none" w:sz="0" w:space="0" w:color="auto"/>
        <w:bottom w:val="none" w:sz="0" w:space="0" w:color="auto"/>
        <w:right w:val="none" w:sz="0" w:space="0" w:color="auto"/>
      </w:divBdr>
    </w:div>
    <w:div w:id="568273742">
      <w:bodyDiv w:val="1"/>
      <w:marLeft w:val="0"/>
      <w:marRight w:val="0"/>
      <w:marTop w:val="0"/>
      <w:marBottom w:val="0"/>
      <w:divBdr>
        <w:top w:val="none" w:sz="0" w:space="0" w:color="auto"/>
        <w:left w:val="none" w:sz="0" w:space="0" w:color="auto"/>
        <w:bottom w:val="none" w:sz="0" w:space="0" w:color="auto"/>
        <w:right w:val="none" w:sz="0" w:space="0" w:color="auto"/>
      </w:divBdr>
    </w:div>
    <w:div w:id="568351107">
      <w:bodyDiv w:val="1"/>
      <w:marLeft w:val="0"/>
      <w:marRight w:val="0"/>
      <w:marTop w:val="0"/>
      <w:marBottom w:val="0"/>
      <w:divBdr>
        <w:top w:val="none" w:sz="0" w:space="0" w:color="auto"/>
        <w:left w:val="none" w:sz="0" w:space="0" w:color="auto"/>
        <w:bottom w:val="none" w:sz="0" w:space="0" w:color="auto"/>
        <w:right w:val="none" w:sz="0" w:space="0" w:color="auto"/>
      </w:divBdr>
    </w:div>
    <w:div w:id="568420453">
      <w:bodyDiv w:val="1"/>
      <w:marLeft w:val="0"/>
      <w:marRight w:val="0"/>
      <w:marTop w:val="0"/>
      <w:marBottom w:val="0"/>
      <w:divBdr>
        <w:top w:val="none" w:sz="0" w:space="0" w:color="auto"/>
        <w:left w:val="none" w:sz="0" w:space="0" w:color="auto"/>
        <w:bottom w:val="none" w:sz="0" w:space="0" w:color="auto"/>
        <w:right w:val="none" w:sz="0" w:space="0" w:color="auto"/>
      </w:divBdr>
    </w:div>
    <w:div w:id="570846400">
      <w:bodyDiv w:val="1"/>
      <w:marLeft w:val="0"/>
      <w:marRight w:val="0"/>
      <w:marTop w:val="0"/>
      <w:marBottom w:val="0"/>
      <w:divBdr>
        <w:top w:val="none" w:sz="0" w:space="0" w:color="auto"/>
        <w:left w:val="none" w:sz="0" w:space="0" w:color="auto"/>
        <w:bottom w:val="none" w:sz="0" w:space="0" w:color="auto"/>
        <w:right w:val="none" w:sz="0" w:space="0" w:color="auto"/>
      </w:divBdr>
    </w:div>
    <w:div w:id="570894407">
      <w:bodyDiv w:val="1"/>
      <w:marLeft w:val="0"/>
      <w:marRight w:val="0"/>
      <w:marTop w:val="0"/>
      <w:marBottom w:val="0"/>
      <w:divBdr>
        <w:top w:val="none" w:sz="0" w:space="0" w:color="auto"/>
        <w:left w:val="none" w:sz="0" w:space="0" w:color="auto"/>
        <w:bottom w:val="none" w:sz="0" w:space="0" w:color="auto"/>
        <w:right w:val="none" w:sz="0" w:space="0" w:color="auto"/>
      </w:divBdr>
    </w:div>
    <w:div w:id="571887529">
      <w:bodyDiv w:val="1"/>
      <w:marLeft w:val="0"/>
      <w:marRight w:val="0"/>
      <w:marTop w:val="0"/>
      <w:marBottom w:val="0"/>
      <w:divBdr>
        <w:top w:val="none" w:sz="0" w:space="0" w:color="auto"/>
        <w:left w:val="none" w:sz="0" w:space="0" w:color="auto"/>
        <w:bottom w:val="none" w:sz="0" w:space="0" w:color="auto"/>
        <w:right w:val="none" w:sz="0" w:space="0" w:color="auto"/>
      </w:divBdr>
    </w:div>
    <w:div w:id="572469077">
      <w:bodyDiv w:val="1"/>
      <w:marLeft w:val="0"/>
      <w:marRight w:val="0"/>
      <w:marTop w:val="0"/>
      <w:marBottom w:val="0"/>
      <w:divBdr>
        <w:top w:val="none" w:sz="0" w:space="0" w:color="auto"/>
        <w:left w:val="none" w:sz="0" w:space="0" w:color="auto"/>
        <w:bottom w:val="none" w:sz="0" w:space="0" w:color="auto"/>
        <w:right w:val="none" w:sz="0" w:space="0" w:color="auto"/>
      </w:divBdr>
    </w:div>
    <w:div w:id="572810451">
      <w:bodyDiv w:val="1"/>
      <w:marLeft w:val="0"/>
      <w:marRight w:val="0"/>
      <w:marTop w:val="0"/>
      <w:marBottom w:val="0"/>
      <w:divBdr>
        <w:top w:val="none" w:sz="0" w:space="0" w:color="auto"/>
        <w:left w:val="none" w:sz="0" w:space="0" w:color="auto"/>
        <w:bottom w:val="none" w:sz="0" w:space="0" w:color="auto"/>
        <w:right w:val="none" w:sz="0" w:space="0" w:color="auto"/>
      </w:divBdr>
    </w:div>
    <w:div w:id="573586094">
      <w:bodyDiv w:val="1"/>
      <w:marLeft w:val="0"/>
      <w:marRight w:val="0"/>
      <w:marTop w:val="0"/>
      <w:marBottom w:val="0"/>
      <w:divBdr>
        <w:top w:val="none" w:sz="0" w:space="0" w:color="auto"/>
        <w:left w:val="none" w:sz="0" w:space="0" w:color="auto"/>
        <w:bottom w:val="none" w:sz="0" w:space="0" w:color="auto"/>
        <w:right w:val="none" w:sz="0" w:space="0" w:color="auto"/>
      </w:divBdr>
    </w:div>
    <w:div w:id="574054175">
      <w:bodyDiv w:val="1"/>
      <w:marLeft w:val="0"/>
      <w:marRight w:val="0"/>
      <w:marTop w:val="0"/>
      <w:marBottom w:val="0"/>
      <w:divBdr>
        <w:top w:val="none" w:sz="0" w:space="0" w:color="auto"/>
        <w:left w:val="none" w:sz="0" w:space="0" w:color="auto"/>
        <w:bottom w:val="none" w:sz="0" w:space="0" w:color="auto"/>
        <w:right w:val="none" w:sz="0" w:space="0" w:color="auto"/>
      </w:divBdr>
    </w:div>
    <w:div w:id="574247539">
      <w:bodyDiv w:val="1"/>
      <w:marLeft w:val="0"/>
      <w:marRight w:val="0"/>
      <w:marTop w:val="0"/>
      <w:marBottom w:val="0"/>
      <w:divBdr>
        <w:top w:val="none" w:sz="0" w:space="0" w:color="auto"/>
        <w:left w:val="none" w:sz="0" w:space="0" w:color="auto"/>
        <w:bottom w:val="none" w:sz="0" w:space="0" w:color="auto"/>
        <w:right w:val="none" w:sz="0" w:space="0" w:color="auto"/>
      </w:divBdr>
    </w:div>
    <w:div w:id="576718835">
      <w:bodyDiv w:val="1"/>
      <w:marLeft w:val="0"/>
      <w:marRight w:val="0"/>
      <w:marTop w:val="0"/>
      <w:marBottom w:val="0"/>
      <w:divBdr>
        <w:top w:val="none" w:sz="0" w:space="0" w:color="auto"/>
        <w:left w:val="none" w:sz="0" w:space="0" w:color="auto"/>
        <w:bottom w:val="none" w:sz="0" w:space="0" w:color="auto"/>
        <w:right w:val="none" w:sz="0" w:space="0" w:color="auto"/>
      </w:divBdr>
    </w:div>
    <w:div w:id="578247067">
      <w:bodyDiv w:val="1"/>
      <w:marLeft w:val="0"/>
      <w:marRight w:val="0"/>
      <w:marTop w:val="0"/>
      <w:marBottom w:val="0"/>
      <w:divBdr>
        <w:top w:val="none" w:sz="0" w:space="0" w:color="auto"/>
        <w:left w:val="none" w:sz="0" w:space="0" w:color="auto"/>
        <w:bottom w:val="none" w:sz="0" w:space="0" w:color="auto"/>
        <w:right w:val="none" w:sz="0" w:space="0" w:color="auto"/>
      </w:divBdr>
    </w:div>
    <w:div w:id="579096530">
      <w:bodyDiv w:val="1"/>
      <w:marLeft w:val="0"/>
      <w:marRight w:val="0"/>
      <w:marTop w:val="0"/>
      <w:marBottom w:val="0"/>
      <w:divBdr>
        <w:top w:val="none" w:sz="0" w:space="0" w:color="auto"/>
        <w:left w:val="none" w:sz="0" w:space="0" w:color="auto"/>
        <w:bottom w:val="none" w:sz="0" w:space="0" w:color="auto"/>
        <w:right w:val="none" w:sz="0" w:space="0" w:color="auto"/>
      </w:divBdr>
    </w:div>
    <w:div w:id="580873166">
      <w:bodyDiv w:val="1"/>
      <w:marLeft w:val="0"/>
      <w:marRight w:val="0"/>
      <w:marTop w:val="0"/>
      <w:marBottom w:val="0"/>
      <w:divBdr>
        <w:top w:val="none" w:sz="0" w:space="0" w:color="auto"/>
        <w:left w:val="none" w:sz="0" w:space="0" w:color="auto"/>
        <w:bottom w:val="none" w:sz="0" w:space="0" w:color="auto"/>
        <w:right w:val="none" w:sz="0" w:space="0" w:color="auto"/>
      </w:divBdr>
    </w:div>
    <w:div w:id="582031048">
      <w:bodyDiv w:val="1"/>
      <w:marLeft w:val="0"/>
      <w:marRight w:val="0"/>
      <w:marTop w:val="0"/>
      <w:marBottom w:val="0"/>
      <w:divBdr>
        <w:top w:val="none" w:sz="0" w:space="0" w:color="auto"/>
        <w:left w:val="none" w:sz="0" w:space="0" w:color="auto"/>
        <w:bottom w:val="none" w:sz="0" w:space="0" w:color="auto"/>
        <w:right w:val="none" w:sz="0" w:space="0" w:color="auto"/>
      </w:divBdr>
    </w:div>
    <w:div w:id="584998589">
      <w:bodyDiv w:val="1"/>
      <w:marLeft w:val="0"/>
      <w:marRight w:val="0"/>
      <w:marTop w:val="0"/>
      <w:marBottom w:val="0"/>
      <w:divBdr>
        <w:top w:val="none" w:sz="0" w:space="0" w:color="auto"/>
        <w:left w:val="none" w:sz="0" w:space="0" w:color="auto"/>
        <w:bottom w:val="none" w:sz="0" w:space="0" w:color="auto"/>
        <w:right w:val="none" w:sz="0" w:space="0" w:color="auto"/>
      </w:divBdr>
    </w:div>
    <w:div w:id="585188089">
      <w:bodyDiv w:val="1"/>
      <w:marLeft w:val="0"/>
      <w:marRight w:val="0"/>
      <w:marTop w:val="0"/>
      <w:marBottom w:val="0"/>
      <w:divBdr>
        <w:top w:val="none" w:sz="0" w:space="0" w:color="auto"/>
        <w:left w:val="none" w:sz="0" w:space="0" w:color="auto"/>
        <w:bottom w:val="none" w:sz="0" w:space="0" w:color="auto"/>
        <w:right w:val="none" w:sz="0" w:space="0" w:color="auto"/>
      </w:divBdr>
    </w:div>
    <w:div w:id="585264122">
      <w:bodyDiv w:val="1"/>
      <w:marLeft w:val="0"/>
      <w:marRight w:val="0"/>
      <w:marTop w:val="0"/>
      <w:marBottom w:val="0"/>
      <w:divBdr>
        <w:top w:val="none" w:sz="0" w:space="0" w:color="auto"/>
        <w:left w:val="none" w:sz="0" w:space="0" w:color="auto"/>
        <w:bottom w:val="none" w:sz="0" w:space="0" w:color="auto"/>
        <w:right w:val="none" w:sz="0" w:space="0" w:color="auto"/>
      </w:divBdr>
    </w:div>
    <w:div w:id="587806408">
      <w:bodyDiv w:val="1"/>
      <w:marLeft w:val="0"/>
      <w:marRight w:val="0"/>
      <w:marTop w:val="0"/>
      <w:marBottom w:val="0"/>
      <w:divBdr>
        <w:top w:val="none" w:sz="0" w:space="0" w:color="auto"/>
        <w:left w:val="none" w:sz="0" w:space="0" w:color="auto"/>
        <w:bottom w:val="none" w:sz="0" w:space="0" w:color="auto"/>
        <w:right w:val="none" w:sz="0" w:space="0" w:color="auto"/>
      </w:divBdr>
    </w:div>
    <w:div w:id="587811414">
      <w:bodyDiv w:val="1"/>
      <w:marLeft w:val="0"/>
      <w:marRight w:val="0"/>
      <w:marTop w:val="0"/>
      <w:marBottom w:val="0"/>
      <w:divBdr>
        <w:top w:val="none" w:sz="0" w:space="0" w:color="auto"/>
        <w:left w:val="none" w:sz="0" w:space="0" w:color="auto"/>
        <w:bottom w:val="none" w:sz="0" w:space="0" w:color="auto"/>
        <w:right w:val="none" w:sz="0" w:space="0" w:color="auto"/>
      </w:divBdr>
    </w:div>
    <w:div w:id="587930423">
      <w:bodyDiv w:val="1"/>
      <w:marLeft w:val="0"/>
      <w:marRight w:val="0"/>
      <w:marTop w:val="0"/>
      <w:marBottom w:val="0"/>
      <w:divBdr>
        <w:top w:val="none" w:sz="0" w:space="0" w:color="auto"/>
        <w:left w:val="none" w:sz="0" w:space="0" w:color="auto"/>
        <w:bottom w:val="none" w:sz="0" w:space="0" w:color="auto"/>
        <w:right w:val="none" w:sz="0" w:space="0" w:color="auto"/>
      </w:divBdr>
    </w:div>
    <w:div w:id="588126547">
      <w:bodyDiv w:val="1"/>
      <w:marLeft w:val="0"/>
      <w:marRight w:val="0"/>
      <w:marTop w:val="0"/>
      <w:marBottom w:val="0"/>
      <w:divBdr>
        <w:top w:val="none" w:sz="0" w:space="0" w:color="auto"/>
        <w:left w:val="none" w:sz="0" w:space="0" w:color="auto"/>
        <w:bottom w:val="none" w:sz="0" w:space="0" w:color="auto"/>
        <w:right w:val="none" w:sz="0" w:space="0" w:color="auto"/>
      </w:divBdr>
    </w:div>
    <w:div w:id="588273224">
      <w:bodyDiv w:val="1"/>
      <w:marLeft w:val="0"/>
      <w:marRight w:val="0"/>
      <w:marTop w:val="0"/>
      <w:marBottom w:val="0"/>
      <w:divBdr>
        <w:top w:val="none" w:sz="0" w:space="0" w:color="auto"/>
        <w:left w:val="none" w:sz="0" w:space="0" w:color="auto"/>
        <w:bottom w:val="none" w:sz="0" w:space="0" w:color="auto"/>
        <w:right w:val="none" w:sz="0" w:space="0" w:color="auto"/>
      </w:divBdr>
    </w:div>
    <w:div w:id="589578978">
      <w:bodyDiv w:val="1"/>
      <w:marLeft w:val="0"/>
      <w:marRight w:val="0"/>
      <w:marTop w:val="0"/>
      <w:marBottom w:val="0"/>
      <w:divBdr>
        <w:top w:val="none" w:sz="0" w:space="0" w:color="auto"/>
        <w:left w:val="none" w:sz="0" w:space="0" w:color="auto"/>
        <w:bottom w:val="none" w:sz="0" w:space="0" w:color="auto"/>
        <w:right w:val="none" w:sz="0" w:space="0" w:color="auto"/>
      </w:divBdr>
    </w:div>
    <w:div w:id="590700806">
      <w:bodyDiv w:val="1"/>
      <w:marLeft w:val="0"/>
      <w:marRight w:val="0"/>
      <w:marTop w:val="0"/>
      <w:marBottom w:val="0"/>
      <w:divBdr>
        <w:top w:val="none" w:sz="0" w:space="0" w:color="auto"/>
        <w:left w:val="none" w:sz="0" w:space="0" w:color="auto"/>
        <w:bottom w:val="none" w:sz="0" w:space="0" w:color="auto"/>
        <w:right w:val="none" w:sz="0" w:space="0" w:color="auto"/>
      </w:divBdr>
    </w:div>
    <w:div w:id="591164754">
      <w:bodyDiv w:val="1"/>
      <w:marLeft w:val="0"/>
      <w:marRight w:val="0"/>
      <w:marTop w:val="0"/>
      <w:marBottom w:val="0"/>
      <w:divBdr>
        <w:top w:val="none" w:sz="0" w:space="0" w:color="auto"/>
        <w:left w:val="none" w:sz="0" w:space="0" w:color="auto"/>
        <w:bottom w:val="none" w:sz="0" w:space="0" w:color="auto"/>
        <w:right w:val="none" w:sz="0" w:space="0" w:color="auto"/>
      </w:divBdr>
    </w:div>
    <w:div w:id="591355803">
      <w:bodyDiv w:val="1"/>
      <w:marLeft w:val="0"/>
      <w:marRight w:val="0"/>
      <w:marTop w:val="0"/>
      <w:marBottom w:val="0"/>
      <w:divBdr>
        <w:top w:val="none" w:sz="0" w:space="0" w:color="auto"/>
        <w:left w:val="none" w:sz="0" w:space="0" w:color="auto"/>
        <w:bottom w:val="none" w:sz="0" w:space="0" w:color="auto"/>
        <w:right w:val="none" w:sz="0" w:space="0" w:color="auto"/>
      </w:divBdr>
    </w:div>
    <w:div w:id="592280620">
      <w:bodyDiv w:val="1"/>
      <w:marLeft w:val="0"/>
      <w:marRight w:val="0"/>
      <w:marTop w:val="0"/>
      <w:marBottom w:val="0"/>
      <w:divBdr>
        <w:top w:val="none" w:sz="0" w:space="0" w:color="auto"/>
        <w:left w:val="none" w:sz="0" w:space="0" w:color="auto"/>
        <w:bottom w:val="none" w:sz="0" w:space="0" w:color="auto"/>
        <w:right w:val="none" w:sz="0" w:space="0" w:color="auto"/>
      </w:divBdr>
    </w:div>
    <w:div w:id="593056376">
      <w:bodyDiv w:val="1"/>
      <w:marLeft w:val="0"/>
      <w:marRight w:val="0"/>
      <w:marTop w:val="0"/>
      <w:marBottom w:val="0"/>
      <w:divBdr>
        <w:top w:val="none" w:sz="0" w:space="0" w:color="auto"/>
        <w:left w:val="none" w:sz="0" w:space="0" w:color="auto"/>
        <w:bottom w:val="none" w:sz="0" w:space="0" w:color="auto"/>
        <w:right w:val="none" w:sz="0" w:space="0" w:color="auto"/>
      </w:divBdr>
    </w:div>
    <w:div w:id="593513149">
      <w:bodyDiv w:val="1"/>
      <w:marLeft w:val="0"/>
      <w:marRight w:val="0"/>
      <w:marTop w:val="0"/>
      <w:marBottom w:val="0"/>
      <w:divBdr>
        <w:top w:val="none" w:sz="0" w:space="0" w:color="auto"/>
        <w:left w:val="none" w:sz="0" w:space="0" w:color="auto"/>
        <w:bottom w:val="none" w:sz="0" w:space="0" w:color="auto"/>
        <w:right w:val="none" w:sz="0" w:space="0" w:color="auto"/>
      </w:divBdr>
    </w:div>
    <w:div w:id="595141624">
      <w:bodyDiv w:val="1"/>
      <w:marLeft w:val="0"/>
      <w:marRight w:val="0"/>
      <w:marTop w:val="0"/>
      <w:marBottom w:val="0"/>
      <w:divBdr>
        <w:top w:val="none" w:sz="0" w:space="0" w:color="auto"/>
        <w:left w:val="none" w:sz="0" w:space="0" w:color="auto"/>
        <w:bottom w:val="none" w:sz="0" w:space="0" w:color="auto"/>
        <w:right w:val="none" w:sz="0" w:space="0" w:color="auto"/>
      </w:divBdr>
    </w:div>
    <w:div w:id="595403167">
      <w:bodyDiv w:val="1"/>
      <w:marLeft w:val="0"/>
      <w:marRight w:val="0"/>
      <w:marTop w:val="0"/>
      <w:marBottom w:val="0"/>
      <w:divBdr>
        <w:top w:val="none" w:sz="0" w:space="0" w:color="auto"/>
        <w:left w:val="none" w:sz="0" w:space="0" w:color="auto"/>
        <w:bottom w:val="none" w:sz="0" w:space="0" w:color="auto"/>
        <w:right w:val="none" w:sz="0" w:space="0" w:color="auto"/>
      </w:divBdr>
    </w:div>
    <w:div w:id="597642995">
      <w:bodyDiv w:val="1"/>
      <w:marLeft w:val="0"/>
      <w:marRight w:val="0"/>
      <w:marTop w:val="0"/>
      <w:marBottom w:val="0"/>
      <w:divBdr>
        <w:top w:val="none" w:sz="0" w:space="0" w:color="auto"/>
        <w:left w:val="none" w:sz="0" w:space="0" w:color="auto"/>
        <w:bottom w:val="none" w:sz="0" w:space="0" w:color="auto"/>
        <w:right w:val="none" w:sz="0" w:space="0" w:color="auto"/>
      </w:divBdr>
    </w:div>
    <w:div w:id="597715540">
      <w:bodyDiv w:val="1"/>
      <w:marLeft w:val="0"/>
      <w:marRight w:val="0"/>
      <w:marTop w:val="0"/>
      <w:marBottom w:val="0"/>
      <w:divBdr>
        <w:top w:val="none" w:sz="0" w:space="0" w:color="auto"/>
        <w:left w:val="none" w:sz="0" w:space="0" w:color="auto"/>
        <w:bottom w:val="none" w:sz="0" w:space="0" w:color="auto"/>
        <w:right w:val="none" w:sz="0" w:space="0" w:color="auto"/>
      </w:divBdr>
    </w:div>
    <w:div w:id="600380900">
      <w:bodyDiv w:val="1"/>
      <w:marLeft w:val="0"/>
      <w:marRight w:val="0"/>
      <w:marTop w:val="0"/>
      <w:marBottom w:val="0"/>
      <w:divBdr>
        <w:top w:val="none" w:sz="0" w:space="0" w:color="auto"/>
        <w:left w:val="none" w:sz="0" w:space="0" w:color="auto"/>
        <w:bottom w:val="none" w:sz="0" w:space="0" w:color="auto"/>
        <w:right w:val="none" w:sz="0" w:space="0" w:color="auto"/>
      </w:divBdr>
    </w:div>
    <w:div w:id="600796149">
      <w:bodyDiv w:val="1"/>
      <w:marLeft w:val="0"/>
      <w:marRight w:val="0"/>
      <w:marTop w:val="0"/>
      <w:marBottom w:val="0"/>
      <w:divBdr>
        <w:top w:val="none" w:sz="0" w:space="0" w:color="auto"/>
        <w:left w:val="none" w:sz="0" w:space="0" w:color="auto"/>
        <w:bottom w:val="none" w:sz="0" w:space="0" w:color="auto"/>
        <w:right w:val="none" w:sz="0" w:space="0" w:color="auto"/>
      </w:divBdr>
    </w:div>
    <w:div w:id="602036373">
      <w:bodyDiv w:val="1"/>
      <w:marLeft w:val="0"/>
      <w:marRight w:val="0"/>
      <w:marTop w:val="0"/>
      <w:marBottom w:val="0"/>
      <w:divBdr>
        <w:top w:val="none" w:sz="0" w:space="0" w:color="auto"/>
        <w:left w:val="none" w:sz="0" w:space="0" w:color="auto"/>
        <w:bottom w:val="none" w:sz="0" w:space="0" w:color="auto"/>
        <w:right w:val="none" w:sz="0" w:space="0" w:color="auto"/>
      </w:divBdr>
    </w:div>
    <w:div w:id="603072603">
      <w:bodyDiv w:val="1"/>
      <w:marLeft w:val="0"/>
      <w:marRight w:val="0"/>
      <w:marTop w:val="0"/>
      <w:marBottom w:val="0"/>
      <w:divBdr>
        <w:top w:val="none" w:sz="0" w:space="0" w:color="auto"/>
        <w:left w:val="none" w:sz="0" w:space="0" w:color="auto"/>
        <w:bottom w:val="none" w:sz="0" w:space="0" w:color="auto"/>
        <w:right w:val="none" w:sz="0" w:space="0" w:color="auto"/>
      </w:divBdr>
    </w:div>
    <w:div w:id="603348526">
      <w:bodyDiv w:val="1"/>
      <w:marLeft w:val="0"/>
      <w:marRight w:val="0"/>
      <w:marTop w:val="0"/>
      <w:marBottom w:val="0"/>
      <w:divBdr>
        <w:top w:val="none" w:sz="0" w:space="0" w:color="auto"/>
        <w:left w:val="none" w:sz="0" w:space="0" w:color="auto"/>
        <w:bottom w:val="none" w:sz="0" w:space="0" w:color="auto"/>
        <w:right w:val="none" w:sz="0" w:space="0" w:color="auto"/>
      </w:divBdr>
    </w:div>
    <w:div w:id="604579204">
      <w:bodyDiv w:val="1"/>
      <w:marLeft w:val="0"/>
      <w:marRight w:val="0"/>
      <w:marTop w:val="0"/>
      <w:marBottom w:val="0"/>
      <w:divBdr>
        <w:top w:val="none" w:sz="0" w:space="0" w:color="auto"/>
        <w:left w:val="none" w:sz="0" w:space="0" w:color="auto"/>
        <w:bottom w:val="none" w:sz="0" w:space="0" w:color="auto"/>
        <w:right w:val="none" w:sz="0" w:space="0" w:color="auto"/>
      </w:divBdr>
    </w:div>
    <w:div w:id="604774644">
      <w:bodyDiv w:val="1"/>
      <w:marLeft w:val="0"/>
      <w:marRight w:val="0"/>
      <w:marTop w:val="0"/>
      <w:marBottom w:val="0"/>
      <w:divBdr>
        <w:top w:val="none" w:sz="0" w:space="0" w:color="auto"/>
        <w:left w:val="none" w:sz="0" w:space="0" w:color="auto"/>
        <w:bottom w:val="none" w:sz="0" w:space="0" w:color="auto"/>
        <w:right w:val="none" w:sz="0" w:space="0" w:color="auto"/>
      </w:divBdr>
    </w:div>
    <w:div w:id="605428166">
      <w:bodyDiv w:val="1"/>
      <w:marLeft w:val="0"/>
      <w:marRight w:val="0"/>
      <w:marTop w:val="0"/>
      <w:marBottom w:val="0"/>
      <w:divBdr>
        <w:top w:val="none" w:sz="0" w:space="0" w:color="auto"/>
        <w:left w:val="none" w:sz="0" w:space="0" w:color="auto"/>
        <w:bottom w:val="none" w:sz="0" w:space="0" w:color="auto"/>
        <w:right w:val="none" w:sz="0" w:space="0" w:color="auto"/>
      </w:divBdr>
    </w:div>
    <w:div w:id="605770348">
      <w:bodyDiv w:val="1"/>
      <w:marLeft w:val="0"/>
      <w:marRight w:val="0"/>
      <w:marTop w:val="0"/>
      <w:marBottom w:val="0"/>
      <w:divBdr>
        <w:top w:val="none" w:sz="0" w:space="0" w:color="auto"/>
        <w:left w:val="none" w:sz="0" w:space="0" w:color="auto"/>
        <w:bottom w:val="none" w:sz="0" w:space="0" w:color="auto"/>
        <w:right w:val="none" w:sz="0" w:space="0" w:color="auto"/>
      </w:divBdr>
    </w:div>
    <w:div w:id="606619704">
      <w:bodyDiv w:val="1"/>
      <w:marLeft w:val="0"/>
      <w:marRight w:val="0"/>
      <w:marTop w:val="0"/>
      <w:marBottom w:val="0"/>
      <w:divBdr>
        <w:top w:val="none" w:sz="0" w:space="0" w:color="auto"/>
        <w:left w:val="none" w:sz="0" w:space="0" w:color="auto"/>
        <w:bottom w:val="none" w:sz="0" w:space="0" w:color="auto"/>
        <w:right w:val="none" w:sz="0" w:space="0" w:color="auto"/>
      </w:divBdr>
    </w:div>
    <w:div w:id="608319713">
      <w:bodyDiv w:val="1"/>
      <w:marLeft w:val="0"/>
      <w:marRight w:val="0"/>
      <w:marTop w:val="0"/>
      <w:marBottom w:val="0"/>
      <w:divBdr>
        <w:top w:val="none" w:sz="0" w:space="0" w:color="auto"/>
        <w:left w:val="none" w:sz="0" w:space="0" w:color="auto"/>
        <w:bottom w:val="none" w:sz="0" w:space="0" w:color="auto"/>
        <w:right w:val="none" w:sz="0" w:space="0" w:color="auto"/>
      </w:divBdr>
    </w:div>
    <w:div w:id="608707081">
      <w:bodyDiv w:val="1"/>
      <w:marLeft w:val="0"/>
      <w:marRight w:val="0"/>
      <w:marTop w:val="0"/>
      <w:marBottom w:val="0"/>
      <w:divBdr>
        <w:top w:val="none" w:sz="0" w:space="0" w:color="auto"/>
        <w:left w:val="none" w:sz="0" w:space="0" w:color="auto"/>
        <w:bottom w:val="none" w:sz="0" w:space="0" w:color="auto"/>
        <w:right w:val="none" w:sz="0" w:space="0" w:color="auto"/>
      </w:divBdr>
    </w:div>
    <w:div w:id="609320338">
      <w:bodyDiv w:val="1"/>
      <w:marLeft w:val="0"/>
      <w:marRight w:val="0"/>
      <w:marTop w:val="0"/>
      <w:marBottom w:val="0"/>
      <w:divBdr>
        <w:top w:val="none" w:sz="0" w:space="0" w:color="auto"/>
        <w:left w:val="none" w:sz="0" w:space="0" w:color="auto"/>
        <w:bottom w:val="none" w:sz="0" w:space="0" w:color="auto"/>
        <w:right w:val="none" w:sz="0" w:space="0" w:color="auto"/>
      </w:divBdr>
    </w:div>
    <w:div w:id="610165353">
      <w:bodyDiv w:val="1"/>
      <w:marLeft w:val="0"/>
      <w:marRight w:val="0"/>
      <w:marTop w:val="0"/>
      <w:marBottom w:val="0"/>
      <w:divBdr>
        <w:top w:val="none" w:sz="0" w:space="0" w:color="auto"/>
        <w:left w:val="none" w:sz="0" w:space="0" w:color="auto"/>
        <w:bottom w:val="none" w:sz="0" w:space="0" w:color="auto"/>
        <w:right w:val="none" w:sz="0" w:space="0" w:color="auto"/>
      </w:divBdr>
    </w:div>
    <w:div w:id="610628328">
      <w:bodyDiv w:val="1"/>
      <w:marLeft w:val="0"/>
      <w:marRight w:val="0"/>
      <w:marTop w:val="0"/>
      <w:marBottom w:val="0"/>
      <w:divBdr>
        <w:top w:val="none" w:sz="0" w:space="0" w:color="auto"/>
        <w:left w:val="none" w:sz="0" w:space="0" w:color="auto"/>
        <w:bottom w:val="none" w:sz="0" w:space="0" w:color="auto"/>
        <w:right w:val="none" w:sz="0" w:space="0" w:color="auto"/>
      </w:divBdr>
    </w:div>
    <w:div w:id="610823663">
      <w:bodyDiv w:val="1"/>
      <w:marLeft w:val="0"/>
      <w:marRight w:val="0"/>
      <w:marTop w:val="0"/>
      <w:marBottom w:val="0"/>
      <w:divBdr>
        <w:top w:val="none" w:sz="0" w:space="0" w:color="auto"/>
        <w:left w:val="none" w:sz="0" w:space="0" w:color="auto"/>
        <w:bottom w:val="none" w:sz="0" w:space="0" w:color="auto"/>
        <w:right w:val="none" w:sz="0" w:space="0" w:color="auto"/>
      </w:divBdr>
    </w:div>
    <w:div w:id="613054434">
      <w:bodyDiv w:val="1"/>
      <w:marLeft w:val="0"/>
      <w:marRight w:val="0"/>
      <w:marTop w:val="0"/>
      <w:marBottom w:val="0"/>
      <w:divBdr>
        <w:top w:val="none" w:sz="0" w:space="0" w:color="auto"/>
        <w:left w:val="none" w:sz="0" w:space="0" w:color="auto"/>
        <w:bottom w:val="none" w:sz="0" w:space="0" w:color="auto"/>
        <w:right w:val="none" w:sz="0" w:space="0" w:color="auto"/>
      </w:divBdr>
    </w:div>
    <w:div w:id="613290900">
      <w:bodyDiv w:val="1"/>
      <w:marLeft w:val="0"/>
      <w:marRight w:val="0"/>
      <w:marTop w:val="0"/>
      <w:marBottom w:val="0"/>
      <w:divBdr>
        <w:top w:val="none" w:sz="0" w:space="0" w:color="auto"/>
        <w:left w:val="none" w:sz="0" w:space="0" w:color="auto"/>
        <w:bottom w:val="none" w:sz="0" w:space="0" w:color="auto"/>
        <w:right w:val="none" w:sz="0" w:space="0" w:color="auto"/>
      </w:divBdr>
    </w:div>
    <w:div w:id="613900720">
      <w:bodyDiv w:val="1"/>
      <w:marLeft w:val="0"/>
      <w:marRight w:val="0"/>
      <w:marTop w:val="0"/>
      <w:marBottom w:val="0"/>
      <w:divBdr>
        <w:top w:val="none" w:sz="0" w:space="0" w:color="auto"/>
        <w:left w:val="none" w:sz="0" w:space="0" w:color="auto"/>
        <w:bottom w:val="none" w:sz="0" w:space="0" w:color="auto"/>
        <w:right w:val="none" w:sz="0" w:space="0" w:color="auto"/>
      </w:divBdr>
    </w:div>
    <w:div w:id="613905423">
      <w:bodyDiv w:val="1"/>
      <w:marLeft w:val="0"/>
      <w:marRight w:val="0"/>
      <w:marTop w:val="0"/>
      <w:marBottom w:val="0"/>
      <w:divBdr>
        <w:top w:val="none" w:sz="0" w:space="0" w:color="auto"/>
        <w:left w:val="none" w:sz="0" w:space="0" w:color="auto"/>
        <w:bottom w:val="none" w:sz="0" w:space="0" w:color="auto"/>
        <w:right w:val="none" w:sz="0" w:space="0" w:color="auto"/>
      </w:divBdr>
    </w:div>
    <w:div w:id="614561450">
      <w:bodyDiv w:val="1"/>
      <w:marLeft w:val="0"/>
      <w:marRight w:val="0"/>
      <w:marTop w:val="0"/>
      <w:marBottom w:val="0"/>
      <w:divBdr>
        <w:top w:val="none" w:sz="0" w:space="0" w:color="auto"/>
        <w:left w:val="none" w:sz="0" w:space="0" w:color="auto"/>
        <w:bottom w:val="none" w:sz="0" w:space="0" w:color="auto"/>
        <w:right w:val="none" w:sz="0" w:space="0" w:color="auto"/>
      </w:divBdr>
    </w:div>
    <w:div w:id="615718066">
      <w:bodyDiv w:val="1"/>
      <w:marLeft w:val="0"/>
      <w:marRight w:val="0"/>
      <w:marTop w:val="0"/>
      <w:marBottom w:val="0"/>
      <w:divBdr>
        <w:top w:val="none" w:sz="0" w:space="0" w:color="auto"/>
        <w:left w:val="none" w:sz="0" w:space="0" w:color="auto"/>
        <w:bottom w:val="none" w:sz="0" w:space="0" w:color="auto"/>
        <w:right w:val="none" w:sz="0" w:space="0" w:color="auto"/>
      </w:divBdr>
    </w:div>
    <w:div w:id="615989292">
      <w:bodyDiv w:val="1"/>
      <w:marLeft w:val="0"/>
      <w:marRight w:val="0"/>
      <w:marTop w:val="0"/>
      <w:marBottom w:val="0"/>
      <w:divBdr>
        <w:top w:val="none" w:sz="0" w:space="0" w:color="auto"/>
        <w:left w:val="none" w:sz="0" w:space="0" w:color="auto"/>
        <w:bottom w:val="none" w:sz="0" w:space="0" w:color="auto"/>
        <w:right w:val="none" w:sz="0" w:space="0" w:color="auto"/>
      </w:divBdr>
    </w:div>
    <w:div w:id="616302796">
      <w:bodyDiv w:val="1"/>
      <w:marLeft w:val="0"/>
      <w:marRight w:val="0"/>
      <w:marTop w:val="0"/>
      <w:marBottom w:val="0"/>
      <w:divBdr>
        <w:top w:val="none" w:sz="0" w:space="0" w:color="auto"/>
        <w:left w:val="none" w:sz="0" w:space="0" w:color="auto"/>
        <w:bottom w:val="none" w:sz="0" w:space="0" w:color="auto"/>
        <w:right w:val="none" w:sz="0" w:space="0" w:color="auto"/>
      </w:divBdr>
    </w:div>
    <w:div w:id="617683733">
      <w:bodyDiv w:val="1"/>
      <w:marLeft w:val="0"/>
      <w:marRight w:val="0"/>
      <w:marTop w:val="0"/>
      <w:marBottom w:val="0"/>
      <w:divBdr>
        <w:top w:val="none" w:sz="0" w:space="0" w:color="auto"/>
        <w:left w:val="none" w:sz="0" w:space="0" w:color="auto"/>
        <w:bottom w:val="none" w:sz="0" w:space="0" w:color="auto"/>
        <w:right w:val="none" w:sz="0" w:space="0" w:color="auto"/>
      </w:divBdr>
    </w:div>
    <w:div w:id="617948915">
      <w:bodyDiv w:val="1"/>
      <w:marLeft w:val="0"/>
      <w:marRight w:val="0"/>
      <w:marTop w:val="0"/>
      <w:marBottom w:val="0"/>
      <w:divBdr>
        <w:top w:val="none" w:sz="0" w:space="0" w:color="auto"/>
        <w:left w:val="none" w:sz="0" w:space="0" w:color="auto"/>
        <w:bottom w:val="none" w:sz="0" w:space="0" w:color="auto"/>
        <w:right w:val="none" w:sz="0" w:space="0" w:color="auto"/>
      </w:divBdr>
    </w:div>
    <w:div w:id="618146646">
      <w:bodyDiv w:val="1"/>
      <w:marLeft w:val="0"/>
      <w:marRight w:val="0"/>
      <w:marTop w:val="0"/>
      <w:marBottom w:val="0"/>
      <w:divBdr>
        <w:top w:val="none" w:sz="0" w:space="0" w:color="auto"/>
        <w:left w:val="none" w:sz="0" w:space="0" w:color="auto"/>
        <w:bottom w:val="none" w:sz="0" w:space="0" w:color="auto"/>
        <w:right w:val="none" w:sz="0" w:space="0" w:color="auto"/>
      </w:divBdr>
    </w:div>
    <w:div w:id="618337826">
      <w:bodyDiv w:val="1"/>
      <w:marLeft w:val="0"/>
      <w:marRight w:val="0"/>
      <w:marTop w:val="0"/>
      <w:marBottom w:val="0"/>
      <w:divBdr>
        <w:top w:val="none" w:sz="0" w:space="0" w:color="auto"/>
        <w:left w:val="none" w:sz="0" w:space="0" w:color="auto"/>
        <w:bottom w:val="none" w:sz="0" w:space="0" w:color="auto"/>
        <w:right w:val="none" w:sz="0" w:space="0" w:color="auto"/>
      </w:divBdr>
    </w:div>
    <w:div w:id="618488206">
      <w:bodyDiv w:val="1"/>
      <w:marLeft w:val="0"/>
      <w:marRight w:val="0"/>
      <w:marTop w:val="0"/>
      <w:marBottom w:val="0"/>
      <w:divBdr>
        <w:top w:val="none" w:sz="0" w:space="0" w:color="auto"/>
        <w:left w:val="none" w:sz="0" w:space="0" w:color="auto"/>
        <w:bottom w:val="none" w:sz="0" w:space="0" w:color="auto"/>
        <w:right w:val="none" w:sz="0" w:space="0" w:color="auto"/>
      </w:divBdr>
    </w:div>
    <w:div w:id="618996421">
      <w:bodyDiv w:val="1"/>
      <w:marLeft w:val="0"/>
      <w:marRight w:val="0"/>
      <w:marTop w:val="0"/>
      <w:marBottom w:val="0"/>
      <w:divBdr>
        <w:top w:val="none" w:sz="0" w:space="0" w:color="auto"/>
        <w:left w:val="none" w:sz="0" w:space="0" w:color="auto"/>
        <w:bottom w:val="none" w:sz="0" w:space="0" w:color="auto"/>
        <w:right w:val="none" w:sz="0" w:space="0" w:color="auto"/>
      </w:divBdr>
    </w:div>
    <w:div w:id="619141673">
      <w:bodyDiv w:val="1"/>
      <w:marLeft w:val="0"/>
      <w:marRight w:val="0"/>
      <w:marTop w:val="0"/>
      <w:marBottom w:val="0"/>
      <w:divBdr>
        <w:top w:val="none" w:sz="0" w:space="0" w:color="auto"/>
        <w:left w:val="none" w:sz="0" w:space="0" w:color="auto"/>
        <w:bottom w:val="none" w:sz="0" w:space="0" w:color="auto"/>
        <w:right w:val="none" w:sz="0" w:space="0" w:color="auto"/>
      </w:divBdr>
    </w:div>
    <w:div w:id="620763965">
      <w:bodyDiv w:val="1"/>
      <w:marLeft w:val="0"/>
      <w:marRight w:val="0"/>
      <w:marTop w:val="0"/>
      <w:marBottom w:val="0"/>
      <w:divBdr>
        <w:top w:val="none" w:sz="0" w:space="0" w:color="auto"/>
        <w:left w:val="none" w:sz="0" w:space="0" w:color="auto"/>
        <w:bottom w:val="none" w:sz="0" w:space="0" w:color="auto"/>
        <w:right w:val="none" w:sz="0" w:space="0" w:color="auto"/>
      </w:divBdr>
    </w:div>
    <w:div w:id="622274726">
      <w:bodyDiv w:val="1"/>
      <w:marLeft w:val="0"/>
      <w:marRight w:val="0"/>
      <w:marTop w:val="0"/>
      <w:marBottom w:val="0"/>
      <w:divBdr>
        <w:top w:val="none" w:sz="0" w:space="0" w:color="auto"/>
        <w:left w:val="none" w:sz="0" w:space="0" w:color="auto"/>
        <w:bottom w:val="none" w:sz="0" w:space="0" w:color="auto"/>
        <w:right w:val="none" w:sz="0" w:space="0" w:color="auto"/>
      </w:divBdr>
    </w:div>
    <w:div w:id="623730958">
      <w:bodyDiv w:val="1"/>
      <w:marLeft w:val="0"/>
      <w:marRight w:val="0"/>
      <w:marTop w:val="0"/>
      <w:marBottom w:val="0"/>
      <w:divBdr>
        <w:top w:val="none" w:sz="0" w:space="0" w:color="auto"/>
        <w:left w:val="none" w:sz="0" w:space="0" w:color="auto"/>
        <w:bottom w:val="none" w:sz="0" w:space="0" w:color="auto"/>
        <w:right w:val="none" w:sz="0" w:space="0" w:color="auto"/>
      </w:divBdr>
    </w:div>
    <w:div w:id="623924164">
      <w:bodyDiv w:val="1"/>
      <w:marLeft w:val="0"/>
      <w:marRight w:val="0"/>
      <w:marTop w:val="0"/>
      <w:marBottom w:val="0"/>
      <w:divBdr>
        <w:top w:val="none" w:sz="0" w:space="0" w:color="auto"/>
        <w:left w:val="none" w:sz="0" w:space="0" w:color="auto"/>
        <w:bottom w:val="none" w:sz="0" w:space="0" w:color="auto"/>
        <w:right w:val="none" w:sz="0" w:space="0" w:color="auto"/>
      </w:divBdr>
    </w:div>
    <w:div w:id="624386484">
      <w:bodyDiv w:val="1"/>
      <w:marLeft w:val="0"/>
      <w:marRight w:val="0"/>
      <w:marTop w:val="0"/>
      <w:marBottom w:val="0"/>
      <w:divBdr>
        <w:top w:val="none" w:sz="0" w:space="0" w:color="auto"/>
        <w:left w:val="none" w:sz="0" w:space="0" w:color="auto"/>
        <w:bottom w:val="none" w:sz="0" w:space="0" w:color="auto"/>
        <w:right w:val="none" w:sz="0" w:space="0" w:color="auto"/>
      </w:divBdr>
    </w:div>
    <w:div w:id="624967008">
      <w:bodyDiv w:val="1"/>
      <w:marLeft w:val="0"/>
      <w:marRight w:val="0"/>
      <w:marTop w:val="0"/>
      <w:marBottom w:val="0"/>
      <w:divBdr>
        <w:top w:val="none" w:sz="0" w:space="0" w:color="auto"/>
        <w:left w:val="none" w:sz="0" w:space="0" w:color="auto"/>
        <w:bottom w:val="none" w:sz="0" w:space="0" w:color="auto"/>
        <w:right w:val="none" w:sz="0" w:space="0" w:color="auto"/>
      </w:divBdr>
    </w:div>
    <w:div w:id="625501226">
      <w:bodyDiv w:val="1"/>
      <w:marLeft w:val="0"/>
      <w:marRight w:val="0"/>
      <w:marTop w:val="0"/>
      <w:marBottom w:val="0"/>
      <w:divBdr>
        <w:top w:val="none" w:sz="0" w:space="0" w:color="auto"/>
        <w:left w:val="none" w:sz="0" w:space="0" w:color="auto"/>
        <w:bottom w:val="none" w:sz="0" w:space="0" w:color="auto"/>
        <w:right w:val="none" w:sz="0" w:space="0" w:color="auto"/>
      </w:divBdr>
    </w:div>
    <w:div w:id="626668762">
      <w:bodyDiv w:val="1"/>
      <w:marLeft w:val="0"/>
      <w:marRight w:val="0"/>
      <w:marTop w:val="0"/>
      <w:marBottom w:val="0"/>
      <w:divBdr>
        <w:top w:val="none" w:sz="0" w:space="0" w:color="auto"/>
        <w:left w:val="none" w:sz="0" w:space="0" w:color="auto"/>
        <w:bottom w:val="none" w:sz="0" w:space="0" w:color="auto"/>
        <w:right w:val="none" w:sz="0" w:space="0" w:color="auto"/>
      </w:divBdr>
    </w:div>
    <w:div w:id="627246205">
      <w:bodyDiv w:val="1"/>
      <w:marLeft w:val="0"/>
      <w:marRight w:val="0"/>
      <w:marTop w:val="0"/>
      <w:marBottom w:val="0"/>
      <w:divBdr>
        <w:top w:val="none" w:sz="0" w:space="0" w:color="auto"/>
        <w:left w:val="none" w:sz="0" w:space="0" w:color="auto"/>
        <w:bottom w:val="none" w:sz="0" w:space="0" w:color="auto"/>
        <w:right w:val="none" w:sz="0" w:space="0" w:color="auto"/>
      </w:divBdr>
    </w:div>
    <w:div w:id="628243514">
      <w:bodyDiv w:val="1"/>
      <w:marLeft w:val="0"/>
      <w:marRight w:val="0"/>
      <w:marTop w:val="0"/>
      <w:marBottom w:val="0"/>
      <w:divBdr>
        <w:top w:val="none" w:sz="0" w:space="0" w:color="auto"/>
        <w:left w:val="none" w:sz="0" w:space="0" w:color="auto"/>
        <w:bottom w:val="none" w:sz="0" w:space="0" w:color="auto"/>
        <w:right w:val="none" w:sz="0" w:space="0" w:color="auto"/>
      </w:divBdr>
    </w:div>
    <w:div w:id="629359972">
      <w:bodyDiv w:val="1"/>
      <w:marLeft w:val="0"/>
      <w:marRight w:val="0"/>
      <w:marTop w:val="0"/>
      <w:marBottom w:val="0"/>
      <w:divBdr>
        <w:top w:val="none" w:sz="0" w:space="0" w:color="auto"/>
        <w:left w:val="none" w:sz="0" w:space="0" w:color="auto"/>
        <w:bottom w:val="none" w:sz="0" w:space="0" w:color="auto"/>
        <w:right w:val="none" w:sz="0" w:space="0" w:color="auto"/>
      </w:divBdr>
    </w:div>
    <w:div w:id="633222079">
      <w:bodyDiv w:val="1"/>
      <w:marLeft w:val="0"/>
      <w:marRight w:val="0"/>
      <w:marTop w:val="0"/>
      <w:marBottom w:val="0"/>
      <w:divBdr>
        <w:top w:val="none" w:sz="0" w:space="0" w:color="auto"/>
        <w:left w:val="none" w:sz="0" w:space="0" w:color="auto"/>
        <w:bottom w:val="none" w:sz="0" w:space="0" w:color="auto"/>
        <w:right w:val="none" w:sz="0" w:space="0" w:color="auto"/>
      </w:divBdr>
    </w:div>
    <w:div w:id="636767814">
      <w:bodyDiv w:val="1"/>
      <w:marLeft w:val="0"/>
      <w:marRight w:val="0"/>
      <w:marTop w:val="0"/>
      <w:marBottom w:val="0"/>
      <w:divBdr>
        <w:top w:val="none" w:sz="0" w:space="0" w:color="auto"/>
        <w:left w:val="none" w:sz="0" w:space="0" w:color="auto"/>
        <w:bottom w:val="none" w:sz="0" w:space="0" w:color="auto"/>
        <w:right w:val="none" w:sz="0" w:space="0" w:color="auto"/>
      </w:divBdr>
    </w:div>
    <w:div w:id="637033487">
      <w:bodyDiv w:val="1"/>
      <w:marLeft w:val="0"/>
      <w:marRight w:val="0"/>
      <w:marTop w:val="0"/>
      <w:marBottom w:val="0"/>
      <w:divBdr>
        <w:top w:val="none" w:sz="0" w:space="0" w:color="auto"/>
        <w:left w:val="none" w:sz="0" w:space="0" w:color="auto"/>
        <w:bottom w:val="none" w:sz="0" w:space="0" w:color="auto"/>
        <w:right w:val="none" w:sz="0" w:space="0" w:color="auto"/>
      </w:divBdr>
    </w:div>
    <w:div w:id="637731539">
      <w:bodyDiv w:val="1"/>
      <w:marLeft w:val="0"/>
      <w:marRight w:val="0"/>
      <w:marTop w:val="0"/>
      <w:marBottom w:val="0"/>
      <w:divBdr>
        <w:top w:val="none" w:sz="0" w:space="0" w:color="auto"/>
        <w:left w:val="none" w:sz="0" w:space="0" w:color="auto"/>
        <w:bottom w:val="none" w:sz="0" w:space="0" w:color="auto"/>
        <w:right w:val="none" w:sz="0" w:space="0" w:color="auto"/>
      </w:divBdr>
    </w:div>
    <w:div w:id="638264000">
      <w:bodyDiv w:val="1"/>
      <w:marLeft w:val="0"/>
      <w:marRight w:val="0"/>
      <w:marTop w:val="0"/>
      <w:marBottom w:val="0"/>
      <w:divBdr>
        <w:top w:val="none" w:sz="0" w:space="0" w:color="auto"/>
        <w:left w:val="none" w:sz="0" w:space="0" w:color="auto"/>
        <w:bottom w:val="none" w:sz="0" w:space="0" w:color="auto"/>
        <w:right w:val="none" w:sz="0" w:space="0" w:color="auto"/>
      </w:divBdr>
    </w:div>
    <w:div w:id="638264431">
      <w:bodyDiv w:val="1"/>
      <w:marLeft w:val="0"/>
      <w:marRight w:val="0"/>
      <w:marTop w:val="0"/>
      <w:marBottom w:val="0"/>
      <w:divBdr>
        <w:top w:val="none" w:sz="0" w:space="0" w:color="auto"/>
        <w:left w:val="none" w:sz="0" w:space="0" w:color="auto"/>
        <w:bottom w:val="none" w:sz="0" w:space="0" w:color="auto"/>
        <w:right w:val="none" w:sz="0" w:space="0" w:color="auto"/>
      </w:divBdr>
    </w:div>
    <w:div w:id="638727988">
      <w:bodyDiv w:val="1"/>
      <w:marLeft w:val="0"/>
      <w:marRight w:val="0"/>
      <w:marTop w:val="0"/>
      <w:marBottom w:val="0"/>
      <w:divBdr>
        <w:top w:val="none" w:sz="0" w:space="0" w:color="auto"/>
        <w:left w:val="none" w:sz="0" w:space="0" w:color="auto"/>
        <w:bottom w:val="none" w:sz="0" w:space="0" w:color="auto"/>
        <w:right w:val="none" w:sz="0" w:space="0" w:color="auto"/>
      </w:divBdr>
    </w:div>
    <w:div w:id="639118555">
      <w:bodyDiv w:val="1"/>
      <w:marLeft w:val="0"/>
      <w:marRight w:val="0"/>
      <w:marTop w:val="0"/>
      <w:marBottom w:val="0"/>
      <w:divBdr>
        <w:top w:val="none" w:sz="0" w:space="0" w:color="auto"/>
        <w:left w:val="none" w:sz="0" w:space="0" w:color="auto"/>
        <w:bottom w:val="none" w:sz="0" w:space="0" w:color="auto"/>
        <w:right w:val="none" w:sz="0" w:space="0" w:color="auto"/>
      </w:divBdr>
    </w:div>
    <w:div w:id="639118748">
      <w:bodyDiv w:val="1"/>
      <w:marLeft w:val="0"/>
      <w:marRight w:val="0"/>
      <w:marTop w:val="0"/>
      <w:marBottom w:val="0"/>
      <w:divBdr>
        <w:top w:val="none" w:sz="0" w:space="0" w:color="auto"/>
        <w:left w:val="none" w:sz="0" w:space="0" w:color="auto"/>
        <w:bottom w:val="none" w:sz="0" w:space="0" w:color="auto"/>
        <w:right w:val="none" w:sz="0" w:space="0" w:color="auto"/>
      </w:divBdr>
    </w:div>
    <w:div w:id="639724244">
      <w:bodyDiv w:val="1"/>
      <w:marLeft w:val="0"/>
      <w:marRight w:val="0"/>
      <w:marTop w:val="0"/>
      <w:marBottom w:val="0"/>
      <w:divBdr>
        <w:top w:val="none" w:sz="0" w:space="0" w:color="auto"/>
        <w:left w:val="none" w:sz="0" w:space="0" w:color="auto"/>
        <w:bottom w:val="none" w:sz="0" w:space="0" w:color="auto"/>
        <w:right w:val="none" w:sz="0" w:space="0" w:color="auto"/>
      </w:divBdr>
    </w:div>
    <w:div w:id="641036277">
      <w:bodyDiv w:val="1"/>
      <w:marLeft w:val="0"/>
      <w:marRight w:val="0"/>
      <w:marTop w:val="0"/>
      <w:marBottom w:val="0"/>
      <w:divBdr>
        <w:top w:val="none" w:sz="0" w:space="0" w:color="auto"/>
        <w:left w:val="none" w:sz="0" w:space="0" w:color="auto"/>
        <w:bottom w:val="none" w:sz="0" w:space="0" w:color="auto"/>
        <w:right w:val="none" w:sz="0" w:space="0" w:color="auto"/>
      </w:divBdr>
    </w:div>
    <w:div w:id="641228571">
      <w:bodyDiv w:val="1"/>
      <w:marLeft w:val="0"/>
      <w:marRight w:val="0"/>
      <w:marTop w:val="0"/>
      <w:marBottom w:val="0"/>
      <w:divBdr>
        <w:top w:val="none" w:sz="0" w:space="0" w:color="auto"/>
        <w:left w:val="none" w:sz="0" w:space="0" w:color="auto"/>
        <w:bottom w:val="none" w:sz="0" w:space="0" w:color="auto"/>
        <w:right w:val="none" w:sz="0" w:space="0" w:color="auto"/>
      </w:divBdr>
    </w:div>
    <w:div w:id="641814619">
      <w:bodyDiv w:val="1"/>
      <w:marLeft w:val="0"/>
      <w:marRight w:val="0"/>
      <w:marTop w:val="0"/>
      <w:marBottom w:val="0"/>
      <w:divBdr>
        <w:top w:val="none" w:sz="0" w:space="0" w:color="auto"/>
        <w:left w:val="none" w:sz="0" w:space="0" w:color="auto"/>
        <w:bottom w:val="none" w:sz="0" w:space="0" w:color="auto"/>
        <w:right w:val="none" w:sz="0" w:space="0" w:color="auto"/>
      </w:divBdr>
    </w:div>
    <w:div w:id="641882261">
      <w:bodyDiv w:val="1"/>
      <w:marLeft w:val="0"/>
      <w:marRight w:val="0"/>
      <w:marTop w:val="0"/>
      <w:marBottom w:val="0"/>
      <w:divBdr>
        <w:top w:val="none" w:sz="0" w:space="0" w:color="auto"/>
        <w:left w:val="none" w:sz="0" w:space="0" w:color="auto"/>
        <w:bottom w:val="none" w:sz="0" w:space="0" w:color="auto"/>
        <w:right w:val="none" w:sz="0" w:space="0" w:color="auto"/>
      </w:divBdr>
    </w:div>
    <w:div w:id="642465717">
      <w:bodyDiv w:val="1"/>
      <w:marLeft w:val="0"/>
      <w:marRight w:val="0"/>
      <w:marTop w:val="0"/>
      <w:marBottom w:val="0"/>
      <w:divBdr>
        <w:top w:val="none" w:sz="0" w:space="0" w:color="auto"/>
        <w:left w:val="none" w:sz="0" w:space="0" w:color="auto"/>
        <w:bottom w:val="none" w:sz="0" w:space="0" w:color="auto"/>
        <w:right w:val="none" w:sz="0" w:space="0" w:color="auto"/>
      </w:divBdr>
    </w:div>
    <w:div w:id="643051229">
      <w:bodyDiv w:val="1"/>
      <w:marLeft w:val="0"/>
      <w:marRight w:val="0"/>
      <w:marTop w:val="0"/>
      <w:marBottom w:val="0"/>
      <w:divBdr>
        <w:top w:val="none" w:sz="0" w:space="0" w:color="auto"/>
        <w:left w:val="none" w:sz="0" w:space="0" w:color="auto"/>
        <w:bottom w:val="none" w:sz="0" w:space="0" w:color="auto"/>
        <w:right w:val="none" w:sz="0" w:space="0" w:color="auto"/>
      </w:divBdr>
    </w:div>
    <w:div w:id="643126426">
      <w:bodyDiv w:val="1"/>
      <w:marLeft w:val="0"/>
      <w:marRight w:val="0"/>
      <w:marTop w:val="0"/>
      <w:marBottom w:val="0"/>
      <w:divBdr>
        <w:top w:val="none" w:sz="0" w:space="0" w:color="auto"/>
        <w:left w:val="none" w:sz="0" w:space="0" w:color="auto"/>
        <w:bottom w:val="none" w:sz="0" w:space="0" w:color="auto"/>
        <w:right w:val="none" w:sz="0" w:space="0" w:color="auto"/>
      </w:divBdr>
    </w:div>
    <w:div w:id="643316933">
      <w:bodyDiv w:val="1"/>
      <w:marLeft w:val="0"/>
      <w:marRight w:val="0"/>
      <w:marTop w:val="0"/>
      <w:marBottom w:val="0"/>
      <w:divBdr>
        <w:top w:val="none" w:sz="0" w:space="0" w:color="auto"/>
        <w:left w:val="none" w:sz="0" w:space="0" w:color="auto"/>
        <w:bottom w:val="none" w:sz="0" w:space="0" w:color="auto"/>
        <w:right w:val="none" w:sz="0" w:space="0" w:color="auto"/>
      </w:divBdr>
    </w:div>
    <w:div w:id="643973960">
      <w:bodyDiv w:val="1"/>
      <w:marLeft w:val="0"/>
      <w:marRight w:val="0"/>
      <w:marTop w:val="0"/>
      <w:marBottom w:val="0"/>
      <w:divBdr>
        <w:top w:val="none" w:sz="0" w:space="0" w:color="auto"/>
        <w:left w:val="none" w:sz="0" w:space="0" w:color="auto"/>
        <w:bottom w:val="none" w:sz="0" w:space="0" w:color="auto"/>
        <w:right w:val="none" w:sz="0" w:space="0" w:color="auto"/>
      </w:divBdr>
    </w:div>
    <w:div w:id="644894340">
      <w:bodyDiv w:val="1"/>
      <w:marLeft w:val="0"/>
      <w:marRight w:val="0"/>
      <w:marTop w:val="0"/>
      <w:marBottom w:val="0"/>
      <w:divBdr>
        <w:top w:val="none" w:sz="0" w:space="0" w:color="auto"/>
        <w:left w:val="none" w:sz="0" w:space="0" w:color="auto"/>
        <w:bottom w:val="none" w:sz="0" w:space="0" w:color="auto"/>
        <w:right w:val="none" w:sz="0" w:space="0" w:color="auto"/>
      </w:divBdr>
    </w:div>
    <w:div w:id="645092261">
      <w:bodyDiv w:val="1"/>
      <w:marLeft w:val="0"/>
      <w:marRight w:val="0"/>
      <w:marTop w:val="0"/>
      <w:marBottom w:val="0"/>
      <w:divBdr>
        <w:top w:val="none" w:sz="0" w:space="0" w:color="auto"/>
        <w:left w:val="none" w:sz="0" w:space="0" w:color="auto"/>
        <w:bottom w:val="none" w:sz="0" w:space="0" w:color="auto"/>
        <w:right w:val="none" w:sz="0" w:space="0" w:color="auto"/>
      </w:divBdr>
    </w:div>
    <w:div w:id="645163672">
      <w:bodyDiv w:val="1"/>
      <w:marLeft w:val="0"/>
      <w:marRight w:val="0"/>
      <w:marTop w:val="0"/>
      <w:marBottom w:val="0"/>
      <w:divBdr>
        <w:top w:val="none" w:sz="0" w:space="0" w:color="auto"/>
        <w:left w:val="none" w:sz="0" w:space="0" w:color="auto"/>
        <w:bottom w:val="none" w:sz="0" w:space="0" w:color="auto"/>
        <w:right w:val="none" w:sz="0" w:space="0" w:color="auto"/>
      </w:divBdr>
    </w:div>
    <w:div w:id="645865501">
      <w:bodyDiv w:val="1"/>
      <w:marLeft w:val="0"/>
      <w:marRight w:val="0"/>
      <w:marTop w:val="0"/>
      <w:marBottom w:val="0"/>
      <w:divBdr>
        <w:top w:val="none" w:sz="0" w:space="0" w:color="auto"/>
        <w:left w:val="none" w:sz="0" w:space="0" w:color="auto"/>
        <w:bottom w:val="none" w:sz="0" w:space="0" w:color="auto"/>
        <w:right w:val="none" w:sz="0" w:space="0" w:color="auto"/>
      </w:divBdr>
    </w:div>
    <w:div w:id="646084653">
      <w:bodyDiv w:val="1"/>
      <w:marLeft w:val="0"/>
      <w:marRight w:val="0"/>
      <w:marTop w:val="0"/>
      <w:marBottom w:val="0"/>
      <w:divBdr>
        <w:top w:val="none" w:sz="0" w:space="0" w:color="auto"/>
        <w:left w:val="none" w:sz="0" w:space="0" w:color="auto"/>
        <w:bottom w:val="none" w:sz="0" w:space="0" w:color="auto"/>
        <w:right w:val="none" w:sz="0" w:space="0" w:color="auto"/>
      </w:divBdr>
    </w:div>
    <w:div w:id="646396409">
      <w:bodyDiv w:val="1"/>
      <w:marLeft w:val="0"/>
      <w:marRight w:val="0"/>
      <w:marTop w:val="0"/>
      <w:marBottom w:val="0"/>
      <w:divBdr>
        <w:top w:val="none" w:sz="0" w:space="0" w:color="auto"/>
        <w:left w:val="none" w:sz="0" w:space="0" w:color="auto"/>
        <w:bottom w:val="none" w:sz="0" w:space="0" w:color="auto"/>
        <w:right w:val="none" w:sz="0" w:space="0" w:color="auto"/>
      </w:divBdr>
    </w:div>
    <w:div w:id="648363333">
      <w:bodyDiv w:val="1"/>
      <w:marLeft w:val="0"/>
      <w:marRight w:val="0"/>
      <w:marTop w:val="0"/>
      <w:marBottom w:val="0"/>
      <w:divBdr>
        <w:top w:val="none" w:sz="0" w:space="0" w:color="auto"/>
        <w:left w:val="none" w:sz="0" w:space="0" w:color="auto"/>
        <w:bottom w:val="none" w:sz="0" w:space="0" w:color="auto"/>
        <w:right w:val="none" w:sz="0" w:space="0" w:color="auto"/>
      </w:divBdr>
    </w:div>
    <w:div w:id="649024243">
      <w:bodyDiv w:val="1"/>
      <w:marLeft w:val="0"/>
      <w:marRight w:val="0"/>
      <w:marTop w:val="0"/>
      <w:marBottom w:val="0"/>
      <w:divBdr>
        <w:top w:val="none" w:sz="0" w:space="0" w:color="auto"/>
        <w:left w:val="none" w:sz="0" w:space="0" w:color="auto"/>
        <w:bottom w:val="none" w:sz="0" w:space="0" w:color="auto"/>
        <w:right w:val="none" w:sz="0" w:space="0" w:color="auto"/>
      </w:divBdr>
    </w:div>
    <w:div w:id="649209444">
      <w:bodyDiv w:val="1"/>
      <w:marLeft w:val="0"/>
      <w:marRight w:val="0"/>
      <w:marTop w:val="0"/>
      <w:marBottom w:val="0"/>
      <w:divBdr>
        <w:top w:val="none" w:sz="0" w:space="0" w:color="auto"/>
        <w:left w:val="none" w:sz="0" w:space="0" w:color="auto"/>
        <w:bottom w:val="none" w:sz="0" w:space="0" w:color="auto"/>
        <w:right w:val="none" w:sz="0" w:space="0" w:color="auto"/>
      </w:divBdr>
    </w:div>
    <w:div w:id="649404248">
      <w:bodyDiv w:val="1"/>
      <w:marLeft w:val="0"/>
      <w:marRight w:val="0"/>
      <w:marTop w:val="0"/>
      <w:marBottom w:val="0"/>
      <w:divBdr>
        <w:top w:val="none" w:sz="0" w:space="0" w:color="auto"/>
        <w:left w:val="none" w:sz="0" w:space="0" w:color="auto"/>
        <w:bottom w:val="none" w:sz="0" w:space="0" w:color="auto"/>
        <w:right w:val="none" w:sz="0" w:space="0" w:color="auto"/>
      </w:divBdr>
    </w:div>
    <w:div w:id="649679207">
      <w:bodyDiv w:val="1"/>
      <w:marLeft w:val="0"/>
      <w:marRight w:val="0"/>
      <w:marTop w:val="0"/>
      <w:marBottom w:val="0"/>
      <w:divBdr>
        <w:top w:val="none" w:sz="0" w:space="0" w:color="auto"/>
        <w:left w:val="none" w:sz="0" w:space="0" w:color="auto"/>
        <w:bottom w:val="none" w:sz="0" w:space="0" w:color="auto"/>
        <w:right w:val="none" w:sz="0" w:space="0" w:color="auto"/>
      </w:divBdr>
    </w:div>
    <w:div w:id="651059085">
      <w:bodyDiv w:val="1"/>
      <w:marLeft w:val="0"/>
      <w:marRight w:val="0"/>
      <w:marTop w:val="0"/>
      <w:marBottom w:val="0"/>
      <w:divBdr>
        <w:top w:val="none" w:sz="0" w:space="0" w:color="auto"/>
        <w:left w:val="none" w:sz="0" w:space="0" w:color="auto"/>
        <w:bottom w:val="none" w:sz="0" w:space="0" w:color="auto"/>
        <w:right w:val="none" w:sz="0" w:space="0" w:color="auto"/>
      </w:divBdr>
    </w:div>
    <w:div w:id="651102490">
      <w:bodyDiv w:val="1"/>
      <w:marLeft w:val="0"/>
      <w:marRight w:val="0"/>
      <w:marTop w:val="0"/>
      <w:marBottom w:val="0"/>
      <w:divBdr>
        <w:top w:val="none" w:sz="0" w:space="0" w:color="auto"/>
        <w:left w:val="none" w:sz="0" w:space="0" w:color="auto"/>
        <w:bottom w:val="none" w:sz="0" w:space="0" w:color="auto"/>
        <w:right w:val="none" w:sz="0" w:space="0" w:color="auto"/>
      </w:divBdr>
    </w:div>
    <w:div w:id="651108066">
      <w:bodyDiv w:val="1"/>
      <w:marLeft w:val="0"/>
      <w:marRight w:val="0"/>
      <w:marTop w:val="0"/>
      <w:marBottom w:val="0"/>
      <w:divBdr>
        <w:top w:val="none" w:sz="0" w:space="0" w:color="auto"/>
        <w:left w:val="none" w:sz="0" w:space="0" w:color="auto"/>
        <w:bottom w:val="none" w:sz="0" w:space="0" w:color="auto"/>
        <w:right w:val="none" w:sz="0" w:space="0" w:color="auto"/>
      </w:divBdr>
    </w:div>
    <w:div w:id="651328501">
      <w:bodyDiv w:val="1"/>
      <w:marLeft w:val="0"/>
      <w:marRight w:val="0"/>
      <w:marTop w:val="0"/>
      <w:marBottom w:val="0"/>
      <w:divBdr>
        <w:top w:val="none" w:sz="0" w:space="0" w:color="auto"/>
        <w:left w:val="none" w:sz="0" w:space="0" w:color="auto"/>
        <w:bottom w:val="none" w:sz="0" w:space="0" w:color="auto"/>
        <w:right w:val="none" w:sz="0" w:space="0" w:color="auto"/>
      </w:divBdr>
    </w:div>
    <w:div w:id="652219572">
      <w:bodyDiv w:val="1"/>
      <w:marLeft w:val="0"/>
      <w:marRight w:val="0"/>
      <w:marTop w:val="0"/>
      <w:marBottom w:val="0"/>
      <w:divBdr>
        <w:top w:val="none" w:sz="0" w:space="0" w:color="auto"/>
        <w:left w:val="none" w:sz="0" w:space="0" w:color="auto"/>
        <w:bottom w:val="none" w:sz="0" w:space="0" w:color="auto"/>
        <w:right w:val="none" w:sz="0" w:space="0" w:color="auto"/>
      </w:divBdr>
    </w:div>
    <w:div w:id="652492963">
      <w:bodyDiv w:val="1"/>
      <w:marLeft w:val="0"/>
      <w:marRight w:val="0"/>
      <w:marTop w:val="0"/>
      <w:marBottom w:val="0"/>
      <w:divBdr>
        <w:top w:val="none" w:sz="0" w:space="0" w:color="auto"/>
        <w:left w:val="none" w:sz="0" w:space="0" w:color="auto"/>
        <w:bottom w:val="none" w:sz="0" w:space="0" w:color="auto"/>
        <w:right w:val="none" w:sz="0" w:space="0" w:color="auto"/>
      </w:divBdr>
    </w:div>
    <w:div w:id="653219992">
      <w:bodyDiv w:val="1"/>
      <w:marLeft w:val="0"/>
      <w:marRight w:val="0"/>
      <w:marTop w:val="0"/>
      <w:marBottom w:val="0"/>
      <w:divBdr>
        <w:top w:val="none" w:sz="0" w:space="0" w:color="auto"/>
        <w:left w:val="none" w:sz="0" w:space="0" w:color="auto"/>
        <w:bottom w:val="none" w:sz="0" w:space="0" w:color="auto"/>
        <w:right w:val="none" w:sz="0" w:space="0" w:color="auto"/>
      </w:divBdr>
    </w:div>
    <w:div w:id="653415069">
      <w:bodyDiv w:val="1"/>
      <w:marLeft w:val="0"/>
      <w:marRight w:val="0"/>
      <w:marTop w:val="0"/>
      <w:marBottom w:val="0"/>
      <w:divBdr>
        <w:top w:val="none" w:sz="0" w:space="0" w:color="auto"/>
        <w:left w:val="none" w:sz="0" w:space="0" w:color="auto"/>
        <w:bottom w:val="none" w:sz="0" w:space="0" w:color="auto"/>
        <w:right w:val="none" w:sz="0" w:space="0" w:color="auto"/>
      </w:divBdr>
    </w:div>
    <w:div w:id="653795975">
      <w:bodyDiv w:val="1"/>
      <w:marLeft w:val="0"/>
      <w:marRight w:val="0"/>
      <w:marTop w:val="0"/>
      <w:marBottom w:val="0"/>
      <w:divBdr>
        <w:top w:val="none" w:sz="0" w:space="0" w:color="auto"/>
        <w:left w:val="none" w:sz="0" w:space="0" w:color="auto"/>
        <w:bottom w:val="none" w:sz="0" w:space="0" w:color="auto"/>
        <w:right w:val="none" w:sz="0" w:space="0" w:color="auto"/>
      </w:divBdr>
    </w:div>
    <w:div w:id="654262731">
      <w:bodyDiv w:val="1"/>
      <w:marLeft w:val="0"/>
      <w:marRight w:val="0"/>
      <w:marTop w:val="0"/>
      <w:marBottom w:val="0"/>
      <w:divBdr>
        <w:top w:val="none" w:sz="0" w:space="0" w:color="auto"/>
        <w:left w:val="none" w:sz="0" w:space="0" w:color="auto"/>
        <w:bottom w:val="none" w:sz="0" w:space="0" w:color="auto"/>
        <w:right w:val="none" w:sz="0" w:space="0" w:color="auto"/>
      </w:divBdr>
    </w:div>
    <w:div w:id="655375771">
      <w:bodyDiv w:val="1"/>
      <w:marLeft w:val="0"/>
      <w:marRight w:val="0"/>
      <w:marTop w:val="0"/>
      <w:marBottom w:val="0"/>
      <w:divBdr>
        <w:top w:val="none" w:sz="0" w:space="0" w:color="auto"/>
        <w:left w:val="none" w:sz="0" w:space="0" w:color="auto"/>
        <w:bottom w:val="none" w:sz="0" w:space="0" w:color="auto"/>
        <w:right w:val="none" w:sz="0" w:space="0" w:color="auto"/>
      </w:divBdr>
    </w:div>
    <w:div w:id="655764559">
      <w:bodyDiv w:val="1"/>
      <w:marLeft w:val="0"/>
      <w:marRight w:val="0"/>
      <w:marTop w:val="0"/>
      <w:marBottom w:val="0"/>
      <w:divBdr>
        <w:top w:val="none" w:sz="0" w:space="0" w:color="auto"/>
        <w:left w:val="none" w:sz="0" w:space="0" w:color="auto"/>
        <w:bottom w:val="none" w:sz="0" w:space="0" w:color="auto"/>
        <w:right w:val="none" w:sz="0" w:space="0" w:color="auto"/>
      </w:divBdr>
    </w:div>
    <w:div w:id="655956647">
      <w:bodyDiv w:val="1"/>
      <w:marLeft w:val="0"/>
      <w:marRight w:val="0"/>
      <w:marTop w:val="0"/>
      <w:marBottom w:val="0"/>
      <w:divBdr>
        <w:top w:val="none" w:sz="0" w:space="0" w:color="auto"/>
        <w:left w:val="none" w:sz="0" w:space="0" w:color="auto"/>
        <w:bottom w:val="none" w:sz="0" w:space="0" w:color="auto"/>
        <w:right w:val="none" w:sz="0" w:space="0" w:color="auto"/>
      </w:divBdr>
    </w:div>
    <w:div w:id="656348113">
      <w:bodyDiv w:val="1"/>
      <w:marLeft w:val="0"/>
      <w:marRight w:val="0"/>
      <w:marTop w:val="0"/>
      <w:marBottom w:val="0"/>
      <w:divBdr>
        <w:top w:val="none" w:sz="0" w:space="0" w:color="auto"/>
        <w:left w:val="none" w:sz="0" w:space="0" w:color="auto"/>
        <w:bottom w:val="none" w:sz="0" w:space="0" w:color="auto"/>
        <w:right w:val="none" w:sz="0" w:space="0" w:color="auto"/>
      </w:divBdr>
    </w:div>
    <w:div w:id="656419784">
      <w:bodyDiv w:val="1"/>
      <w:marLeft w:val="0"/>
      <w:marRight w:val="0"/>
      <w:marTop w:val="0"/>
      <w:marBottom w:val="0"/>
      <w:divBdr>
        <w:top w:val="none" w:sz="0" w:space="0" w:color="auto"/>
        <w:left w:val="none" w:sz="0" w:space="0" w:color="auto"/>
        <w:bottom w:val="none" w:sz="0" w:space="0" w:color="auto"/>
        <w:right w:val="none" w:sz="0" w:space="0" w:color="auto"/>
      </w:divBdr>
    </w:div>
    <w:div w:id="656956741">
      <w:bodyDiv w:val="1"/>
      <w:marLeft w:val="0"/>
      <w:marRight w:val="0"/>
      <w:marTop w:val="0"/>
      <w:marBottom w:val="0"/>
      <w:divBdr>
        <w:top w:val="none" w:sz="0" w:space="0" w:color="auto"/>
        <w:left w:val="none" w:sz="0" w:space="0" w:color="auto"/>
        <w:bottom w:val="none" w:sz="0" w:space="0" w:color="auto"/>
        <w:right w:val="none" w:sz="0" w:space="0" w:color="auto"/>
      </w:divBdr>
    </w:div>
    <w:div w:id="657923666">
      <w:bodyDiv w:val="1"/>
      <w:marLeft w:val="0"/>
      <w:marRight w:val="0"/>
      <w:marTop w:val="0"/>
      <w:marBottom w:val="0"/>
      <w:divBdr>
        <w:top w:val="none" w:sz="0" w:space="0" w:color="auto"/>
        <w:left w:val="none" w:sz="0" w:space="0" w:color="auto"/>
        <w:bottom w:val="none" w:sz="0" w:space="0" w:color="auto"/>
        <w:right w:val="none" w:sz="0" w:space="0" w:color="auto"/>
      </w:divBdr>
    </w:div>
    <w:div w:id="658996925">
      <w:bodyDiv w:val="1"/>
      <w:marLeft w:val="0"/>
      <w:marRight w:val="0"/>
      <w:marTop w:val="0"/>
      <w:marBottom w:val="0"/>
      <w:divBdr>
        <w:top w:val="none" w:sz="0" w:space="0" w:color="auto"/>
        <w:left w:val="none" w:sz="0" w:space="0" w:color="auto"/>
        <w:bottom w:val="none" w:sz="0" w:space="0" w:color="auto"/>
        <w:right w:val="none" w:sz="0" w:space="0" w:color="auto"/>
      </w:divBdr>
    </w:div>
    <w:div w:id="659119747">
      <w:bodyDiv w:val="1"/>
      <w:marLeft w:val="0"/>
      <w:marRight w:val="0"/>
      <w:marTop w:val="0"/>
      <w:marBottom w:val="0"/>
      <w:divBdr>
        <w:top w:val="none" w:sz="0" w:space="0" w:color="auto"/>
        <w:left w:val="none" w:sz="0" w:space="0" w:color="auto"/>
        <w:bottom w:val="none" w:sz="0" w:space="0" w:color="auto"/>
        <w:right w:val="none" w:sz="0" w:space="0" w:color="auto"/>
      </w:divBdr>
    </w:div>
    <w:div w:id="660616822">
      <w:bodyDiv w:val="1"/>
      <w:marLeft w:val="0"/>
      <w:marRight w:val="0"/>
      <w:marTop w:val="0"/>
      <w:marBottom w:val="0"/>
      <w:divBdr>
        <w:top w:val="none" w:sz="0" w:space="0" w:color="auto"/>
        <w:left w:val="none" w:sz="0" w:space="0" w:color="auto"/>
        <w:bottom w:val="none" w:sz="0" w:space="0" w:color="auto"/>
        <w:right w:val="none" w:sz="0" w:space="0" w:color="auto"/>
      </w:divBdr>
    </w:div>
    <w:div w:id="660693113">
      <w:bodyDiv w:val="1"/>
      <w:marLeft w:val="0"/>
      <w:marRight w:val="0"/>
      <w:marTop w:val="0"/>
      <w:marBottom w:val="0"/>
      <w:divBdr>
        <w:top w:val="none" w:sz="0" w:space="0" w:color="auto"/>
        <w:left w:val="none" w:sz="0" w:space="0" w:color="auto"/>
        <w:bottom w:val="none" w:sz="0" w:space="0" w:color="auto"/>
        <w:right w:val="none" w:sz="0" w:space="0" w:color="auto"/>
      </w:divBdr>
    </w:div>
    <w:div w:id="660696304">
      <w:bodyDiv w:val="1"/>
      <w:marLeft w:val="0"/>
      <w:marRight w:val="0"/>
      <w:marTop w:val="0"/>
      <w:marBottom w:val="0"/>
      <w:divBdr>
        <w:top w:val="none" w:sz="0" w:space="0" w:color="auto"/>
        <w:left w:val="none" w:sz="0" w:space="0" w:color="auto"/>
        <w:bottom w:val="none" w:sz="0" w:space="0" w:color="auto"/>
        <w:right w:val="none" w:sz="0" w:space="0" w:color="auto"/>
      </w:divBdr>
    </w:div>
    <w:div w:id="661586721">
      <w:bodyDiv w:val="1"/>
      <w:marLeft w:val="0"/>
      <w:marRight w:val="0"/>
      <w:marTop w:val="0"/>
      <w:marBottom w:val="0"/>
      <w:divBdr>
        <w:top w:val="none" w:sz="0" w:space="0" w:color="auto"/>
        <w:left w:val="none" w:sz="0" w:space="0" w:color="auto"/>
        <w:bottom w:val="none" w:sz="0" w:space="0" w:color="auto"/>
        <w:right w:val="none" w:sz="0" w:space="0" w:color="auto"/>
      </w:divBdr>
    </w:div>
    <w:div w:id="661658861">
      <w:bodyDiv w:val="1"/>
      <w:marLeft w:val="0"/>
      <w:marRight w:val="0"/>
      <w:marTop w:val="0"/>
      <w:marBottom w:val="0"/>
      <w:divBdr>
        <w:top w:val="none" w:sz="0" w:space="0" w:color="auto"/>
        <w:left w:val="none" w:sz="0" w:space="0" w:color="auto"/>
        <w:bottom w:val="none" w:sz="0" w:space="0" w:color="auto"/>
        <w:right w:val="none" w:sz="0" w:space="0" w:color="auto"/>
      </w:divBdr>
    </w:div>
    <w:div w:id="661853843">
      <w:bodyDiv w:val="1"/>
      <w:marLeft w:val="0"/>
      <w:marRight w:val="0"/>
      <w:marTop w:val="0"/>
      <w:marBottom w:val="0"/>
      <w:divBdr>
        <w:top w:val="none" w:sz="0" w:space="0" w:color="auto"/>
        <w:left w:val="none" w:sz="0" w:space="0" w:color="auto"/>
        <w:bottom w:val="none" w:sz="0" w:space="0" w:color="auto"/>
        <w:right w:val="none" w:sz="0" w:space="0" w:color="auto"/>
      </w:divBdr>
    </w:div>
    <w:div w:id="663554776">
      <w:bodyDiv w:val="1"/>
      <w:marLeft w:val="0"/>
      <w:marRight w:val="0"/>
      <w:marTop w:val="0"/>
      <w:marBottom w:val="0"/>
      <w:divBdr>
        <w:top w:val="none" w:sz="0" w:space="0" w:color="auto"/>
        <w:left w:val="none" w:sz="0" w:space="0" w:color="auto"/>
        <w:bottom w:val="none" w:sz="0" w:space="0" w:color="auto"/>
        <w:right w:val="none" w:sz="0" w:space="0" w:color="auto"/>
      </w:divBdr>
    </w:div>
    <w:div w:id="663629957">
      <w:bodyDiv w:val="1"/>
      <w:marLeft w:val="0"/>
      <w:marRight w:val="0"/>
      <w:marTop w:val="0"/>
      <w:marBottom w:val="0"/>
      <w:divBdr>
        <w:top w:val="none" w:sz="0" w:space="0" w:color="auto"/>
        <w:left w:val="none" w:sz="0" w:space="0" w:color="auto"/>
        <w:bottom w:val="none" w:sz="0" w:space="0" w:color="auto"/>
        <w:right w:val="none" w:sz="0" w:space="0" w:color="auto"/>
      </w:divBdr>
    </w:div>
    <w:div w:id="664209522">
      <w:bodyDiv w:val="1"/>
      <w:marLeft w:val="0"/>
      <w:marRight w:val="0"/>
      <w:marTop w:val="0"/>
      <w:marBottom w:val="0"/>
      <w:divBdr>
        <w:top w:val="none" w:sz="0" w:space="0" w:color="auto"/>
        <w:left w:val="none" w:sz="0" w:space="0" w:color="auto"/>
        <w:bottom w:val="none" w:sz="0" w:space="0" w:color="auto"/>
        <w:right w:val="none" w:sz="0" w:space="0" w:color="auto"/>
      </w:divBdr>
    </w:div>
    <w:div w:id="664868092">
      <w:bodyDiv w:val="1"/>
      <w:marLeft w:val="0"/>
      <w:marRight w:val="0"/>
      <w:marTop w:val="0"/>
      <w:marBottom w:val="0"/>
      <w:divBdr>
        <w:top w:val="none" w:sz="0" w:space="0" w:color="auto"/>
        <w:left w:val="none" w:sz="0" w:space="0" w:color="auto"/>
        <w:bottom w:val="none" w:sz="0" w:space="0" w:color="auto"/>
        <w:right w:val="none" w:sz="0" w:space="0" w:color="auto"/>
      </w:divBdr>
    </w:div>
    <w:div w:id="665936750">
      <w:bodyDiv w:val="1"/>
      <w:marLeft w:val="0"/>
      <w:marRight w:val="0"/>
      <w:marTop w:val="0"/>
      <w:marBottom w:val="0"/>
      <w:divBdr>
        <w:top w:val="none" w:sz="0" w:space="0" w:color="auto"/>
        <w:left w:val="none" w:sz="0" w:space="0" w:color="auto"/>
        <w:bottom w:val="none" w:sz="0" w:space="0" w:color="auto"/>
        <w:right w:val="none" w:sz="0" w:space="0" w:color="auto"/>
      </w:divBdr>
    </w:div>
    <w:div w:id="666439982">
      <w:bodyDiv w:val="1"/>
      <w:marLeft w:val="0"/>
      <w:marRight w:val="0"/>
      <w:marTop w:val="0"/>
      <w:marBottom w:val="0"/>
      <w:divBdr>
        <w:top w:val="none" w:sz="0" w:space="0" w:color="auto"/>
        <w:left w:val="none" w:sz="0" w:space="0" w:color="auto"/>
        <w:bottom w:val="none" w:sz="0" w:space="0" w:color="auto"/>
        <w:right w:val="none" w:sz="0" w:space="0" w:color="auto"/>
      </w:divBdr>
    </w:div>
    <w:div w:id="666784035">
      <w:bodyDiv w:val="1"/>
      <w:marLeft w:val="0"/>
      <w:marRight w:val="0"/>
      <w:marTop w:val="0"/>
      <w:marBottom w:val="0"/>
      <w:divBdr>
        <w:top w:val="none" w:sz="0" w:space="0" w:color="auto"/>
        <w:left w:val="none" w:sz="0" w:space="0" w:color="auto"/>
        <w:bottom w:val="none" w:sz="0" w:space="0" w:color="auto"/>
        <w:right w:val="none" w:sz="0" w:space="0" w:color="auto"/>
      </w:divBdr>
    </w:div>
    <w:div w:id="666784335">
      <w:bodyDiv w:val="1"/>
      <w:marLeft w:val="0"/>
      <w:marRight w:val="0"/>
      <w:marTop w:val="0"/>
      <w:marBottom w:val="0"/>
      <w:divBdr>
        <w:top w:val="none" w:sz="0" w:space="0" w:color="auto"/>
        <w:left w:val="none" w:sz="0" w:space="0" w:color="auto"/>
        <w:bottom w:val="none" w:sz="0" w:space="0" w:color="auto"/>
        <w:right w:val="none" w:sz="0" w:space="0" w:color="auto"/>
      </w:divBdr>
    </w:div>
    <w:div w:id="667488043">
      <w:bodyDiv w:val="1"/>
      <w:marLeft w:val="0"/>
      <w:marRight w:val="0"/>
      <w:marTop w:val="0"/>
      <w:marBottom w:val="0"/>
      <w:divBdr>
        <w:top w:val="none" w:sz="0" w:space="0" w:color="auto"/>
        <w:left w:val="none" w:sz="0" w:space="0" w:color="auto"/>
        <w:bottom w:val="none" w:sz="0" w:space="0" w:color="auto"/>
        <w:right w:val="none" w:sz="0" w:space="0" w:color="auto"/>
      </w:divBdr>
    </w:div>
    <w:div w:id="669061939">
      <w:bodyDiv w:val="1"/>
      <w:marLeft w:val="0"/>
      <w:marRight w:val="0"/>
      <w:marTop w:val="0"/>
      <w:marBottom w:val="0"/>
      <w:divBdr>
        <w:top w:val="none" w:sz="0" w:space="0" w:color="auto"/>
        <w:left w:val="none" w:sz="0" w:space="0" w:color="auto"/>
        <w:bottom w:val="none" w:sz="0" w:space="0" w:color="auto"/>
        <w:right w:val="none" w:sz="0" w:space="0" w:color="auto"/>
      </w:divBdr>
    </w:div>
    <w:div w:id="670527010">
      <w:bodyDiv w:val="1"/>
      <w:marLeft w:val="0"/>
      <w:marRight w:val="0"/>
      <w:marTop w:val="0"/>
      <w:marBottom w:val="0"/>
      <w:divBdr>
        <w:top w:val="none" w:sz="0" w:space="0" w:color="auto"/>
        <w:left w:val="none" w:sz="0" w:space="0" w:color="auto"/>
        <w:bottom w:val="none" w:sz="0" w:space="0" w:color="auto"/>
        <w:right w:val="none" w:sz="0" w:space="0" w:color="auto"/>
      </w:divBdr>
    </w:div>
    <w:div w:id="671566229">
      <w:bodyDiv w:val="1"/>
      <w:marLeft w:val="0"/>
      <w:marRight w:val="0"/>
      <w:marTop w:val="0"/>
      <w:marBottom w:val="0"/>
      <w:divBdr>
        <w:top w:val="none" w:sz="0" w:space="0" w:color="auto"/>
        <w:left w:val="none" w:sz="0" w:space="0" w:color="auto"/>
        <w:bottom w:val="none" w:sz="0" w:space="0" w:color="auto"/>
        <w:right w:val="none" w:sz="0" w:space="0" w:color="auto"/>
      </w:divBdr>
    </w:div>
    <w:div w:id="672219384">
      <w:bodyDiv w:val="1"/>
      <w:marLeft w:val="0"/>
      <w:marRight w:val="0"/>
      <w:marTop w:val="0"/>
      <w:marBottom w:val="0"/>
      <w:divBdr>
        <w:top w:val="none" w:sz="0" w:space="0" w:color="auto"/>
        <w:left w:val="none" w:sz="0" w:space="0" w:color="auto"/>
        <w:bottom w:val="none" w:sz="0" w:space="0" w:color="auto"/>
        <w:right w:val="none" w:sz="0" w:space="0" w:color="auto"/>
      </w:divBdr>
    </w:div>
    <w:div w:id="673414698">
      <w:bodyDiv w:val="1"/>
      <w:marLeft w:val="0"/>
      <w:marRight w:val="0"/>
      <w:marTop w:val="0"/>
      <w:marBottom w:val="0"/>
      <w:divBdr>
        <w:top w:val="none" w:sz="0" w:space="0" w:color="auto"/>
        <w:left w:val="none" w:sz="0" w:space="0" w:color="auto"/>
        <w:bottom w:val="none" w:sz="0" w:space="0" w:color="auto"/>
        <w:right w:val="none" w:sz="0" w:space="0" w:color="auto"/>
      </w:divBdr>
    </w:div>
    <w:div w:id="673843558">
      <w:bodyDiv w:val="1"/>
      <w:marLeft w:val="0"/>
      <w:marRight w:val="0"/>
      <w:marTop w:val="0"/>
      <w:marBottom w:val="0"/>
      <w:divBdr>
        <w:top w:val="none" w:sz="0" w:space="0" w:color="auto"/>
        <w:left w:val="none" w:sz="0" w:space="0" w:color="auto"/>
        <w:bottom w:val="none" w:sz="0" w:space="0" w:color="auto"/>
        <w:right w:val="none" w:sz="0" w:space="0" w:color="auto"/>
      </w:divBdr>
    </w:div>
    <w:div w:id="674116577">
      <w:bodyDiv w:val="1"/>
      <w:marLeft w:val="0"/>
      <w:marRight w:val="0"/>
      <w:marTop w:val="0"/>
      <w:marBottom w:val="0"/>
      <w:divBdr>
        <w:top w:val="none" w:sz="0" w:space="0" w:color="auto"/>
        <w:left w:val="none" w:sz="0" w:space="0" w:color="auto"/>
        <w:bottom w:val="none" w:sz="0" w:space="0" w:color="auto"/>
        <w:right w:val="none" w:sz="0" w:space="0" w:color="auto"/>
      </w:divBdr>
    </w:div>
    <w:div w:id="674117953">
      <w:bodyDiv w:val="1"/>
      <w:marLeft w:val="0"/>
      <w:marRight w:val="0"/>
      <w:marTop w:val="0"/>
      <w:marBottom w:val="0"/>
      <w:divBdr>
        <w:top w:val="none" w:sz="0" w:space="0" w:color="auto"/>
        <w:left w:val="none" w:sz="0" w:space="0" w:color="auto"/>
        <w:bottom w:val="none" w:sz="0" w:space="0" w:color="auto"/>
        <w:right w:val="none" w:sz="0" w:space="0" w:color="auto"/>
      </w:divBdr>
    </w:div>
    <w:div w:id="676226045">
      <w:bodyDiv w:val="1"/>
      <w:marLeft w:val="0"/>
      <w:marRight w:val="0"/>
      <w:marTop w:val="0"/>
      <w:marBottom w:val="0"/>
      <w:divBdr>
        <w:top w:val="none" w:sz="0" w:space="0" w:color="auto"/>
        <w:left w:val="none" w:sz="0" w:space="0" w:color="auto"/>
        <w:bottom w:val="none" w:sz="0" w:space="0" w:color="auto"/>
        <w:right w:val="none" w:sz="0" w:space="0" w:color="auto"/>
      </w:divBdr>
    </w:div>
    <w:div w:id="676271310">
      <w:bodyDiv w:val="1"/>
      <w:marLeft w:val="0"/>
      <w:marRight w:val="0"/>
      <w:marTop w:val="0"/>
      <w:marBottom w:val="0"/>
      <w:divBdr>
        <w:top w:val="none" w:sz="0" w:space="0" w:color="auto"/>
        <w:left w:val="none" w:sz="0" w:space="0" w:color="auto"/>
        <w:bottom w:val="none" w:sz="0" w:space="0" w:color="auto"/>
        <w:right w:val="none" w:sz="0" w:space="0" w:color="auto"/>
      </w:divBdr>
    </w:div>
    <w:div w:id="676733546">
      <w:bodyDiv w:val="1"/>
      <w:marLeft w:val="0"/>
      <w:marRight w:val="0"/>
      <w:marTop w:val="0"/>
      <w:marBottom w:val="0"/>
      <w:divBdr>
        <w:top w:val="none" w:sz="0" w:space="0" w:color="auto"/>
        <w:left w:val="none" w:sz="0" w:space="0" w:color="auto"/>
        <w:bottom w:val="none" w:sz="0" w:space="0" w:color="auto"/>
        <w:right w:val="none" w:sz="0" w:space="0" w:color="auto"/>
      </w:divBdr>
    </w:div>
    <w:div w:id="677082583">
      <w:bodyDiv w:val="1"/>
      <w:marLeft w:val="0"/>
      <w:marRight w:val="0"/>
      <w:marTop w:val="0"/>
      <w:marBottom w:val="0"/>
      <w:divBdr>
        <w:top w:val="none" w:sz="0" w:space="0" w:color="auto"/>
        <w:left w:val="none" w:sz="0" w:space="0" w:color="auto"/>
        <w:bottom w:val="none" w:sz="0" w:space="0" w:color="auto"/>
        <w:right w:val="none" w:sz="0" w:space="0" w:color="auto"/>
      </w:divBdr>
    </w:div>
    <w:div w:id="678001558">
      <w:bodyDiv w:val="1"/>
      <w:marLeft w:val="0"/>
      <w:marRight w:val="0"/>
      <w:marTop w:val="0"/>
      <w:marBottom w:val="0"/>
      <w:divBdr>
        <w:top w:val="none" w:sz="0" w:space="0" w:color="auto"/>
        <w:left w:val="none" w:sz="0" w:space="0" w:color="auto"/>
        <w:bottom w:val="none" w:sz="0" w:space="0" w:color="auto"/>
        <w:right w:val="none" w:sz="0" w:space="0" w:color="auto"/>
      </w:divBdr>
    </w:div>
    <w:div w:id="679084745">
      <w:bodyDiv w:val="1"/>
      <w:marLeft w:val="0"/>
      <w:marRight w:val="0"/>
      <w:marTop w:val="0"/>
      <w:marBottom w:val="0"/>
      <w:divBdr>
        <w:top w:val="none" w:sz="0" w:space="0" w:color="auto"/>
        <w:left w:val="none" w:sz="0" w:space="0" w:color="auto"/>
        <w:bottom w:val="none" w:sz="0" w:space="0" w:color="auto"/>
        <w:right w:val="none" w:sz="0" w:space="0" w:color="auto"/>
      </w:divBdr>
    </w:div>
    <w:div w:id="679166095">
      <w:bodyDiv w:val="1"/>
      <w:marLeft w:val="0"/>
      <w:marRight w:val="0"/>
      <w:marTop w:val="0"/>
      <w:marBottom w:val="0"/>
      <w:divBdr>
        <w:top w:val="none" w:sz="0" w:space="0" w:color="auto"/>
        <w:left w:val="none" w:sz="0" w:space="0" w:color="auto"/>
        <w:bottom w:val="none" w:sz="0" w:space="0" w:color="auto"/>
        <w:right w:val="none" w:sz="0" w:space="0" w:color="auto"/>
      </w:divBdr>
    </w:div>
    <w:div w:id="679240492">
      <w:bodyDiv w:val="1"/>
      <w:marLeft w:val="0"/>
      <w:marRight w:val="0"/>
      <w:marTop w:val="0"/>
      <w:marBottom w:val="0"/>
      <w:divBdr>
        <w:top w:val="none" w:sz="0" w:space="0" w:color="auto"/>
        <w:left w:val="none" w:sz="0" w:space="0" w:color="auto"/>
        <w:bottom w:val="none" w:sz="0" w:space="0" w:color="auto"/>
        <w:right w:val="none" w:sz="0" w:space="0" w:color="auto"/>
      </w:divBdr>
    </w:div>
    <w:div w:id="680205188">
      <w:bodyDiv w:val="1"/>
      <w:marLeft w:val="0"/>
      <w:marRight w:val="0"/>
      <w:marTop w:val="0"/>
      <w:marBottom w:val="0"/>
      <w:divBdr>
        <w:top w:val="none" w:sz="0" w:space="0" w:color="auto"/>
        <w:left w:val="none" w:sz="0" w:space="0" w:color="auto"/>
        <w:bottom w:val="none" w:sz="0" w:space="0" w:color="auto"/>
        <w:right w:val="none" w:sz="0" w:space="0" w:color="auto"/>
      </w:divBdr>
    </w:div>
    <w:div w:id="680284059">
      <w:bodyDiv w:val="1"/>
      <w:marLeft w:val="0"/>
      <w:marRight w:val="0"/>
      <w:marTop w:val="0"/>
      <w:marBottom w:val="0"/>
      <w:divBdr>
        <w:top w:val="none" w:sz="0" w:space="0" w:color="auto"/>
        <w:left w:val="none" w:sz="0" w:space="0" w:color="auto"/>
        <w:bottom w:val="none" w:sz="0" w:space="0" w:color="auto"/>
        <w:right w:val="none" w:sz="0" w:space="0" w:color="auto"/>
      </w:divBdr>
    </w:div>
    <w:div w:id="681973039">
      <w:bodyDiv w:val="1"/>
      <w:marLeft w:val="0"/>
      <w:marRight w:val="0"/>
      <w:marTop w:val="0"/>
      <w:marBottom w:val="0"/>
      <w:divBdr>
        <w:top w:val="none" w:sz="0" w:space="0" w:color="auto"/>
        <w:left w:val="none" w:sz="0" w:space="0" w:color="auto"/>
        <w:bottom w:val="none" w:sz="0" w:space="0" w:color="auto"/>
        <w:right w:val="none" w:sz="0" w:space="0" w:color="auto"/>
      </w:divBdr>
    </w:div>
    <w:div w:id="682900201">
      <w:bodyDiv w:val="1"/>
      <w:marLeft w:val="0"/>
      <w:marRight w:val="0"/>
      <w:marTop w:val="0"/>
      <w:marBottom w:val="0"/>
      <w:divBdr>
        <w:top w:val="none" w:sz="0" w:space="0" w:color="auto"/>
        <w:left w:val="none" w:sz="0" w:space="0" w:color="auto"/>
        <w:bottom w:val="none" w:sz="0" w:space="0" w:color="auto"/>
        <w:right w:val="none" w:sz="0" w:space="0" w:color="auto"/>
      </w:divBdr>
    </w:div>
    <w:div w:id="682972401">
      <w:bodyDiv w:val="1"/>
      <w:marLeft w:val="0"/>
      <w:marRight w:val="0"/>
      <w:marTop w:val="0"/>
      <w:marBottom w:val="0"/>
      <w:divBdr>
        <w:top w:val="none" w:sz="0" w:space="0" w:color="auto"/>
        <w:left w:val="none" w:sz="0" w:space="0" w:color="auto"/>
        <w:bottom w:val="none" w:sz="0" w:space="0" w:color="auto"/>
        <w:right w:val="none" w:sz="0" w:space="0" w:color="auto"/>
      </w:divBdr>
    </w:div>
    <w:div w:id="684089554">
      <w:bodyDiv w:val="1"/>
      <w:marLeft w:val="0"/>
      <w:marRight w:val="0"/>
      <w:marTop w:val="0"/>
      <w:marBottom w:val="0"/>
      <w:divBdr>
        <w:top w:val="none" w:sz="0" w:space="0" w:color="auto"/>
        <w:left w:val="none" w:sz="0" w:space="0" w:color="auto"/>
        <w:bottom w:val="none" w:sz="0" w:space="0" w:color="auto"/>
        <w:right w:val="none" w:sz="0" w:space="0" w:color="auto"/>
      </w:divBdr>
    </w:div>
    <w:div w:id="685254183">
      <w:bodyDiv w:val="1"/>
      <w:marLeft w:val="0"/>
      <w:marRight w:val="0"/>
      <w:marTop w:val="0"/>
      <w:marBottom w:val="0"/>
      <w:divBdr>
        <w:top w:val="none" w:sz="0" w:space="0" w:color="auto"/>
        <w:left w:val="none" w:sz="0" w:space="0" w:color="auto"/>
        <w:bottom w:val="none" w:sz="0" w:space="0" w:color="auto"/>
        <w:right w:val="none" w:sz="0" w:space="0" w:color="auto"/>
      </w:divBdr>
    </w:div>
    <w:div w:id="685255848">
      <w:bodyDiv w:val="1"/>
      <w:marLeft w:val="0"/>
      <w:marRight w:val="0"/>
      <w:marTop w:val="0"/>
      <w:marBottom w:val="0"/>
      <w:divBdr>
        <w:top w:val="none" w:sz="0" w:space="0" w:color="auto"/>
        <w:left w:val="none" w:sz="0" w:space="0" w:color="auto"/>
        <w:bottom w:val="none" w:sz="0" w:space="0" w:color="auto"/>
        <w:right w:val="none" w:sz="0" w:space="0" w:color="auto"/>
      </w:divBdr>
    </w:div>
    <w:div w:id="685325795">
      <w:bodyDiv w:val="1"/>
      <w:marLeft w:val="0"/>
      <w:marRight w:val="0"/>
      <w:marTop w:val="0"/>
      <w:marBottom w:val="0"/>
      <w:divBdr>
        <w:top w:val="none" w:sz="0" w:space="0" w:color="auto"/>
        <w:left w:val="none" w:sz="0" w:space="0" w:color="auto"/>
        <w:bottom w:val="none" w:sz="0" w:space="0" w:color="auto"/>
        <w:right w:val="none" w:sz="0" w:space="0" w:color="auto"/>
      </w:divBdr>
    </w:div>
    <w:div w:id="687366669">
      <w:bodyDiv w:val="1"/>
      <w:marLeft w:val="0"/>
      <w:marRight w:val="0"/>
      <w:marTop w:val="0"/>
      <w:marBottom w:val="0"/>
      <w:divBdr>
        <w:top w:val="none" w:sz="0" w:space="0" w:color="auto"/>
        <w:left w:val="none" w:sz="0" w:space="0" w:color="auto"/>
        <w:bottom w:val="none" w:sz="0" w:space="0" w:color="auto"/>
        <w:right w:val="none" w:sz="0" w:space="0" w:color="auto"/>
      </w:divBdr>
    </w:div>
    <w:div w:id="687680696">
      <w:bodyDiv w:val="1"/>
      <w:marLeft w:val="0"/>
      <w:marRight w:val="0"/>
      <w:marTop w:val="0"/>
      <w:marBottom w:val="0"/>
      <w:divBdr>
        <w:top w:val="none" w:sz="0" w:space="0" w:color="auto"/>
        <w:left w:val="none" w:sz="0" w:space="0" w:color="auto"/>
        <w:bottom w:val="none" w:sz="0" w:space="0" w:color="auto"/>
        <w:right w:val="none" w:sz="0" w:space="0" w:color="auto"/>
      </w:divBdr>
    </w:div>
    <w:div w:id="691497393">
      <w:bodyDiv w:val="1"/>
      <w:marLeft w:val="0"/>
      <w:marRight w:val="0"/>
      <w:marTop w:val="0"/>
      <w:marBottom w:val="0"/>
      <w:divBdr>
        <w:top w:val="none" w:sz="0" w:space="0" w:color="auto"/>
        <w:left w:val="none" w:sz="0" w:space="0" w:color="auto"/>
        <w:bottom w:val="none" w:sz="0" w:space="0" w:color="auto"/>
        <w:right w:val="none" w:sz="0" w:space="0" w:color="auto"/>
      </w:divBdr>
    </w:div>
    <w:div w:id="694968286">
      <w:bodyDiv w:val="1"/>
      <w:marLeft w:val="0"/>
      <w:marRight w:val="0"/>
      <w:marTop w:val="0"/>
      <w:marBottom w:val="0"/>
      <w:divBdr>
        <w:top w:val="none" w:sz="0" w:space="0" w:color="auto"/>
        <w:left w:val="none" w:sz="0" w:space="0" w:color="auto"/>
        <w:bottom w:val="none" w:sz="0" w:space="0" w:color="auto"/>
        <w:right w:val="none" w:sz="0" w:space="0" w:color="auto"/>
      </w:divBdr>
    </w:div>
    <w:div w:id="697857130">
      <w:bodyDiv w:val="1"/>
      <w:marLeft w:val="0"/>
      <w:marRight w:val="0"/>
      <w:marTop w:val="0"/>
      <w:marBottom w:val="0"/>
      <w:divBdr>
        <w:top w:val="none" w:sz="0" w:space="0" w:color="auto"/>
        <w:left w:val="none" w:sz="0" w:space="0" w:color="auto"/>
        <w:bottom w:val="none" w:sz="0" w:space="0" w:color="auto"/>
        <w:right w:val="none" w:sz="0" w:space="0" w:color="auto"/>
      </w:divBdr>
    </w:div>
    <w:div w:id="698160042">
      <w:bodyDiv w:val="1"/>
      <w:marLeft w:val="0"/>
      <w:marRight w:val="0"/>
      <w:marTop w:val="0"/>
      <w:marBottom w:val="0"/>
      <w:divBdr>
        <w:top w:val="none" w:sz="0" w:space="0" w:color="auto"/>
        <w:left w:val="none" w:sz="0" w:space="0" w:color="auto"/>
        <w:bottom w:val="none" w:sz="0" w:space="0" w:color="auto"/>
        <w:right w:val="none" w:sz="0" w:space="0" w:color="auto"/>
      </w:divBdr>
    </w:div>
    <w:div w:id="698893423">
      <w:bodyDiv w:val="1"/>
      <w:marLeft w:val="0"/>
      <w:marRight w:val="0"/>
      <w:marTop w:val="0"/>
      <w:marBottom w:val="0"/>
      <w:divBdr>
        <w:top w:val="none" w:sz="0" w:space="0" w:color="auto"/>
        <w:left w:val="none" w:sz="0" w:space="0" w:color="auto"/>
        <w:bottom w:val="none" w:sz="0" w:space="0" w:color="auto"/>
        <w:right w:val="none" w:sz="0" w:space="0" w:color="auto"/>
      </w:divBdr>
    </w:div>
    <w:div w:id="699010616">
      <w:bodyDiv w:val="1"/>
      <w:marLeft w:val="0"/>
      <w:marRight w:val="0"/>
      <w:marTop w:val="0"/>
      <w:marBottom w:val="0"/>
      <w:divBdr>
        <w:top w:val="none" w:sz="0" w:space="0" w:color="auto"/>
        <w:left w:val="none" w:sz="0" w:space="0" w:color="auto"/>
        <w:bottom w:val="none" w:sz="0" w:space="0" w:color="auto"/>
        <w:right w:val="none" w:sz="0" w:space="0" w:color="auto"/>
      </w:divBdr>
    </w:div>
    <w:div w:id="699933970">
      <w:bodyDiv w:val="1"/>
      <w:marLeft w:val="0"/>
      <w:marRight w:val="0"/>
      <w:marTop w:val="0"/>
      <w:marBottom w:val="0"/>
      <w:divBdr>
        <w:top w:val="none" w:sz="0" w:space="0" w:color="auto"/>
        <w:left w:val="none" w:sz="0" w:space="0" w:color="auto"/>
        <w:bottom w:val="none" w:sz="0" w:space="0" w:color="auto"/>
        <w:right w:val="none" w:sz="0" w:space="0" w:color="auto"/>
      </w:divBdr>
    </w:div>
    <w:div w:id="701900795">
      <w:bodyDiv w:val="1"/>
      <w:marLeft w:val="0"/>
      <w:marRight w:val="0"/>
      <w:marTop w:val="0"/>
      <w:marBottom w:val="0"/>
      <w:divBdr>
        <w:top w:val="none" w:sz="0" w:space="0" w:color="auto"/>
        <w:left w:val="none" w:sz="0" w:space="0" w:color="auto"/>
        <w:bottom w:val="none" w:sz="0" w:space="0" w:color="auto"/>
        <w:right w:val="none" w:sz="0" w:space="0" w:color="auto"/>
      </w:divBdr>
    </w:div>
    <w:div w:id="703486995">
      <w:bodyDiv w:val="1"/>
      <w:marLeft w:val="0"/>
      <w:marRight w:val="0"/>
      <w:marTop w:val="0"/>
      <w:marBottom w:val="0"/>
      <w:divBdr>
        <w:top w:val="none" w:sz="0" w:space="0" w:color="auto"/>
        <w:left w:val="none" w:sz="0" w:space="0" w:color="auto"/>
        <w:bottom w:val="none" w:sz="0" w:space="0" w:color="auto"/>
        <w:right w:val="none" w:sz="0" w:space="0" w:color="auto"/>
      </w:divBdr>
    </w:div>
    <w:div w:id="703596119">
      <w:bodyDiv w:val="1"/>
      <w:marLeft w:val="0"/>
      <w:marRight w:val="0"/>
      <w:marTop w:val="0"/>
      <w:marBottom w:val="0"/>
      <w:divBdr>
        <w:top w:val="none" w:sz="0" w:space="0" w:color="auto"/>
        <w:left w:val="none" w:sz="0" w:space="0" w:color="auto"/>
        <w:bottom w:val="none" w:sz="0" w:space="0" w:color="auto"/>
        <w:right w:val="none" w:sz="0" w:space="0" w:color="auto"/>
      </w:divBdr>
    </w:div>
    <w:div w:id="704672351">
      <w:bodyDiv w:val="1"/>
      <w:marLeft w:val="0"/>
      <w:marRight w:val="0"/>
      <w:marTop w:val="0"/>
      <w:marBottom w:val="0"/>
      <w:divBdr>
        <w:top w:val="none" w:sz="0" w:space="0" w:color="auto"/>
        <w:left w:val="none" w:sz="0" w:space="0" w:color="auto"/>
        <w:bottom w:val="none" w:sz="0" w:space="0" w:color="auto"/>
        <w:right w:val="none" w:sz="0" w:space="0" w:color="auto"/>
      </w:divBdr>
    </w:div>
    <w:div w:id="706564267">
      <w:bodyDiv w:val="1"/>
      <w:marLeft w:val="0"/>
      <w:marRight w:val="0"/>
      <w:marTop w:val="0"/>
      <w:marBottom w:val="0"/>
      <w:divBdr>
        <w:top w:val="none" w:sz="0" w:space="0" w:color="auto"/>
        <w:left w:val="none" w:sz="0" w:space="0" w:color="auto"/>
        <w:bottom w:val="none" w:sz="0" w:space="0" w:color="auto"/>
        <w:right w:val="none" w:sz="0" w:space="0" w:color="auto"/>
      </w:divBdr>
    </w:div>
    <w:div w:id="706566974">
      <w:bodyDiv w:val="1"/>
      <w:marLeft w:val="0"/>
      <w:marRight w:val="0"/>
      <w:marTop w:val="0"/>
      <w:marBottom w:val="0"/>
      <w:divBdr>
        <w:top w:val="none" w:sz="0" w:space="0" w:color="auto"/>
        <w:left w:val="none" w:sz="0" w:space="0" w:color="auto"/>
        <w:bottom w:val="none" w:sz="0" w:space="0" w:color="auto"/>
        <w:right w:val="none" w:sz="0" w:space="0" w:color="auto"/>
      </w:divBdr>
    </w:div>
    <w:div w:id="706876255">
      <w:bodyDiv w:val="1"/>
      <w:marLeft w:val="0"/>
      <w:marRight w:val="0"/>
      <w:marTop w:val="0"/>
      <w:marBottom w:val="0"/>
      <w:divBdr>
        <w:top w:val="none" w:sz="0" w:space="0" w:color="auto"/>
        <w:left w:val="none" w:sz="0" w:space="0" w:color="auto"/>
        <w:bottom w:val="none" w:sz="0" w:space="0" w:color="auto"/>
        <w:right w:val="none" w:sz="0" w:space="0" w:color="auto"/>
      </w:divBdr>
    </w:div>
    <w:div w:id="707343519">
      <w:bodyDiv w:val="1"/>
      <w:marLeft w:val="0"/>
      <w:marRight w:val="0"/>
      <w:marTop w:val="0"/>
      <w:marBottom w:val="0"/>
      <w:divBdr>
        <w:top w:val="none" w:sz="0" w:space="0" w:color="auto"/>
        <w:left w:val="none" w:sz="0" w:space="0" w:color="auto"/>
        <w:bottom w:val="none" w:sz="0" w:space="0" w:color="auto"/>
        <w:right w:val="none" w:sz="0" w:space="0" w:color="auto"/>
      </w:divBdr>
    </w:div>
    <w:div w:id="708845108">
      <w:bodyDiv w:val="1"/>
      <w:marLeft w:val="0"/>
      <w:marRight w:val="0"/>
      <w:marTop w:val="0"/>
      <w:marBottom w:val="0"/>
      <w:divBdr>
        <w:top w:val="none" w:sz="0" w:space="0" w:color="auto"/>
        <w:left w:val="none" w:sz="0" w:space="0" w:color="auto"/>
        <w:bottom w:val="none" w:sz="0" w:space="0" w:color="auto"/>
        <w:right w:val="none" w:sz="0" w:space="0" w:color="auto"/>
      </w:divBdr>
    </w:div>
    <w:div w:id="709113543">
      <w:bodyDiv w:val="1"/>
      <w:marLeft w:val="0"/>
      <w:marRight w:val="0"/>
      <w:marTop w:val="0"/>
      <w:marBottom w:val="0"/>
      <w:divBdr>
        <w:top w:val="none" w:sz="0" w:space="0" w:color="auto"/>
        <w:left w:val="none" w:sz="0" w:space="0" w:color="auto"/>
        <w:bottom w:val="none" w:sz="0" w:space="0" w:color="auto"/>
        <w:right w:val="none" w:sz="0" w:space="0" w:color="auto"/>
      </w:divBdr>
    </w:div>
    <w:div w:id="711417255">
      <w:bodyDiv w:val="1"/>
      <w:marLeft w:val="0"/>
      <w:marRight w:val="0"/>
      <w:marTop w:val="0"/>
      <w:marBottom w:val="0"/>
      <w:divBdr>
        <w:top w:val="none" w:sz="0" w:space="0" w:color="auto"/>
        <w:left w:val="none" w:sz="0" w:space="0" w:color="auto"/>
        <w:bottom w:val="none" w:sz="0" w:space="0" w:color="auto"/>
        <w:right w:val="none" w:sz="0" w:space="0" w:color="auto"/>
      </w:divBdr>
    </w:div>
    <w:div w:id="711928864">
      <w:bodyDiv w:val="1"/>
      <w:marLeft w:val="0"/>
      <w:marRight w:val="0"/>
      <w:marTop w:val="0"/>
      <w:marBottom w:val="0"/>
      <w:divBdr>
        <w:top w:val="none" w:sz="0" w:space="0" w:color="auto"/>
        <w:left w:val="none" w:sz="0" w:space="0" w:color="auto"/>
        <w:bottom w:val="none" w:sz="0" w:space="0" w:color="auto"/>
        <w:right w:val="none" w:sz="0" w:space="0" w:color="auto"/>
      </w:divBdr>
    </w:div>
    <w:div w:id="713433784">
      <w:bodyDiv w:val="1"/>
      <w:marLeft w:val="0"/>
      <w:marRight w:val="0"/>
      <w:marTop w:val="0"/>
      <w:marBottom w:val="0"/>
      <w:divBdr>
        <w:top w:val="none" w:sz="0" w:space="0" w:color="auto"/>
        <w:left w:val="none" w:sz="0" w:space="0" w:color="auto"/>
        <w:bottom w:val="none" w:sz="0" w:space="0" w:color="auto"/>
        <w:right w:val="none" w:sz="0" w:space="0" w:color="auto"/>
      </w:divBdr>
    </w:div>
    <w:div w:id="714429797">
      <w:bodyDiv w:val="1"/>
      <w:marLeft w:val="0"/>
      <w:marRight w:val="0"/>
      <w:marTop w:val="0"/>
      <w:marBottom w:val="0"/>
      <w:divBdr>
        <w:top w:val="none" w:sz="0" w:space="0" w:color="auto"/>
        <w:left w:val="none" w:sz="0" w:space="0" w:color="auto"/>
        <w:bottom w:val="none" w:sz="0" w:space="0" w:color="auto"/>
        <w:right w:val="none" w:sz="0" w:space="0" w:color="auto"/>
      </w:divBdr>
    </w:div>
    <w:div w:id="715665099">
      <w:bodyDiv w:val="1"/>
      <w:marLeft w:val="0"/>
      <w:marRight w:val="0"/>
      <w:marTop w:val="0"/>
      <w:marBottom w:val="0"/>
      <w:divBdr>
        <w:top w:val="none" w:sz="0" w:space="0" w:color="auto"/>
        <w:left w:val="none" w:sz="0" w:space="0" w:color="auto"/>
        <w:bottom w:val="none" w:sz="0" w:space="0" w:color="auto"/>
        <w:right w:val="none" w:sz="0" w:space="0" w:color="auto"/>
      </w:divBdr>
    </w:div>
    <w:div w:id="719136728">
      <w:bodyDiv w:val="1"/>
      <w:marLeft w:val="0"/>
      <w:marRight w:val="0"/>
      <w:marTop w:val="0"/>
      <w:marBottom w:val="0"/>
      <w:divBdr>
        <w:top w:val="none" w:sz="0" w:space="0" w:color="auto"/>
        <w:left w:val="none" w:sz="0" w:space="0" w:color="auto"/>
        <w:bottom w:val="none" w:sz="0" w:space="0" w:color="auto"/>
        <w:right w:val="none" w:sz="0" w:space="0" w:color="auto"/>
      </w:divBdr>
    </w:div>
    <w:div w:id="719862745">
      <w:bodyDiv w:val="1"/>
      <w:marLeft w:val="0"/>
      <w:marRight w:val="0"/>
      <w:marTop w:val="0"/>
      <w:marBottom w:val="0"/>
      <w:divBdr>
        <w:top w:val="none" w:sz="0" w:space="0" w:color="auto"/>
        <w:left w:val="none" w:sz="0" w:space="0" w:color="auto"/>
        <w:bottom w:val="none" w:sz="0" w:space="0" w:color="auto"/>
        <w:right w:val="none" w:sz="0" w:space="0" w:color="auto"/>
      </w:divBdr>
    </w:div>
    <w:div w:id="719867817">
      <w:bodyDiv w:val="1"/>
      <w:marLeft w:val="0"/>
      <w:marRight w:val="0"/>
      <w:marTop w:val="0"/>
      <w:marBottom w:val="0"/>
      <w:divBdr>
        <w:top w:val="none" w:sz="0" w:space="0" w:color="auto"/>
        <w:left w:val="none" w:sz="0" w:space="0" w:color="auto"/>
        <w:bottom w:val="none" w:sz="0" w:space="0" w:color="auto"/>
        <w:right w:val="none" w:sz="0" w:space="0" w:color="auto"/>
      </w:divBdr>
    </w:div>
    <w:div w:id="719978589">
      <w:bodyDiv w:val="1"/>
      <w:marLeft w:val="0"/>
      <w:marRight w:val="0"/>
      <w:marTop w:val="0"/>
      <w:marBottom w:val="0"/>
      <w:divBdr>
        <w:top w:val="none" w:sz="0" w:space="0" w:color="auto"/>
        <w:left w:val="none" w:sz="0" w:space="0" w:color="auto"/>
        <w:bottom w:val="none" w:sz="0" w:space="0" w:color="auto"/>
        <w:right w:val="none" w:sz="0" w:space="0" w:color="auto"/>
      </w:divBdr>
    </w:div>
    <w:div w:id="720789175">
      <w:bodyDiv w:val="1"/>
      <w:marLeft w:val="0"/>
      <w:marRight w:val="0"/>
      <w:marTop w:val="0"/>
      <w:marBottom w:val="0"/>
      <w:divBdr>
        <w:top w:val="none" w:sz="0" w:space="0" w:color="auto"/>
        <w:left w:val="none" w:sz="0" w:space="0" w:color="auto"/>
        <w:bottom w:val="none" w:sz="0" w:space="0" w:color="auto"/>
        <w:right w:val="none" w:sz="0" w:space="0" w:color="auto"/>
      </w:divBdr>
    </w:div>
    <w:div w:id="721945538">
      <w:bodyDiv w:val="1"/>
      <w:marLeft w:val="0"/>
      <w:marRight w:val="0"/>
      <w:marTop w:val="0"/>
      <w:marBottom w:val="0"/>
      <w:divBdr>
        <w:top w:val="none" w:sz="0" w:space="0" w:color="auto"/>
        <w:left w:val="none" w:sz="0" w:space="0" w:color="auto"/>
        <w:bottom w:val="none" w:sz="0" w:space="0" w:color="auto"/>
        <w:right w:val="none" w:sz="0" w:space="0" w:color="auto"/>
      </w:divBdr>
    </w:div>
    <w:div w:id="722868349">
      <w:bodyDiv w:val="1"/>
      <w:marLeft w:val="0"/>
      <w:marRight w:val="0"/>
      <w:marTop w:val="0"/>
      <w:marBottom w:val="0"/>
      <w:divBdr>
        <w:top w:val="none" w:sz="0" w:space="0" w:color="auto"/>
        <w:left w:val="none" w:sz="0" w:space="0" w:color="auto"/>
        <w:bottom w:val="none" w:sz="0" w:space="0" w:color="auto"/>
        <w:right w:val="none" w:sz="0" w:space="0" w:color="auto"/>
      </w:divBdr>
    </w:div>
    <w:div w:id="723137836">
      <w:bodyDiv w:val="1"/>
      <w:marLeft w:val="0"/>
      <w:marRight w:val="0"/>
      <w:marTop w:val="0"/>
      <w:marBottom w:val="0"/>
      <w:divBdr>
        <w:top w:val="none" w:sz="0" w:space="0" w:color="auto"/>
        <w:left w:val="none" w:sz="0" w:space="0" w:color="auto"/>
        <w:bottom w:val="none" w:sz="0" w:space="0" w:color="auto"/>
        <w:right w:val="none" w:sz="0" w:space="0" w:color="auto"/>
      </w:divBdr>
    </w:div>
    <w:div w:id="723259480">
      <w:bodyDiv w:val="1"/>
      <w:marLeft w:val="0"/>
      <w:marRight w:val="0"/>
      <w:marTop w:val="0"/>
      <w:marBottom w:val="0"/>
      <w:divBdr>
        <w:top w:val="none" w:sz="0" w:space="0" w:color="auto"/>
        <w:left w:val="none" w:sz="0" w:space="0" w:color="auto"/>
        <w:bottom w:val="none" w:sz="0" w:space="0" w:color="auto"/>
        <w:right w:val="none" w:sz="0" w:space="0" w:color="auto"/>
      </w:divBdr>
    </w:div>
    <w:div w:id="723484659">
      <w:bodyDiv w:val="1"/>
      <w:marLeft w:val="0"/>
      <w:marRight w:val="0"/>
      <w:marTop w:val="0"/>
      <w:marBottom w:val="0"/>
      <w:divBdr>
        <w:top w:val="none" w:sz="0" w:space="0" w:color="auto"/>
        <w:left w:val="none" w:sz="0" w:space="0" w:color="auto"/>
        <w:bottom w:val="none" w:sz="0" w:space="0" w:color="auto"/>
        <w:right w:val="none" w:sz="0" w:space="0" w:color="auto"/>
      </w:divBdr>
    </w:div>
    <w:div w:id="724719563">
      <w:bodyDiv w:val="1"/>
      <w:marLeft w:val="0"/>
      <w:marRight w:val="0"/>
      <w:marTop w:val="0"/>
      <w:marBottom w:val="0"/>
      <w:divBdr>
        <w:top w:val="none" w:sz="0" w:space="0" w:color="auto"/>
        <w:left w:val="none" w:sz="0" w:space="0" w:color="auto"/>
        <w:bottom w:val="none" w:sz="0" w:space="0" w:color="auto"/>
        <w:right w:val="none" w:sz="0" w:space="0" w:color="auto"/>
      </w:divBdr>
    </w:div>
    <w:div w:id="726073820">
      <w:bodyDiv w:val="1"/>
      <w:marLeft w:val="0"/>
      <w:marRight w:val="0"/>
      <w:marTop w:val="0"/>
      <w:marBottom w:val="0"/>
      <w:divBdr>
        <w:top w:val="none" w:sz="0" w:space="0" w:color="auto"/>
        <w:left w:val="none" w:sz="0" w:space="0" w:color="auto"/>
        <w:bottom w:val="none" w:sz="0" w:space="0" w:color="auto"/>
        <w:right w:val="none" w:sz="0" w:space="0" w:color="auto"/>
      </w:divBdr>
    </w:div>
    <w:div w:id="727919901">
      <w:bodyDiv w:val="1"/>
      <w:marLeft w:val="0"/>
      <w:marRight w:val="0"/>
      <w:marTop w:val="0"/>
      <w:marBottom w:val="0"/>
      <w:divBdr>
        <w:top w:val="none" w:sz="0" w:space="0" w:color="auto"/>
        <w:left w:val="none" w:sz="0" w:space="0" w:color="auto"/>
        <w:bottom w:val="none" w:sz="0" w:space="0" w:color="auto"/>
        <w:right w:val="none" w:sz="0" w:space="0" w:color="auto"/>
      </w:divBdr>
    </w:div>
    <w:div w:id="728191914">
      <w:bodyDiv w:val="1"/>
      <w:marLeft w:val="0"/>
      <w:marRight w:val="0"/>
      <w:marTop w:val="0"/>
      <w:marBottom w:val="0"/>
      <w:divBdr>
        <w:top w:val="none" w:sz="0" w:space="0" w:color="auto"/>
        <w:left w:val="none" w:sz="0" w:space="0" w:color="auto"/>
        <w:bottom w:val="none" w:sz="0" w:space="0" w:color="auto"/>
        <w:right w:val="none" w:sz="0" w:space="0" w:color="auto"/>
      </w:divBdr>
    </w:div>
    <w:div w:id="728579650">
      <w:bodyDiv w:val="1"/>
      <w:marLeft w:val="0"/>
      <w:marRight w:val="0"/>
      <w:marTop w:val="0"/>
      <w:marBottom w:val="0"/>
      <w:divBdr>
        <w:top w:val="none" w:sz="0" w:space="0" w:color="auto"/>
        <w:left w:val="none" w:sz="0" w:space="0" w:color="auto"/>
        <w:bottom w:val="none" w:sz="0" w:space="0" w:color="auto"/>
        <w:right w:val="none" w:sz="0" w:space="0" w:color="auto"/>
      </w:divBdr>
    </w:div>
    <w:div w:id="729420228">
      <w:bodyDiv w:val="1"/>
      <w:marLeft w:val="0"/>
      <w:marRight w:val="0"/>
      <w:marTop w:val="0"/>
      <w:marBottom w:val="0"/>
      <w:divBdr>
        <w:top w:val="none" w:sz="0" w:space="0" w:color="auto"/>
        <w:left w:val="none" w:sz="0" w:space="0" w:color="auto"/>
        <w:bottom w:val="none" w:sz="0" w:space="0" w:color="auto"/>
        <w:right w:val="none" w:sz="0" w:space="0" w:color="auto"/>
      </w:divBdr>
    </w:div>
    <w:div w:id="729617626">
      <w:bodyDiv w:val="1"/>
      <w:marLeft w:val="0"/>
      <w:marRight w:val="0"/>
      <w:marTop w:val="0"/>
      <w:marBottom w:val="0"/>
      <w:divBdr>
        <w:top w:val="none" w:sz="0" w:space="0" w:color="auto"/>
        <w:left w:val="none" w:sz="0" w:space="0" w:color="auto"/>
        <w:bottom w:val="none" w:sz="0" w:space="0" w:color="auto"/>
        <w:right w:val="none" w:sz="0" w:space="0" w:color="auto"/>
      </w:divBdr>
    </w:div>
    <w:div w:id="733045767">
      <w:bodyDiv w:val="1"/>
      <w:marLeft w:val="0"/>
      <w:marRight w:val="0"/>
      <w:marTop w:val="0"/>
      <w:marBottom w:val="0"/>
      <w:divBdr>
        <w:top w:val="none" w:sz="0" w:space="0" w:color="auto"/>
        <w:left w:val="none" w:sz="0" w:space="0" w:color="auto"/>
        <w:bottom w:val="none" w:sz="0" w:space="0" w:color="auto"/>
        <w:right w:val="none" w:sz="0" w:space="0" w:color="auto"/>
      </w:divBdr>
    </w:div>
    <w:div w:id="734471813">
      <w:bodyDiv w:val="1"/>
      <w:marLeft w:val="0"/>
      <w:marRight w:val="0"/>
      <w:marTop w:val="0"/>
      <w:marBottom w:val="0"/>
      <w:divBdr>
        <w:top w:val="none" w:sz="0" w:space="0" w:color="auto"/>
        <w:left w:val="none" w:sz="0" w:space="0" w:color="auto"/>
        <w:bottom w:val="none" w:sz="0" w:space="0" w:color="auto"/>
        <w:right w:val="none" w:sz="0" w:space="0" w:color="auto"/>
      </w:divBdr>
    </w:div>
    <w:div w:id="735015382">
      <w:bodyDiv w:val="1"/>
      <w:marLeft w:val="0"/>
      <w:marRight w:val="0"/>
      <w:marTop w:val="0"/>
      <w:marBottom w:val="0"/>
      <w:divBdr>
        <w:top w:val="none" w:sz="0" w:space="0" w:color="auto"/>
        <w:left w:val="none" w:sz="0" w:space="0" w:color="auto"/>
        <w:bottom w:val="none" w:sz="0" w:space="0" w:color="auto"/>
        <w:right w:val="none" w:sz="0" w:space="0" w:color="auto"/>
      </w:divBdr>
    </w:div>
    <w:div w:id="735787698">
      <w:bodyDiv w:val="1"/>
      <w:marLeft w:val="0"/>
      <w:marRight w:val="0"/>
      <w:marTop w:val="0"/>
      <w:marBottom w:val="0"/>
      <w:divBdr>
        <w:top w:val="none" w:sz="0" w:space="0" w:color="auto"/>
        <w:left w:val="none" w:sz="0" w:space="0" w:color="auto"/>
        <w:bottom w:val="none" w:sz="0" w:space="0" w:color="auto"/>
        <w:right w:val="none" w:sz="0" w:space="0" w:color="auto"/>
      </w:divBdr>
    </w:div>
    <w:div w:id="736362732">
      <w:bodyDiv w:val="1"/>
      <w:marLeft w:val="0"/>
      <w:marRight w:val="0"/>
      <w:marTop w:val="0"/>
      <w:marBottom w:val="0"/>
      <w:divBdr>
        <w:top w:val="none" w:sz="0" w:space="0" w:color="auto"/>
        <w:left w:val="none" w:sz="0" w:space="0" w:color="auto"/>
        <w:bottom w:val="none" w:sz="0" w:space="0" w:color="auto"/>
        <w:right w:val="none" w:sz="0" w:space="0" w:color="auto"/>
      </w:divBdr>
    </w:div>
    <w:div w:id="736711241">
      <w:bodyDiv w:val="1"/>
      <w:marLeft w:val="0"/>
      <w:marRight w:val="0"/>
      <w:marTop w:val="0"/>
      <w:marBottom w:val="0"/>
      <w:divBdr>
        <w:top w:val="none" w:sz="0" w:space="0" w:color="auto"/>
        <w:left w:val="none" w:sz="0" w:space="0" w:color="auto"/>
        <w:bottom w:val="none" w:sz="0" w:space="0" w:color="auto"/>
        <w:right w:val="none" w:sz="0" w:space="0" w:color="auto"/>
      </w:divBdr>
    </w:div>
    <w:div w:id="736974489">
      <w:bodyDiv w:val="1"/>
      <w:marLeft w:val="0"/>
      <w:marRight w:val="0"/>
      <w:marTop w:val="0"/>
      <w:marBottom w:val="0"/>
      <w:divBdr>
        <w:top w:val="none" w:sz="0" w:space="0" w:color="auto"/>
        <w:left w:val="none" w:sz="0" w:space="0" w:color="auto"/>
        <w:bottom w:val="none" w:sz="0" w:space="0" w:color="auto"/>
        <w:right w:val="none" w:sz="0" w:space="0" w:color="auto"/>
      </w:divBdr>
    </w:div>
    <w:div w:id="737021381">
      <w:bodyDiv w:val="1"/>
      <w:marLeft w:val="0"/>
      <w:marRight w:val="0"/>
      <w:marTop w:val="0"/>
      <w:marBottom w:val="0"/>
      <w:divBdr>
        <w:top w:val="none" w:sz="0" w:space="0" w:color="auto"/>
        <w:left w:val="none" w:sz="0" w:space="0" w:color="auto"/>
        <w:bottom w:val="none" w:sz="0" w:space="0" w:color="auto"/>
        <w:right w:val="none" w:sz="0" w:space="0" w:color="auto"/>
      </w:divBdr>
    </w:div>
    <w:div w:id="740106748">
      <w:bodyDiv w:val="1"/>
      <w:marLeft w:val="0"/>
      <w:marRight w:val="0"/>
      <w:marTop w:val="0"/>
      <w:marBottom w:val="0"/>
      <w:divBdr>
        <w:top w:val="none" w:sz="0" w:space="0" w:color="auto"/>
        <w:left w:val="none" w:sz="0" w:space="0" w:color="auto"/>
        <w:bottom w:val="none" w:sz="0" w:space="0" w:color="auto"/>
        <w:right w:val="none" w:sz="0" w:space="0" w:color="auto"/>
      </w:divBdr>
    </w:div>
    <w:div w:id="741679486">
      <w:bodyDiv w:val="1"/>
      <w:marLeft w:val="0"/>
      <w:marRight w:val="0"/>
      <w:marTop w:val="0"/>
      <w:marBottom w:val="0"/>
      <w:divBdr>
        <w:top w:val="none" w:sz="0" w:space="0" w:color="auto"/>
        <w:left w:val="none" w:sz="0" w:space="0" w:color="auto"/>
        <w:bottom w:val="none" w:sz="0" w:space="0" w:color="auto"/>
        <w:right w:val="none" w:sz="0" w:space="0" w:color="auto"/>
      </w:divBdr>
    </w:div>
    <w:div w:id="743769937">
      <w:bodyDiv w:val="1"/>
      <w:marLeft w:val="0"/>
      <w:marRight w:val="0"/>
      <w:marTop w:val="0"/>
      <w:marBottom w:val="0"/>
      <w:divBdr>
        <w:top w:val="none" w:sz="0" w:space="0" w:color="auto"/>
        <w:left w:val="none" w:sz="0" w:space="0" w:color="auto"/>
        <w:bottom w:val="none" w:sz="0" w:space="0" w:color="auto"/>
        <w:right w:val="none" w:sz="0" w:space="0" w:color="auto"/>
      </w:divBdr>
    </w:div>
    <w:div w:id="743989343">
      <w:bodyDiv w:val="1"/>
      <w:marLeft w:val="0"/>
      <w:marRight w:val="0"/>
      <w:marTop w:val="0"/>
      <w:marBottom w:val="0"/>
      <w:divBdr>
        <w:top w:val="none" w:sz="0" w:space="0" w:color="auto"/>
        <w:left w:val="none" w:sz="0" w:space="0" w:color="auto"/>
        <w:bottom w:val="none" w:sz="0" w:space="0" w:color="auto"/>
        <w:right w:val="none" w:sz="0" w:space="0" w:color="auto"/>
      </w:divBdr>
    </w:div>
    <w:div w:id="744181659">
      <w:bodyDiv w:val="1"/>
      <w:marLeft w:val="0"/>
      <w:marRight w:val="0"/>
      <w:marTop w:val="0"/>
      <w:marBottom w:val="0"/>
      <w:divBdr>
        <w:top w:val="none" w:sz="0" w:space="0" w:color="auto"/>
        <w:left w:val="none" w:sz="0" w:space="0" w:color="auto"/>
        <w:bottom w:val="none" w:sz="0" w:space="0" w:color="auto"/>
        <w:right w:val="none" w:sz="0" w:space="0" w:color="auto"/>
      </w:divBdr>
    </w:div>
    <w:div w:id="744450160">
      <w:bodyDiv w:val="1"/>
      <w:marLeft w:val="0"/>
      <w:marRight w:val="0"/>
      <w:marTop w:val="0"/>
      <w:marBottom w:val="0"/>
      <w:divBdr>
        <w:top w:val="none" w:sz="0" w:space="0" w:color="auto"/>
        <w:left w:val="none" w:sz="0" w:space="0" w:color="auto"/>
        <w:bottom w:val="none" w:sz="0" w:space="0" w:color="auto"/>
        <w:right w:val="none" w:sz="0" w:space="0" w:color="auto"/>
      </w:divBdr>
    </w:div>
    <w:div w:id="744913199">
      <w:bodyDiv w:val="1"/>
      <w:marLeft w:val="0"/>
      <w:marRight w:val="0"/>
      <w:marTop w:val="0"/>
      <w:marBottom w:val="0"/>
      <w:divBdr>
        <w:top w:val="none" w:sz="0" w:space="0" w:color="auto"/>
        <w:left w:val="none" w:sz="0" w:space="0" w:color="auto"/>
        <w:bottom w:val="none" w:sz="0" w:space="0" w:color="auto"/>
        <w:right w:val="none" w:sz="0" w:space="0" w:color="auto"/>
      </w:divBdr>
    </w:div>
    <w:div w:id="745343791">
      <w:bodyDiv w:val="1"/>
      <w:marLeft w:val="0"/>
      <w:marRight w:val="0"/>
      <w:marTop w:val="0"/>
      <w:marBottom w:val="0"/>
      <w:divBdr>
        <w:top w:val="none" w:sz="0" w:space="0" w:color="auto"/>
        <w:left w:val="none" w:sz="0" w:space="0" w:color="auto"/>
        <w:bottom w:val="none" w:sz="0" w:space="0" w:color="auto"/>
        <w:right w:val="none" w:sz="0" w:space="0" w:color="auto"/>
      </w:divBdr>
    </w:div>
    <w:div w:id="745960318">
      <w:bodyDiv w:val="1"/>
      <w:marLeft w:val="0"/>
      <w:marRight w:val="0"/>
      <w:marTop w:val="0"/>
      <w:marBottom w:val="0"/>
      <w:divBdr>
        <w:top w:val="none" w:sz="0" w:space="0" w:color="auto"/>
        <w:left w:val="none" w:sz="0" w:space="0" w:color="auto"/>
        <w:bottom w:val="none" w:sz="0" w:space="0" w:color="auto"/>
        <w:right w:val="none" w:sz="0" w:space="0" w:color="auto"/>
      </w:divBdr>
    </w:div>
    <w:div w:id="746456655">
      <w:bodyDiv w:val="1"/>
      <w:marLeft w:val="0"/>
      <w:marRight w:val="0"/>
      <w:marTop w:val="0"/>
      <w:marBottom w:val="0"/>
      <w:divBdr>
        <w:top w:val="none" w:sz="0" w:space="0" w:color="auto"/>
        <w:left w:val="none" w:sz="0" w:space="0" w:color="auto"/>
        <w:bottom w:val="none" w:sz="0" w:space="0" w:color="auto"/>
        <w:right w:val="none" w:sz="0" w:space="0" w:color="auto"/>
      </w:divBdr>
    </w:div>
    <w:div w:id="747269876">
      <w:bodyDiv w:val="1"/>
      <w:marLeft w:val="0"/>
      <w:marRight w:val="0"/>
      <w:marTop w:val="0"/>
      <w:marBottom w:val="0"/>
      <w:divBdr>
        <w:top w:val="none" w:sz="0" w:space="0" w:color="auto"/>
        <w:left w:val="none" w:sz="0" w:space="0" w:color="auto"/>
        <w:bottom w:val="none" w:sz="0" w:space="0" w:color="auto"/>
        <w:right w:val="none" w:sz="0" w:space="0" w:color="auto"/>
      </w:divBdr>
    </w:div>
    <w:div w:id="747851862">
      <w:bodyDiv w:val="1"/>
      <w:marLeft w:val="0"/>
      <w:marRight w:val="0"/>
      <w:marTop w:val="0"/>
      <w:marBottom w:val="0"/>
      <w:divBdr>
        <w:top w:val="none" w:sz="0" w:space="0" w:color="auto"/>
        <w:left w:val="none" w:sz="0" w:space="0" w:color="auto"/>
        <w:bottom w:val="none" w:sz="0" w:space="0" w:color="auto"/>
        <w:right w:val="none" w:sz="0" w:space="0" w:color="auto"/>
      </w:divBdr>
    </w:div>
    <w:div w:id="749086738">
      <w:bodyDiv w:val="1"/>
      <w:marLeft w:val="0"/>
      <w:marRight w:val="0"/>
      <w:marTop w:val="0"/>
      <w:marBottom w:val="0"/>
      <w:divBdr>
        <w:top w:val="none" w:sz="0" w:space="0" w:color="auto"/>
        <w:left w:val="none" w:sz="0" w:space="0" w:color="auto"/>
        <w:bottom w:val="none" w:sz="0" w:space="0" w:color="auto"/>
        <w:right w:val="none" w:sz="0" w:space="0" w:color="auto"/>
      </w:divBdr>
    </w:div>
    <w:div w:id="749545244">
      <w:bodyDiv w:val="1"/>
      <w:marLeft w:val="0"/>
      <w:marRight w:val="0"/>
      <w:marTop w:val="0"/>
      <w:marBottom w:val="0"/>
      <w:divBdr>
        <w:top w:val="none" w:sz="0" w:space="0" w:color="auto"/>
        <w:left w:val="none" w:sz="0" w:space="0" w:color="auto"/>
        <w:bottom w:val="none" w:sz="0" w:space="0" w:color="auto"/>
        <w:right w:val="none" w:sz="0" w:space="0" w:color="auto"/>
      </w:divBdr>
    </w:div>
    <w:div w:id="751781288">
      <w:bodyDiv w:val="1"/>
      <w:marLeft w:val="0"/>
      <w:marRight w:val="0"/>
      <w:marTop w:val="0"/>
      <w:marBottom w:val="0"/>
      <w:divBdr>
        <w:top w:val="none" w:sz="0" w:space="0" w:color="auto"/>
        <w:left w:val="none" w:sz="0" w:space="0" w:color="auto"/>
        <w:bottom w:val="none" w:sz="0" w:space="0" w:color="auto"/>
        <w:right w:val="none" w:sz="0" w:space="0" w:color="auto"/>
      </w:divBdr>
    </w:div>
    <w:div w:id="753167636">
      <w:bodyDiv w:val="1"/>
      <w:marLeft w:val="0"/>
      <w:marRight w:val="0"/>
      <w:marTop w:val="0"/>
      <w:marBottom w:val="0"/>
      <w:divBdr>
        <w:top w:val="none" w:sz="0" w:space="0" w:color="auto"/>
        <w:left w:val="none" w:sz="0" w:space="0" w:color="auto"/>
        <w:bottom w:val="none" w:sz="0" w:space="0" w:color="auto"/>
        <w:right w:val="none" w:sz="0" w:space="0" w:color="auto"/>
      </w:divBdr>
    </w:div>
    <w:div w:id="754014046">
      <w:bodyDiv w:val="1"/>
      <w:marLeft w:val="0"/>
      <w:marRight w:val="0"/>
      <w:marTop w:val="0"/>
      <w:marBottom w:val="0"/>
      <w:divBdr>
        <w:top w:val="none" w:sz="0" w:space="0" w:color="auto"/>
        <w:left w:val="none" w:sz="0" w:space="0" w:color="auto"/>
        <w:bottom w:val="none" w:sz="0" w:space="0" w:color="auto"/>
        <w:right w:val="none" w:sz="0" w:space="0" w:color="auto"/>
      </w:divBdr>
    </w:div>
    <w:div w:id="754134873">
      <w:bodyDiv w:val="1"/>
      <w:marLeft w:val="0"/>
      <w:marRight w:val="0"/>
      <w:marTop w:val="0"/>
      <w:marBottom w:val="0"/>
      <w:divBdr>
        <w:top w:val="none" w:sz="0" w:space="0" w:color="auto"/>
        <w:left w:val="none" w:sz="0" w:space="0" w:color="auto"/>
        <w:bottom w:val="none" w:sz="0" w:space="0" w:color="auto"/>
        <w:right w:val="none" w:sz="0" w:space="0" w:color="auto"/>
      </w:divBdr>
    </w:div>
    <w:div w:id="755201660">
      <w:bodyDiv w:val="1"/>
      <w:marLeft w:val="0"/>
      <w:marRight w:val="0"/>
      <w:marTop w:val="0"/>
      <w:marBottom w:val="0"/>
      <w:divBdr>
        <w:top w:val="none" w:sz="0" w:space="0" w:color="auto"/>
        <w:left w:val="none" w:sz="0" w:space="0" w:color="auto"/>
        <w:bottom w:val="none" w:sz="0" w:space="0" w:color="auto"/>
        <w:right w:val="none" w:sz="0" w:space="0" w:color="auto"/>
      </w:divBdr>
    </w:div>
    <w:div w:id="758982663">
      <w:bodyDiv w:val="1"/>
      <w:marLeft w:val="0"/>
      <w:marRight w:val="0"/>
      <w:marTop w:val="0"/>
      <w:marBottom w:val="0"/>
      <w:divBdr>
        <w:top w:val="none" w:sz="0" w:space="0" w:color="auto"/>
        <w:left w:val="none" w:sz="0" w:space="0" w:color="auto"/>
        <w:bottom w:val="none" w:sz="0" w:space="0" w:color="auto"/>
        <w:right w:val="none" w:sz="0" w:space="0" w:color="auto"/>
      </w:divBdr>
    </w:div>
    <w:div w:id="760756766">
      <w:bodyDiv w:val="1"/>
      <w:marLeft w:val="0"/>
      <w:marRight w:val="0"/>
      <w:marTop w:val="0"/>
      <w:marBottom w:val="0"/>
      <w:divBdr>
        <w:top w:val="none" w:sz="0" w:space="0" w:color="auto"/>
        <w:left w:val="none" w:sz="0" w:space="0" w:color="auto"/>
        <w:bottom w:val="none" w:sz="0" w:space="0" w:color="auto"/>
        <w:right w:val="none" w:sz="0" w:space="0" w:color="auto"/>
      </w:divBdr>
    </w:div>
    <w:div w:id="762453279">
      <w:bodyDiv w:val="1"/>
      <w:marLeft w:val="0"/>
      <w:marRight w:val="0"/>
      <w:marTop w:val="0"/>
      <w:marBottom w:val="0"/>
      <w:divBdr>
        <w:top w:val="none" w:sz="0" w:space="0" w:color="auto"/>
        <w:left w:val="none" w:sz="0" w:space="0" w:color="auto"/>
        <w:bottom w:val="none" w:sz="0" w:space="0" w:color="auto"/>
        <w:right w:val="none" w:sz="0" w:space="0" w:color="auto"/>
      </w:divBdr>
    </w:div>
    <w:div w:id="762645260">
      <w:bodyDiv w:val="1"/>
      <w:marLeft w:val="0"/>
      <w:marRight w:val="0"/>
      <w:marTop w:val="0"/>
      <w:marBottom w:val="0"/>
      <w:divBdr>
        <w:top w:val="none" w:sz="0" w:space="0" w:color="auto"/>
        <w:left w:val="none" w:sz="0" w:space="0" w:color="auto"/>
        <w:bottom w:val="none" w:sz="0" w:space="0" w:color="auto"/>
        <w:right w:val="none" w:sz="0" w:space="0" w:color="auto"/>
      </w:divBdr>
    </w:div>
    <w:div w:id="762796512">
      <w:bodyDiv w:val="1"/>
      <w:marLeft w:val="0"/>
      <w:marRight w:val="0"/>
      <w:marTop w:val="0"/>
      <w:marBottom w:val="0"/>
      <w:divBdr>
        <w:top w:val="none" w:sz="0" w:space="0" w:color="auto"/>
        <w:left w:val="none" w:sz="0" w:space="0" w:color="auto"/>
        <w:bottom w:val="none" w:sz="0" w:space="0" w:color="auto"/>
        <w:right w:val="none" w:sz="0" w:space="0" w:color="auto"/>
      </w:divBdr>
    </w:div>
    <w:div w:id="762845718">
      <w:bodyDiv w:val="1"/>
      <w:marLeft w:val="0"/>
      <w:marRight w:val="0"/>
      <w:marTop w:val="0"/>
      <w:marBottom w:val="0"/>
      <w:divBdr>
        <w:top w:val="none" w:sz="0" w:space="0" w:color="auto"/>
        <w:left w:val="none" w:sz="0" w:space="0" w:color="auto"/>
        <w:bottom w:val="none" w:sz="0" w:space="0" w:color="auto"/>
        <w:right w:val="none" w:sz="0" w:space="0" w:color="auto"/>
      </w:divBdr>
    </w:div>
    <w:div w:id="764231387">
      <w:bodyDiv w:val="1"/>
      <w:marLeft w:val="0"/>
      <w:marRight w:val="0"/>
      <w:marTop w:val="0"/>
      <w:marBottom w:val="0"/>
      <w:divBdr>
        <w:top w:val="none" w:sz="0" w:space="0" w:color="auto"/>
        <w:left w:val="none" w:sz="0" w:space="0" w:color="auto"/>
        <w:bottom w:val="none" w:sz="0" w:space="0" w:color="auto"/>
        <w:right w:val="none" w:sz="0" w:space="0" w:color="auto"/>
      </w:divBdr>
    </w:div>
    <w:div w:id="767389853">
      <w:bodyDiv w:val="1"/>
      <w:marLeft w:val="0"/>
      <w:marRight w:val="0"/>
      <w:marTop w:val="0"/>
      <w:marBottom w:val="0"/>
      <w:divBdr>
        <w:top w:val="none" w:sz="0" w:space="0" w:color="auto"/>
        <w:left w:val="none" w:sz="0" w:space="0" w:color="auto"/>
        <w:bottom w:val="none" w:sz="0" w:space="0" w:color="auto"/>
        <w:right w:val="none" w:sz="0" w:space="0" w:color="auto"/>
      </w:divBdr>
    </w:div>
    <w:div w:id="768503515">
      <w:bodyDiv w:val="1"/>
      <w:marLeft w:val="0"/>
      <w:marRight w:val="0"/>
      <w:marTop w:val="0"/>
      <w:marBottom w:val="0"/>
      <w:divBdr>
        <w:top w:val="none" w:sz="0" w:space="0" w:color="auto"/>
        <w:left w:val="none" w:sz="0" w:space="0" w:color="auto"/>
        <w:bottom w:val="none" w:sz="0" w:space="0" w:color="auto"/>
        <w:right w:val="none" w:sz="0" w:space="0" w:color="auto"/>
      </w:divBdr>
    </w:div>
    <w:div w:id="769349293">
      <w:bodyDiv w:val="1"/>
      <w:marLeft w:val="0"/>
      <w:marRight w:val="0"/>
      <w:marTop w:val="0"/>
      <w:marBottom w:val="0"/>
      <w:divBdr>
        <w:top w:val="none" w:sz="0" w:space="0" w:color="auto"/>
        <w:left w:val="none" w:sz="0" w:space="0" w:color="auto"/>
        <w:bottom w:val="none" w:sz="0" w:space="0" w:color="auto"/>
        <w:right w:val="none" w:sz="0" w:space="0" w:color="auto"/>
      </w:divBdr>
    </w:div>
    <w:div w:id="769818033">
      <w:bodyDiv w:val="1"/>
      <w:marLeft w:val="0"/>
      <w:marRight w:val="0"/>
      <w:marTop w:val="0"/>
      <w:marBottom w:val="0"/>
      <w:divBdr>
        <w:top w:val="none" w:sz="0" w:space="0" w:color="auto"/>
        <w:left w:val="none" w:sz="0" w:space="0" w:color="auto"/>
        <w:bottom w:val="none" w:sz="0" w:space="0" w:color="auto"/>
        <w:right w:val="none" w:sz="0" w:space="0" w:color="auto"/>
      </w:divBdr>
    </w:div>
    <w:div w:id="770470006">
      <w:bodyDiv w:val="1"/>
      <w:marLeft w:val="0"/>
      <w:marRight w:val="0"/>
      <w:marTop w:val="0"/>
      <w:marBottom w:val="0"/>
      <w:divBdr>
        <w:top w:val="none" w:sz="0" w:space="0" w:color="auto"/>
        <w:left w:val="none" w:sz="0" w:space="0" w:color="auto"/>
        <w:bottom w:val="none" w:sz="0" w:space="0" w:color="auto"/>
        <w:right w:val="none" w:sz="0" w:space="0" w:color="auto"/>
      </w:divBdr>
    </w:div>
    <w:div w:id="772628053">
      <w:bodyDiv w:val="1"/>
      <w:marLeft w:val="0"/>
      <w:marRight w:val="0"/>
      <w:marTop w:val="0"/>
      <w:marBottom w:val="0"/>
      <w:divBdr>
        <w:top w:val="none" w:sz="0" w:space="0" w:color="auto"/>
        <w:left w:val="none" w:sz="0" w:space="0" w:color="auto"/>
        <w:bottom w:val="none" w:sz="0" w:space="0" w:color="auto"/>
        <w:right w:val="none" w:sz="0" w:space="0" w:color="auto"/>
      </w:divBdr>
    </w:div>
    <w:div w:id="773479633">
      <w:bodyDiv w:val="1"/>
      <w:marLeft w:val="0"/>
      <w:marRight w:val="0"/>
      <w:marTop w:val="0"/>
      <w:marBottom w:val="0"/>
      <w:divBdr>
        <w:top w:val="none" w:sz="0" w:space="0" w:color="auto"/>
        <w:left w:val="none" w:sz="0" w:space="0" w:color="auto"/>
        <w:bottom w:val="none" w:sz="0" w:space="0" w:color="auto"/>
        <w:right w:val="none" w:sz="0" w:space="0" w:color="auto"/>
      </w:divBdr>
    </w:div>
    <w:div w:id="774596530">
      <w:bodyDiv w:val="1"/>
      <w:marLeft w:val="0"/>
      <w:marRight w:val="0"/>
      <w:marTop w:val="0"/>
      <w:marBottom w:val="0"/>
      <w:divBdr>
        <w:top w:val="none" w:sz="0" w:space="0" w:color="auto"/>
        <w:left w:val="none" w:sz="0" w:space="0" w:color="auto"/>
        <w:bottom w:val="none" w:sz="0" w:space="0" w:color="auto"/>
        <w:right w:val="none" w:sz="0" w:space="0" w:color="auto"/>
      </w:divBdr>
    </w:div>
    <w:div w:id="775055113">
      <w:bodyDiv w:val="1"/>
      <w:marLeft w:val="0"/>
      <w:marRight w:val="0"/>
      <w:marTop w:val="0"/>
      <w:marBottom w:val="0"/>
      <w:divBdr>
        <w:top w:val="none" w:sz="0" w:space="0" w:color="auto"/>
        <w:left w:val="none" w:sz="0" w:space="0" w:color="auto"/>
        <w:bottom w:val="none" w:sz="0" w:space="0" w:color="auto"/>
        <w:right w:val="none" w:sz="0" w:space="0" w:color="auto"/>
      </w:divBdr>
    </w:div>
    <w:div w:id="775171166">
      <w:bodyDiv w:val="1"/>
      <w:marLeft w:val="0"/>
      <w:marRight w:val="0"/>
      <w:marTop w:val="0"/>
      <w:marBottom w:val="0"/>
      <w:divBdr>
        <w:top w:val="none" w:sz="0" w:space="0" w:color="auto"/>
        <w:left w:val="none" w:sz="0" w:space="0" w:color="auto"/>
        <w:bottom w:val="none" w:sz="0" w:space="0" w:color="auto"/>
        <w:right w:val="none" w:sz="0" w:space="0" w:color="auto"/>
      </w:divBdr>
    </w:div>
    <w:div w:id="776757624">
      <w:bodyDiv w:val="1"/>
      <w:marLeft w:val="0"/>
      <w:marRight w:val="0"/>
      <w:marTop w:val="0"/>
      <w:marBottom w:val="0"/>
      <w:divBdr>
        <w:top w:val="none" w:sz="0" w:space="0" w:color="auto"/>
        <w:left w:val="none" w:sz="0" w:space="0" w:color="auto"/>
        <w:bottom w:val="none" w:sz="0" w:space="0" w:color="auto"/>
        <w:right w:val="none" w:sz="0" w:space="0" w:color="auto"/>
      </w:divBdr>
    </w:div>
    <w:div w:id="777414115">
      <w:bodyDiv w:val="1"/>
      <w:marLeft w:val="0"/>
      <w:marRight w:val="0"/>
      <w:marTop w:val="0"/>
      <w:marBottom w:val="0"/>
      <w:divBdr>
        <w:top w:val="none" w:sz="0" w:space="0" w:color="auto"/>
        <w:left w:val="none" w:sz="0" w:space="0" w:color="auto"/>
        <w:bottom w:val="none" w:sz="0" w:space="0" w:color="auto"/>
        <w:right w:val="none" w:sz="0" w:space="0" w:color="auto"/>
      </w:divBdr>
    </w:div>
    <w:div w:id="777414468">
      <w:bodyDiv w:val="1"/>
      <w:marLeft w:val="0"/>
      <w:marRight w:val="0"/>
      <w:marTop w:val="0"/>
      <w:marBottom w:val="0"/>
      <w:divBdr>
        <w:top w:val="none" w:sz="0" w:space="0" w:color="auto"/>
        <w:left w:val="none" w:sz="0" w:space="0" w:color="auto"/>
        <w:bottom w:val="none" w:sz="0" w:space="0" w:color="auto"/>
        <w:right w:val="none" w:sz="0" w:space="0" w:color="auto"/>
      </w:divBdr>
    </w:div>
    <w:div w:id="778451997">
      <w:bodyDiv w:val="1"/>
      <w:marLeft w:val="0"/>
      <w:marRight w:val="0"/>
      <w:marTop w:val="0"/>
      <w:marBottom w:val="0"/>
      <w:divBdr>
        <w:top w:val="none" w:sz="0" w:space="0" w:color="auto"/>
        <w:left w:val="none" w:sz="0" w:space="0" w:color="auto"/>
        <w:bottom w:val="none" w:sz="0" w:space="0" w:color="auto"/>
        <w:right w:val="none" w:sz="0" w:space="0" w:color="auto"/>
      </w:divBdr>
    </w:div>
    <w:div w:id="779107734">
      <w:bodyDiv w:val="1"/>
      <w:marLeft w:val="0"/>
      <w:marRight w:val="0"/>
      <w:marTop w:val="0"/>
      <w:marBottom w:val="0"/>
      <w:divBdr>
        <w:top w:val="none" w:sz="0" w:space="0" w:color="auto"/>
        <w:left w:val="none" w:sz="0" w:space="0" w:color="auto"/>
        <w:bottom w:val="none" w:sz="0" w:space="0" w:color="auto"/>
        <w:right w:val="none" w:sz="0" w:space="0" w:color="auto"/>
      </w:divBdr>
    </w:div>
    <w:div w:id="779758409">
      <w:bodyDiv w:val="1"/>
      <w:marLeft w:val="0"/>
      <w:marRight w:val="0"/>
      <w:marTop w:val="0"/>
      <w:marBottom w:val="0"/>
      <w:divBdr>
        <w:top w:val="none" w:sz="0" w:space="0" w:color="auto"/>
        <w:left w:val="none" w:sz="0" w:space="0" w:color="auto"/>
        <w:bottom w:val="none" w:sz="0" w:space="0" w:color="auto"/>
        <w:right w:val="none" w:sz="0" w:space="0" w:color="auto"/>
      </w:divBdr>
    </w:div>
    <w:div w:id="779762646">
      <w:bodyDiv w:val="1"/>
      <w:marLeft w:val="0"/>
      <w:marRight w:val="0"/>
      <w:marTop w:val="0"/>
      <w:marBottom w:val="0"/>
      <w:divBdr>
        <w:top w:val="none" w:sz="0" w:space="0" w:color="auto"/>
        <w:left w:val="none" w:sz="0" w:space="0" w:color="auto"/>
        <w:bottom w:val="none" w:sz="0" w:space="0" w:color="auto"/>
        <w:right w:val="none" w:sz="0" w:space="0" w:color="auto"/>
      </w:divBdr>
    </w:div>
    <w:div w:id="783422257">
      <w:bodyDiv w:val="1"/>
      <w:marLeft w:val="0"/>
      <w:marRight w:val="0"/>
      <w:marTop w:val="0"/>
      <w:marBottom w:val="0"/>
      <w:divBdr>
        <w:top w:val="none" w:sz="0" w:space="0" w:color="auto"/>
        <w:left w:val="none" w:sz="0" w:space="0" w:color="auto"/>
        <w:bottom w:val="none" w:sz="0" w:space="0" w:color="auto"/>
        <w:right w:val="none" w:sz="0" w:space="0" w:color="auto"/>
      </w:divBdr>
    </w:div>
    <w:div w:id="783811719">
      <w:bodyDiv w:val="1"/>
      <w:marLeft w:val="0"/>
      <w:marRight w:val="0"/>
      <w:marTop w:val="0"/>
      <w:marBottom w:val="0"/>
      <w:divBdr>
        <w:top w:val="none" w:sz="0" w:space="0" w:color="auto"/>
        <w:left w:val="none" w:sz="0" w:space="0" w:color="auto"/>
        <w:bottom w:val="none" w:sz="0" w:space="0" w:color="auto"/>
        <w:right w:val="none" w:sz="0" w:space="0" w:color="auto"/>
      </w:divBdr>
    </w:div>
    <w:div w:id="784545072">
      <w:bodyDiv w:val="1"/>
      <w:marLeft w:val="0"/>
      <w:marRight w:val="0"/>
      <w:marTop w:val="0"/>
      <w:marBottom w:val="0"/>
      <w:divBdr>
        <w:top w:val="none" w:sz="0" w:space="0" w:color="auto"/>
        <w:left w:val="none" w:sz="0" w:space="0" w:color="auto"/>
        <w:bottom w:val="none" w:sz="0" w:space="0" w:color="auto"/>
        <w:right w:val="none" w:sz="0" w:space="0" w:color="auto"/>
      </w:divBdr>
    </w:div>
    <w:div w:id="785196539">
      <w:bodyDiv w:val="1"/>
      <w:marLeft w:val="0"/>
      <w:marRight w:val="0"/>
      <w:marTop w:val="0"/>
      <w:marBottom w:val="0"/>
      <w:divBdr>
        <w:top w:val="none" w:sz="0" w:space="0" w:color="auto"/>
        <w:left w:val="none" w:sz="0" w:space="0" w:color="auto"/>
        <w:bottom w:val="none" w:sz="0" w:space="0" w:color="auto"/>
        <w:right w:val="none" w:sz="0" w:space="0" w:color="auto"/>
      </w:divBdr>
    </w:div>
    <w:div w:id="785277029">
      <w:bodyDiv w:val="1"/>
      <w:marLeft w:val="0"/>
      <w:marRight w:val="0"/>
      <w:marTop w:val="0"/>
      <w:marBottom w:val="0"/>
      <w:divBdr>
        <w:top w:val="none" w:sz="0" w:space="0" w:color="auto"/>
        <w:left w:val="none" w:sz="0" w:space="0" w:color="auto"/>
        <w:bottom w:val="none" w:sz="0" w:space="0" w:color="auto"/>
        <w:right w:val="none" w:sz="0" w:space="0" w:color="auto"/>
      </w:divBdr>
    </w:div>
    <w:div w:id="785278019">
      <w:bodyDiv w:val="1"/>
      <w:marLeft w:val="0"/>
      <w:marRight w:val="0"/>
      <w:marTop w:val="0"/>
      <w:marBottom w:val="0"/>
      <w:divBdr>
        <w:top w:val="none" w:sz="0" w:space="0" w:color="auto"/>
        <w:left w:val="none" w:sz="0" w:space="0" w:color="auto"/>
        <w:bottom w:val="none" w:sz="0" w:space="0" w:color="auto"/>
        <w:right w:val="none" w:sz="0" w:space="0" w:color="auto"/>
      </w:divBdr>
    </w:div>
    <w:div w:id="786584500">
      <w:bodyDiv w:val="1"/>
      <w:marLeft w:val="0"/>
      <w:marRight w:val="0"/>
      <w:marTop w:val="0"/>
      <w:marBottom w:val="0"/>
      <w:divBdr>
        <w:top w:val="none" w:sz="0" w:space="0" w:color="auto"/>
        <w:left w:val="none" w:sz="0" w:space="0" w:color="auto"/>
        <w:bottom w:val="none" w:sz="0" w:space="0" w:color="auto"/>
        <w:right w:val="none" w:sz="0" w:space="0" w:color="auto"/>
      </w:divBdr>
    </w:div>
    <w:div w:id="786847535">
      <w:bodyDiv w:val="1"/>
      <w:marLeft w:val="0"/>
      <w:marRight w:val="0"/>
      <w:marTop w:val="0"/>
      <w:marBottom w:val="0"/>
      <w:divBdr>
        <w:top w:val="none" w:sz="0" w:space="0" w:color="auto"/>
        <w:left w:val="none" w:sz="0" w:space="0" w:color="auto"/>
        <w:bottom w:val="none" w:sz="0" w:space="0" w:color="auto"/>
        <w:right w:val="none" w:sz="0" w:space="0" w:color="auto"/>
      </w:divBdr>
    </w:div>
    <w:div w:id="787241337">
      <w:bodyDiv w:val="1"/>
      <w:marLeft w:val="0"/>
      <w:marRight w:val="0"/>
      <w:marTop w:val="0"/>
      <w:marBottom w:val="0"/>
      <w:divBdr>
        <w:top w:val="none" w:sz="0" w:space="0" w:color="auto"/>
        <w:left w:val="none" w:sz="0" w:space="0" w:color="auto"/>
        <w:bottom w:val="none" w:sz="0" w:space="0" w:color="auto"/>
        <w:right w:val="none" w:sz="0" w:space="0" w:color="auto"/>
      </w:divBdr>
    </w:div>
    <w:div w:id="787550995">
      <w:bodyDiv w:val="1"/>
      <w:marLeft w:val="0"/>
      <w:marRight w:val="0"/>
      <w:marTop w:val="0"/>
      <w:marBottom w:val="0"/>
      <w:divBdr>
        <w:top w:val="none" w:sz="0" w:space="0" w:color="auto"/>
        <w:left w:val="none" w:sz="0" w:space="0" w:color="auto"/>
        <w:bottom w:val="none" w:sz="0" w:space="0" w:color="auto"/>
        <w:right w:val="none" w:sz="0" w:space="0" w:color="auto"/>
      </w:divBdr>
    </w:div>
    <w:div w:id="788403276">
      <w:bodyDiv w:val="1"/>
      <w:marLeft w:val="0"/>
      <w:marRight w:val="0"/>
      <w:marTop w:val="0"/>
      <w:marBottom w:val="0"/>
      <w:divBdr>
        <w:top w:val="none" w:sz="0" w:space="0" w:color="auto"/>
        <w:left w:val="none" w:sz="0" w:space="0" w:color="auto"/>
        <w:bottom w:val="none" w:sz="0" w:space="0" w:color="auto"/>
        <w:right w:val="none" w:sz="0" w:space="0" w:color="auto"/>
      </w:divBdr>
    </w:div>
    <w:div w:id="789397197">
      <w:bodyDiv w:val="1"/>
      <w:marLeft w:val="0"/>
      <w:marRight w:val="0"/>
      <w:marTop w:val="0"/>
      <w:marBottom w:val="0"/>
      <w:divBdr>
        <w:top w:val="none" w:sz="0" w:space="0" w:color="auto"/>
        <w:left w:val="none" w:sz="0" w:space="0" w:color="auto"/>
        <w:bottom w:val="none" w:sz="0" w:space="0" w:color="auto"/>
        <w:right w:val="none" w:sz="0" w:space="0" w:color="auto"/>
      </w:divBdr>
    </w:div>
    <w:div w:id="790782540">
      <w:bodyDiv w:val="1"/>
      <w:marLeft w:val="0"/>
      <w:marRight w:val="0"/>
      <w:marTop w:val="0"/>
      <w:marBottom w:val="0"/>
      <w:divBdr>
        <w:top w:val="none" w:sz="0" w:space="0" w:color="auto"/>
        <w:left w:val="none" w:sz="0" w:space="0" w:color="auto"/>
        <w:bottom w:val="none" w:sz="0" w:space="0" w:color="auto"/>
        <w:right w:val="none" w:sz="0" w:space="0" w:color="auto"/>
      </w:divBdr>
    </w:div>
    <w:div w:id="791823805">
      <w:bodyDiv w:val="1"/>
      <w:marLeft w:val="0"/>
      <w:marRight w:val="0"/>
      <w:marTop w:val="0"/>
      <w:marBottom w:val="0"/>
      <w:divBdr>
        <w:top w:val="none" w:sz="0" w:space="0" w:color="auto"/>
        <w:left w:val="none" w:sz="0" w:space="0" w:color="auto"/>
        <w:bottom w:val="none" w:sz="0" w:space="0" w:color="auto"/>
        <w:right w:val="none" w:sz="0" w:space="0" w:color="auto"/>
      </w:divBdr>
    </w:div>
    <w:div w:id="792405709">
      <w:bodyDiv w:val="1"/>
      <w:marLeft w:val="0"/>
      <w:marRight w:val="0"/>
      <w:marTop w:val="0"/>
      <w:marBottom w:val="0"/>
      <w:divBdr>
        <w:top w:val="none" w:sz="0" w:space="0" w:color="auto"/>
        <w:left w:val="none" w:sz="0" w:space="0" w:color="auto"/>
        <w:bottom w:val="none" w:sz="0" w:space="0" w:color="auto"/>
        <w:right w:val="none" w:sz="0" w:space="0" w:color="auto"/>
      </w:divBdr>
    </w:div>
    <w:div w:id="792870058">
      <w:bodyDiv w:val="1"/>
      <w:marLeft w:val="0"/>
      <w:marRight w:val="0"/>
      <w:marTop w:val="0"/>
      <w:marBottom w:val="0"/>
      <w:divBdr>
        <w:top w:val="none" w:sz="0" w:space="0" w:color="auto"/>
        <w:left w:val="none" w:sz="0" w:space="0" w:color="auto"/>
        <w:bottom w:val="none" w:sz="0" w:space="0" w:color="auto"/>
        <w:right w:val="none" w:sz="0" w:space="0" w:color="auto"/>
      </w:divBdr>
    </w:div>
    <w:div w:id="793670291">
      <w:bodyDiv w:val="1"/>
      <w:marLeft w:val="0"/>
      <w:marRight w:val="0"/>
      <w:marTop w:val="0"/>
      <w:marBottom w:val="0"/>
      <w:divBdr>
        <w:top w:val="none" w:sz="0" w:space="0" w:color="auto"/>
        <w:left w:val="none" w:sz="0" w:space="0" w:color="auto"/>
        <w:bottom w:val="none" w:sz="0" w:space="0" w:color="auto"/>
        <w:right w:val="none" w:sz="0" w:space="0" w:color="auto"/>
      </w:divBdr>
    </w:div>
    <w:div w:id="795028948">
      <w:bodyDiv w:val="1"/>
      <w:marLeft w:val="0"/>
      <w:marRight w:val="0"/>
      <w:marTop w:val="0"/>
      <w:marBottom w:val="0"/>
      <w:divBdr>
        <w:top w:val="none" w:sz="0" w:space="0" w:color="auto"/>
        <w:left w:val="none" w:sz="0" w:space="0" w:color="auto"/>
        <w:bottom w:val="none" w:sz="0" w:space="0" w:color="auto"/>
        <w:right w:val="none" w:sz="0" w:space="0" w:color="auto"/>
      </w:divBdr>
    </w:div>
    <w:div w:id="795178665">
      <w:bodyDiv w:val="1"/>
      <w:marLeft w:val="0"/>
      <w:marRight w:val="0"/>
      <w:marTop w:val="0"/>
      <w:marBottom w:val="0"/>
      <w:divBdr>
        <w:top w:val="none" w:sz="0" w:space="0" w:color="auto"/>
        <w:left w:val="none" w:sz="0" w:space="0" w:color="auto"/>
        <w:bottom w:val="none" w:sz="0" w:space="0" w:color="auto"/>
        <w:right w:val="none" w:sz="0" w:space="0" w:color="auto"/>
      </w:divBdr>
    </w:div>
    <w:div w:id="795761442">
      <w:bodyDiv w:val="1"/>
      <w:marLeft w:val="0"/>
      <w:marRight w:val="0"/>
      <w:marTop w:val="0"/>
      <w:marBottom w:val="0"/>
      <w:divBdr>
        <w:top w:val="none" w:sz="0" w:space="0" w:color="auto"/>
        <w:left w:val="none" w:sz="0" w:space="0" w:color="auto"/>
        <w:bottom w:val="none" w:sz="0" w:space="0" w:color="auto"/>
        <w:right w:val="none" w:sz="0" w:space="0" w:color="auto"/>
      </w:divBdr>
    </w:div>
    <w:div w:id="796139927">
      <w:bodyDiv w:val="1"/>
      <w:marLeft w:val="0"/>
      <w:marRight w:val="0"/>
      <w:marTop w:val="0"/>
      <w:marBottom w:val="0"/>
      <w:divBdr>
        <w:top w:val="none" w:sz="0" w:space="0" w:color="auto"/>
        <w:left w:val="none" w:sz="0" w:space="0" w:color="auto"/>
        <w:bottom w:val="none" w:sz="0" w:space="0" w:color="auto"/>
        <w:right w:val="none" w:sz="0" w:space="0" w:color="auto"/>
      </w:divBdr>
    </w:div>
    <w:div w:id="796681691">
      <w:bodyDiv w:val="1"/>
      <w:marLeft w:val="0"/>
      <w:marRight w:val="0"/>
      <w:marTop w:val="0"/>
      <w:marBottom w:val="0"/>
      <w:divBdr>
        <w:top w:val="none" w:sz="0" w:space="0" w:color="auto"/>
        <w:left w:val="none" w:sz="0" w:space="0" w:color="auto"/>
        <w:bottom w:val="none" w:sz="0" w:space="0" w:color="auto"/>
        <w:right w:val="none" w:sz="0" w:space="0" w:color="auto"/>
      </w:divBdr>
    </w:div>
    <w:div w:id="796725596">
      <w:bodyDiv w:val="1"/>
      <w:marLeft w:val="0"/>
      <w:marRight w:val="0"/>
      <w:marTop w:val="0"/>
      <w:marBottom w:val="0"/>
      <w:divBdr>
        <w:top w:val="none" w:sz="0" w:space="0" w:color="auto"/>
        <w:left w:val="none" w:sz="0" w:space="0" w:color="auto"/>
        <w:bottom w:val="none" w:sz="0" w:space="0" w:color="auto"/>
        <w:right w:val="none" w:sz="0" w:space="0" w:color="auto"/>
      </w:divBdr>
    </w:div>
    <w:div w:id="797913962">
      <w:bodyDiv w:val="1"/>
      <w:marLeft w:val="0"/>
      <w:marRight w:val="0"/>
      <w:marTop w:val="0"/>
      <w:marBottom w:val="0"/>
      <w:divBdr>
        <w:top w:val="none" w:sz="0" w:space="0" w:color="auto"/>
        <w:left w:val="none" w:sz="0" w:space="0" w:color="auto"/>
        <w:bottom w:val="none" w:sz="0" w:space="0" w:color="auto"/>
        <w:right w:val="none" w:sz="0" w:space="0" w:color="auto"/>
      </w:divBdr>
    </w:div>
    <w:div w:id="799228460">
      <w:bodyDiv w:val="1"/>
      <w:marLeft w:val="0"/>
      <w:marRight w:val="0"/>
      <w:marTop w:val="0"/>
      <w:marBottom w:val="0"/>
      <w:divBdr>
        <w:top w:val="none" w:sz="0" w:space="0" w:color="auto"/>
        <w:left w:val="none" w:sz="0" w:space="0" w:color="auto"/>
        <w:bottom w:val="none" w:sz="0" w:space="0" w:color="auto"/>
        <w:right w:val="none" w:sz="0" w:space="0" w:color="auto"/>
      </w:divBdr>
    </w:div>
    <w:div w:id="799421794">
      <w:bodyDiv w:val="1"/>
      <w:marLeft w:val="0"/>
      <w:marRight w:val="0"/>
      <w:marTop w:val="0"/>
      <w:marBottom w:val="0"/>
      <w:divBdr>
        <w:top w:val="none" w:sz="0" w:space="0" w:color="auto"/>
        <w:left w:val="none" w:sz="0" w:space="0" w:color="auto"/>
        <w:bottom w:val="none" w:sz="0" w:space="0" w:color="auto"/>
        <w:right w:val="none" w:sz="0" w:space="0" w:color="auto"/>
      </w:divBdr>
    </w:div>
    <w:div w:id="800339522">
      <w:bodyDiv w:val="1"/>
      <w:marLeft w:val="0"/>
      <w:marRight w:val="0"/>
      <w:marTop w:val="0"/>
      <w:marBottom w:val="0"/>
      <w:divBdr>
        <w:top w:val="none" w:sz="0" w:space="0" w:color="auto"/>
        <w:left w:val="none" w:sz="0" w:space="0" w:color="auto"/>
        <w:bottom w:val="none" w:sz="0" w:space="0" w:color="auto"/>
        <w:right w:val="none" w:sz="0" w:space="0" w:color="auto"/>
      </w:divBdr>
    </w:div>
    <w:div w:id="800342642">
      <w:bodyDiv w:val="1"/>
      <w:marLeft w:val="0"/>
      <w:marRight w:val="0"/>
      <w:marTop w:val="0"/>
      <w:marBottom w:val="0"/>
      <w:divBdr>
        <w:top w:val="none" w:sz="0" w:space="0" w:color="auto"/>
        <w:left w:val="none" w:sz="0" w:space="0" w:color="auto"/>
        <w:bottom w:val="none" w:sz="0" w:space="0" w:color="auto"/>
        <w:right w:val="none" w:sz="0" w:space="0" w:color="auto"/>
      </w:divBdr>
    </w:div>
    <w:div w:id="800683895">
      <w:bodyDiv w:val="1"/>
      <w:marLeft w:val="0"/>
      <w:marRight w:val="0"/>
      <w:marTop w:val="0"/>
      <w:marBottom w:val="0"/>
      <w:divBdr>
        <w:top w:val="none" w:sz="0" w:space="0" w:color="auto"/>
        <w:left w:val="none" w:sz="0" w:space="0" w:color="auto"/>
        <w:bottom w:val="none" w:sz="0" w:space="0" w:color="auto"/>
        <w:right w:val="none" w:sz="0" w:space="0" w:color="auto"/>
      </w:divBdr>
    </w:div>
    <w:div w:id="801652363">
      <w:bodyDiv w:val="1"/>
      <w:marLeft w:val="0"/>
      <w:marRight w:val="0"/>
      <w:marTop w:val="0"/>
      <w:marBottom w:val="0"/>
      <w:divBdr>
        <w:top w:val="none" w:sz="0" w:space="0" w:color="auto"/>
        <w:left w:val="none" w:sz="0" w:space="0" w:color="auto"/>
        <w:bottom w:val="none" w:sz="0" w:space="0" w:color="auto"/>
        <w:right w:val="none" w:sz="0" w:space="0" w:color="auto"/>
      </w:divBdr>
    </w:div>
    <w:div w:id="802190449">
      <w:bodyDiv w:val="1"/>
      <w:marLeft w:val="0"/>
      <w:marRight w:val="0"/>
      <w:marTop w:val="0"/>
      <w:marBottom w:val="0"/>
      <w:divBdr>
        <w:top w:val="none" w:sz="0" w:space="0" w:color="auto"/>
        <w:left w:val="none" w:sz="0" w:space="0" w:color="auto"/>
        <w:bottom w:val="none" w:sz="0" w:space="0" w:color="auto"/>
        <w:right w:val="none" w:sz="0" w:space="0" w:color="auto"/>
      </w:divBdr>
    </w:div>
    <w:div w:id="804008799">
      <w:bodyDiv w:val="1"/>
      <w:marLeft w:val="0"/>
      <w:marRight w:val="0"/>
      <w:marTop w:val="0"/>
      <w:marBottom w:val="0"/>
      <w:divBdr>
        <w:top w:val="none" w:sz="0" w:space="0" w:color="auto"/>
        <w:left w:val="none" w:sz="0" w:space="0" w:color="auto"/>
        <w:bottom w:val="none" w:sz="0" w:space="0" w:color="auto"/>
        <w:right w:val="none" w:sz="0" w:space="0" w:color="auto"/>
      </w:divBdr>
    </w:div>
    <w:div w:id="804195904">
      <w:bodyDiv w:val="1"/>
      <w:marLeft w:val="0"/>
      <w:marRight w:val="0"/>
      <w:marTop w:val="0"/>
      <w:marBottom w:val="0"/>
      <w:divBdr>
        <w:top w:val="none" w:sz="0" w:space="0" w:color="auto"/>
        <w:left w:val="none" w:sz="0" w:space="0" w:color="auto"/>
        <w:bottom w:val="none" w:sz="0" w:space="0" w:color="auto"/>
        <w:right w:val="none" w:sz="0" w:space="0" w:color="auto"/>
      </w:divBdr>
    </w:div>
    <w:div w:id="805195955">
      <w:bodyDiv w:val="1"/>
      <w:marLeft w:val="0"/>
      <w:marRight w:val="0"/>
      <w:marTop w:val="0"/>
      <w:marBottom w:val="0"/>
      <w:divBdr>
        <w:top w:val="none" w:sz="0" w:space="0" w:color="auto"/>
        <w:left w:val="none" w:sz="0" w:space="0" w:color="auto"/>
        <w:bottom w:val="none" w:sz="0" w:space="0" w:color="auto"/>
        <w:right w:val="none" w:sz="0" w:space="0" w:color="auto"/>
      </w:divBdr>
    </w:div>
    <w:div w:id="805970984">
      <w:bodyDiv w:val="1"/>
      <w:marLeft w:val="0"/>
      <w:marRight w:val="0"/>
      <w:marTop w:val="0"/>
      <w:marBottom w:val="0"/>
      <w:divBdr>
        <w:top w:val="none" w:sz="0" w:space="0" w:color="auto"/>
        <w:left w:val="none" w:sz="0" w:space="0" w:color="auto"/>
        <w:bottom w:val="none" w:sz="0" w:space="0" w:color="auto"/>
        <w:right w:val="none" w:sz="0" w:space="0" w:color="auto"/>
      </w:divBdr>
    </w:div>
    <w:div w:id="807479439">
      <w:bodyDiv w:val="1"/>
      <w:marLeft w:val="0"/>
      <w:marRight w:val="0"/>
      <w:marTop w:val="0"/>
      <w:marBottom w:val="0"/>
      <w:divBdr>
        <w:top w:val="none" w:sz="0" w:space="0" w:color="auto"/>
        <w:left w:val="none" w:sz="0" w:space="0" w:color="auto"/>
        <w:bottom w:val="none" w:sz="0" w:space="0" w:color="auto"/>
        <w:right w:val="none" w:sz="0" w:space="0" w:color="auto"/>
      </w:divBdr>
    </w:div>
    <w:div w:id="807632214">
      <w:bodyDiv w:val="1"/>
      <w:marLeft w:val="0"/>
      <w:marRight w:val="0"/>
      <w:marTop w:val="0"/>
      <w:marBottom w:val="0"/>
      <w:divBdr>
        <w:top w:val="none" w:sz="0" w:space="0" w:color="auto"/>
        <w:left w:val="none" w:sz="0" w:space="0" w:color="auto"/>
        <w:bottom w:val="none" w:sz="0" w:space="0" w:color="auto"/>
        <w:right w:val="none" w:sz="0" w:space="0" w:color="auto"/>
      </w:divBdr>
    </w:div>
    <w:div w:id="808282904">
      <w:bodyDiv w:val="1"/>
      <w:marLeft w:val="0"/>
      <w:marRight w:val="0"/>
      <w:marTop w:val="0"/>
      <w:marBottom w:val="0"/>
      <w:divBdr>
        <w:top w:val="none" w:sz="0" w:space="0" w:color="auto"/>
        <w:left w:val="none" w:sz="0" w:space="0" w:color="auto"/>
        <w:bottom w:val="none" w:sz="0" w:space="0" w:color="auto"/>
        <w:right w:val="none" w:sz="0" w:space="0" w:color="auto"/>
      </w:divBdr>
    </w:div>
    <w:div w:id="808399649">
      <w:bodyDiv w:val="1"/>
      <w:marLeft w:val="0"/>
      <w:marRight w:val="0"/>
      <w:marTop w:val="0"/>
      <w:marBottom w:val="0"/>
      <w:divBdr>
        <w:top w:val="none" w:sz="0" w:space="0" w:color="auto"/>
        <w:left w:val="none" w:sz="0" w:space="0" w:color="auto"/>
        <w:bottom w:val="none" w:sz="0" w:space="0" w:color="auto"/>
        <w:right w:val="none" w:sz="0" w:space="0" w:color="auto"/>
      </w:divBdr>
    </w:div>
    <w:div w:id="809323004">
      <w:bodyDiv w:val="1"/>
      <w:marLeft w:val="0"/>
      <w:marRight w:val="0"/>
      <w:marTop w:val="0"/>
      <w:marBottom w:val="0"/>
      <w:divBdr>
        <w:top w:val="none" w:sz="0" w:space="0" w:color="auto"/>
        <w:left w:val="none" w:sz="0" w:space="0" w:color="auto"/>
        <w:bottom w:val="none" w:sz="0" w:space="0" w:color="auto"/>
        <w:right w:val="none" w:sz="0" w:space="0" w:color="auto"/>
      </w:divBdr>
    </w:div>
    <w:div w:id="810489114">
      <w:bodyDiv w:val="1"/>
      <w:marLeft w:val="0"/>
      <w:marRight w:val="0"/>
      <w:marTop w:val="0"/>
      <w:marBottom w:val="0"/>
      <w:divBdr>
        <w:top w:val="none" w:sz="0" w:space="0" w:color="auto"/>
        <w:left w:val="none" w:sz="0" w:space="0" w:color="auto"/>
        <w:bottom w:val="none" w:sz="0" w:space="0" w:color="auto"/>
        <w:right w:val="none" w:sz="0" w:space="0" w:color="auto"/>
      </w:divBdr>
    </w:div>
    <w:div w:id="810943698">
      <w:bodyDiv w:val="1"/>
      <w:marLeft w:val="0"/>
      <w:marRight w:val="0"/>
      <w:marTop w:val="0"/>
      <w:marBottom w:val="0"/>
      <w:divBdr>
        <w:top w:val="none" w:sz="0" w:space="0" w:color="auto"/>
        <w:left w:val="none" w:sz="0" w:space="0" w:color="auto"/>
        <w:bottom w:val="none" w:sz="0" w:space="0" w:color="auto"/>
        <w:right w:val="none" w:sz="0" w:space="0" w:color="auto"/>
      </w:divBdr>
    </w:div>
    <w:div w:id="811214872">
      <w:bodyDiv w:val="1"/>
      <w:marLeft w:val="0"/>
      <w:marRight w:val="0"/>
      <w:marTop w:val="0"/>
      <w:marBottom w:val="0"/>
      <w:divBdr>
        <w:top w:val="none" w:sz="0" w:space="0" w:color="auto"/>
        <w:left w:val="none" w:sz="0" w:space="0" w:color="auto"/>
        <w:bottom w:val="none" w:sz="0" w:space="0" w:color="auto"/>
        <w:right w:val="none" w:sz="0" w:space="0" w:color="auto"/>
      </w:divBdr>
    </w:div>
    <w:div w:id="811486094">
      <w:bodyDiv w:val="1"/>
      <w:marLeft w:val="0"/>
      <w:marRight w:val="0"/>
      <w:marTop w:val="0"/>
      <w:marBottom w:val="0"/>
      <w:divBdr>
        <w:top w:val="none" w:sz="0" w:space="0" w:color="auto"/>
        <w:left w:val="none" w:sz="0" w:space="0" w:color="auto"/>
        <w:bottom w:val="none" w:sz="0" w:space="0" w:color="auto"/>
        <w:right w:val="none" w:sz="0" w:space="0" w:color="auto"/>
      </w:divBdr>
    </w:div>
    <w:div w:id="811605275">
      <w:bodyDiv w:val="1"/>
      <w:marLeft w:val="0"/>
      <w:marRight w:val="0"/>
      <w:marTop w:val="0"/>
      <w:marBottom w:val="0"/>
      <w:divBdr>
        <w:top w:val="none" w:sz="0" w:space="0" w:color="auto"/>
        <w:left w:val="none" w:sz="0" w:space="0" w:color="auto"/>
        <w:bottom w:val="none" w:sz="0" w:space="0" w:color="auto"/>
        <w:right w:val="none" w:sz="0" w:space="0" w:color="auto"/>
      </w:divBdr>
    </w:div>
    <w:div w:id="812604642">
      <w:bodyDiv w:val="1"/>
      <w:marLeft w:val="0"/>
      <w:marRight w:val="0"/>
      <w:marTop w:val="0"/>
      <w:marBottom w:val="0"/>
      <w:divBdr>
        <w:top w:val="none" w:sz="0" w:space="0" w:color="auto"/>
        <w:left w:val="none" w:sz="0" w:space="0" w:color="auto"/>
        <w:bottom w:val="none" w:sz="0" w:space="0" w:color="auto"/>
        <w:right w:val="none" w:sz="0" w:space="0" w:color="auto"/>
      </w:divBdr>
    </w:div>
    <w:div w:id="815688970">
      <w:bodyDiv w:val="1"/>
      <w:marLeft w:val="0"/>
      <w:marRight w:val="0"/>
      <w:marTop w:val="0"/>
      <w:marBottom w:val="0"/>
      <w:divBdr>
        <w:top w:val="none" w:sz="0" w:space="0" w:color="auto"/>
        <w:left w:val="none" w:sz="0" w:space="0" w:color="auto"/>
        <w:bottom w:val="none" w:sz="0" w:space="0" w:color="auto"/>
        <w:right w:val="none" w:sz="0" w:space="0" w:color="auto"/>
      </w:divBdr>
    </w:div>
    <w:div w:id="816148824">
      <w:bodyDiv w:val="1"/>
      <w:marLeft w:val="0"/>
      <w:marRight w:val="0"/>
      <w:marTop w:val="0"/>
      <w:marBottom w:val="0"/>
      <w:divBdr>
        <w:top w:val="none" w:sz="0" w:space="0" w:color="auto"/>
        <w:left w:val="none" w:sz="0" w:space="0" w:color="auto"/>
        <w:bottom w:val="none" w:sz="0" w:space="0" w:color="auto"/>
        <w:right w:val="none" w:sz="0" w:space="0" w:color="auto"/>
      </w:divBdr>
    </w:div>
    <w:div w:id="817038448">
      <w:bodyDiv w:val="1"/>
      <w:marLeft w:val="0"/>
      <w:marRight w:val="0"/>
      <w:marTop w:val="0"/>
      <w:marBottom w:val="0"/>
      <w:divBdr>
        <w:top w:val="none" w:sz="0" w:space="0" w:color="auto"/>
        <w:left w:val="none" w:sz="0" w:space="0" w:color="auto"/>
        <w:bottom w:val="none" w:sz="0" w:space="0" w:color="auto"/>
        <w:right w:val="none" w:sz="0" w:space="0" w:color="auto"/>
      </w:divBdr>
    </w:div>
    <w:div w:id="817453408">
      <w:bodyDiv w:val="1"/>
      <w:marLeft w:val="0"/>
      <w:marRight w:val="0"/>
      <w:marTop w:val="0"/>
      <w:marBottom w:val="0"/>
      <w:divBdr>
        <w:top w:val="none" w:sz="0" w:space="0" w:color="auto"/>
        <w:left w:val="none" w:sz="0" w:space="0" w:color="auto"/>
        <w:bottom w:val="none" w:sz="0" w:space="0" w:color="auto"/>
        <w:right w:val="none" w:sz="0" w:space="0" w:color="auto"/>
      </w:divBdr>
    </w:div>
    <w:div w:id="817648257">
      <w:bodyDiv w:val="1"/>
      <w:marLeft w:val="0"/>
      <w:marRight w:val="0"/>
      <w:marTop w:val="0"/>
      <w:marBottom w:val="0"/>
      <w:divBdr>
        <w:top w:val="none" w:sz="0" w:space="0" w:color="auto"/>
        <w:left w:val="none" w:sz="0" w:space="0" w:color="auto"/>
        <w:bottom w:val="none" w:sz="0" w:space="0" w:color="auto"/>
        <w:right w:val="none" w:sz="0" w:space="0" w:color="auto"/>
      </w:divBdr>
    </w:div>
    <w:div w:id="818301978">
      <w:bodyDiv w:val="1"/>
      <w:marLeft w:val="0"/>
      <w:marRight w:val="0"/>
      <w:marTop w:val="0"/>
      <w:marBottom w:val="0"/>
      <w:divBdr>
        <w:top w:val="none" w:sz="0" w:space="0" w:color="auto"/>
        <w:left w:val="none" w:sz="0" w:space="0" w:color="auto"/>
        <w:bottom w:val="none" w:sz="0" w:space="0" w:color="auto"/>
        <w:right w:val="none" w:sz="0" w:space="0" w:color="auto"/>
      </w:divBdr>
    </w:div>
    <w:div w:id="818811824">
      <w:bodyDiv w:val="1"/>
      <w:marLeft w:val="0"/>
      <w:marRight w:val="0"/>
      <w:marTop w:val="0"/>
      <w:marBottom w:val="0"/>
      <w:divBdr>
        <w:top w:val="none" w:sz="0" w:space="0" w:color="auto"/>
        <w:left w:val="none" w:sz="0" w:space="0" w:color="auto"/>
        <w:bottom w:val="none" w:sz="0" w:space="0" w:color="auto"/>
        <w:right w:val="none" w:sz="0" w:space="0" w:color="auto"/>
      </w:divBdr>
    </w:div>
    <w:div w:id="819006920">
      <w:bodyDiv w:val="1"/>
      <w:marLeft w:val="0"/>
      <w:marRight w:val="0"/>
      <w:marTop w:val="0"/>
      <w:marBottom w:val="0"/>
      <w:divBdr>
        <w:top w:val="none" w:sz="0" w:space="0" w:color="auto"/>
        <w:left w:val="none" w:sz="0" w:space="0" w:color="auto"/>
        <w:bottom w:val="none" w:sz="0" w:space="0" w:color="auto"/>
        <w:right w:val="none" w:sz="0" w:space="0" w:color="auto"/>
      </w:divBdr>
    </w:div>
    <w:div w:id="820119953">
      <w:bodyDiv w:val="1"/>
      <w:marLeft w:val="0"/>
      <w:marRight w:val="0"/>
      <w:marTop w:val="0"/>
      <w:marBottom w:val="0"/>
      <w:divBdr>
        <w:top w:val="none" w:sz="0" w:space="0" w:color="auto"/>
        <w:left w:val="none" w:sz="0" w:space="0" w:color="auto"/>
        <w:bottom w:val="none" w:sz="0" w:space="0" w:color="auto"/>
        <w:right w:val="none" w:sz="0" w:space="0" w:color="auto"/>
      </w:divBdr>
    </w:div>
    <w:div w:id="820122663">
      <w:bodyDiv w:val="1"/>
      <w:marLeft w:val="0"/>
      <w:marRight w:val="0"/>
      <w:marTop w:val="0"/>
      <w:marBottom w:val="0"/>
      <w:divBdr>
        <w:top w:val="none" w:sz="0" w:space="0" w:color="auto"/>
        <w:left w:val="none" w:sz="0" w:space="0" w:color="auto"/>
        <w:bottom w:val="none" w:sz="0" w:space="0" w:color="auto"/>
        <w:right w:val="none" w:sz="0" w:space="0" w:color="auto"/>
      </w:divBdr>
    </w:div>
    <w:div w:id="821459001">
      <w:bodyDiv w:val="1"/>
      <w:marLeft w:val="0"/>
      <w:marRight w:val="0"/>
      <w:marTop w:val="0"/>
      <w:marBottom w:val="0"/>
      <w:divBdr>
        <w:top w:val="none" w:sz="0" w:space="0" w:color="auto"/>
        <w:left w:val="none" w:sz="0" w:space="0" w:color="auto"/>
        <w:bottom w:val="none" w:sz="0" w:space="0" w:color="auto"/>
        <w:right w:val="none" w:sz="0" w:space="0" w:color="auto"/>
      </w:divBdr>
    </w:div>
    <w:div w:id="821510474">
      <w:bodyDiv w:val="1"/>
      <w:marLeft w:val="0"/>
      <w:marRight w:val="0"/>
      <w:marTop w:val="0"/>
      <w:marBottom w:val="0"/>
      <w:divBdr>
        <w:top w:val="none" w:sz="0" w:space="0" w:color="auto"/>
        <w:left w:val="none" w:sz="0" w:space="0" w:color="auto"/>
        <w:bottom w:val="none" w:sz="0" w:space="0" w:color="auto"/>
        <w:right w:val="none" w:sz="0" w:space="0" w:color="auto"/>
      </w:divBdr>
    </w:div>
    <w:div w:id="821972949">
      <w:bodyDiv w:val="1"/>
      <w:marLeft w:val="0"/>
      <w:marRight w:val="0"/>
      <w:marTop w:val="0"/>
      <w:marBottom w:val="0"/>
      <w:divBdr>
        <w:top w:val="none" w:sz="0" w:space="0" w:color="auto"/>
        <w:left w:val="none" w:sz="0" w:space="0" w:color="auto"/>
        <w:bottom w:val="none" w:sz="0" w:space="0" w:color="auto"/>
        <w:right w:val="none" w:sz="0" w:space="0" w:color="auto"/>
      </w:divBdr>
    </w:div>
    <w:div w:id="822088322">
      <w:bodyDiv w:val="1"/>
      <w:marLeft w:val="0"/>
      <w:marRight w:val="0"/>
      <w:marTop w:val="0"/>
      <w:marBottom w:val="0"/>
      <w:divBdr>
        <w:top w:val="none" w:sz="0" w:space="0" w:color="auto"/>
        <w:left w:val="none" w:sz="0" w:space="0" w:color="auto"/>
        <w:bottom w:val="none" w:sz="0" w:space="0" w:color="auto"/>
        <w:right w:val="none" w:sz="0" w:space="0" w:color="auto"/>
      </w:divBdr>
    </w:div>
    <w:div w:id="823081005">
      <w:bodyDiv w:val="1"/>
      <w:marLeft w:val="0"/>
      <w:marRight w:val="0"/>
      <w:marTop w:val="0"/>
      <w:marBottom w:val="0"/>
      <w:divBdr>
        <w:top w:val="none" w:sz="0" w:space="0" w:color="auto"/>
        <w:left w:val="none" w:sz="0" w:space="0" w:color="auto"/>
        <w:bottom w:val="none" w:sz="0" w:space="0" w:color="auto"/>
        <w:right w:val="none" w:sz="0" w:space="0" w:color="auto"/>
      </w:divBdr>
    </w:div>
    <w:div w:id="824012718">
      <w:bodyDiv w:val="1"/>
      <w:marLeft w:val="0"/>
      <w:marRight w:val="0"/>
      <w:marTop w:val="0"/>
      <w:marBottom w:val="0"/>
      <w:divBdr>
        <w:top w:val="none" w:sz="0" w:space="0" w:color="auto"/>
        <w:left w:val="none" w:sz="0" w:space="0" w:color="auto"/>
        <w:bottom w:val="none" w:sz="0" w:space="0" w:color="auto"/>
        <w:right w:val="none" w:sz="0" w:space="0" w:color="auto"/>
      </w:divBdr>
    </w:div>
    <w:div w:id="824317740">
      <w:bodyDiv w:val="1"/>
      <w:marLeft w:val="0"/>
      <w:marRight w:val="0"/>
      <w:marTop w:val="0"/>
      <w:marBottom w:val="0"/>
      <w:divBdr>
        <w:top w:val="none" w:sz="0" w:space="0" w:color="auto"/>
        <w:left w:val="none" w:sz="0" w:space="0" w:color="auto"/>
        <w:bottom w:val="none" w:sz="0" w:space="0" w:color="auto"/>
        <w:right w:val="none" w:sz="0" w:space="0" w:color="auto"/>
      </w:divBdr>
    </w:div>
    <w:div w:id="824592280">
      <w:bodyDiv w:val="1"/>
      <w:marLeft w:val="0"/>
      <w:marRight w:val="0"/>
      <w:marTop w:val="0"/>
      <w:marBottom w:val="0"/>
      <w:divBdr>
        <w:top w:val="none" w:sz="0" w:space="0" w:color="auto"/>
        <w:left w:val="none" w:sz="0" w:space="0" w:color="auto"/>
        <w:bottom w:val="none" w:sz="0" w:space="0" w:color="auto"/>
        <w:right w:val="none" w:sz="0" w:space="0" w:color="auto"/>
      </w:divBdr>
    </w:div>
    <w:div w:id="825240881">
      <w:bodyDiv w:val="1"/>
      <w:marLeft w:val="0"/>
      <w:marRight w:val="0"/>
      <w:marTop w:val="0"/>
      <w:marBottom w:val="0"/>
      <w:divBdr>
        <w:top w:val="none" w:sz="0" w:space="0" w:color="auto"/>
        <w:left w:val="none" w:sz="0" w:space="0" w:color="auto"/>
        <w:bottom w:val="none" w:sz="0" w:space="0" w:color="auto"/>
        <w:right w:val="none" w:sz="0" w:space="0" w:color="auto"/>
      </w:divBdr>
    </w:div>
    <w:div w:id="825510374">
      <w:bodyDiv w:val="1"/>
      <w:marLeft w:val="0"/>
      <w:marRight w:val="0"/>
      <w:marTop w:val="0"/>
      <w:marBottom w:val="0"/>
      <w:divBdr>
        <w:top w:val="none" w:sz="0" w:space="0" w:color="auto"/>
        <w:left w:val="none" w:sz="0" w:space="0" w:color="auto"/>
        <w:bottom w:val="none" w:sz="0" w:space="0" w:color="auto"/>
        <w:right w:val="none" w:sz="0" w:space="0" w:color="auto"/>
      </w:divBdr>
    </w:div>
    <w:div w:id="825899831">
      <w:bodyDiv w:val="1"/>
      <w:marLeft w:val="0"/>
      <w:marRight w:val="0"/>
      <w:marTop w:val="0"/>
      <w:marBottom w:val="0"/>
      <w:divBdr>
        <w:top w:val="none" w:sz="0" w:space="0" w:color="auto"/>
        <w:left w:val="none" w:sz="0" w:space="0" w:color="auto"/>
        <w:bottom w:val="none" w:sz="0" w:space="0" w:color="auto"/>
        <w:right w:val="none" w:sz="0" w:space="0" w:color="auto"/>
      </w:divBdr>
    </w:div>
    <w:div w:id="826016996">
      <w:bodyDiv w:val="1"/>
      <w:marLeft w:val="0"/>
      <w:marRight w:val="0"/>
      <w:marTop w:val="0"/>
      <w:marBottom w:val="0"/>
      <w:divBdr>
        <w:top w:val="none" w:sz="0" w:space="0" w:color="auto"/>
        <w:left w:val="none" w:sz="0" w:space="0" w:color="auto"/>
        <w:bottom w:val="none" w:sz="0" w:space="0" w:color="auto"/>
        <w:right w:val="none" w:sz="0" w:space="0" w:color="auto"/>
      </w:divBdr>
    </w:div>
    <w:div w:id="826701273">
      <w:bodyDiv w:val="1"/>
      <w:marLeft w:val="0"/>
      <w:marRight w:val="0"/>
      <w:marTop w:val="0"/>
      <w:marBottom w:val="0"/>
      <w:divBdr>
        <w:top w:val="none" w:sz="0" w:space="0" w:color="auto"/>
        <w:left w:val="none" w:sz="0" w:space="0" w:color="auto"/>
        <w:bottom w:val="none" w:sz="0" w:space="0" w:color="auto"/>
        <w:right w:val="none" w:sz="0" w:space="0" w:color="auto"/>
      </w:divBdr>
    </w:div>
    <w:div w:id="827020649">
      <w:bodyDiv w:val="1"/>
      <w:marLeft w:val="0"/>
      <w:marRight w:val="0"/>
      <w:marTop w:val="0"/>
      <w:marBottom w:val="0"/>
      <w:divBdr>
        <w:top w:val="none" w:sz="0" w:space="0" w:color="auto"/>
        <w:left w:val="none" w:sz="0" w:space="0" w:color="auto"/>
        <w:bottom w:val="none" w:sz="0" w:space="0" w:color="auto"/>
        <w:right w:val="none" w:sz="0" w:space="0" w:color="auto"/>
      </w:divBdr>
    </w:div>
    <w:div w:id="827747136">
      <w:bodyDiv w:val="1"/>
      <w:marLeft w:val="0"/>
      <w:marRight w:val="0"/>
      <w:marTop w:val="0"/>
      <w:marBottom w:val="0"/>
      <w:divBdr>
        <w:top w:val="none" w:sz="0" w:space="0" w:color="auto"/>
        <w:left w:val="none" w:sz="0" w:space="0" w:color="auto"/>
        <w:bottom w:val="none" w:sz="0" w:space="0" w:color="auto"/>
        <w:right w:val="none" w:sz="0" w:space="0" w:color="auto"/>
      </w:divBdr>
    </w:div>
    <w:div w:id="828132735">
      <w:bodyDiv w:val="1"/>
      <w:marLeft w:val="0"/>
      <w:marRight w:val="0"/>
      <w:marTop w:val="0"/>
      <w:marBottom w:val="0"/>
      <w:divBdr>
        <w:top w:val="none" w:sz="0" w:space="0" w:color="auto"/>
        <w:left w:val="none" w:sz="0" w:space="0" w:color="auto"/>
        <w:bottom w:val="none" w:sz="0" w:space="0" w:color="auto"/>
        <w:right w:val="none" w:sz="0" w:space="0" w:color="auto"/>
      </w:divBdr>
    </w:div>
    <w:div w:id="828132940">
      <w:bodyDiv w:val="1"/>
      <w:marLeft w:val="0"/>
      <w:marRight w:val="0"/>
      <w:marTop w:val="0"/>
      <w:marBottom w:val="0"/>
      <w:divBdr>
        <w:top w:val="none" w:sz="0" w:space="0" w:color="auto"/>
        <w:left w:val="none" w:sz="0" w:space="0" w:color="auto"/>
        <w:bottom w:val="none" w:sz="0" w:space="0" w:color="auto"/>
        <w:right w:val="none" w:sz="0" w:space="0" w:color="auto"/>
      </w:divBdr>
    </w:div>
    <w:div w:id="828982760">
      <w:bodyDiv w:val="1"/>
      <w:marLeft w:val="0"/>
      <w:marRight w:val="0"/>
      <w:marTop w:val="0"/>
      <w:marBottom w:val="0"/>
      <w:divBdr>
        <w:top w:val="none" w:sz="0" w:space="0" w:color="auto"/>
        <w:left w:val="none" w:sz="0" w:space="0" w:color="auto"/>
        <w:bottom w:val="none" w:sz="0" w:space="0" w:color="auto"/>
        <w:right w:val="none" w:sz="0" w:space="0" w:color="auto"/>
      </w:divBdr>
    </w:div>
    <w:div w:id="829322821">
      <w:bodyDiv w:val="1"/>
      <w:marLeft w:val="0"/>
      <w:marRight w:val="0"/>
      <w:marTop w:val="0"/>
      <w:marBottom w:val="0"/>
      <w:divBdr>
        <w:top w:val="none" w:sz="0" w:space="0" w:color="auto"/>
        <w:left w:val="none" w:sz="0" w:space="0" w:color="auto"/>
        <w:bottom w:val="none" w:sz="0" w:space="0" w:color="auto"/>
        <w:right w:val="none" w:sz="0" w:space="0" w:color="auto"/>
      </w:divBdr>
    </w:div>
    <w:div w:id="829370410">
      <w:bodyDiv w:val="1"/>
      <w:marLeft w:val="0"/>
      <w:marRight w:val="0"/>
      <w:marTop w:val="0"/>
      <w:marBottom w:val="0"/>
      <w:divBdr>
        <w:top w:val="none" w:sz="0" w:space="0" w:color="auto"/>
        <w:left w:val="none" w:sz="0" w:space="0" w:color="auto"/>
        <w:bottom w:val="none" w:sz="0" w:space="0" w:color="auto"/>
        <w:right w:val="none" w:sz="0" w:space="0" w:color="auto"/>
      </w:divBdr>
    </w:div>
    <w:div w:id="830412353">
      <w:bodyDiv w:val="1"/>
      <w:marLeft w:val="0"/>
      <w:marRight w:val="0"/>
      <w:marTop w:val="0"/>
      <w:marBottom w:val="0"/>
      <w:divBdr>
        <w:top w:val="none" w:sz="0" w:space="0" w:color="auto"/>
        <w:left w:val="none" w:sz="0" w:space="0" w:color="auto"/>
        <w:bottom w:val="none" w:sz="0" w:space="0" w:color="auto"/>
        <w:right w:val="none" w:sz="0" w:space="0" w:color="auto"/>
      </w:divBdr>
    </w:div>
    <w:div w:id="830488823">
      <w:bodyDiv w:val="1"/>
      <w:marLeft w:val="0"/>
      <w:marRight w:val="0"/>
      <w:marTop w:val="0"/>
      <w:marBottom w:val="0"/>
      <w:divBdr>
        <w:top w:val="none" w:sz="0" w:space="0" w:color="auto"/>
        <w:left w:val="none" w:sz="0" w:space="0" w:color="auto"/>
        <w:bottom w:val="none" w:sz="0" w:space="0" w:color="auto"/>
        <w:right w:val="none" w:sz="0" w:space="0" w:color="auto"/>
      </w:divBdr>
    </w:div>
    <w:div w:id="830751143">
      <w:bodyDiv w:val="1"/>
      <w:marLeft w:val="0"/>
      <w:marRight w:val="0"/>
      <w:marTop w:val="0"/>
      <w:marBottom w:val="0"/>
      <w:divBdr>
        <w:top w:val="none" w:sz="0" w:space="0" w:color="auto"/>
        <w:left w:val="none" w:sz="0" w:space="0" w:color="auto"/>
        <w:bottom w:val="none" w:sz="0" w:space="0" w:color="auto"/>
        <w:right w:val="none" w:sz="0" w:space="0" w:color="auto"/>
      </w:divBdr>
    </w:div>
    <w:div w:id="831413919">
      <w:bodyDiv w:val="1"/>
      <w:marLeft w:val="0"/>
      <w:marRight w:val="0"/>
      <w:marTop w:val="0"/>
      <w:marBottom w:val="0"/>
      <w:divBdr>
        <w:top w:val="none" w:sz="0" w:space="0" w:color="auto"/>
        <w:left w:val="none" w:sz="0" w:space="0" w:color="auto"/>
        <w:bottom w:val="none" w:sz="0" w:space="0" w:color="auto"/>
        <w:right w:val="none" w:sz="0" w:space="0" w:color="auto"/>
      </w:divBdr>
    </w:div>
    <w:div w:id="831798933">
      <w:bodyDiv w:val="1"/>
      <w:marLeft w:val="0"/>
      <w:marRight w:val="0"/>
      <w:marTop w:val="0"/>
      <w:marBottom w:val="0"/>
      <w:divBdr>
        <w:top w:val="none" w:sz="0" w:space="0" w:color="auto"/>
        <w:left w:val="none" w:sz="0" w:space="0" w:color="auto"/>
        <w:bottom w:val="none" w:sz="0" w:space="0" w:color="auto"/>
        <w:right w:val="none" w:sz="0" w:space="0" w:color="auto"/>
      </w:divBdr>
    </w:div>
    <w:div w:id="833228088">
      <w:bodyDiv w:val="1"/>
      <w:marLeft w:val="0"/>
      <w:marRight w:val="0"/>
      <w:marTop w:val="0"/>
      <w:marBottom w:val="0"/>
      <w:divBdr>
        <w:top w:val="none" w:sz="0" w:space="0" w:color="auto"/>
        <w:left w:val="none" w:sz="0" w:space="0" w:color="auto"/>
        <w:bottom w:val="none" w:sz="0" w:space="0" w:color="auto"/>
        <w:right w:val="none" w:sz="0" w:space="0" w:color="auto"/>
      </w:divBdr>
    </w:div>
    <w:div w:id="833566497">
      <w:bodyDiv w:val="1"/>
      <w:marLeft w:val="0"/>
      <w:marRight w:val="0"/>
      <w:marTop w:val="0"/>
      <w:marBottom w:val="0"/>
      <w:divBdr>
        <w:top w:val="none" w:sz="0" w:space="0" w:color="auto"/>
        <w:left w:val="none" w:sz="0" w:space="0" w:color="auto"/>
        <w:bottom w:val="none" w:sz="0" w:space="0" w:color="auto"/>
        <w:right w:val="none" w:sz="0" w:space="0" w:color="auto"/>
      </w:divBdr>
    </w:div>
    <w:div w:id="835609740">
      <w:bodyDiv w:val="1"/>
      <w:marLeft w:val="0"/>
      <w:marRight w:val="0"/>
      <w:marTop w:val="0"/>
      <w:marBottom w:val="0"/>
      <w:divBdr>
        <w:top w:val="none" w:sz="0" w:space="0" w:color="auto"/>
        <w:left w:val="none" w:sz="0" w:space="0" w:color="auto"/>
        <w:bottom w:val="none" w:sz="0" w:space="0" w:color="auto"/>
        <w:right w:val="none" w:sz="0" w:space="0" w:color="auto"/>
      </w:divBdr>
    </w:div>
    <w:div w:id="837425516">
      <w:bodyDiv w:val="1"/>
      <w:marLeft w:val="0"/>
      <w:marRight w:val="0"/>
      <w:marTop w:val="0"/>
      <w:marBottom w:val="0"/>
      <w:divBdr>
        <w:top w:val="none" w:sz="0" w:space="0" w:color="auto"/>
        <w:left w:val="none" w:sz="0" w:space="0" w:color="auto"/>
        <w:bottom w:val="none" w:sz="0" w:space="0" w:color="auto"/>
        <w:right w:val="none" w:sz="0" w:space="0" w:color="auto"/>
      </w:divBdr>
    </w:div>
    <w:div w:id="837695466">
      <w:bodyDiv w:val="1"/>
      <w:marLeft w:val="0"/>
      <w:marRight w:val="0"/>
      <w:marTop w:val="0"/>
      <w:marBottom w:val="0"/>
      <w:divBdr>
        <w:top w:val="none" w:sz="0" w:space="0" w:color="auto"/>
        <w:left w:val="none" w:sz="0" w:space="0" w:color="auto"/>
        <w:bottom w:val="none" w:sz="0" w:space="0" w:color="auto"/>
        <w:right w:val="none" w:sz="0" w:space="0" w:color="auto"/>
      </w:divBdr>
    </w:div>
    <w:div w:id="838424337">
      <w:bodyDiv w:val="1"/>
      <w:marLeft w:val="0"/>
      <w:marRight w:val="0"/>
      <w:marTop w:val="0"/>
      <w:marBottom w:val="0"/>
      <w:divBdr>
        <w:top w:val="none" w:sz="0" w:space="0" w:color="auto"/>
        <w:left w:val="none" w:sz="0" w:space="0" w:color="auto"/>
        <w:bottom w:val="none" w:sz="0" w:space="0" w:color="auto"/>
        <w:right w:val="none" w:sz="0" w:space="0" w:color="auto"/>
      </w:divBdr>
    </w:div>
    <w:div w:id="839200923">
      <w:bodyDiv w:val="1"/>
      <w:marLeft w:val="0"/>
      <w:marRight w:val="0"/>
      <w:marTop w:val="0"/>
      <w:marBottom w:val="0"/>
      <w:divBdr>
        <w:top w:val="none" w:sz="0" w:space="0" w:color="auto"/>
        <w:left w:val="none" w:sz="0" w:space="0" w:color="auto"/>
        <w:bottom w:val="none" w:sz="0" w:space="0" w:color="auto"/>
        <w:right w:val="none" w:sz="0" w:space="0" w:color="auto"/>
      </w:divBdr>
    </w:div>
    <w:div w:id="839732912">
      <w:bodyDiv w:val="1"/>
      <w:marLeft w:val="0"/>
      <w:marRight w:val="0"/>
      <w:marTop w:val="0"/>
      <w:marBottom w:val="0"/>
      <w:divBdr>
        <w:top w:val="none" w:sz="0" w:space="0" w:color="auto"/>
        <w:left w:val="none" w:sz="0" w:space="0" w:color="auto"/>
        <w:bottom w:val="none" w:sz="0" w:space="0" w:color="auto"/>
        <w:right w:val="none" w:sz="0" w:space="0" w:color="auto"/>
      </w:divBdr>
    </w:div>
    <w:div w:id="839778658">
      <w:bodyDiv w:val="1"/>
      <w:marLeft w:val="0"/>
      <w:marRight w:val="0"/>
      <w:marTop w:val="0"/>
      <w:marBottom w:val="0"/>
      <w:divBdr>
        <w:top w:val="none" w:sz="0" w:space="0" w:color="auto"/>
        <w:left w:val="none" w:sz="0" w:space="0" w:color="auto"/>
        <w:bottom w:val="none" w:sz="0" w:space="0" w:color="auto"/>
        <w:right w:val="none" w:sz="0" w:space="0" w:color="auto"/>
      </w:divBdr>
    </w:div>
    <w:div w:id="840193419">
      <w:bodyDiv w:val="1"/>
      <w:marLeft w:val="0"/>
      <w:marRight w:val="0"/>
      <w:marTop w:val="0"/>
      <w:marBottom w:val="0"/>
      <w:divBdr>
        <w:top w:val="none" w:sz="0" w:space="0" w:color="auto"/>
        <w:left w:val="none" w:sz="0" w:space="0" w:color="auto"/>
        <w:bottom w:val="none" w:sz="0" w:space="0" w:color="auto"/>
        <w:right w:val="none" w:sz="0" w:space="0" w:color="auto"/>
      </w:divBdr>
    </w:div>
    <w:div w:id="840661068">
      <w:bodyDiv w:val="1"/>
      <w:marLeft w:val="0"/>
      <w:marRight w:val="0"/>
      <w:marTop w:val="0"/>
      <w:marBottom w:val="0"/>
      <w:divBdr>
        <w:top w:val="none" w:sz="0" w:space="0" w:color="auto"/>
        <w:left w:val="none" w:sz="0" w:space="0" w:color="auto"/>
        <w:bottom w:val="none" w:sz="0" w:space="0" w:color="auto"/>
        <w:right w:val="none" w:sz="0" w:space="0" w:color="auto"/>
      </w:divBdr>
    </w:div>
    <w:div w:id="841435518">
      <w:bodyDiv w:val="1"/>
      <w:marLeft w:val="0"/>
      <w:marRight w:val="0"/>
      <w:marTop w:val="0"/>
      <w:marBottom w:val="0"/>
      <w:divBdr>
        <w:top w:val="none" w:sz="0" w:space="0" w:color="auto"/>
        <w:left w:val="none" w:sz="0" w:space="0" w:color="auto"/>
        <w:bottom w:val="none" w:sz="0" w:space="0" w:color="auto"/>
        <w:right w:val="none" w:sz="0" w:space="0" w:color="auto"/>
      </w:divBdr>
    </w:div>
    <w:div w:id="842084838">
      <w:bodyDiv w:val="1"/>
      <w:marLeft w:val="0"/>
      <w:marRight w:val="0"/>
      <w:marTop w:val="0"/>
      <w:marBottom w:val="0"/>
      <w:divBdr>
        <w:top w:val="none" w:sz="0" w:space="0" w:color="auto"/>
        <w:left w:val="none" w:sz="0" w:space="0" w:color="auto"/>
        <w:bottom w:val="none" w:sz="0" w:space="0" w:color="auto"/>
        <w:right w:val="none" w:sz="0" w:space="0" w:color="auto"/>
      </w:divBdr>
    </w:div>
    <w:div w:id="842166772">
      <w:bodyDiv w:val="1"/>
      <w:marLeft w:val="0"/>
      <w:marRight w:val="0"/>
      <w:marTop w:val="0"/>
      <w:marBottom w:val="0"/>
      <w:divBdr>
        <w:top w:val="none" w:sz="0" w:space="0" w:color="auto"/>
        <w:left w:val="none" w:sz="0" w:space="0" w:color="auto"/>
        <w:bottom w:val="none" w:sz="0" w:space="0" w:color="auto"/>
        <w:right w:val="none" w:sz="0" w:space="0" w:color="auto"/>
      </w:divBdr>
    </w:div>
    <w:div w:id="842234090">
      <w:bodyDiv w:val="1"/>
      <w:marLeft w:val="0"/>
      <w:marRight w:val="0"/>
      <w:marTop w:val="0"/>
      <w:marBottom w:val="0"/>
      <w:divBdr>
        <w:top w:val="none" w:sz="0" w:space="0" w:color="auto"/>
        <w:left w:val="none" w:sz="0" w:space="0" w:color="auto"/>
        <w:bottom w:val="none" w:sz="0" w:space="0" w:color="auto"/>
        <w:right w:val="none" w:sz="0" w:space="0" w:color="auto"/>
      </w:divBdr>
    </w:div>
    <w:div w:id="842626311">
      <w:bodyDiv w:val="1"/>
      <w:marLeft w:val="0"/>
      <w:marRight w:val="0"/>
      <w:marTop w:val="0"/>
      <w:marBottom w:val="0"/>
      <w:divBdr>
        <w:top w:val="none" w:sz="0" w:space="0" w:color="auto"/>
        <w:left w:val="none" w:sz="0" w:space="0" w:color="auto"/>
        <w:bottom w:val="none" w:sz="0" w:space="0" w:color="auto"/>
        <w:right w:val="none" w:sz="0" w:space="0" w:color="auto"/>
      </w:divBdr>
    </w:div>
    <w:div w:id="842739456">
      <w:bodyDiv w:val="1"/>
      <w:marLeft w:val="0"/>
      <w:marRight w:val="0"/>
      <w:marTop w:val="0"/>
      <w:marBottom w:val="0"/>
      <w:divBdr>
        <w:top w:val="none" w:sz="0" w:space="0" w:color="auto"/>
        <w:left w:val="none" w:sz="0" w:space="0" w:color="auto"/>
        <w:bottom w:val="none" w:sz="0" w:space="0" w:color="auto"/>
        <w:right w:val="none" w:sz="0" w:space="0" w:color="auto"/>
      </w:divBdr>
    </w:div>
    <w:div w:id="843587785">
      <w:bodyDiv w:val="1"/>
      <w:marLeft w:val="0"/>
      <w:marRight w:val="0"/>
      <w:marTop w:val="0"/>
      <w:marBottom w:val="0"/>
      <w:divBdr>
        <w:top w:val="none" w:sz="0" w:space="0" w:color="auto"/>
        <w:left w:val="none" w:sz="0" w:space="0" w:color="auto"/>
        <w:bottom w:val="none" w:sz="0" w:space="0" w:color="auto"/>
        <w:right w:val="none" w:sz="0" w:space="0" w:color="auto"/>
      </w:divBdr>
    </w:div>
    <w:div w:id="844242820">
      <w:bodyDiv w:val="1"/>
      <w:marLeft w:val="0"/>
      <w:marRight w:val="0"/>
      <w:marTop w:val="0"/>
      <w:marBottom w:val="0"/>
      <w:divBdr>
        <w:top w:val="none" w:sz="0" w:space="0" w:color="auto"/>
        <w:left w:val="none" w:sz="0" w:space="0" w:color="auto"/>
        <w:bottom w:val="none" w:sz="0" w:space="0" w:color="auto"/>
        <w:right w:val="none" w:sz="0" w:space="0" w:color="auto"/>
      </w:divBdr>
    </w:div>
    <w:div w:id="845831089">
      <w:bodyDiv w:val="1"/>
      <w:marLeft w:val="0"/>
      <w:marRight w:val="0"/>
      <w:marTop w:val="0"/>
      <w:marBottom w:val="0"/>
      <w:divBdr>
        <w:top w:val="none" w:sz="0" w:space="0" w:color="auto"/>
        <w:left w:val="none" w:sz="0" w:space="0" w:color="auto"/>
        <w:bottom w:val="none" w:sz="0" w:space="0" w:color="auto"/>
        <w:right w:val="none" w:sz="0" w:space="0" w:color="auto"/>
      </w:divBdr>
    </w:div>
    <w:div w:id="846479510">
      <w:bodyDiv w:val="1"/>
      <w:marLeft w:val="0"/>
      <w:marRight w:val="0"/>
      <w:marTop w:val="0"/>
      <w:marBottom w:val="0"/>
      <w:divBdr>
        <w:top w:val="none" w:sz="0" w:space="0" w:color="auto"/>
        <w:left w:val="none" w:sz="0" w:space="0" w:color="auto"/>
        <w:bottom w:val="none" w:sz="0" w:space="0" w:color="auto"/>
        <w:right w:val="none" w:sz="0" w:space="0" w:color="auto"/>
      </w:divBdr>
    </w:div>
    <w:div w:id="848519792">
      <w:bodyDiv w:val="1"/>
      <w:marLeft w:val="0"/>
      <w:marRight w:val="0"/>
      <w:marTop w:val="0"/>
      <w:marBottom w:val="0"/>
      <w:divBdr>
        <w:top w:val="none" w:sz="0" w:space="0" w:color="auto"/>
        <w:left w:val="none" w:sz="0" w:space="0" w:color="auto"/>
        <w:bottom w:val="none" w:sz="0" w:space="0" w:color="auto"/>
        <w:right w:val="none" w:sz="0" w:space="0" w:color="auto"/>
      </w:divBdr>
    </w:div>
    <w:div w:id="849029452">
      <w:bodyDiv w:val="1"/>
      <w:marLeft w:val="0"/>
      <w:marRight w:val="0"/>
      <w:marTop w:val="0"/>
      <w:marBottom w:val="0"/>
      <w:divBdr>
        <w:top w:val="none" w:sz="0" w:space="0" w:color="auto"/>
        <w:left w:val="none" w:sz="0" w:space="0" w:color="auto"/>
        <w:bottom w:val="none" w:sz="0" w:space="0" w:color="auto"/>
        <w:right w:val="none" w:sz="0" w:space="0" w:color="auto"/>
      </w:divBdr>
    </w:div>
    <w:div w:id="849101405">
      <w:bodyDiv w:val="1"/>
      <w:marLeft w:val="0"/>
      <w:marRight w:val="0"/>
      <w:marTop w:val="0"/>
      <w:marBottom w:val="0"/>
      <w:divBdr>
        <w:top w:val="none" w:sz="0" w:space="0" w:color="auto"/>
        <w:left w:val="none" w:sz="0" w:space="0" w:color="auto"/>
        <w:bottom w:val="none" w:sz="0" w:space="0" w:color="auto"/>
        <w:right w:val="none" w:sz="0" w:space="0" w:color="auto"/>
      </w:divBdr>
    </w:div>
    <w:div w:id="849874615">
      <w:bodyDiv w:val="1"/>
      <w:marLeft w:val="0"/>
      <w:marRight w:val="0"/>
      <w:marTop w:val="0"/>
      <w:marBottom w:val="0"/>
      <w:divBdr>
        <w:top w:val="none" w:sz="0" w:space="0" w:color="auto"/>
        <w:left w:val="none" w:sz="0" w:space="0" w:color="auto"/>
        <w:bottom w:val="none" w:sz="0" w:space="0" w:color="auto"/>
        <w:right w:val="none" w:sz="0" w:space="0" w:color="auto"/>
      </w:divBdr>
    </w:div>
    <w:div w:id="850990132">
      <w:bodyDiv w:val="1"/>
      <w:marLeft w:val="0"/>
      <w:marRight w:val="0"/>
      <w:marTop w:val="0"/>
      <w:marBottom w:val="0"/>
      <w:divBdr>
        <w:top w:val="none" w:sz="0" w:space="0" w:color="auto"/>
        <w:left w:val="none" w:sz="0" w:space="0" w:color="auto"/>
        <w:bottom w:val="none" w:sz="0" w:space="0" w:color="auto"/>
        <w:right w:val="none" w:sz="0" w:space="0" w:color="auto"/>
      </w:divBdr>
    </w:div>
    <w:div w:id="851069528">
      <w:bodyDiv w:val="1"/>
      <w:marLeft w:val="0"/>
      <w:marRight w:val="0"/>
      <w:marTop w:val="0"/>
      <w:marBottom w:val="0"/>
      <w:divBdr>
        <w:top w:val="none" w:sz="0" w:space="0" w:color="auto"/>
        <w:left w:val="none" w:sz="0" w:space="0" w:color="auto"/>
        <w:bottom w:val="none" w:sz="0" w:space="0" w:color="auto"/>
        <w:right w:val="none" w:sz="0" w:space="0" w:color="auto"/>
      </w:divBdr>
    </w:div>
    <w:div w:id="852571036">
      <w:bodyDiv w:val="1"/>
      <w:marLeft w:val="0"/>
      <w:marRight w:val="0"/>
      <w:marTop w:val="0"/>
      <w:marBottom w:val="0"/>
      <w:divBdr>
        <w:top w:val="none" w:sz="0" w:space="0" w:color="auto"/>
        <w:left w:val="none" w:sz="0" w:space="0" w:color="auto"/>
        <w:bottom w:val="none" w:sz="0" w:space="0" w:color="auto"/>
        <w:right w:val="none" w:sz="0" w:space="0" w:color="auto"/>
      </w:divBdr>
    </w:div>
    <w:div w:id="853306345">
      <w:bodyDiv w:val="1"/>
      <w:marLeft w:val="0"/>
      <w:marRight w:val="0"/>
      <w:marTop w:val="0"/>
      <w:marBottom w:val="0"/>
      <w:divBdr>
        <w:top w:val="none" w:sz="0" w:space="0" w:color="auto"/>
        <w:left w:val="none" w:sz="0" w:space="0" w:color="auto"/>
        <w:bottom w:val="none" w:sz="0" w:space="0" w:color="auto"/>
        <w:right w:val="none" w:sz="0" w:space="0" w:color="auto"/>
      </w:divBdr>
    </w:div>
    <w:div w:id="853493464">
      <w:bodyDiv w:val="1"/>
      <w:marLeft w:val="0"/>
      <w:marRight w:val="0"/>
      <w:marTop w:val="0"/>
      <w:marBottom w:val="0"/>
      <w:divBdr>
        <w:top w:val="none" w:sz="0" w:space="0" w:color="auto"/>
        <w:left w:val="none" w:sz="0" w:space="0" w:color="auto"/>
        <w:bottom w:val="none" w:sz="0" w:space="0" w:color="auto"/>
        <w:right w:val="none" w:sz="0" w:space="0" w:color="auto"/>
      </w:divBdr>
    </w:div>
    <w:div w:id="853810070">
      <w:bodyDiv w:val="1"/>
      <w:marLeft w:val="0"/>
      <w:marRight w:val="0"/>
      <w:marTop w:val="0"/>
      <w:marBottom w:val="0"/>
      <w:divBdr>
        <w:top w:val="none" w:sz="0" w:space="0" w:color="auto"/>
        <w:left w:val="none" w:sz="0" w:space="0" w:color="auto"/>
        <w:bottom w:val="none" w:sz="0" w:space="0" w:color="auto"/>
        <w:right w:val="none" w:sz="0" w:space="0" w:color="auto"/>
      </w:divBdr>
    </w:div>
    <w:div w:id="855847318">
      <w:bodyDiv w:val="1"/>
      <w:marLeft w:val="0"/>
      <w:marRight w:val="0"/>
      <w:marTop w:val="0"/>
      <w:marBottom w:val="0"/>
      <w:divBdr>
        <w:top w:val="none" w:sz="0" w:space="0" w:color="auto"/>
        <w:left w:val="none" w:sz="0" w:space="0" w:color="auto"/>
        <w:bottom w:val="none" w:sz="0" w:space="0" w:color="auto"/>
        <w:right w:val="none" w:sz="0" w:space="0" w:color="auto"/>
      </w:divBdr>
    </w:div>
    <w:div w:id="856849065">
      <w:bodyDiv w:val="1"/>
      <w:marLeft w:val="0"/>
      <w:marRight w:val="0"/>
      <w:marTop w:val="0"/>
      <w:marBottom w:val="0"/>
      <w:divBdr>
        <w:top w:val="none" w:sz="0" w:space="0" w:color="auto"/>
        <w:left w:val="none" w:sz="0" w:space="0" w:color="auto"/>
        <w:bottom w:val="none" w:sz="0" w:space="0" w:color="auto"/>
        <w:right w:val="none" w:sz="0" w:space="0" w:color="auto"/>
      </w:divBdr>
    </w:div>
    <w:div w:id="857625922">
      <w:bodyDiv w:val="1"/>
      <w:marLeft w:val="0"/>
      <w:marRight w:val="0"/>
      <w:marTop w:val="0"/>
      <w:marBottom w:val="0"/>
      <w:divBdr>
        <w:top w:val="none" w:sz="0" w:space="0" w:color="auto"/>
        <w:left w:val="none" w:sz="0" w:space="0" w:color="auto"/>
        <w:bottom w:val="none" w:sz="0" w:space="0" w:color="auto"/>
        <w:right w:val="none" w:sz="0" w:space="0" w:color="auto"/>
      </w:divBdr>
    </w:div>
    <w:div w:id="857692369">
      <w:bodyDiv w:val="1"/>
      <w:marLeft w:val="0"/>
      <w:marRight w:val="0"/>
      <w:marTop w:val="0"/>
      <w:marBottom w:val="0"/>
      <w:divBdr>
        <w:top w:val="none" w:sz="0" w:space="0" w:color="auto"/>
        <w:left w:val="none" w:sz="0" w:space="0" w:color="auto"/>
        <w:bottom w:val="none" w:sz="0" w:space="0" w:color="auto"/>
        <w:right w:val="none" w:sz="0" w:space="0" w:color="auto"/>
      </w:divBdr>
    </w:div>
    <w:div w:id="858009450">
      <w:bodyDiv w:val="1"/>
      <w:marLeft w:val="0"/>
      <w:marRight w:val="0"/>
      <w:marTop w:val="0"/>
      <w:marBottom w:val="0"/>
      <w:divBdr>
        <w:top w:val="none" w:sz="0" w:space="0" w:color="auto"/>
        <w:left w:val="none" w:sz="0" w:space="0" w:color="auto"/>
        <w:bottom w:val="none" w:sz="0" w:space="0" w:color="auto"/>
        <w:right w:val="none" w:sz="0" w:space="0" w:color="auto"/>
      </w:divBdr>
    </w:div>
    <w:div w:id="858011329">
      <w:bodyDiv w:val="1"/>
      <w:marLeft w:val="0"/>
      <w:marRight w:val="0"/>
      <w:marTop w:val="0"/>
      <w:marBottom w:val="0"/>
      <w:divBdr>
        <w:top w:val="none" w:sz="0" w:space="0" w:color="auto"/>
        <w:left w:val="none" w:sz="0" w:space="0" w:color="auto"/>
        <w:bottom w:val="none" w:sz="0" w:space="0" w:color="auto"/>
        <w:right w:val="none" w:sz="0" w:space="0" w:color="auto"/>
      </w:divBdr>
    </w:div>
    <w:div w:id="858356717">
      <w:bodyDiv w:val="1"/>
      <w:marLeft w:val="0"/>
      <w:marRight w:val="0"/>
      <w:marTop w:val="0"/>
      <w:marBottom w:val="0"/>
      <w:divBdr>
        <w:top w:val="none" w:sz="0" w:space="0" w:color="auto"/>
        <w:left w:val="none" w:sz="0" w:space="0" w:color="auto"/>
        <w:bottom w:val="none" w:sz="0" w:space="0" w:color="auto"/>
        <w:right w:val="none" w:sz="0" w:space="0" w:color="auto"/>
      </w:divBdr>
    </w:div>
    <w:div w:id="860432700">
      <w:bodyDiv w:val="1"/>
      <w:marLeft w:val="0"/>
      <w:marRight w:val="0"/>
      <w:marTop w:val="0"/>
      <w:marBottom w:val="0"/>
      <w:divBdr>
        <w:top w:val="none" w:sz="0" w:space="0" w:color="auto"/>
        <w:left w:val="none" w:sz="0" w:space="0" w:color="auto"/>
        <w:bottom w:val="none" w:sz="0" w:space="0" w:color="auto"/>
        <w:right w:val="none" w:sz="0" w:space="0" w:color="auto"/>
      </w:divBdr>
    </w:div>
    <w:div w:id="860513599">
      <w:bodyDiv w:val="1"/>
      <w:marLeft w:val="0"/>
      <w:marRight w:val="0"/>
      <w:marTop w:val="0"/>
      <w:marBottom w:val="0"/>
      <w:divBdr>
        <w:top w:val="none" w:sz="0" w:space="0" w:color="auto"/>
        <w:left w:val="none" w:sz="0" w:space="0" w:color="auto"/>
        <w:bottom w:val="none" w:sz="0" w:space="0" w:color="auto"/>
        <w:right w:val="none" w:sz="0" w:space="0" w:color="auto"/>
      </w:divBdr>
    </w:div>
    <w:div w:id="861094944">
      <w:bodyDiv w:val="1"/>
      <w:marLeft w:val="0"/>
      <w:marRight w:val="0"/>
      <w:marTop w:val="0"/>
      <w:marBottom w:val="0"/>
      <w:divBdr>
        <w:top w:val="none" w:sz="0" w:space="0" w:color="auto"/>
        <w:left w:val="none" w:sz="0" w:space="0" w:color="auto"/>
        <w:bottom w:val="none" w:sz="0" w:space="0" w:color="auto"/>
        <w:right w:val="none" w:sz="0" w:space="0" w:color="auto"/>
      </w:divBdr>
    </w:div>
    <w:div w:id="861166391">
      <w:bodyDiv w:val="1"/>
      <w:marLeft w:val="0"/>
      <w:marRight w:val="0"/>
      <w:marTop w:val="0"/>
      <w:marBottom w:val="0"/>
      <w:divBdr>
        <w:top w:val="none" w:sz="0" w:space="0" w:color="auto"/>
        <w:left w:val="none" w:sz="0" w:space="0" w:color="auto"/>
        <w:bottom w:val="none" w:sz="0" w:space="0" w:color="auto"/>
        <w:right w:val="none" w:sz="0" w:space="0" w:color="auto"/>
      </w:divBdr>
    </w:div>
    <w:div w:id="862287124">
      <w:bodyDiv w:val="1"/>
      <w:marLeft w:val="0"/>
      <w:marRight w:val="0"/>
      <w:marTop w:val="0"/>
      <w:marBottom w:val="0"/>
      <w:divBdr>
        <w:top w:val="none" w:sz="0" w:space="0" w:color="auto"/>
        <w:left w:val="none" w:sz="0" w:space="0" w:color="auto"/>
        <w:bottom w:val="none" w:sz="0" w:space="0" w:color="auto"/>
        <w:right w:val="none" w:sz="0" w:space="0" w:color="auto"/>
      </w:divBdr>
    </w:div>
    <w:div w:id="862523409">
      <w:bodyDiv w:val="1"/>
      <w:marLeft w:val="0"/>
      <w:marRight w:val="0"/>
      <w:marTop w:val="0"/>
      <w:marBottom w:val="0"/>
      <w:divBdr>
        <w:top w:val="none" w:sz="0" w:space="0" w:color="auto"/>
        <w:left w:val="none" w:sz="0" w:space="0" w:color="auto"/>
        <w:bottom w:val="none" w:sz="0" w:space="0" w:color="auto"/>
        <w:right w:val="none" w:sz="0" w:space="0" w:color="auto"/>
      </w:divBdr>
    </w:div>
    <w:div w:id="863398279">
      <w:bodyDiv w:val="1"/>
      <w:marLeft w:val="0"/>
      <w:marRight w:val="0"/>
      <w:marTop w:val="0"/>
      <w:marBottom w:val="0"/>
      <w:divBdr>
        <w:top w:val="none" w:sz="0" w:space="0" w:color="auto"/>
        <w:left w:val="none" w:sz="0" w:space="0" w:color="auto"/>
        <w:bottom w:val="none" w:sz="0" w:space="0" w:color="auto"/>
        <w:right w:val="none" w:sz="0" w:space="0" w:color="auto"/>
      </w:divBdr>
    </w:div>
    <w:div w:id="863711897">
      <w:bodyDiv w:val="1"/>
      <w:marLeft w:val="0"/>
      <w:marRight w:val="0"/>
      <w:marTop w:val="0"/>
      <w:marBottom w:val="0"/>
      <w:divBdr>
        <w:top w:val="none" w:sz="0" w:space="0" w:color="auto"/>
        <w:left w:val="none" w:sz="0" w:space="0" w:color="auto"/>
        <w:bottom w:val="none" w:sz="0" w:space="0" w:color="auto"/>
        <w:right w:val="none" w:sz="0" w:space="0" w:color="auto"/>
      </w:divBdr>
    </w:div>
    <w:div w:id="863789093">
      <w:bodyDiv w:val="1"/>
      <w:marLeft w:val="0"/>
      <w:marRight w:val="0"/>
      <w:marTop w:val="0"/>
      <w:marBottom w:val="0"/>
      <w:divBdr>
        <w:top w:val="none" w:sz="0" w:space="0" w:color="auto"/>
        <w:left w:val="none" w:sz="0" w:space="0" w:color="auto"/>
        <w:bottom w:val="none" w:sz="0" w:space="0" w:color="auto"/>
        <w:right w:val="none" w:sz="0" w:space="0" w:color="auto"/>
      </w:divBdr>
    </w:div>
    <w:div w:id="864055043">
      <w:bodyDiv w:val="1"/>
      <w:marLeft w:val="0"/>
      <w:marRight w:val="0"/>
      <w:marTop w:val="0"/>
      <w:marBottom w:val="0"/>
      <w:divBdr>
        <w:top w:val="none" w:sz="0" w:space="0" w:color="auto"/>
        <w:left w:val="none" w:sz="0" w:space="0" w:color="auto"/>
        <w:bottom w:val="none" w:sz="0" w:space="0" w:color="auto"/>
        <w:right w:val="none" w:sz="0" w:space="0" w:color="auto"/>
      </w:divBdr>
    </w:div>
    <w:div w:id="864750064">
      <w:bodyDiv w:val="1"/>
      <w:marLeft w:val="0"/>
      <w:marRight w:val="0"/>
      <w:marTop w:val="0"/>
      <w:marBottom w:val="0"/>
      <w:divBdr>
        <w:top w:val="none" w:sz="0" w:space="0" w:color="auto"/>
        <w:left w:val="none" w:sz="0" w:space="0" w:color="auto"/>
        <w:bottom w:val="none" w:sz="0" w:space="0" w:color="auto"/>
        <w:right w:val="none" w:sz="0" w:space="0" w:color="auto"/>
      </w:divBdr>
    </w:div>
    <w:div w:id="865144573">
      <w:bodyDiv w:val="1"/>
      <w:marLeft w:val="0"/>
      <w:marRight w:val="0"/>
      <w:marTop w:val="0"/>
      <w:marBottom w:val="0"/>
      <w:divBdr>
        <w:top w:val="none" w:sz="0" w:space="0" w:color="auto"/>
        <w:left w:val="none" w:sz="0" w:space="0" w:color="auto"/>
        <w:bottom w:val="none" w:sz="0" w:space="0" w:color="auto"/>
        <w:right w:val="none" w:sz="0" w:space="0" w:color="auto"/>
      </w:divBdr>
    </w:div>
    <w:div w:id="866061658">
      <w:bodyDiv w:val="1"/>
      <w:marLeft w:val="0"/>
      <w:marRight w:val="0"/>
      <w:marTop w:val="0"/>
      <w:marBottom w:val="0"/>
      <w:divBdr>
        <w:top w:val="none" w:sz="0" w:space="0" w:color="auto"/>
        <w:left w:val="none" w:sz="0" w:space="0" w:color="auto"/>
        <w:bottom w:val="none" w:sz="0" w:space="0" w:color="auto"/>
        <w:right w:val="none" w:sz="0" w:space="0" w:color="auto"/>
      </w:divBdr>
    </w:div>
    <w:div w:id="866259866">
      <w:bodyDiv w:val="1"/>
      <w:marLeft w:val="0"/>
      <w:marRight w:val="0"/>
      <w:marTop w:val="0"/>
      <w:marBottom w:val="0"/>
      <w:divBdr>
        <w:top w:val="none" w:sz="0" w:space="0" w:color="auto"/>
        <w:left w:val="none" w:sz="0" w:space="0" w:color="auto"/>
        <w:bottom w:val="none" w:sz="0" w:space="0" w:color="auto"/>
        <w:right w:val="none" w:sz="0" w:space="0" w:color="auto"/>
      </w:divBdr>
    </w:div>
    <w:div w:id="867181701">
      <w:bodyDiv w:val="1"/>
      <w:marLeft w:val="0"/>
      <w:marRight w:val="0"/>
      <w:marTop w:val="0"/>
      <w:marBottom w:val="0"/>
      <w:divBdr>
        <w:top w:val="none" w:sz="0" w:space="0" w:color="auto"/>
        <w:left w:val="none" w:sz="0" w:space="0" w:color="auto"/>
        <w:bottom w:val="none" w:sz="0" w:space="0" w:color="auto"/>
        <w:right w:val="none" w:sz="0" w:space="0" w:color="auto"/>
      </w:divBdr>
    </w:div>
    <w:div w:id="867333593">
      <w:bodyDiv w:val="1"/>
      <w:marLeft w:val="0"/>
      <w:marRight w:val="0"/>
      <w:marTop w:val="0"/>
      <w:marBottom w:val="0"/>
      <w:divBdr>
        <w:top w:val="none" w:sz="0" w:space="0" w:color="auto"/>
        <w:left w:val="none" w:sz="0" w:space="0" w:color="auto"/>
        <w:bottom w:val="none" w:sz="0" w:space="0" w:color="auto"/>
        <w:right w:val="none" w:sz="0" w:space="0" w:color="auto"/>
      </w:divBdr>
    </w:div>
    <w:div w:id="867370792">
      <w:bodyDiv w:val="1"/>
      <w:marLeft w:val="0"/>
      <w:marRight w:val="0"/>
      <w:marTop w:val="0"/>
      <w:marBottom w:val="0"/>
      <w:divBdr>
        <w:top w:val="none" w:sz="0" w:space="0" w:color="auto"/>
        <w:left w:val="none" w:sz="0" w:space="0" w:color="auto"/>
        <w:bottom w:val="none" w:sz="0" w:space="0" w:color="auto"/>
        <w:right w:val="none" w:sz="0" w:space="0" w:color="auto"/>
      </w:divBdr>
    </w:div>
    <w:div w:id="868103978">
      <w:bodyDiv w:val="1"/>
      <w:marLeft w:val="0"/>
      <w:marRight w:val="0"/>
      <w:marTop w:val="0"/>
      <w:marBottom w:val="0"/>
      <w:divBdr>
        <w:top w:val="none" w:sz="0" w:space="0" w:color="auto"/>
        <w:left w:val="none" w:sz="0" w:space="0" w:color="auto"/>
        <w:bottom w:val="none" w:sz="0" w:space="0" w:color="auto"/>
        <w:right w:val="none" w:sz="0" w:space="0" w:color="auto"/>
      </w:divBdr>
    </w:div>
    <w:div w:id="868958576">
      <w:bodyDiv w:val="1"/>
      <w:marLeft w:val="0"/>
      <w:marRight w:val="0"/>
      <w:marTop w:val="0"/>
      <w:marBottom w:val="0"/>
      <w:divBdr>
        <w:top w:val="none" w:sz="0" w:space="0" w:color="auto"/>
        <w:left w:val="none" w:sz="0" w:space="0" w:color="auto"/>
        <w:bottom w:val="none" w:sz="0" w:space="0" w:color="auto"/>
        <w:right w:val="none" w:sz="0" w:space="0" w:color="auto"/>
      </w:divBdr>
    </w:div>
    <w:div w:id="870995010">
      <w:bodyDiv w:val="1"/>
      <w:marLeft w:val="0"/>
      <w:marRight w:val="0"/>
      <w:marTop w:val="0"/>
      <w:marBottom w:val="0"/>
      <w:divBdr>
        <w:top w:val="none" w:sz="0" w:space="0" w:color="auto"/>
        <w:left w:val="none" w:sz="0" w:space="0" w:color="auto"/>
        <w:bottom w:val="none" w:sz="0" w:space="0" w:color="auto"/>
        <w:right w:val="none" w:sz="0" w:space="0" w:color="auto"/>
      </w:divBdr>
    </w:div>
    <w:div w:id="871651969">
      <w:bodyDiv w:val="1"/>
      <w:marLeft w:val="0"/>
      <w:marRight w:val="0"/>
      <w:marTop w:val="0"/>
      <w:marBottom w:val="0"/>
      <w:divBdr>
        <w:top w:val="none" w:sz="0" w:space="0" w:color="auto"/>
        <w:left w:val="none" w:sz="0" w:space="0" w:color="auto"/>
        <w:bottom w:val="none" w:sz="0" w:space="0" w:color="auto"/>
        <w:right w:val="none" w:sz="0" w:space="0" w:color="auto"/>
      </w:divBdr>
    </w:div>
    <w:div w:id="872693470">
      <w:bodyDiv w:val="1"/>
      <w:marLeft w:val="0"/>
      <w:marRight w:val="0"/>
      <w:marTop w:val="0"/>
      <w:marBottom w:val="0"/>
      <w:divBdr>
        <w:top w:val="none" w:sz="0" w:space="0" w:color="auto"/>
        <w:left w:val="none" w:sz="0" w:space="0" w:color="auto"/>
        <w:bottom w:val="none" w:sz="0" w:space="0" w:color="auto"/>
        <w:right w:val="none" w:sz="0" w:space="0" w:color="auto"/>
      </w:divBdr>
    </w:div>
    <w:div w:id="873078167">
      <w:bodyDiv w:val="1"/>
      <w:marLeft w:val="0"/>
      <w:marRight w:val="0"/>
      <w:marTop w:val="0"/>
      <w:marBottom w:val="0"/>
      <w:divBdr>
        <w:top w:val="none" w:sz="0" w:space="0" w:color="auto"/>
        <w:left w:val="none" w:sz="0" w:space="0" w:color="auto"/>
        <w:bottom w:val="none" w:sz="0" w:space="0" w:color="auto"/>
        <w:right w:val="none" w:sz="0" w:space="0" w:color="auto"/>
      </w:divBdr>
    </w:div>
    <w:div w:id="873733685">
      <w:bodyDiv w:val="1"/>
      <w:marLeft w:val="0"/>
      <w:marRight w:val="0"/>
      <w:marTop w:val="0"/>
      <w:marBottom w:val="0"/>
      <w:divBdr>
        <w:top w:val="none" w:sz="0" w:space="0" w:color="auto"/>
        <w:left w:val="none" w:sz="0" w:space="0" w:color="auto"/>
        <w:bottom w:val="none" w:sz="0" w:space="0" w:color="auto"/>
        <w:right w:val="none" w:sz="0" w:space="0" w:color="auto"/>
      </w:divBdr>
    </w:div>
    <w:div w:id="873885345">
      <w:bodyDiv w:val="1"/>
      <w:marLeft w:val="0"/>
      <w:marRight w:val="0"/>
      <w:marTop w:val="0"/>
      <w:marBottom w:val="0"/>
      <w:divBdr>
        <w:top w:val="none" w:sz="0" w:space="0" w:color="auto"/>
        <w:left w:val="none" w:sz="0" w:space="0" w:color="auto"/>
        <w:bottom w:val="none" w:sz="0" w:space="0" w:color="auto"/>
        <w:right w:val="none" w:sz="0" w:space="0" w:color="auto"/>
      </w:divBdr>
    </w:div>
    <w:div w:id="874389000">
      <w:bodyDiv w:val="1"/>
      <w:marLeft w:val="0"/>
      <w:marRight w:val="0"/>
      <w:marTop w:val="0"/>
      <w:marBottom w:val="0"/>
      <w:divBdr>
        <w:top w:val="none" w:sz="0" w:space="0" w:color="auto"/>
        <w:left w:val="none" w:sz="0" w:space="0" w:color="auto"/>
        <w:bottom w:val="none" w:sz="0" w:space="0" w:color="auto"/>
        <w:right w:val="none" w:sz="0" w:space="0" w:color="auto"/>
      </w:divBdr>
    </w:div>
    <w:div w:id="875393315">
      <w:bodyDiv w:val="1"/>
      <w:marLeft w:val="0"/>
      <w:marRight w:val="0"/>
      <w:marTop w:val="0"/>
      <w:marBottom w:val="0"/>
      <w:divBdr>
        <w:top w:val="none" w:sz="0" w:space="0" w:color="auto"/>
        <w:left w:val="none" w:sz="0" w:space="0" w:color="auto"/>
        <w:bottom w:val="none" w:sz="0" w:space="0" w:color="auto"/>
        <w:right w:val="none" w:sz="0" w:space="0" w:color="auto"/>
      </w:divBdr>
    </w:div>
    <w:div w:id="877549431">
      <w:bodyDiv w:val="1"/>
      <w:marLeft w:val="0"/>
      <w:marRight w:val="0"/>
      <w:marTop w:val="0"/>
      <w:marBottom w:val="0"/>
      <w:divBdr>
        <w:top w:val="none" w:sz="0" w:space="0" w:color="auto"/>
        <w:left w:val="none" w:sz="0" w:space="0" w:color="auto"/>
        <w:bottom w:val="none" w:sz="0" w:space="0" w:color="auto"/>
        <w:right w:val="none" w:sz="0" w:space="0" w:color="auto"/>
      </w:divBdr>
    </w:div>
    <w:div w:id="877930365">
      <w:bodyDiv w:val="1"/>
      <w:marLeft w:val="0"/>
      <w:marRight w:val="0"/>
      <w:marTop w:val="0"/>
      <w:marBottom w:val="0"/>
      <w:divBdr>
        <w:top w:val="none" w:sz="0" w:space="0" w:color="auto"/>
        <w:left w:val="none" w:sz="0" w:space="0" w:color="auto"/>
        <w:bottom w:val="none" w:sz="0" w:space="0" w:color="auto"/>
        <w:right w:val="none" w:sz="0" w:space="0" w:color="auto"/>
      </w:divBdr>
    </w:div>
    <w:div w:id="878666562">
      <w:bodyDiv w:val="1"/>
      <w:marLeft w:val="0"/>
      <w:marRight w:val="0"/>
      <w:marTop w:val="0"/>
      <w:marBottom w:val="0"/>
      <w:divBdr>
        <w:top w:val="none" w:sz="0" w:space="0" w:color="auto"/>
        <w:left w:val="none" w:sz="0" w:space="0" w:color="auto"/>
        <w:bottom w:val="none" w:sz="0" w:space="0" w:color="auto"/>
        <w:right w:val="none" w:sz="0" w:space="0" w:color="auto"/>
      </w:divBdr>
    </w:div>
    <w:div w:id="878933658">
      <w:bodyDiv w:val="1"/>
      <w:marLeft w:val="0"/>
      <w:marRight w:val="0"/>
      <w:marTop w:val="0"/>
      <w:marBottom w:val="0"/>
      <w:divBdr>
        <w:top w:val="none" w:sz="0" w:space="0" w:color="auto"/>
        <w:left w:val="none" w:sz="0" w:space="0" w:color="auto"/>
        <w:bottom w:val="none" w:sz="0" w:space="0" w:color="auto"/>
        <w:right w:val="none" w:sz="0" w:space="0" w:color="auto"/>
      </w:divBdr>
    </w:div>
    <w:div w:id="879243337">
      <w:bodyDiv w:val="1"/>
      <w:marLeft w:val="0"/>
      <w:marRight w:val="0"/>
      <w:marTop w:val="0"/>
      <w:marBottom w:val="0"/>
      <w:divBdr>
        <w:top w:val="none" w:sz="0" w:space="0" w:color="auto"/>
        <w:left w:val="none" w:sz="0" w:space="0" w:color="auto"/>
        <w:bottom w:val="none" w:sz="0" w:space="0" w:color="auto"/>
        <w:right w:val="none" w:sz="0" w:space="0" w:color="auto"/>
      </w:divBdr>
    </w:div>
    <w:div w:id="879628106">
      <w:bodyDiv w:val="1"/>
      <w:marLeft w:val="0"/>
      <w:marRight w:val="0"/>
      <w:marTop w:val="0"/>
      <w:marBottom w:val="0"/>
      <w:divBdr>
        <w:top w:val="none" w:sz="0" w:space="0" w:color="auto"/>
        <w:left w:val="none" w:sz="0" w:space="0" w:color="auto"/>
        <w:bottom w:val="none" w:sz="0" w:space="0" w:color="auto"/>
        <w:right w:val="none" w:sz="0" w:space="0" w:color="auto"/>
      </w:divBdr>
    </w:div>
    <w:div w:id="879825127">
      <w:bodyDiv w:val="1"/>
      <w:marLeft w:val="0"/>
      <w:marRight w:val="0"/>
      <w:marTop w:val="0"/>
      <w:marBottom w:val="0"/>
      <w:divBdr>
        <w:top w:val="none" w:sz="0" w:space="0" w:color="auto"/>
        <w:left w:val="none" w:sz="0" w:space="0" w:color="auto"/>
        <w:bottom w:val="none" w:sz="0" w:space="0" w:color="auto"/>
        <w:right w:val="none" w:sz="0" w:space="0" w:color="auto"/>
      </w:divBdr>
    </w:div>
    <w:div w:id="879971044">
      <w:bodyDiv w:val="1"/>
      <w:marLeft w:val="0"/>
      <w:marRight w:val="0"/>
      <w:marTop w:val="0"/>
      <w:marBottom w:val="0"/>
      <w:divBdr>
        <w:top w:val="none" w:sz="0" w:space="0" w:color="auto"/>
        <w:left w:val="none" w:sz="0" w:space="0" w:color="auto"/>
        <w:bottom w:val="none" w:sz="0" w:space="0" w:color="auto"/>
        <w:right w:val="none" w:sz="0" w:space="0" w:color="auto"/>
      </w:divBdr>
    </w:div>
    <w:div w:id="881290147">
      <w:bodyDiv w:val="1"/>
      <w:marLeft w:val="0"/>
      <w:marRight w:val="0"/>
      <w:marTop w:val="0"/>
      <w:marBottom w:val="0"/>
      <w:divBdr>
        <w:top w:val="none" w:sz="0" w:space="0" w:color="auto"/>
        <w:left w:val="none" w:sz="0" w:space="0" w:color="auto"/>
        <w:bottom w:val="none" w:sz="0" w:space="0" w:color="auto"/>
        <w:right w:val="none" w:sz="0" w:space="0" w:color="auto"/>
      </w:divBdr>
    </w:div>
    <w:div w:id="882443419">
      <w:bodyDiv w:val="1"/>
      <w:marLeft w:val="0"/>
      <w:marRight w:val="0"/>
      <w:marTop w:val="0"/>
      <w:marBottom w:val="0"/>
      <w:divBdr>
        <w:top w:val="none" w:sz="0" w:space="0" w:color="auto"/>
        <w:left w:val="none" w:sz="0" w:space="0" w:color="auto"/>
        <w:bottom w:val="none" w:sz="0" w:space="0" w:color="auto"/>
        <w:right w:val="none" w:sz="0" w:space="0" w:color="auto"/>
      </w:divBdr>
    </w:div>
    <w:div w:id="882526219">
      <w:bodyDiv w:val="1"/>
      <w:marLeft w:val="0"/>
      <w:marRight w:val="0"/>
      <w:marTop w:val="0"/>
      <w:marBottom w:val="0"/>
      <w:divBdr>
        <w:top w:val="none" w:sz="0" w:space="0" w:color="auto"/>
        <w:left w:val="none" w:sz="0" w:space="0" w:color="auto"/>
        <w:bottom w:val="none" w:sz="0" w:space="0" w:color="auto"/>
        <w:right w:val="none" w:sz="0" w:space="0" w:color="auto"/>
      </w:divBdr>
    </w:div>
    <w:div w:id="884559138">
      <w:bodyDiv w:val="1"/>
      <w:marLeft w:val="0"/>
      <w:marRight w:val="0"/>
      <w:marTop w:val="0"/>
      <w:marBottom w:val="0"/>
      <w:divBdr>
        <w:top w:val="none" w:sz="0" w:space="0" w:color="auto"/>
        <w:left w:val="none" w:sz="0" w:space="0" w:color="auto"/>
        <w:bottom w:val="none" w:sz="0" w:space="0" w:color="auto"/>
        <w:right w:val="none" w:sz="0" w:space="0" w:color="auto"/>
      </w:divBdr>
    </w:div>
    <w:div w:id="884676086">
      <w:bodyDiv w:val="1"/>
      <w:marLeft w:val="0"/>
      <w:marRight w:val="0"/>
      <w:marTop w:val="0"/>
      <w:marBottom w:val="0"/>
      <w:divBdr>
        <w:top w:val="none" w:sz="0" w:space="0" w:color="auto"/>
        <w:left w:val="none" w:sz="0" w:space="0" w:color="auto"/>
        <w:bottom w:val="none" w:sz="0" w:space="0" w:color="auto"/>
        <w:right w:val="none" w:sz="0" w:space="0" w:color="auto"/>
      </w:divBdr>
    </w:div>
    <w:div w:id="885528693">
      <w:bodyDiv w:val="1"/>
      <w:marLeft w:val="0"/>
      <w:marRight w:val="0"/>
      <w:marTop w:val="0"/>
      <w:marBottom w:val="0"/>
      <w:divBdr>
        <w:top w:val="none" w:sz="0" w:space="0" w:color="auto"/>
        <w:left w:val="none" w:sz="0" w:space="0" w:color="auto"/>
        <w:bottom w:val="none" w:sz="0" w:space="0" w:color="auto"/>
        <w:right w:val="none" w:sz="0" w:space="0" w:color="auto"/>
      </w:divBdr>
    </w:div>
    <w:div w:id="885683736">
      <w:bodyDiv w:val="1"/>
      <w:marLeft w:val="0"/>
      <w:marRight w:val="0"/>
      <w:marTop w:val="0"/>
      <w:marBottom w:val="0"/>
      <w:divBdr>
        <w:top w:val="none" w:sz="0" w:space="0" w:color="auto"/>
        <w:left w:val="none" w:sz="0" w:space="0" w:color="auto"/>
        <w:bottom w:val="none" w:sz="0" w:space="0" w:color="auto"/>
        <w:right w:val="none" w:sz="0" w:space="0" w:color="auto"/>
      </w:divBdr>
    </w:div>
    <w:div w:id="886181045">
      <w:bodyDiv w:val="1"/>
      <w:marLeft w:val="0"/>
      <w:marRight w:val="0"/>
      <w:marTop w:val="0"/>
      <w:marBottom w:val="0"/>
      <w:divBdr>
        <w:top w:val="none" w:sz="0" w:space="0" w:color="auto"/>
        <w:left w:val="none" w:sz="0" w:space="0" w:color="auto"/>
        <w:bottom w:val="none" w:sz="0" w:space="0" w:color="auto"/>
        <w:right w:val="none" w:sz="0" w:space="0" w:color="auto"/>
      </w:divBdr>
    </w:div>
    <w:div w:id="886649408">
      <w:bodyDiv w:val="1"/>
      <w:marLeft w:val="0"/>
      <w:marRight w:val="0"/>
      <w:marTop w:val="0"/>
      <w:marBottom w:val="0"/>
      <w:divBdr>
        <w:top w:val="none" w:sz="0" w:space="0" w:color="auto"/>
        <w:left w:val="none" w:sz="0" w:space="0" w:color="auto"/>
        <w:bottom w:val="none" w:sz="0" w:space="0" w:color="auto"/>
        <w:right w:val="none" w:sz="0" w:space="0" w:color="auto"/>
      </w:divBdr>
    </w:div>
    <w:div w:id="886724845">
      <w:bodyDiv w:val="1"/>
      <w:marLeft w:val="0"/>
      <w:marRight w:val="0"/>
      <w:marTop w:val="0"/>
      <w:marBottom w:val="0"/>
      <w:divBdr>
        <w:top w:val="none" w:sz="0" w:space="0" w:color="auto"/>
        <w:left w:val="none" w:sz="0" w:space="0" w:color="auto"/>
        <w:bottom w:val="none" w:sz="0" w:space="0" w:color="auto"/>
        <w:right w:val="none" w:sz="0" w:space="0" w:color="auto"/>
      </w:divBdr>
    </w:div>
    <w:div w:id="886798558">
      <w:bodyDiv w:val="1"/>
      <w:marLeft w:val="0"/>
      <w:marRight w:val="0"/>
      <w:marTop w:val="0"/>
      <w:marBottom w:val="0"/>
      <w:divBdr>
        <w:top w:val="none" w:sz="0" w:space="0" w:color="auto"/>
        <w:left w:val="none" w:sz="0" w:space="0" w:color="auto"/>
        <w:bottom w:val="none" w:sz="0" w:space="0" w:color="auto"/>
        <w:right w:val="none" w:sz="0" w:space="0" w:color="auto"/>
      </w:divBdr>
    </w:div>
    <w:div w:id="886836728">
      <w:bodyDiv w:val="1"/>
      <w:marLeft w:val="0"/>
      <w:marRight w:val="0"/>
      <w:marTop w:val="0"/>
      <w:marBottom w:val="0"/>
      <w:divBdr>
        <w:top w:val="none" w:sz="0" w:space="0" w:color="auto"/>
        <w:left w:val="none" w:sz="0" w:space="0" w:color="auto"/>
        <w:bottom w:val="none" w:sz="0" w:space="0" w:color="auto"/>
        <w:right w:val="none" w:sz="0" w:space="0" w:color="auto"/>
      </w:divBdr>
    </w:div>
    <w:div w:id="887228151">
      <w:bodyDiv w:val="1"/>
      <w:marLeft w:val="0"/>
      <w:marRight w:val="0"/>
      <w:marTop w:val="0"/>
      <w:marBottom w:val="0"/>
      <w:divBdr>
        <w:top w:val="none" w:sz="0" w:space="0" w:color="auto"/>
        <w:left w:val="none" w:sz="0" w:space="0" w:color="auto"/>
        <w:bottom w:val="none" w:sz="0" w:space="0" w:color="auto"/>
        <w:right w:val="none" w:sz="0" w:space="0" w:color="auto"/>
      </w:divBdr>
    </w:div>
    <w:div w:id="888224616">
      <w:bodyDiv w:val="1"/>
      <w:marLeft w:val="0"/>
      <w:marRight w:val="0"/>
      <w:marTop w:val="0"/>
      <w:marBottom w:val="0"/>
      <w:divBdr>
        <w:top w:val="none" w:sz="0" w:space="0" w:color="auto"/>
        <w:left w:val="none" w:sz="0" w:space="0" w:color="auto"/>
        <w:bottom w:val="none" w:sz="0" w:space="0" w:color="auto"/>
        <w:right w:val="none" w:sz="0" w:space="0" w:color="auto"/>
      </w:divBdr>
    </w:div>
    <w:div w:id="888299473">
      <w:bodyDiv w:val="1"/>
      <w:marLeft w:val="0"/>
      <w:marRight w:val="0"/>
      <w:marTop w:val="0"/>
      <w:marBottom w:val="0"/>
      <w:divBdr>
        <w:top w:val="none" w:sz="0" w:space="0" w:color="auto"/>
        <w:left w:val="none" w:sz="0" w:space="0" w:color="auto"/>
        <w:bottom w:val="none" w:sz="0" w:space="0" w:color="auto"/>
        <w:right w:val="none" w:sz="0" w:space="0" w:color="auto"/>
      </w:divBdr>
    </w:div>
    <w:div w:id="889075478">
      <w:bodyDiv w:val="1"/>
      <w:marLeft w:val="0"/>
      <w:marRight w:val="0"/>
      <w:marTop w:val="0"/>
      <w:marBottom w:val="0"/>
      <w:divBdr>
        <w:top w:val="none" w:sz="0" w:space="0" w:color="auto"/>
        <w:left w:val="none" w:sz="0" w:space="0" w:color="auto"/>
        <w:bottom w:val="none" w:sz="0" w:space="0" w:color="auto"/>
        <w:right w:val="none" w:sz="0" w:space="0" w:color="auto"/>
      </w:divBdr>
    </w:div>
    <w:div w:id="889271406">
      <w:bodyDiv w:val="1"/>
      <w:marLeft w:val="0"/>
      <w:marRight w:val="0"/>
      <w:marTop w:val="0"/>
      <w:marBottom w:val="0"/>
      <w:divBdr>
        <w:top w:val="none" w:sz="0" w:space="0" w:color="auto"/>
        <w:left w:val="none" w:sz="0" w:space="0" w:color="auto"/>
        <w:bottom w:val="none" w:sz="0" w:space="0" w:color="auto"/>
        <w:right w:val="none" w:sz="0" w:space="0" w:color="auto"/>
      </w:divBdr>
    </w:div>
    <w:div w:id="889922338">
      <w:bodyDiv w:val="1"/>
      <w:marLeft w:val="0"/>
      <w:marRight w:val="0"/>
      <w:marTop w:val="0"/>
      <w:marBottom w:val="0"/>
      <w:divBdr>
        <w:top w:val="none" w:sz="0" w:space="0" w:color="auto"/>
        <w:left w:val="none" w:sz="0" w:space="0" w:color="auto"/>
        <w:bottom w:val="none" w:sz="0" w:space="0" w:color="auto"/>
        <w:right w:val="none" w:sz="0" w:space="0" w:color="auto"/>
      </w:divBdr>
    </w:div>
    <w:div w:id="890044617">
      <w:bodyDiv w:val="1"/>
      <w:marLeft w:val="0"/>
      <w:marRight w:val="0"/>
      <w:marTop w:val="0"/>
      <w:marBottom w:val="0"/>
      <w:divBdr>
        <w:top w:val="none" w:sz="0" w:space="0" w:color="auto"/>
        <w:left w:val="none" w:sz="0" w:space="0" w:color="auto"/>
        <w:bottom w:val="none" w:sz="0" w:space="0" w:color="auto"/>
        <w:right w:val="none" w:sz="0" w:space="0" w:color="auto"/>
      </w:divBdr>
    </w:div>
    <w:div w:id="890967911">
      <w:bodyDiv w:val="1"/>
      <w:marLeft w:val="0"/>
      <w:marRight w:val="0"/>
      <w:marTop w:val="0"/>
      <w:marBottom w:val="0"/>
      <w:divBdr>
        <w:top w:val="none" w:sz="0" w:space="0" w:color="auto"/>
        <w:left w:val="none" w:sz="0" w:space="0" w:color="auto"/>
        <w:bottom w:val="none" w:sz="0" w:space="0" w:color="auto"/>
        <w:right w:val="none" w:sz="0" w:space="0" w:color="auto"/>
      </w:divBdr>
    </w:div>
    <w:div w:id="892083016">
      <w:bodyDiv w:val="1"/>
      <w:marLeft w:val="0"/>
      <w:marRight w:val="0"/>
      <w:marTop w:val="0"/>
      <w:marBottom w:val="0"/>
      <w:divBdr>
        <w:top w:val="none" w:sz="0" w:space="0" w:color="auto"/>
        <w:left w:val="none" w:sz="0" w:space="0" w:color="auto"/>
        <w:bottom w:val="none" w:sz="0" w:space="0" w:color="auto"/>
        <w:right w:val="none" w:sz="0" w:space="0" w:color="auto"/>
      </w:divBdr>
    </w:div>
    <w:div w:id="894967077">
      <w:bodyDiv w:val="1"/>
      <w:marLeft w:val="0"/>
      <w:marRight w:val="0"/>
      <w:marTop w:val="0"/>
      <w:marBottom w:val="0"/>
      <w:divBdr>
        <w:top w:val="none" w:sz="0" w:space="0" w:color="auto"/>
        <w:left w:val="none" w:sz="0" w:space="0" w:color="auto"/>
        <w:bottom w:val="none" w:sz="0" w:space="0" w:color="auto"/>
        <w:right w:val="none" w:sz="0" w:space="0" w:color="auto"/>
      </w:divBdr>
    </w:div>
    <w:div w:id="896163340">
      <w:bodyDiv w:val="1"/>
      <w:marLeft w:val="0"/>
      <w:marRight w:val="0"/>
      <w:marTop w:val="0"/>
      <w:marBottom w:val="0"/>
      <w:divBdr>
        <w:top w:val="none" w:sz="0" w:space="0" w:color="auto"/>
        <w:left w:val="none" w:sz="0" w:space="0" w:color="auto"/>
        <w:bottom w:val="none" w:sz="0" w:space="0" w:color="auto"/>
        <w:right w:val="none" w:sz="0" w:space="0" w:color="auto"/>
      </w:divBdr>
    </w:div>
    <w:div w:id="896546626">
      <w:bodyDiv w:val="1"/>
      <w:marLeft w:val="0"/>
      <w:marRight w:val="0"/>
      <w:marTop w:val="0"/>
      <w:marBottom w:val="0"/>
      <w:divBdr>
        <w:top w:val="none" w:sz="0" w:space="0" w:color="auto"/>
        <w:left w:val="none" w:sz="0" w:space="0" w:color="auto"/>
        <w:bottom w:val="none" w:sz="0" w:space="0" w:color="auto"/>
        <w:right w:val="none" w:sz="0" w:space="0" w:color="auto"/>
      </w:divBdr>
    </w:div>
    <w:div w:id="897284411">
      <w:bodyDiv w:val="1"/>
      <w:marLeft w:val="0"/>
      <w:marRight w:val="0"/>
      <w:marTop w:val="0"/>
      <w:marBottom w:val="0"/>
      <w:divBdr>
        <w:top w:val="none" w:sz="0" w:space="0" w:color="auto"/>
        <w:left w:val="none" w:sz="0" w:space="0" w:color="auto"/>
        <w:bottom w:val="none" w:sz="0" w:space="0" w:color="auto"/>
        <w:right w:val="none" w:sz="0" w:space="0" w:color="auto"/>
      </w:divBdr>
    </w:div>
    <w:div w:id="898174561">
      <w:bodyDiv w:val="1"/>
      <w:marLeft w:val="0"/>
      <w:marRight w:val="0"/>
      <w:marTop w:val="0"/>
      <w:marBottom w:val="0"/>
      <w:divBdr>
        <w:top w:val="none" w:sz="0" w:space="0" w:color="auto"/>
        <w:left w:val="none" w:sz="0" w:space="0" w:color="auto"/>
        <w:bottom w:val="none" w:sz="0" w:space="0" w:color="auto"/>
        <w:right w:val="none" w:sz="0" w:space="0" w:color="auto"/>
      </w:divBdr>
    </w:div>
    <w:div w:id="898441963">
      <w:bodyDiv w:val="1"/>
      <w:marLeft w:val="0"/>
      <w:marRight w:val="0"/>
      <w:marTop w:val="0"/>
      <w:marBottom w:val="0"/>
      <w:divBdr>
        <w:top w:val="none" w:sz="0" w:space="0" w:color="auto"/>
        <w:left w:val="none" w:sz="0" w:space="0" w:color="auto"/>
        <w:bottom w:val="none" w:sz="0" w:space="0" w:color="auto"/>
        <w:right w:val="none" w:sz="0" w:space="0" w:color="auto"/>
      </w:divBdr>
    </w:div>
    <w:div w:id="899440710">
      <w:bodyDiv w:val="1"/>
      <w:marLeft w:val="0"/>
      <w:marRight w:val="0"/>
      <w:marTop w:val="0"/>
      <w:marBottom w:val="0"/>
      <w:divBdr>
        <w:top w:val="none" w:sz="0" w:space="0" w:color="auto"/>
        <w:left w:val="none" w:sz="0" w:space="0" w:color="auto"/>
        <w:bottom w:val="none" w:sz="0" w:space="0" w:color="auto"/>
        <w:right w:val="none" w:sz="0" w:space="0" w:color="auto"/>
      </w:divBdr>
    </w:div>
    <w:div w:id="900095672">
      <w:bodyDiv w:val="1"/>
      <w:marLeft w:val="0"/>
      <w:marRight w:val="0"/>
      <w:marTop w:val="0"/>
      <w:marBottom w:val="0"/>
      <w:divBdr>
        <w:top w:val="none" w:sz="0" w:space="0" w:color="auto"/>
        <w:left w:val="none" w:sz="0" w:space="0" w:color="auto"/>
        <w:bottom w:val="none" w:sz="0" w:space="0" w:color="auto"/>
        <w:right w:val="none" w:sz="0" w:space="0" w:color="auto"/>
      </w:divBdr>
    </w:div>
    <w:div w:id="900599746">
      <w:bodyDiv w:val="1"/>
      <w:marLeft w:val="0"/>
      <w:marRight w:val="0"/>
      <w:marTop w:val="0"/>
      <w:marBottom w:val="0"/>
      <w:divBdr>
        <w:top w:val="none" w:sz="0" w:space="0" w:color="auto"/>
        <w:left w:val="none" w:sz="0" w:space="0" w:color="auto"/>
        <w:bottom w:val="none" w:sz="0" w:space="0" w:color="auto"/>
        <w:right w:val="none" w:sz="0" w:space="0" w:color="auto"/>
      </w:divBdr>
    </w:div>
    <w:div w:id="900750500">
      <w:bodyDiv w:val="1"/>
      <w:marLeft w:val="0"/>
      <w:marRight w:val="0"/>
      <w:marTop w:val="0"/>
      <w:marBottom w:val="0"/>
      <w:divBdr>
        <w:top w:val="none" w:sz="0" w:space="0" w:color="auto"/>
        <w:left w:val="none" w:sz="0" w:space="0" w:color="auto"/>
        <w:bottom w:val="none" w:sz="0" w:space="0" w:color="auto"/>
        <w:right w:val="none" w:sz="0" w:space="0" w:color="auto"/>
      </w:divBdr>
    </w:div>
    <w:div w:id="900873180">
      <w:bodyDiv w:val="1"/>
      <w:marLeft w:val="0"/>
      <w:marRight w:val="0"/>
      <w:marTop w:val="0"/>
      <w:marBottom w:val="0"/>
      <w:divBdr>
        <w:top w:val="none" w:sz="0" w:space="0" w:color="auto"/>
        <w:left w:val="none" w:sz="0" w:space="0" w:color="auto"/>
        <w:bottom w:val="none" w:sz="0" w:space="0" w:color="auto"/>
        <w:right w:val="none" w:sz="0" w:space="0" w:color="auto"/>
      </w:divBdr>
    </w:div>
    <w:div w:id="901134413">
      <w:bodyDiv w:val="1"/>
      <w:marLeft w:val="0"/>
      <w:marRight w:val="0"/>
      <w:marTop w:val="0"/>
      <w:marBottom w:val="0"/>
      <w:divBdr>
        <w:top w:val="none" w:sz="0" w:space="0" w:color="auto"/>
        <w:left w:val="none" w:sz="0" w:space="0" w:color="auto"/>
        <w:bottom w:val="none" w:sz="0" w:space="0" w:color="auto"/>
        <w:right w:val="none" w:sz="0" w:space="0" w:color="auto"/>
      </w:divBdr>
    </w:div>
    <w:div w:id="901214203">
      <w:bodyDiv w:val="1"/>
      <w:marLeft w:val="0"/>
      <w:marRight w:val="0"/>
      <w:marTop w:val="0"/>
      <w:marBottom w:val="0"/>
      <w:divBdr>
        <w:top w:val="none" w:sz="0" w:space="0" w:color="auto"/>
        <w:left w:val="none" w:sz="0" w:space="0" w:color="auto"/>
        <w:bottom w:val="none" w:sz="0" w:space="0" w:color="auto"/>
        <w:right w:val="none" w:sz="0" w:space="0" w:color="auto"/>
      </w:divBdr>
    </w:div>
    <w:div w:id="902331472">
      <w:bodyDiv w:val="1"/>
      <w:marLeft w:val="0"/>
      <w:marRight w:val="0"/>
      <w:marTop w:val="0"/>
      <w:marBottom w:val="0"/>
      <w:divBdr>
        <w:top w:val="none" w:sz="0" w:space="0" w:color="auto"/>
        <w:left w:val="none" w:sz="0" w:space="0" w:color="auto"/>
        <w:bottom w:val="none" w:sz="0" w:space="0" w:color="auto"/>
        <w:right w:val="none" w:sz="0" w:space="0" w:color="auto"/>
      </w:divBdr>
    </w:div>
    <w:div w:id="903028427">
      <w:bodyDiv w:val="1"/>
      <w:marLeft w:val="0"/>
      <w:marRight w:val="0"/>
      <w:marTop w:val="0"/>
      <w:marBottom w:val="0"/>
      <w:divBdr>
        <w:top w:val="none" w:sz="0" w:space="0" w:color="auto"/>
        <w:left w:val="none" w:sz="0" w:space="0" w:color="auto"/>
        <w:bottom w:val="none" w:sz="0" w:space="0" w:color="auto"/>
        <w:right w:val="none" w:sz="0" w:space="0" w:color="auto"/>
      </w:divBdr>
    </w:div>
    <w:div w:id="903610766">
      <w:bodyDiv w:val="1"/>
      <w:marLeft w:val="0"/>
      <w:marRight w:val="0"/>
      <w:marTop w:val="0"/>
      <w:marBottom w:val="0"/>
      <w:divBdr>
        <w:top w:val="none" w:sz="0" w:space="0" w:color="auto"/>
        <w:left w:val="none" w:sz="0" w:space="0" w:color="auto"/>
        <w:bottom w:val="none" w:sz="0" w:space="0" w:color="auto"/>
        <w:right w:val="none" w:sz="0" w:space="0" w:color="auto"/>
      </w:divBdr>
    </w:div>
    <w:div w:id="904993102">
      <w:bodyDiv w:val="1"/>
      <w:marLeft w:val="0"/>
      <w:marRight w:val="0"/>
      <w:marTop w:val="0"/>
      <w:marBottom w:val="0"/>
      <w:divBdr>
        <w:top w:val="none" w:sz="0" w:space="0" w:color="auto"/>
        <w:left w:val="none" w:sz="0" w:space="0" w:color="auto"/>
        <w:bottom w:val="none" w:sz="0" w:space="0" w:color="auto"/>
        <w:right w:val="none" w:sz="0" w:space="0" w:color="auto"/>
      </w:divBdr>
    </w:div>
    <w:div w:id="906065702">
      <w:bodyDiv w:val="1"/>
      <w:marLeft w:val="0"/>
      <w:marRight w:val="0"/>
      <w:marTop w:val="0"/>
      <w:marBottom w:val="0"/>
      <w:divBdr>
        <w:top w:val="none" w:sz="0" w:space="0" w:color="auto"/>
        <w:left w:val="none" w:sz="0" w:space="0" w:color="auto"/>
        <w:bottom w:val="none" w:sz="0" w:space="0" w:color="auto"/>
        <w:right w:val="none" w:sz="0" w:space="0" w:color="auto"/>
      </w:divBdr>
    </w:div>
    <w:div w:id="906650478">
      <w:bodyDiv w:val="1"/>
      <w:marLeft w:val="0"/>
      <w:marRight w:val="0"/>
      <w:marTop w:val="0"/>
      <w:marBottom w:val="0"/>
      <w:divBdr>
        <w:top w:val="none" w:sz="0" w:space="0" w:color="auto"/>
        <w:left w:val="none" w:sz="0" w:space="0" w:color="auto"/>
        <w:bottom w:val="none" w:sz="0" w:space="0" w:color="auto"/>
        <w:right w:val="none" w:sz="0" w:space="0" w:color="auto"/>
      </w:divBdr>
    </w:div>
    <w:div w:id="906959027">
      <w:bodyDiv w:val="1"/>
      <w:marLeft w:val="0"/>
      <w:marRight w:val="0"/>
      <w:marTop w:val="0"/>
      <w:marBottom w:val="0"/>
      <w:divBdr>
        <w:top w:val="none" w:sz="0" w:space="0" w:color="auto"/>
        <w:left w:val="none" w:sz="0" w:space="0" w:color="auto"/>
        <w:bottom w:val="none" w:sz="0" w:space="0" w:color="auto"/>
        <w:right w:val="none" w:sz="0" w:space="0" w:color="auto"/>
      </w:divBdr>
    </w:div>
    <w:div w:id="907494013">
      <w:bodyDiv w:val="1"/>
      <w:marLeft w:val="0"/>
      <w:marRight w:val="0"/>
      <w:marTop w:val="0"/>
      <w:marBottom w:val="0"/>
      <w:divBdr>
        <w:top w:val="none" w:sz="0" w:space="0" w:color="auto"/>
        <w:left w:val="none" w:sz="0" w:space="0" w:color="auto"/>
        <w:bottom w:val="none" w:sz="0" w:space="0" w:color="auto"/>
        <w:right w:val="none" w:sz="0" w:space="0" w:color="auto"/>
      </w:divBdr>
    </w:div>
    <w:div w:id="907763851">
      <w:bodyDiv w:val="1"/>
      <w:marLeft w:val="0"/>
      <w:marRight w:val="0"/>
      <w:marTop w:val="0"/>
      <w:marBottom w:val="0"/>
      <w:divBdr>
        <w:top w:val="none" w:sz="0" w:space="0" w:color="auto"/>
        <w:left w:val="none" w:sz="0" w:space="0" w:color="auto"/>
        <w:bottom w:val="none" w:sz="0" w:space="0" w:color="auto"/>
        <w:right w:val="none" w:sz="0" w:space="0" w:color="auto"/>
      </w:divBdr>
    </w:div>
    <w:div w:id="908005045">
      <w:bodyDiv w:val="1"/>
      <w:marLeft w:val="0"/>
      <w:marRight w:val="0"/>
      <w:marTop w:val="0"/>
      <w:marBottom w:val="0"/>
      <w:divBdr>
        <w:top w:val="none" w:sz="0" w:space="0" w:color="auto"/>
        <w:left w:val="none" w:sz="0" w:space="0" w:color="auto"/>
        <w:bottom w:val="none" w:sz="0" w:space="0" w:color="auto"/>
        <w:right w:val="none" w:sz="0" w:space="0" w:color="auto"/>
      </w:divBdr>
    </w:div>
    <w:div w:id="908005277">
      <w:bodyDiv w:val="1"/>
      <w:marLeft w:val="0"/>
      <w:marRight w:val="0"/>
      <w:marTop w:val="0"/>
      <w:marBottom w:val="0"/>
      <w:divBdr>
        <w:top w:val="none" w:sz="0" w:space="0" w:color="auto"/>
        <w:left w:val="none" w:sz="0" w:space="0" w:color="auto"/>
        <w:bottom w:val="none" w:sz="0" w:space="0" w:color="auto"/>
        <w:right w:val="none" w:sz="0" w:space="0" w:color="auto"/>
      </w:divBdr>
    </w:div>
    <w:div w:id="908614679">
      <w:bodyDiv w:val="1"/>
      <w:marLeft w:val="0"/>
      <w:marRight w:val="0"/>
      <w:marTop w:val="0"/>
      <w:marBottom w:val="0"/>
      <w:divBdr>
        <w:top w:val="none" w:sz="0" w:space="0" w:color="auto"/>
        <w:left w:val="none" w:sz="0" w:space="0" w:color="auto"/>
        <w:bottom w:val="none" w:sz="0" w:space="0" w:color="auto"/>
        <w:right w:val="none" w:sz="0" w:space="0" w:color="auto"/>
      </w:divBdr>
    </w:div>
    <w:div w:id="909735667">
      <w:bodyDiv w:val="1"/>
      <w:marLeft w:val="0"/>
      <w:marRight w:val="0"/>
      <w:marTop w:val="0"/>
      <w:marBottom w:val="0"/>
      <w:divBdr>
        <w:top w:val="none" w:sz="0" w:space="0" w:color="auto"/>
        <w:left w:val="none" w:sz="0" w:space="0" w:color="auto"/>
        <w:bottom w:val="none" w:sz="0" w:space="0" w:color="auto"/>
        <w:right w:val="none" w:sz="0" w:space="0" w:color="auto"/>
      </w:divBdr>
    </w:div>
    <w:div w:id="910505147">
      <w:bodyDiv w:val="1"/>
      <w:marLeft w:val="0"/>
      <w:marRight w:val="0"/>
      <w:marTop w:val="0"/>
      <w:marBottom w:val="0"/>
      <w:divBdr>
        <w:top w:val="none" w:sz="0" w:space="0" w:color="auto"/>
        <w:left w:val="none" w:sz="0" w:space="0" w:color="auto"/>
        <w:bottom w:val="none" w:sz="0" w:space="0" w:color="auto"/>
        <w:right w:val="none" w:sz="0" w:space="0" w:color="auto"/>
      </w:divBdr>
    </w:div>
    <w:div w:id="911551542">
      <w:bodyDiv w:val="1"/>
      <w:marLeft w:val="0"/>
      <w:marRight w:val="0"/>
      <w:marTop w:val="0"/>
      <w:marBottom w:val="0"/>
      <w:divBdr>
        <w:top w:val="none" w:sz="0" w:space="0" w:color="auto"/>
        <w:left w:val="none" w:sz="0" w:space="0" w:color="auto"/>
        <w:bottom w:val="none" w:sz="0" w:space="0" w:color="auto"/>
        <w:right w:val="none" w:sz="0" w:space="0" w:color="auto"/>
      </w:divBdr>
    </w:div>
    <w:div w:id="912130626">
      <w:bodyDiv w:val="1"/>
      <w:marLeft w:val="0"/>
      <w:marRight w:val="0"/>
      <w:marTop w:val="0"/>
      <w:marBottom w:val="0"/>
      <w:divBdr>
        <w:top w:val="none" w:sz="0" w:space="0" w:color="auto"/>
        <w:left w:val="none" w:sz="0" w:space="0" w:color="auto"/>
        <w:bottom w:val="none" w:sz="0" w:space="0" w:color="auto"/>
        <w:right w:val="none" w:sz="0" w:space="0" w:color="auto"/>
      </w:divBdr>
    </w:div>
    <w:div w:id="915825130">
      <w:bodyDiv w:val="1"/>
      <w:marLeft w:val="0"/>
      <w:marRight w:val="0"/>
      <w:marTop w:val="0"/>
      <w:marBottom w:val="0"/>
      <w:divBdr>
        <w:top w:val="none" w:sz="0" w:space="0" w:color="auto"/>
        <w:left w:val="none" w:sz="0" w:space="0" w:color="auto"/>
        <w:bottom w:val="none" w:sz="0" w:space="0" w:color="auto"/>
        <w:right w:val="none" w:sz="0" w:space="0" w:color="auto"/>
      </w:divBdr>
    </w:div>
    <w:div w:id="915942476">
      <w:bodyDiv w:val="1"/>
      <w:marLeft w:val="0"/>
      <w:marRight w:val="0"/>
      <w:marTop w:val="0"/>
      <w:marBottom w:val="0"/>
      <w:divBdr>
        <w:top w:val="none" w:sz="0" w:space="0" w:color="auto"/>
        <w:left w:val="none" w:sz="0" w:space="0" w:color="auto"/>
        <w:bottom w:val="none" w:sz="0" w:space="0" w:color="auto"/>
        <w:right w:val="none" w:sz="0" w:space="0" w:color="auto"/>
      </w:divBdr>
    </w:div>
    <w:div w:id="916092433">
      <w:bodyDiv w:val="1"/>
      <w:marLeft w:val="0"/>
      <w:marRight w:val="0"/>
      <w:marTop w:val="0"/>
      <w:marBottom w:val="0"/>
      <w:divBdr>
        <w:top w:val="none" w:sz="0" w:space="0" w:color="auto"/>
        <w:left w:val="none" w:sz="0" w:space="0" w:color="auto"/>
        <w:bottom w:val="none" w:sz="0" w:space="0" w:color="auto"/>
        <w:right w:val="none" w:sz="0" w:space="0" w:color="auto"/>
      </w:divBdr>
    </w:div>
    <w:div w:id="916476654">
      <w:bodyDiv w:val="1"/>
      <w:marLeft w:val="0"/>
      <w:marRight w:val="0"/>
      <w:marTop w:val="0"/>
      <w:marBottom w:val="0"/>
      <w:divBdr>
        <w:top w:val="none" w:sz="0" w:space="0" w:color="auto"/>
        <w:left w:val="none" w:sz="0" w:space="0" w:color="auto"/>
        <w:bottom w:val="none" w:sz="0" w:space="0" w:color="auto"/>
        <w:right w:val="none" w:sz="0" w:space="0" w:color="auto"/>
      </w:divBdr>
    </w:div>
    <w:div w:id="918059935">
      <w:bodyDiv w:val="1"/>
      <w:marLeft w:val="0"/>
      <w:marRight w:val="0"/>
      <w:marTop w:val="0"/>
      <w:marBottom w:val="0"/>
      <w:divBdr>
        <w:top w:val="none" w:sz="0" w:space="0" w:color="auto"/>
        <w:left w:val="none" w:sz="0" w:space="0" w:color="auto"/>
        <w:bottom w:val="none" w:sz="0" w:space="0" w:color="auto"/>
        <w:right w:val="none" w:sz="0" w:space="0" w:color="auto"/>
      </w:divBdr>
    </w:div>
    <w:div w:id="919095191">
      <w:bodyDiv w:val="1"/>
      <w:marLeft w:val="0"/>
      <w:marRight w:val="0"/>
      <w:marTop w:val="0"/>
      <w:marBottom w:val="0"/>
      <w:divBdr>
        <w:top w:val="none" w:sz="0" w:space="0" w:color="auto"/>
        <w:left w:val="none" w:sz="0" w:space="0" w:color="auto"/>
        <w:bottom w:val="none" w:sz="0" w:space="0" w:color="auto"/>
        <w:right w:val="none" w:sz="0" w:space="0" w:color="auto"/>
      </w:divBdr>
    </w:div>
    <w:div w:id="919220877">
      <w:bodyDiv w:val="1"/>
      <w:marLeft w:val="0"/>
      <w:marRight w:val="0"/>
      <w:marTop w:val="0"/>
      <w:marBottom w:val="0"/>
      <w:divBdr>
        <w:top w:val="none" w:sz="0" w:space="0" w:color="auto"/>
        <w:left w:val="none" w:sz="0" w:space="0" w:color="auto"/>
        <w:bottom w:val="none" w:sz="0" w:space="0" w:color="auto"/>
        <w:right w:val="none" w:sz="0" w:space="0" w:color="auto"/>
      </w:divBdr>
    </w:div>
    <w:div w:id="919296171">
      <w:bodyDiv w:val="1"/>
      <w:marLeft w:val="0"/>
      <w:marRight w:val="0"/>
      <w:marTop w:val="0"/>
      <w:marBottom w:val="0"/>
      <w:divBdr>
        <w:top w:val="none" w:sz="0" w:space="0" w:color="auto"/>
        <w:left w:val="none" w:sz="0" w:space="0" w:color="auto"/>
        <w:bottom w:val="none" w:sz="0" w:space="0" w:color="auto"/>
        <w:right w:val="none" w:sz="0" w:space="0" w:color="auto"/>
      </w:divBdr>
    </w:div>
    <w:div w:id="919676244">
      <w:bodyDiv w:val="1"/>
      <w:marLeft w:val="0"/>
      <w:marRight w:val="0"/>
      <w:marTop w:val="0"/>
      <w:marBottom w:val="0"/>
      <w:divBdr>
        <w:top w:val="none" w:sz="0" w:space="0" w:color="auto"/>
        <w:left w:val="none" w:sz="0" w:space="0" w:color="auto"/>
        <w:bottom w:val="none" w:sz="0" w:space="0" w:color="auto"/>
        <w:right w:val="none" w:sz="0" w:space="0" w:color="auto"/>
      </w:divBdr>
    </w:div>
    <w:div w:id="919947828">
      <w:bodyDiv w:val="1"/>
      <w:marLeft w:val="0"/>
      <w:marRight w:val="0"/>
      <w:marTop w:val="0"/>
      <w:marBottom w:val="0"/>
      <w:divBdr>
        <w:top w:val="none" w:sz="0" w:space="0" w:color="auto"/>
        <w:left w:val="none" w:sz="0" w:space="0" w:color="auto"/>
        <w:bottom w:val="none" w:sz="0" w:space="0" w:color="auto"/>
        <w:right w:val="none" w:sz="0" w:space="0" w:color="auto"/>
      </w:divBdr>
    </w:div>
    <w:div w:id="920216351">
      <w:bodyDiv w:val="1"/>
      <w:marLeft w:val="0"/>
      <w:marRight w:val="0"/>
      <w:marTop w:val="0"/>
      <w:marBottom w:val="0"/>
      <w:divBdr>
        <w:top w:val="none" w:sz="0" w:space="0" w:color="auto"/>
        <w:left w:val="none" w:sz="0" w:space="0" w:color="auto"/>
        <w:bottom w:val="none" w:sz="0" w:space="0" w:color="auto"/>
        <w:right w:val="none" w:sz="0" w:space="0" w:color="auto"/>
      </w:divBdr>
    </w:div>
    <w:div w:id="921914818">
      <w:bodyDiv w:val="1"/>
      <w:marLeft w:val="0"/>
      <w:marRight w:val="0"/>
      <w:marTop w:val="0"/>
      <w:marBottom w:val="0"/>
      <w:divBdr>
        <w:top w:val="none" w:sz="0" w:space="0" w:color="auto"/>
        <w:left w:val="none" w:sz="0" w:space="0" w:color="auto"/>
        <w:bottom w:val="none" w:sz="0" w:space="0" w:color="auto"/>
        <w:right w:val="none" w:sz="0" w:space="0" w:color="auto"/>
      </w:divBdr>
    </w:div>
    <w:div w:id="922763412">
      <w:bodyDiv w:val="1"/>
      <w:marLeft w:val="0"/>
      <w:marRight w:val="0"/>
      <w:marTop w:val="0"/>
      <w:marBottom w:val="0"/>
      <w:divBdr>
        <w:top w:val="none" w:sz="0" w:space="0" w:color="auto"/>
        <w:left w:val="none" w:sz="0" w:space="0" w:color="auto"/>
        <w:bottom w:val="none" w:sz="0" w:space="0" w:color="auto"/>
        <w:right w:val="none" w:sz="0" w:space="0" w:color="auto"/>
      </w:divBdr>
    </w:div>
    <w:div w:id="923031733">
      <w:bodyDiv w:val="1"/>
      <w:marLeft w:val="0"/>
      <w:marRight w:val="0"/>
      <w:marTop w:val="0"/>
      <w:marBottom w:val="0"/>
      <w:divBdr>
        <w:top w:val="none" w:sz="0" w:space="0" w:color="auto"/>
        <w:left w:val="none" w:sz="0" w:space="0" w:color="auto"/>
        <w:bottom w:val="none" w:sz="0" w:space="0" w:color="auto"/>
        <w:right w:val="none" w:sz="0" w:space="0" w:color="auto"/>
      </w:divBdr>
    </w:div>
    <w:div w:id="924070782">
      <w:bodyDiv w:val="1"/>
      <w:marLeft w:val="0"/>
      <w:marRight w:val="0"/>
      <w:marTop w:val="0"/>
      <w:marBottom w:val="0"/>
      <w:divBdr>
        <w:top w:val="none" w:sz="0" w:space="0" w:color="auto"/>
        <w:left w:val="none" w:sz="0" w:space="0" w:color="auto"/>
        <w:bottom w:val="none" w:sz="0" w:space="0" w:color="auto"/>
        <w:right w:val="none" w:sz="0" w:space="0" w:color="auto"/>
      </w:divBdr>
    </w:div>
    <w:div w:id="924149672">
      <w:bodyDiv w:val="1"/>
      <w:marLeft w:val="0"/>
      <w:marRight w:val="0"/>
      <w:marTop w:val="0"/>
      <w:marBottom w:val="0"/>
      <w:divBdr>
        <w:top w:val="none" w:sz="0" w:space="0" w:color="auto"/>
        <w:left w:val="none" w:sz="0" w:space="0" w:color="auto"/>
        <w:bottom w:val="none" w:sz="0" w:space="0" w:color="auto"/>
        <w:right w:val="none" w:sz="0" w:space="0" w:color="auto"/>
      </w:divBdr>
    </w:div>
    <w:div w:id="924918407">
      <w:bodyDiv w:val="1"/>
      <w:marLeft w:val="0"/>
      <w:marRight w:val="0"/>
      <w:marTop w:val="0"/>
      <w:marBottom w:val="0"/>
      <w:divBdr>
        <w:top w:val="none" w:sz="0" w:space="0" w:color="auto"/>
        <w:left w:val="none" w:sz="0" w:space="0" w:color="auto"/>
        <w:bottom w:val="none" w:sz="0" w:space="0" w:color="auto"/>
        <w:right w:val="none" w:sz="0" w:space="0" w:color="auto"/>
      </w:divBdr>
    </w:div>
    <w:div w:id="925193608">
      <w:bodyDiv w:val="1"/>
      <w:marLeft w:val="0"/>
      <w:marRight w:val="0"/>
      <w:marTop w:val="0"/>
      <w:marBottom w:val="0"/>
      <w:divBdr>
        <w:top w:val="none" w:sz="0" w:space="0" w:color="auto"/>
        <w:left w:val="none" w:sz="0" w:space="0" w:color="auto"/>
        <w:bottom w:val="none" w:sz="0" w:space="0" w:color="auto"/>
        <w:right w:val="none" w:sz="0" w:space="0" w:color="auto"/>
      </w:divBdr>
    </w:div>
    <w:div w:id="925462243">
      <w:bodyDiv w:val="1"/>
      <w:marLeft w:val="0"/>
      <w:marRight w:val="0"/>
      <w:marTop w:val="0"/>
      <w:marBottom w:val="0"/>
      <w:divBdr>
        <w:top w:val="none" w:sz="0" w:space="0" w:color="auto"/>
        <w:left w:val="none" w:sz="0" w:space="0" w:color="auto"/>
        <w:bottom w:val="none" w:sz="0" w:space="0" w:color="auto"/>
        <w:right w:val="none" w:sz="0" w:space="0" w:color="auto"/>
      </w:divBdr>
    </w:div>
    <w:div w:id="925841403">
      <w:bodyDiv w:val="1"/>
      <w:marLeft w:val="0"/>
      <w:marRight w:val="0"/>
      <w:marTop w:val="0"/>
      <w:marBottom w:val="0"/>
      <w:divBdr>
        <w:top w:val="none" w:sz="0" w:space="0" w:color="auto"/>
        <w:left w:val="none" w:sz="0" w:space="0" w:color="auto"/>
        <w:bottom w:val="none" w:sz="0" w:space="0" w:color="auto"/>
        <w:right w:val="none" w:sz="0" w:space="0" w:color="auto"/>
      </w:divBdr>
    </w:div>
    <w:div w:id="925959424">
      <w:bodyDiv w:val="1"/>
      <w:marLeft w:val="0"/>
      <w:marRight w:val="0"/>
      <w:marTop w:val="0"/>
      <w:marBottom w:val="0"/>
      <w:divBdr>
        <w:top w:val="none" w:sz="0" w:space="0" w:color="auto"/>
        <w:left w:val="none" w:sz="0" w:space="0" w:color="auto"/>
        <w:bottom w:val="none" w:sz="0" w:space="0" w:color="auto"/>
        <w:right w:val="none" w:sz="0" w:space="0" w:color="auto"/>
      </w:divBdr>
    </w:div>
    <w:div w:id="927035179">
      <w:bodyDiv w:val="1"/>
      <w:marLeft w:val="0"/>
      <w:marRight w:val="0"/>
      <w:marTop w:val="0"/>
      <w:marBottom w:val="0"/>
      <w:divBdr>
        <w:top w:val="none" w:sz="0" w:space="0" w:color="auto"/>
        <w:left w:val="none" w:sz="0" w:space="0" w:color="auto"/>
        <w:bottom w:val="none" w:sz="0" w:space="0" w:color="auto"/>
        <w:right w:val="none" w:sz="0" w:space="0" w:color="auto"/>
      </w:divBdr>
    </w:div>
    <w:div w:id="927542057">
      <w:bodyDiv w:val="1"/>
      <w:marLeft w:val="0"/>
      <w:marRight w:val="0"/>
      <w:marTop w:val="0"/>
      <w:marBottom w:val="0"/>
      <w:divBdr>
        <w:top w:val="none" w:sz="0" w:space="0" w:color="auto"/>
        <w:left w:val="none" w:sz="0" w:space="0" w:color="auto"/>
        <w:bottom w:val="none" w:sz="0" w:space="0" w:color="auto"/>
        <w:right w:val="none" w:sz="0" w:space="0" w:color="auto"/>
      </w:divBdr>
    </w:div>
    <w:div w:id="928587189">
      <w:bodyDiv w:val="1"/>
      <w:marLeft w:val="0"/>
      <w:marRight w:val="0"/>
      <w:marTop w:val="0"/>
      <w:marBottom w:val="0"/>
      <w:divBdr>
        <w:top w:val="none" w:sz="0" w:space="0" w:color="auto"/>
        <w:left w:val="none" w:sz="0" w:space="0" w:color="auto"/>
        <w:bottom w:val="none" w:sz="0" w:space="0" w:color="auto"/>
        <w:right w:val="none" w:sz="0" w:space="0" w:color="auto"/>
      </w:divBdr>
    </w:div>
    <w:div w:id="929118958">
      <w:bodyDiv w:val="1"/>
      <w:marLeft w:val="0"/>
      <w:marRight w:val="0"/>
      <w:marTop w:val="0"/>
      <w:marBottom w:val="0"/>
      <w:divBdr>
        <w:top w:val="none" w:sz="0" w:space="0" w:color="auto"/>
        <w:left w:val="none" w:sz="0" w:space="0" w:color="auto"/>
        <w:bottom w:val="none" w:sz="0" w:space="0" w:color="auto"/>
        <w:right w:val="none" w:sz="0" w:space="0" w:color="auto"/>
      </w:divBdr>
    </w:div>
    <w:div w:id="929660073">
      <w:bodyDiv w:val="1"/>
      <w:marLeft w:val="0"/>
      <w:marRight w:val="0"/>
      <w:marTop w:val="0"/>
      <w:marBottom w:val="0"/>
      <w:divBdr>
        <w:top w:val="none" w:sz="0" w:space="0" w:color="auto"/>
        <w:left w:val="none" w:sz="0" w:space="0" w:color="auto"/>
        <w:bottom w:val="none" w:sz="0" w:space="0" w:color="auto"/>
        <w:right w:val="none" w:sz="0" w:space="0" w:color="auto"/>
      </w:divBdr>
    </w:div>
    <w:div w:id="930427882">
      <w:bodyDiv w:val="1"/>
      <w:marLeft w:val="0"/>
      <w:marRight w:val="0"/>
      <w:marTop w:val="0"/>
      <w:marBottom w:val="0"/>
      <w:divBdr>
        <w:top w:val="none" w:sz="0" w:space="0" w:color="auto"/>
        <w:left w:val="none" w:sz="0" w:space="0" w:color="auto"/>
        <w:bottom w:val="none" w:sz="0" w:space="0" w:color="auto"/>
        <w:right w:val="none" w:sz="0" w:space="0" w:color="auto"/>
      </w:divBdr>
    </w:div>
    <w:div w:id="930507192">
      <w:bodyDiv w:val="1"/>
      <w:marLeft w:val="0"/>
      <w:marRight w:val="0"/>
      <w:marTop w:val="0"/>
      <w:marBottom w:val="0"/>
      <w:divBdr>
        <w:top w:val="none" w:sz="0" w:space="0" w:color="auto"/>
        <w:left w:val="none" w:sz="0" w:space="0" w:color="auto"/>
        <w:bottom w:val="none" w:sz="0" w:space="0" w:color="auto"/>
        <w:right w:val="none" w:sz="0" w:space="0" w:color="auto"/>
      </w:divBdr>
    </w:div>
    <w:div w:id="930816489">
      <w:bodyDiv w:val="1"/>
      <w:marLeft w:val="0"/>
      <w:marRight w:val="0"/>
      <w:marTop w:val="0"/>
      <w:marBottom w:val="0"/>
      <w:divBdr>
        <w:top w:val="none" w:sz="0" w:space="0" w:color="auto"/>
        <w:left w:val="none" w:sz="0" w:space="0" w:color="auto"/>
        <w:bottom w:val="none" w:sz="0" w:space="0" w:color="auto"/>
        <w:right w:val="none" w:sz="0" w:space="0" w:color="auto"/>
      </w:divBdr>
    </w:div>
    <w:div w:id="934556760">
      <w:bodyDiv w:val="1"/>
      <w:marLeft w:val="0"/>
      <w:marRight w:val="0"/>
      <w:marTop w:val="0"/>
      <w:marBottom w:val="0"/>
      <w:divBdr>
        <w:top w:val="none" w:sz="0" w:space="0" w:color="auto"/>
        <w:left w:val="none" w:sz="0" w:space="0" w:color="auto"/>
        <w:bottom w:val="none" w:sz="0" w:space="0" w:color="auto"/>
        <w:right w:val="none" w:sz="0" w:space="0" w:color="auto"/>
      </w:divBdr>
    </w:div>
    <w:div w:id="934939315">
      <w:bodyDiv w:val="1"/>
      <w:marLeft w:val="0"/>
      <w:marRight w:val="0"/>
      <w:marTop w:val="0"/>
      <w:marBottom w:val="0"/>
      <w:divBdr>
        <w:top w:val="none" w:sz="0" w:space="0" w:color="auto"/>
        <w:left w:val="none" w:sz="0" w:space="0" w:color="auto"/>
        <w:bottom w:val="none" w:sz="0" w:space="0" w:color="auto"/>
        <w:right w:val="none" w:sz="0" w:space="0" w:color="auto"/>
      </w:divBdr>
    </w:div>
    <w:div w:id="935551996">
      <w:bodyDiv w:val="1"/>
      <w:marLeft w:val="0"/>
      <w:marRight w:val="0"/>
      <w:marTop w:val="0"/>
      <w:marBottom w:val="0"/>
      <w:divBdr>
        <w:top w:val="none" w:sz="0" w:space="0" w:color="auto"/>
        <w:left w:val="none" w:sz="0" w:space="0" w:color="auto"/>
        <w:bottom w:val="none" w:sz="0" w:space="0" w:color="auto"/>
        <w:right w:val="none" w:sz="0" w:space="0" w:color="auto"/>
      </w:divBdr>
    </w:div>
    <w:div w:id="936213577">
      <w:bodyDiv w:val="1"/>
      <w:marLeft w:val="0"/>
      <w:marRight w:val="0"/>
      <w:marTop w:val="0"/>
      <w:marBottom w:val="0"/>
      <w:divBdr>
        <w:top w:val="none" w:sz="0" w:space="0" w:color="auto"/>
        <w:left w:val="none" w:sz="0" w:space="0" w:color="auto"/>
        <w:bottom w:val="none" w:sz="0" w:space="0" w:color="auto"/>
        <w:right w:val="none" w:sz="0" w:space="0" w:color="auto"/>
      </w:divBdr>
    </w:div>
    <w:div w:id="936793773">
      <w:bodyDiv w:val="1"/>
      <w:marLeft w:val="0"/>
      <w:marRight w:val="0"/>
      <w:marTop w:val="0"/>
      <w:marBottom w:val="0"/>
      <w:divBdr>
        <w:top w:val="none" w:sz="0" w:space="0" w:color="auto"/>
        <w:left w:val="none" w:sz="0" w:space="0" w:color="auto"/>
        <w:bottom w:val="none" w:sz="0" w:space="0" w:color="auto"/>
        <w:right w:val="none" w:sz="0" w:space="0" w:color="auto"/>
      </w:divBdr>
    </w:div>
    <w:div w:id="937761484">
      <w:bodyDiv w:val="1"/>
      <w:marLeft w:val="0"/>
      <w:marRight w:val="0"/>
      <w:marTop w:val="0"/>
      <w:marBottom w:val="0"/>
      <w:divBdr>
        <w:top w:val="none" w:sz="0" w:space="0" w:color="auto"/>
        <w:left w:val="none" w:sz="0" w:space="0" w:color="auto"/>
        <w:bottom w:val="none" w:sz="0" w:space="0" w:color="auto"/>
        <w:right w:val="none" w:sz="0" w:space="0" w:color="auto"/>
      </w:divBdr>
    </w:div>
    <w:div w:id="937903933">
      <w:bodyDiv w:val="1"/>
      <w:marLeft w:val="0"/>
      <w:marRight w:val="0"/>
      <w:marTop w:val="0"/>
      <w:marBottom w:val="0"/>
      <w:divBdr>
        <w:top w:val="none" w:sz="0" w:space="0" w:color="auto"/>
        <w:left w:val="none" w:sz="0" w:space="0" w:color="auto"/>
        <w:bottom w:val="none" w:sz="0" w:space="0" w:color="auto"/>
        <w:right w:val="none" w:sz="0" w:space="0" w:color="auto"/>
      </w:divBdr>
    </w:div>
    <w:div w:id="938873851">
      <w:bodyDiv w:val="1"/>
      <w:marLeft w:val="0"/>
      <w:marRight w:val="0"/>
      <w:marTop w:val="0"/>
      <w:marBottom w:val="0"/>
      <w:divBdr>
        <w:top w:val="none" w:sz="0" w:space="0" w:color="auto"/>
        <w:left w:val="none" w:sz="0" w:space="0" w:color="auto"/>
        <w:bottom w:val="none" w:sz="0" w:space="0" w:color="auto"/>
        <w:right w:val="none" w:sz="0" w:space="0" w:color="auto"/>
      </w:divBdr>
    </w:div>
    <w:div w:id="938874049">
      <w:bodyDiv w:val="1"/>
      <w:marLeft w:val="0"/>
      <w:marRight w:val="0"/>
      <w:marTop w:val="0"/>
      <w:marBottom w:val="0"/>
      <w:divBdr>
        <w:top w:val="none" w:sz="0" w:space="0" w:color="auto"/>
        <w:left w:val="none" w:sz="0" w:space="0" w:color="auto"/>
        <w:bottom w:val="none" w:sz="0" w:space="0" w:color="auto"/>
        <w:right w:val="none" w:sz="0" w:space="0" w:color="auto"/>
      </w:divBdr>
    </w:div>
    <w:div w:id="939485675">
      <w:bodyDiv w:val="1"/>
      <w:marLeft w:val="0"/>
      <w:marRight w:val="0"/>
      <w:marTop w:val="0"/>
      <w:marBottom w:val="0"/>
      <w:divBdr>
        <w:top w:val="none" w:sz="0" w:space="0" w:color="auto"/>
        <w:left w:val="none" w:sz="0" w:space="0" w:color="auto"/>
        <w:bottom w:val="none" w:sz="0" w:space="0" w:color="auto"/>
        <w:right w:val="none" w:sz="0" w:space="0" w:color="auto"/>
      </w:divBdr>
    </w:div>
    <w:div w:id="941037988">
      <w:bodyDiv w:val="1"/>
      <w:marLeft w:val="0"/>
      <w:marRight w:val="0"/>
      <w:marTop w:val="0"/>
      <w:marBottom w:val="0"/>
      <w:divBdr>
        <w:top w:val="none" w:sz="0" w:space="0" w:color="auto"/>
        <w:left w:val="none" w:sz="0" w:space="0" w:color="auto"/>
        <w:bottom w:val="none" w:sz="0" w:space="0" w:color="auto"/>
        <w:right w:val="none" w:sz="0" w:space="0" w:color="auto"/>
      </w:divBdr>
    </w:div>
    <w:div w:id="941380589">
      <w:bodyDiv w:val="1"/>
      <w:marLeft w:val="0"/>
      <w:marRight w:val="0"/>
      <w:marTop w:val="0"/>
      <w:marBottom w:val="0"/>
      <w:divBdr>
        <w:top w:val="none" w:sz="0" w:space="0" w:color="auto"/>
        <w:left w:val="none" w:sz="0" w:space="0" w:color="auto"/>
        <w:bottom w:val="none" w:sz="0" w:space="0" w:color="auto"/>
        <w:right w:val="none" w:sz="0" w:space="0" w:color="auto"/>
      </w:divBdr>
    </w:div>
    <w:div w:id="942297141">
      <w:bodyDiv w:val="1"/>
      <w:marLeft w:val="0"/>
      <w:marRight w:val="0"/>
      <w:marTop w:val="0"/>
      <w:marBottom w:val="0"/>
      <w:divBdr>
        <w:top w:val="none" w:sz="0" w:space="0" w:color="auto"/>
        <w:left w:val="none" w:sz="0" w:space="0" w:color="auto"/>
        <w:bottom w:val="none" w:sz="0" w:space="0" w:color="auto"/>
        <w:right w:val="none" w:sz="0" w:space="0" w:color="auto"/>
      </w:divBdr>
    </w:div>
    <w:div w:id="944001992">
      <w:bodyDiv w:val="1"/>
      <w:marLeft w:val="0"/>
      <w:marRight w:val="0"/>
      <w:marTop w:val="0"/>
      <w:marBottom w:val="0"/>
      <w:divBdr>
        <w:top w:val="none" w:sz="0" w:space="0" w:color="auto"/>
        <w:left w:val="none" w:sz="0" w:space="0" w:color="auto"/>
        <w:bottom w:val="none" w:sz="0" w:space="0" w:color="auto"/>
        <w:right w:val="none" w:sz="0" w:space="0" w:color="auto"/>
      </w:divBdr>
    </w:div>
    <w:div w:id="944852325">
      <w:bodyDiv w:val="1"/>
      <w:marLeft w:val="0"/>
      <w:marRight w:val="0"/>
      <w:marTop w:val="0"/>
      <w:marBottom w:val="0"/>
      <w:divBdr>
        <w:top w:val="none" w:sz="0" w:space="0" w:color="auto"/>
        <w:left w:val="none" w:sz="0" w:space="0" w:color="auto"/>
        <w:bottom w:val="none" w:sz="0" w:space="0" w:color="auto"/>
        <w:right w:val="none" w:sz="0" w:space="0" w:color="auto"/>
      </w:divBdr>
    </w:div>
    <w:div w:id="945429558">
      <w:bodyDiv w:val="1"/>
      <w:marLeft w:val="0"/>
      <w:marRight w:val="0"/>
      <w:marTop w:val="0"/>
      <w:marBottom w:val="0"/>
      <w:divBdr>
        <w:top w:val="none" w:sz="0" w:space="0" w:color="auto"/>
        <w:left w:val="none" w:sz="0" w:space="0" w:color="auto"/>
        <w:bottom w:val="none" w:sz="0" w:space="0" w:color="auto"/>
        <w:right w:val="none" w:sz="0" w:space="0" w:color="auto"/>
      </w:divBdr>
    </w:div>
    <w:div w:id="946431162">
      <w:bodyDiv w:val="1"/>
      <w:marLeft w:val="0"/>
      <w:marRight w:val="0"/>
      <w:marTop w:val="0"/>
      <w:marBottom w:val="0"/>
      <w:divBdr>
        <w:top w:val="none" w:sz="0" w:space="0" w:color="auto"/>
        <w:left w:val="none" w:sz="0" w:space="0" w:color="auto"/>
        <w:bottom w:val="none" w:sz="0" w:space="0" w:color="auto"/>
        <w:right w:val="none" w:sz="0" w:space="0" w:color="auto"/>
      </w:divBdr>
    </w:div>
    <w:div w:id="949628581">
      <w:bodyDiv w:val="1"/>
      <w:marLeft w:val="0"/>
      <w:marRight w:val="0"/>
      <w:marTop w:val="0"/>
      <w:marBottom w:val="0"/>
      <w:divBdr>
        <w:top w:val="none" w:sz="0" w:space="0" w:color="auto"/>
        <w:left w:val="none" w:sz="0" w:space="0" w:color="auto"/>
        <w:bottom w:val="none" w:sz="0" w:space="0" w:color="auto"/>
        <w:right w:val="none" w:sz="0" w:space="0" w:color="auto"/>
      </w:divBdr>
    </w:div>
    <w:div w:id="950286066">
      <w:bodyDiv w:val="1"/>
      <w:marLeft w:val="0"/>
      <w:marRight w:val="0"/>
      <w:marTop w:val="0"/>
      <w:marBottom w:val="0"/>
      <w:divBdr>
        <w:top w:val="none" w:sz="0" w:space="0" w:color="auto"/>
        <w:left w:val="none" w:sz="0" w:space="0" w:color="auto"/>
        <w:bottom w:val="none" w:sz="0" w:space="0" w:color="auto"/>
        <w:right w:val="none" w:sz="0" w:space="0" w:color="auto"/>
      </w:divBdr>
    </w:div>
    <w:div w:id="952176931">
      <w:bodyDiv w:val="1"/>
      <w:marLeft w:val="0"/>
      <w:marRight w:val="0"/>
      <w:marTop w:val="0"/>
      <w:marBottom w:val="0"/>
      <w:divBdr>
        <w:top w:val="none" w:sz="0" w:space="0" w:color="auto"/>
        <w:left w:val="none" w:sz="0" w:space="0" w:color="auto"/>
        <w:bottom w:val="none" w:sz="0" w:space="0" w:color="auto"/>
        <w:right w:val="none" w:sz="0" w:space="0" w:color="auto"/>
      </w:divBdr>
    </w:div>
    <w:div w:id="952369959">
      <w:bodyDiv w:val="1"/>
      <w:marLeft w:val="0"/>
      <w:marRight w:val="0"/>
      <w:marTop w:val="0"/>
      <w:marBottom w:val="0"/>
      <w:divBdr>
        <w:top w:val="none" w:sz="0" w:space="0" w:color="auto"/>
        <w:left w:val="none" w:sz="0" w:space="0" w:color="auto"/>
        <w:bottom w:val="none" w:sz="0" w:space="0" w:color="auto"/>
        <w:right w:val="none" w:sz="0" w:space="0" w:color="auto"/>
      </w:divBdr>
    </w:div>
    <w:div w:id="952399060">
      <w:bodyDiv w:val="1"/>
      <w:marLeft w:val="0"/>
      <w:marRight w:val="0"/>
      <w:marTop w:val="0"/>
      <w:marBottom w:val="0"/>
      <w:divBdr>
        <w:top w:val="none" w:sz="0" w:space="0" w:color="auto"/>
        <w:left w:val="none" w:sz="0" w:space="0" w:color="auto"/>
        <w:bottom w:val="none" w:sz="0" w:space="0" w:color="auto"/>
        <w:right w:val="none" w:sz="0" w:space="0" w:color="auto"/>
      </w:divBdr>
    </w:div>
    <w:div w:id="952708736">
      <w:bodyDiv w:val="1"/>
      <w:marLeft w:val="0"/>
      <w:marRight w:val="0"/>
      <w:marTop w:val="0"/>
      <w:marBottom w:val="0"/>
      <w:divBdr>
        <w:top w:val="none" w:sz="0" w:space="0" w:color="auto"/>
        <w:left w:val="none" w:sz="0" w:space="0" w:color="auto"/>
        <w:bottom w:val="none" w:sz="0" w:space="0" w:color="auto"/>
        <w:right w:val="none" w:sz="0" w:space="0" w:color="auto"/>
      </w:divBdr>
    </w:div>
    <w:div w:id="953365835">
      <w:bodyDiv w:val="1"/>
      <w:marLeft w:val="0"/>
      <w:marRight w:val="0"/>
      <w:marTop w:val="0"/>
      <w:marBottom w:val="0"/>
      <w:divBdr>
        <w:top w:val="none" w:sz="0" w:space="0" w:color="auto"/>
        <w:left w:val="none" w:sz="0" w:space="0" w:color="auto"/>
        <w:bottom w:val="none" w:sz="0" w:space="0" w:color="auto"/>
        <w:right w:val="none" w:sz="0" w:space="0" w:color="auto"/>
      </w:divBdr>
    </w:div>
    <w:div w:id="953443781">
      <w:bodyDiv w:val="1"/>
      <w:marLeft w:val="0"/>
      <w:marRight w:val="0"/>
      <w:marTop w:val="0"/>
      <w:marBottom w:val="0"/>
      <w:divBdr>
        <w:top w:val="none" w:sz="0" w:space="0" w:color="auto"/>
        <w:left w:val="none" w:sz="0" w:space="0" w:color="auto"/>
        <w:bottom w:val="none" w:sz="0" w:space="0" w:color="auto"/>
        <w:right w:val="none" w:sz="0" w:space="0" w:color="auto"/>
      </w:divBdr>
    </w:div>
    <w:div w:id="955335941">
      <w:bodyDiv w:val="1"/>
      <w:marLeft w:val="0"/>
      <w:marRight w:val="0"/>
      <w:marTop w:val="0"/>
      <w:marBottom w:val="0"/>
      <w:divBdr>
        <w:top w:val="none" w:sz="0" w:space="0" w:color="auto"/>
        <w:left w:val="none" w:sz="0" w:space="0" w:color="auto"/>
        <w:bottom w:val="none" w:sz="0" w:space="0" w:color="auto"/>
        <w:right w:val="none" w:sz="0" w:space="0" w:color="auto"/>
      </w:divBdr>
    </w:div>
    <w:div w:id="957033204">
      <w:bodyDiv w:val="1"/>
      <w:marLeft w:val="0"/>
      <w:marRight w:val="0"/>
      <w:marTop w:val="0"/>
      <w:marBottom w:val="0"/>
      <w:divBdr>
        <w:top w:val="none" w:sz="0" w:space="0" w:color="auto"/>
        <w:left w:val="none" w:sz="0" w:space="0" w:color="auto"/>
        <w:bottom w:val="none" w:sz="0" w:space="0" w:color="auto"/>
        <w:right w:val="none" w:sz="0" w:space="0" w:color="auto"/>
      </w:divBdr>
    </w:div>
    <w:div w:id="957643352">
      <w:bodyDiv w:val="1"/>
      <w:marLeft w:val="0"/>
      <w:marRight w:val="0"/>
      <w:marTop w:val="0"/>
      <w:marBottom w:val="0"/>
      <w:divBdr>
        <w:top w:val="none" w:sz="0" w:space="0" w:color="auto"/>
        <w:left w:val="none" w:sz="0" w:space="0" w:color="auto"/>
        <w:bottom w:val="none" w:sz="0" w:space="0" w:color="auto"/>
        <w:right w:val="none" w:sz="0" w:space="0" w:color="auto"/>
      </w:divBdr>
    </w:div>
    <w:div w:id="960261128">
      <w:bodyDiv w:val="1"/>
      <w:marLeft w:val="0"/>
      <w:marRight w:val="0"/>
      <w:marTop w:val="0"/>
      <w:marBottom w:val="0"/>
      <w:divBdr>
        <w:top w:val="none" w:sz="0" w:space="0" w:color="auto"/>
        <w:left w:val="none" w:sz="0" w:space="0" w:color="auto"/>
        <w:bottom w:val="none" w:sz="0" w:space="0" w:color="auto"/>
        <w:right w:val="none" w:sz="0" w:space="0" w:color="auto"/>
      </w:divBdr>
    </w:div>
    <w:div w:id="961838482">
      <w:bodyDiv w:val="1"/>
      <w:marLeft w:val="0"/>
      <w:marRight w:val="0"/>
      <w:marTop w:val="0"/>
      <w:marBottom w:val="0"/>
      <w:divBdr>
        <w:top w:val="none" w:sz="0" w:space="0" w:color="auto"/>
        <w:left w:val="none" w:sz="0" w:space="0" w:color="auto"/>
        <w:bottom w:val="none" w:sz="0" w:space="0" w:color="auto"/>
        <w:right w:val="none" w:sz="0" w:space="0" w:color="auto"/>
      </w:divBdr>
    </w:div>
    <w:div w:id="963388304">
      <w:bodyDiv w:val="1"/>
      <w:marLeft w:val="0"/>
      <w:marRight w:val="0"/>
      <w:marTop w:val="0"/>
      <w:marBottom w:val="0"/>
      <w:divBdr>
        <w:top w:val="none" w:sz="0" w:space="0" w:color="auto"/>
        <w:left w:val="none" w:sz="0" w:space="0" w:color="auto"/>
        <w:bottom w:val="none" w:sz="0" w:space="0" w:color="auto"/>
        <w:right w:val="none" w:sz="0" w:space="0" w:color="auto"/>
      </w:divBdr>
    </w:div>
    <w:div w:id="965044105">
      <w:bodyDiv w:val="1"/>
      <w:marLeft w:val="0"/>
      <w:marRight w:val="0"/>
      <w:marTop w:val="0"/>
      <w:marBottom w:val="0"/>
      <w:divBdr>
        <w:top w:val="none" w:sz="0" w:space="0" w:color="auto"/>
        <w:left w:val="none" w:sz="0" w:space="0" w:color="auto"/>
        <w:bottom w:val="none" w:sz="0" w:space="0" w:color="auto"/>
        <w:right w:val="none" w:sz="0" w:space="0" w:color="auto"/>
      </w:divBdr>
    </w:div>
    <w:div w:id="965504437">
      <w:bodyDiv w:val="1"/>
      <w:marLeft w:val="0"/>
      <w:marRight w:val="0"/>
      <w:marTop w:val="0"/>
      <w:marBottom w:val="0"/>
      <w:divBdr>
        <w:top w:val="none" w:sz="0" w:space="0" w:color="auto"/>
        <w:left w:val="none" w:sz="0" w:space="0" w:color="auto"/>
        <w:bottom w:val="none" w:sz="0" w:space="0" w:color="auto"/>
        <w:right w:val="none" w:sz="0" w:space="0" w:color="auto"/>
      </w:divBdr>
    </w:div>
    <w:div w:id="965547537">
      <w:bodyDiv w:val="1"/>
      <w:marLeft w:val="0"/>
      <w:marRight w:val="0"/>
      <w:marTop w:val="0"/>
      <w:marBottom w:val="0"/>
      <w:divBdr>
        <w:top w:val="none" w:sz="0" w:space="0" w:color="auto"/>
        <w:left w:val="none" w:sz="0" w:space="0" w:color="auto"/>
        <w:bottom w:val="none" w:sz="0" w:space="0" w:color="auto"/>
        <w:right w:val="none" w:sz="0" w:space="0" w:color="auto"/>
      </w:divBdr>
    </w:div>
    <w:div w:id="966661185">
      <w:bodyDiv w:val="1"/>
      <w:marLeft w:val="0"/>
      <w:marRight w:val="0"/>
      <w:marTop w:val="0"/>
      <w:marBottom w:val="0"/>
      <w:divBdr>
        <w:top w:val="none" w:sz="0" w:space="0" w:color="auto"/>
        <w:left w:val="none" w:sz="0" w:space="0" w:color="auto"/>
        <w:bottom w:val="none" w:sz="0" w:space="0" w:color="auto"/>
        <w:right w:val="none" w:sz="0" w:space="0" w:color="auto"/>
      </w:divBdr>
    </w:div>
    <w:div w:id="968243261">
      <w:bodyDiv w:val="1"/>
      <w:marLeft w:val="0"/>
      <w:marRight w:val="0"/>
      <w:marTop w:val="0"/>
      <w:marBottom w:val="0"/>
      <w:divBdr>
        <w:top w:val="none" w:sz="0" w:space="0" w:color="auto"/>
        <w:left w:val="none" w:sz="0" w:space="0" w:color="auto"/>
        <w:bottom w:val="none" w:sz="0" w:space="0" w:color="auto"/>
        <w:right w:val="none" w:sz="0" w:space="0" w:color="auto"/>
      </w:divBdr>
    </w:div>
    <w:div w:id="968558286">
      <w:bodyDiv w:val="1"/>
      <w:marLeft w:val="0"/>
      <w:marRight w:val="0"/>
      <w:marTop w:val="0"/>
      <w:marBottom w:val="0"/>
      <w:divBdr>
        <w:top w:val="none" w:sz="0" w:space="0" w:color="auto"/>
        <w:left w:val="none" w:sz="0" w:space="0" w:color="auto"/>
        <w:bottom w:val="none" w:sz="0" w:space="0" w:color="auto"/>
        <w:right w:val="none" w:sz="0" w:space="0" w:color="auto"/>
      </w:divBdr>
    </w:div>
    <w:div w:id="970213968">
      <w:bodyDiv w:val="1"/>
      <w:marLeft w:val="0"/>
      <w:marRight w:val="0"/>
      <w:marTop w:val="0"/>
      <w:marBottom w:val="0"/>
      <w:divBdr>
        <w:top w:val="none" w:sz="0" w:space="0" w:color="auto"/>
        <w:left w:val="none" w:sz="0" w:space="0" w:color="auto"/>
        <w:bottom w:val="none" w:sz="0" w:space="0" w:color="auto"/>
        <w:right w:val="none" w:sz="0" w:space="0" w:color="auto"/>
      </w:divBdr>
    </w:div>
    <w:div w:id="972248969">
      <w:bodyDiv w:val="1"/>
      <w:marLeft w:val="0"/>
      <w:marRight w:val="0"/>
      <w:marTop w:val="0"/>
      <w:marBottom w:val="0"/>
      <w:divBdr>
        <w:top w:val="none" w:sz="0" w:space="0" w:color="auto"/>
        <w:left w:val="none" w:sz="0" w:space="0" w:color="auto"/>
        <w:bottom w:val="none" w:sz="0" w:space="0" w:color="auto"/>
        <w:right w:val="none" w:sz="0" w:space="0" w:color="auto"/>
      </w:divBdr>
    </w:div>
    <w:div w:id="972297884">
      <w:bodyDiv w:val="1"/>
      <w:marLeft w:val="0"/>
      <w:marRight w:val="0"/>
      <w:marTop w:val="0"/>
      <w:marBottom w:val="0"/>
      <w:divBdr>
        <w:top w:val="none" w:sz="0" w:space="0" w:color="auto"/>
        <w:left w:val="none" w:sz="0" w:space="0" w:color="auto"/>
        <w:bottom w:val="none" w:sz="0" w:space="0" w:color="auto"/>
        <w:right w:val="none" w:sz="0" w:space="0" w:color="auto"/>
      </w:divBdr>
    </w:div>
    <w:div w:id="973752065">
      <w:bodyDiv w:val="1"/>
      <w:marLeft w:val="0"/>
      <w:marRight w:val="0"/>
      <w:marTop w:val="0"/>
      <w:marBottom w:val="0"/>
      <w:divBdr>
        <w:top w:val="none" w:sz="0" w:space="0" w:color="auto"/>
        <w:left w:val="none" w:sz="0" w:space="0" w:color="auto"/>
        <w:bottom w:val="none" w:sz="0" w:space="0" w:color="auto"/>
        <w:right w:val="none" w:sz="0" w:space="0" w:color="auto"/>
      </w:divBdr>
    </w:div>
    <w:div w:id="973759039">
      <w:bodyDiv w:val="1"/>
      <w:marLeft w:val="0"/>
      <w:marRight w:val="0"/>
      <w:marTop w:val="0"/>
      <w:marBottom w:val="0"/>
      <w:divBdr>
        <w:top w:val="none" w:sz="0" w:space="0" w:color="auto"/>
        <w:left w:val="none" w:sz="0" w:space="0" w:color="auto"/>
        <w:bottom w:val="none" w:sz="0" w:space="0" w:color="auto"/>
        <w:right w:val="none" w:sz="0" w:space="0" w:color="auto"/>
      </w:divBdr>
    </w:div>
    <w:div w:id="973872187">
      <w:bodyDiv w:val="1"/>
      <w:marLeft w:val="0"/>
      <w:marRight w:val="0"/>
      <w:marTop w:val="0"/>
      <w:marBottom w:val="0"/>
      <w:divBdr>
        <w:top w:val="none" w:sz="0" w:space="0" w:color="auto"/>
        <w:left w:val="none" w:sz="0" w:space="0" w:color="auto"/>
        <w:bottom w:val="none" w:sz="0" w:space="0" w:color="auto"/>
        <w:right w:val="none" w:sz="0" w:space="0" w:color="auto"/>
      </w:divBdr>
    </w:div>
    <w:div w:id="974212398">
      <w:bodyDiv w:val="1"/>
      <w:marLeft w:val="0"/>
      <w:marRight w:val="0"/>
      <w:marTop w:val="0"/>
      <w:marBottom w:val="0"/>
      <w:divBdr>
        <w:top w:val="none" w:sz="0" w:space="0" w:color="auto"/>
        <w:left w:val="none" w:sz="0" w:space="0" w:color="auto"/>
        <w:bottom w:val="none" w:sz="0" w:space="0" w:color="auto"/>
        <w:right w:val="none" w:sz="0" w:space="0" w:color="auto"/>
      </w:divBdr>
    </w:div>
    <w:div w:id="975112322">
      <w:bodyDiv w:val="1"/>
      <w:marLeft w:val="0"/>
      <w:marRight w:val="0"/>
      <w:marTop w:val="0"/>
      <w:marBottom w:val="0"/>
      <w:divBdr>
        <w:top w:val="none" w:sz="0" w:space="0" w:color="auto"/>
        <w:left w:val="none" w:sz="0" w:space="0" w:color="auto"/>
        <w:bottom w:val="none" w:sz="0" w:space="0" w:color="auto"/>
        <w:right w:val="none" w:sz="0" w:space="0" w:color="auto"/>
      </w:divBdr>
    </w:div>
    <w:div w:id="979529787">
      <w:bodyDiv w:val="1"/>
      <w:marLeft w:val="0"/>
      <w:marRight w:val="0"/>
      <w:marTop w:val="0"/>
      <w:marBottom w:val="0"/>
      <w:divBdr>
        <w:top w:val="none" w:sz="0" w:space="0" w:color="auto"/>
        <w:left w:val="none" w:sz="0" w:space="0" w:color="auto"/>
        <w:bottom w:val="none" w:sz="0" w:space="0" w:color="auto"/>
        <w:right w:val="none" w:sz="0" w:space="0" w:color="auto"/>
      </w:divBdr>
    </w:div>
    <w:div w:id="979575447">
      <w:bodyDiv w:val="1"/>
      <w:marLeft w:val="0"/>
      <w:marRight w:val="0"/>
      <w:marTop w:val="0"/>
      <w:marBottom w:val="0"/>
      <w:divBdr>
        <w:top w:val="none" w:sz="0" w:space="0" w:color="auto"/>
        <w:left w:val="none" w:sz="0" w:space="0" w:color="auto"/>
        <w:bottom w:val="none" w:sz="0" w:space="0" w:color="auto"/>
        <w:right w:val="none" w:sz="0" w:space="0" w:color="auto"/>
      </w:divBdr>
    </w:div>
    <w:div w:id="979725796">
      <w:bodyDiv w:val="1"/>
      <w:marLeft w:val="0"/>
      <w:marRight w:val="0"/>
      <w:marTop w:val="0"/>
      <w:marBottom w:val="0"/>
      <w:divBdr>
        <w:top w:val="none" w:sz="0" w:space="0" w:color="auto"/>
        <w:left w:val="none" w:sz="0" w:space="0" w:color="auto"/>
        <w:bottom w:val="none" w:sz="0" w:space="0" w:color="auto"/>
        <w:right w:val="none" w:sz="0" w:space="0" w:color="auto"/>
      </w:divBdr>
    </w:div>
    <w:div w:id="979965824">
      <w:bodyDiv w:val="1"/>
      <w:marLeft w:val="0"/>
      <w:marRight w:val="0"/>
      <w:marTop w:val="0"/>
      <w:marBottom w:val="0"/>
      <w:divBdr>
        <w:top w:val="none" w:sz="0" w:space="0" w:color="auto"/>
        <w:left w:val="none" w:sz="0" w:space="0" w:color="auto"/>
        <w:bottom w:val="none" w:sz="0" w:space="0" w:color="auto"/>
        <w:right w:val="none" w:sz="0" w:space="0" w:color="auto"/>
      </w:divBdr>
    </w:div>
    <w:div w:id="980188455">
      <w:bodyDiv w:val="1"/>
      <w:marLeft w:val="0"/>
      <w:marRight w:val="0"/>
      <w:marTop w:val="0"/>
      <w:marBottom w:val="0"/>
      <w:divBdr>
        <w:top w:val="none" w:sz="0" w:space="0" w:color="auto"/>
        <w:left w:val="none" w:sz="0" w:space="0" w:color="auto"/>
        <w:bottom w:val="none" w:sz="0" w:space="0" w:color="auto"/>
        <w:right w:val="none" w:sz="0" w:space="0" w:color="auto"/>
      </w:divBdr>
    </w:div>
    <w:div w:id="983200431">
      <w:bodyDiv w:val="1"/>
      <w:marLeft w:val="0"/>
      <w:marRight w:val="0"/>
      <w:marTop w:val="0"/>
      <w:marBottom w:val="0"/>
      <w:divBdr>
        <w:top w:val="none" w:sz="0" w:space="0" w:color="auto"/>
        <w:left w:val="none" w:sz="0" w:space="0" w:color="auto"/>
        <w:bottom w:val="none" w:sz="0" w:space="0" w:color="auto"/>
        <w:right w:val="none" w:sz="0" w:space="0" w:color="auto"/>
      </w:divBdr>
    </w:div>
    <w:div w:id="983779166">
      <w:bodyDiv w:val="1"/>
      <w:marLeft w:val="0"/>
      <w:marRight w:val="0"/>
      <w:marTop w:val="0"/>
      <w:marBottom w:val="0"/>
      <w:divBdr>
        <w:top w:val="none" w:sz="0" w:space="0" w:color="auto"/>
        <w:left w:val="none" w:sz="0" w:space="0" w:color="auto"/>
        <w:bottom w:val="none" w:sz="0" w:space="0" w:color="auto"/>
        <w:right w:val="none" w:sz="0" w:space="0" w:color="auto"/>
      </w:divBdr>
    </w:div>
    <w:div w:id="983899291">
      <w:bodyDiv w:val="1"/>
      <w:marLeft w:val="0"/>
      <w:marRight w:val="0"/>
      <w:marTop w:val="0"/>
      <w:marBottom w:val="0"/>
      <w:divBdr>
        <w:top w:val="none" w:sz="0" w:space="0" w:color="auto"/>
        <w:left w:val="none" w:sz="0" w:space="0" w:color="auto"/>
        <w:bottom w:val="none" w:sz="0" w:space="0" w:color="auto"/>
        <w:right w:val="none" w:sz="0" w:space="0" w:color="auto"/>
      </w:divBdr>
    </w:div>
    <w:div w:id="984045456">
      <w:bodyDiv w:val="1"/>
      <w:marLeft w:val="0"/>
      <w:marRight w:val="0"/>
      <w:marTop w:val="0"/>
      <w:marBottom w:val="0"/>
      <w:divBdr>
        <w:top w:val="none" w:sz="0" w:space="0" w:color="auto"/>
        <w:left w:val="none" w:sz="0" w:space="0" w:color="auto"/>
        <w:bottom w:val="none" w:sz="0" w:space="0" w:color="auto"/>
        <w:right w:val="none" w:sz="0" w:space="0" w:color="auto"/>
      </w:divBdr>
    </w:div>
    <w:div w:id="985083520">
      <w:bodyDiv w:val="1"/>
      <w:marLeft w:val="0"/>
      <w:marRight w:val="0"/>
      <w:marTop w:val="0"/>
      <w:marBottom w:val="0"/>
      <w:divBdr>
        <w:top w:val="none" w:sz="0" w:space="0" w:color="auto"/>
        <w:left w:val="none" w:sz="0" w:space="0" w:color="auto"/>
        <w:bottom w:val="none" w:sz="0" w:space="0" w:color="auto"/>
        <w:right w:val="none" w:sz="0" w:space="0" w:color="auto"/>
      </w:divBdr>
    </w:div>
    <w:div w:id="985621122">
      <w:bodyDiv w:val="1"/>
      <w:marLeft w:val="0"/>
      <w:marRight w:val="0"/>
      <w:marTop w:val="0"/>
      <w:marBottom w:val="0"/>
      <w:divBdr>
        <w:top w:val="none" w:sz="0" w:space="0" w:color="auto"/>
        <w:left w:val="none" w:sz="0" w:space="0" w:color="auto"/>
        <w:bottom w:val="none" w:sz="0" w:space="0" w:color="auto"/>
        <w:right w:val="none" w:sz="0" w:space="0" w:color="auto"/>
      </w:divBdr>
    </w:div>
    <w:div w:id="986977135">
      <w:bodyDiv w:val="1"/>
      <w:marLeft w:val="0"/>
      <w:marRight w:val="0"/>
      <w:marTop w:val="0"/>
      <w:marBottom w:val="0"/>
      <w:divBdr>
        <w:top w:val="none" w:sz="0" w:space="0" w:color="auto"/>
        <w:left w:val="none" w:sz="0" w:space="0" w:color="auto"/>
        <w:bottom w:val="none" w:sz="0" w:space="0" w:color="auto"/>
        <w:right w:val="none" w:sz="0" w:space="0" w:color="auto"/>
      </w:divBdr>
    </w:div>
    <w:div w:id="987435381">
      <w:bodyDiv w:val="1"/>
      <w:marLeft w:val="0"/>
      <w:marRight w:val="0"/>
      <w:marTop w:val="0"/>
      <w:marBottom w:val="0"/>
      <w:divBdr>
        <w:top w:val="none" w:sz="0" w:space="0" w:color="auto"/>
        <w:left w:val="none" w:sz="0" w:space="0" w:color="auto"/>
        <w:bottom w:val="none" w:sz="0" w:space="0" w:color="auto"/>
        <w:right w:val="none" w:sz="0" w:space="0" w:color="auto"/>
      </w:divBdr>
    </w:div>
    <w:div w:id="988435053">
      <w:bodyDiv w:val="1"/>
      <w:marLeft w:val="0"/>
      <w:marRight w:val="0"/>
      <w:marTop w:val="0"/>
      <w:marBottom w:val="0"/>
      <w:divBdr>
        <w:top w:val="none" w:sz="0" w:space="0" w:color="auto"/>
        <w:left w:val="none" w:sz="0" w:space="0" w:color="auto"/>
        <w:bottom w:val="none" w:sz="0" w:space="0" w:color="auto"/>
        <w:right w:val="none" w:sz="0" w:space="0" w:color="auto"/>
      </w:divBdr>
    </w:div>
    <w:div w:id="989673462">
      <w:bodyDiv w:val="1"/>
      <w:marLeft w:val="0"/>
      <w:marRight w:val="0"/>
      <w:marTop w:val="0"/>
      <w:marBottom w:val="0"/>
      <w:divBdr>
        <w:top w:val="none" w:sz="0" w:space="0" w:color="auto"/>
        <w:left w:val="none" w:sz="0" w:space="0" w:color="auto"/>
        <w:bottom w:val="none" w:sz="0" w:space="0" w:color="auto"/>
        <w:right w:val="none" w:sz="0" w:space="0" w:color="auto"/>
      </w:divBdr>
    </w:div>
    <w:div w:id="990250522">
      <w:bodyDiv w:val="1"/>
      <w:marLeft w:val="0"/>
      <w:marRight w:val="0"/>
      <w:marTop w:val="0"/>
      <w:marBottom w:val="0"/>
      <w:divBdr>
        <w:top w:val="none" w:sz="0" w:space="0" w:color="auto"/>
        <w:left w:val="none" w:sz="0" w:space="0" w:color="auto"/>
        <w:bottom w:val="none" w:sz="0" w:space="0" w:color="auto"/>
        <w:right w:val="none" w:sz="0" w:space="0" w:color="auto"/>
      </w:divBdr>
    </w:div>
    <w:div w:id="990253071">
      <w:bodyDiv w:val="1"/>
      <w:marLeft w:val="0"/>
      <w:marRight w:val="0"/>
      <w:marTop w:val="0"/>
      <w:marBottom w:val="0"/>
      <w:divBdr>
        <w:top w:val="none" w:sz="0" w:space="0" w:color="auto"/>
        <w:left w:val="none" w:sz="0" w:space="0" w:color="auto"/>
        <w:bottom w:val="none" w:sz="0" w:space="0" w:color="auto"/>
        <w:right w:val="none" w:sz="0" w:space="0" w:color="auto"/>
      </w:divBdr>
    </w:div>
    <w:div w:id="991107750">
      <w:bodyDiv w:val="1"/>
      <w:marLeft w:val="0"/>
      <w:marRight w:val="0"/>
      <w:marTop w:val="0"/>
      <w:marBottom w:val="0"/>
      <w:divBdr>
        <w:top w:val="none" w:sz="0" w:space="0" w:color="auto"/>
        <w:left w:val="none" w:sz="0" w:space="0" w:color="auto"/>
        <w:bottom w:val="none" w:sz="0" w:space="0" w:color="auto"/>
        <w:right w:val="none" w:sz="0" w:space="0" w:color="auto"/>
      </w:divBdr>
    </w:div>
    <w:div w:id="991376462">
      <w:bodyDiv w:val="1"/>
      <w:marLeft w:val="0"/>
      <w:marRight w:val="0"/>
      <w:marTop w:val="0"/>
      <w:marBottom w:val="0"/>
      <w:divBdr>
        <w:top w:val="none" w:sz="0" w:space="0" w:color="auto"/>
        <w:left w:val="none" w:sz="0" w:space="0" w:color="auto"/>
        <w:bottom w:val="none" w:sz="0" w:space="0" w:color="auto"/>
        <w:right w:val="none" w:sz="0" w:space="0" w:color="auto"/>
      </w:divBdr>
    </w:div>
    <w:div w:id="991568733">
      <w:bodyDiv w:val="1"/>
      <w:marLeft w:val="0"/>
      <w:marRight w:val="0"/>
      <w:marTop w:val="0"/>
      <w:marBottom w:val="0"/>
      <w:divBdr>
        <w:top w:val="none" w:sz="0" w:space="0" w:color="auto"/>
        <w:left w:val="none" w:sz="0" w:space="0" w:color="auto"/>
        <w:bottom w:val="none" w:sz="0" w:space="0" w:color="auto"/>
        <w:right w:val="none" w:sz="0" w:space="0" w:color="auto"/>
      </w:divBdr>
    </w:div>
    <w:div w:id="993147420">
      <w:bodyDiv w:val="1"/>
      <w:marLeft w:val="0"/>
      <w:marRight w:val="0"/>
      <w:marTop w:val="0"/>
      <w:marBottom w:val="0"/>
      <w:divBdr>
        <w:top w:val="none" w:sz="0" w:space="0" w:color="auto"/>
        <w:left w:val="none" w:sz="0" w:space="0" w:color="auto"/>
        <w:bottom w:val="none" w:sz="0" w:space="0" w:color="auto"/>
        <w:right w:val="none" w:sz="0" w:space="0" w:color="auto"/>
      </w:divBdr>
    </w:div>
    <w:div w:id="994190584">
      <w:bodyDiv w:val="1"/>
      <w:marLeft w:val="0"/>
      <w:marRight w:val="0"/>
      <w:marTop w:val="0"/>
      <w:marBottom w:val="0"/>
      <w:divBdr>
        <w:top w:val="none" w:sz="0" w:space="0" w:color="auto"/>
        <w:left w:val="none" w:sz="0" w:space="0" w:color="auto"/>
        <w:bottom w:val="none" w:sz="0" w:space="0" w:color="auto"/>
        <w:right w:val="none" w:sz="0" w:space="0" w:color="auto"/>
      </w:divBdr>
    </w:div>
    <w:div w:id="997609165">
      <w:bodyDiv w:val="1"/>
      <w:marLeft w:val="0"/>
      <w:marRight w:val="0"/>
      <w:marTop w:val="0"/>
      <w:marBottom w:val="0"/>
      <w:divBdr>
        <w:top w:val="none" w:sz="0" w:space="0" w:color="auto"/>
        <w:left w:val="none" w:sz="0" w:space="0" w:color="auto"/>
        <w:bottom w:val="none" w:sz="0" w:space="0" w:color="auto"/>
        <w:right w:val="none" w:sz="0" w:space="0" w:color="auto"/>
      </w:divBdr>
    </w:div>
    <w:div w:id="998776281">
      <w:bodyDiv w:val="1"/>
      <w:marLeft w:val="0"/>
      <w:marRight w:val="0"/>
      <w:marTop w:val="0"/>
      <w:marBottom w:val="0"/>
      <w:divBdr>
        <w:top w:val="none" w:sz="0" w:space="0" w:color="auto"/>
        <w:left w:val="none" w:sz="0" w:space="0" w:color="auto"/>
        <w:bottom w:val="none" w:sz="0" w:space="0" w:color="auto"/>
        <w:right w:val="none" w:sz="0" w:space="0" w:color="auto"/>
      </w:divBdr>
    </w:div>
    <w:div w:id="999164346">
      <w:bodyDiv w:val="1"/>
      <w:marLeft w:val="0"/>
      <w:marRight w:val="0"/>
      <w:marTop w:val="0"/>
      <w:marBottom w:val="0"/>
      <w:divBdr>
        <w:top w:val="none" w:sz="0" w:space="0" w:color="auto"/>
        <w:left w:val="none" w:sz="0" w:space="0" w:color="auto"/>
        <w:bottom w:val="none" w:sz="0" w:space="0" w:color="auto"/>
        <w:right w:val="none" w:sz="0" w:space="0" w:color="auto"/>
      </w:divBdr>
    </w:div>
    <w:div w:id="999312116">
      <w:bodyDiv w:val="1"/>
      <w:marLeft w:val="0"/>
      <w:marRight w:val="0"/>
      <w:marTop w:val="0"/>
      <w:marBottom w:val="0"/>
      <w:divBdr>
        <w:top w:val="none" w:sz="0" w:space="0" w:color="auto"/>
        <w:left w:val="none" w:sz="0" w:space="0" w:color="auto"/>
        <w:bottom w:val="none" w:sz="0" w:space="0" w:color="auto"/>
        <w:right w:val="none" w:sz="0" w:space="0" w:color="auto"/>
      </w:divBdr>
    </w:div>
    <w:div w:id="999383038">
      <w:bodyDiv w:val="1"/>
      <w:marLeft w:val="0"/>
      <w:marRight w:val="0"/>
      <w:marTop w:val="0"/>
      <w:marBottom w:val="0"/>
      <w:divBdr>
        <w:top w:val="none" w:sz="0" w:space="0" w:color="auto"/>
        <w:left w:val="none" w:sz="0" w:space="0" w:color="auto"/>
        <w:bottom w:val="none" w:sz="0" w:space="0" w:color="auto"/>
        <w:right w:val="none" w:sz="0" w:space="0" w:color="auto"/>
      </w:divBdr>
    </w:div>
    <w:div w:id="999456002">
      <w:bodyDiv w:val="1"/>
      <w:marLeft w:val="0"/>
      <w:marRight w:val="0"/>
      <w:marTop w:val="0"/>
      <w:marBottom w:val="0"/>
      <w:divBdr>
        <w:top w:val="none" w:sz="0" w:space="0" w:color="auto"/>
        <w:left w:val="none" w:sz="0" w:space="0" w:color="auto"/>
        <w:bottom w:val="none" w:sz="0" w:space="0" w:color="auto"/>
        <w:right w:val="none" w:sz="0" w:space="0" w:color="auto"/>
      </w:divBdr>
    </w:div>
    <w:div w:id="999581322">
      <w:bodyDiv w:val="1"/>
      <w:marLeft w:val="0"/>
      <w:marRight w:val="0"/>
      <w:marTop w:val="0"/>
      <w:marBottom w:val="0"/>
      <w:divBdr>
        <w:top w:val="none" w:sz="0" w:space="0" w:color="auto"/>
        <w:left w:val="none" w:sz="0" w:space="0" w:color="auto"/>
        <w:bottom w:val="none" w:sz="0" w:space="0" w:color="auto"/>
        <w:right w:val="none" w:sz="0" w:space="0" w:color="auto"/>
      </w:divBdr>
    </w:div>
    <w:div w:id="999970310">
      <w:bodyDiv w:val="1"/>
      <w:marLeft w:val="0"/>
      <w:marRight w:val="0"/>
      <w:marTop w:val="0"/>
      <w:marBottom w:val="0"/>
      <w:divBdr>
        <w:top w:val="none" w:sz="0" w:space="0" w:color="auto"/>
        <w:left w:val="none" w:sz="0" w:space="0" w:color="auto"/>
        <w:bottom w:val="none" w:sz="0" w:space="0" w:color="auto"/>
        <w:right w:val="none" w:sz="0" w:space="0" w:color="auto"/>
      </w:divBdr>
    </w:div>
    <w:div w:id="1001396083">
      <w:bodyDiv w:val="1"/>
      <w:marLeft w:val="0"/>
      <w:marRight w:val="0"/>
      <w:marTop w:val="0"/>
      <w:marBottom w:val="0"/>
      <w:divBdr>
        <w:top w:val="none" w:sz="0" w:space="0" w:color="auto"/>
        <w:left w:val="none" w:sz="0" w:space="0" w:color="auto"/>
        <w:bottom w:val="none" w:sz="0" w:space="0" w:color="auto"/>
        <w:right w:val="none" w:sz="0" w:space="0" w:color="auto"/>
      </w:divBdr>
    </w:div>
    <w:div w:id="1001466079">
      <w:bodyDiv w:val="1"/>
      <w:marLeft w:val="0"/>
      <w:marRight w:val="0"/>
      <w:marTop w:val="0"/>
      <w:marBottom w:val="0"/>
      <w:divBdr>
        <w:top w:val="none" w:sz="0" w:space="0" w:color="auto"/>
        <w:left w:val="none" w:sz="0" w:space="0" w:color="auto"/>
        <w:bottom w:val="none" w:sz="0" w:space="0" w:color="auto"/>
        <w:right w:val="none" w:sz="0" w:space="0" w:color="auto"/>
      </w:divBdr>
    </w:div>
    <w:div w:id="1001546627">
      <w:bodyDiv w:val="1"/>
      <w:marLeft w:val="0"/>
      <w:marRight w:val="0"/>
      <w:marTop w:val="0"/>
      <w:marBottom w:val="0"/>
      <w:divBdr>
        <w:top w:val="none" w:sz="0" w:space="0" w:color="auto"/>
        <w:left w:val="none" w:sz="0" w:space="0" w:color="auto"/>
        <w:bottom w:val="none" w:sz="0" w:space="0" w:color="auto"/>
        <w:right w:val="none" w:sz="0" w:space="0" w:color="auto"/>
      </w:divBdr>
    </w:div>
    <w:div w:id="1002001853">
      <w:bodyDiv w:val="1"/>
      <w:marLeft w:val="0"/>
      <w:marRight w:val="0"/>
      <w:marTop w:val="0"/>
      <w:marBottom w:val="0"/>
      <w:divBdr>
        <w:top w:val="none" w:sz="0" w:space="0" w:color="auto"/>
        <w:left w:val="none" w:sz="0" w:space="0" w:color="auto"/>
        <w:bottom w:val="none" w:sz="0" w:space="0" w:color="auto"/>
        <w:right w:val="none" w:sz="0" w:space="0" w:color="auto"/>
      </w:divBdr>
    </w:div>
    <w:div w:id="1002316532">
      <w:bodyDiv w:val="1"/>
      <w:marLeft w:val="0"/>
      <w:marRight w:val="0"/>
      <w:marTop w:val="0"/>
      <w:marBottom w:val="0"/>
      <w:divBdr>
        <w:top w:val="none" w:sz="0" w:space="0" w:color="auto"/>
        <w:left w:val="none" w:sz="0" w:space="0" w:color="auto"/>
        <w:bottom w:val="none" w:sz="0" w:space="0" w:color="auto"/>
        <w:right w:val="none" w:sz="0" w:space="0" w:color="auto"/>
      </w:divBdr>
    </w:div>
    <w:div w:id="1002859622">
      <w:bodyDiv w:val="1"/>
      <w:marLeft w:val="0"/>
      <w:marRight w:val="0"/>
      <w:marTop w:val="0"/>
      <w:marBottom w:val="0"/>
      <w:divBdr>
        <w:top w:val="none" w:sz="0" w:space="0" w:color="auto"/>
        <w:left w:val="none" w:sz="0" w:space="0" w:color="auto"/>
        <w:bottom w:val="none" w:sz="0" w:space="0" w:color="auto"/>
        <w:right w:val="none" w:sz="0" w:space="0" w:color="auto"/>
      </w:divBdr>
    </w:div>
    <w:div w:id="1003506061">
      <w:bodyDiv w:val="1"/>
      <w:marLeft w:val="0"/>
      <w:marRight w:val="0"/>
      <w:marTop w:val="0"/>
      <w:marBottom w:val="0"/>
      <w:divBdr>
        <w:top w:val="none" w:sz="0" w:space="0" w:color="auto"/>
        <w:left w:val="none" w:sz="0" w:space="0" w:color="auto"/>
        <w:bottom w:val="none" w:sz="0" w:space="0" w:color="auto"/>
        <w:right w:val="none" w:sz="0" w:space="0" w:color="auto"/>
      </w:divBdr>
    </w:div>
    <w:div w:id="1003629161">
      <w:bodyDiv w:val="1"/>
      <w:marLeft w:val="0"/>
      <w:marRight w:val="0"/>
      <w:marTop w:val="0"/>
      <w:marBottom w:val="0"/>
      <w:divBdr>
        <w:top w:val="none" w:sz="0" w:space="0" w:color="auto"/>
        <w:left w:val="none" w:sz="0" w:space="0" w:color="auto"/>
        <w:bottom w:val="none" w:sz="0" w:space="0" w:color="auto"/>
        <w:right w:val="none" w:sz="0" w:space="0" w:color="auto"/>
      </w:divBdr>
    </w:div>
    <w:div w:id="1005016649">
      <w:bodyDiv w:val="1"/>
      <w:marLeft w:val="0"/>
      <w:marRight w:val="0"/>
      <w:marTop w:val="0"/>
      <w:marBottom w:val="0"/>
      <w:divBdr>
        <w:top w:val="none" w:sz="0" w:space="0" w:color="auto"/>
        <w:left w:val="none" w:sz="0" w:space="0" w:color="auto"/>
        <w:bottom w:val="none" w:sz="0" w:space="0" w:color="auto"/>
        <w:right w:val="none" w:sz="0" w:space="0" w:color="auto"/>
      </w:divBdr>
    </w:div>
    <w:div w:id="1006640101">
      <w:bodyDiv w:val="1"/>
      <w:marLeft w:val="0"/>
      <w:marRight w:val="0"/>
      <w:marTop w:val="0"/>
      <w:marBottom w:val="0"/>
      <w:divBdr>
        <w:top w:val="none" w:sz="0" w:space="0" w:color="auto"/>
        <w:left w:val="none" w:sz="0" w:space="0" w:color="auto"/>
        <w:bottom w:val="none" w:sz="0" w:space="0" w:color="auto"/>
        <w:right w:val="none" w:sz="0" w:space="0" w:color="auto"/>
      </w:divBdr>
    </w:div>
    <w:div w:id="1006900888">
      <w:bodyDiv w:val="1"/>
      <w:marLeft w:val="0"/>
      <w:marRight w:val="0"/>
      <w:marTop w:val="0"/>
      <w:marBottom w:val="0"/>
      <w:divBdr>
        <w:top w:val="none" w:sz="0" w:space="0" w:color="auto"/>
        <w:left w:val="none" w:sz="0" w:space="0" w:color="auto"/>
        <w:bottom w:val="none" w:sz="0" w:space="0" w:color="auto"/>
        <w:right w:val="none" w:sz="0" w:space="0" w:color="auto"/>
      </w:divBdr>
    </w:div>
    <w:div w:id="1008361807">
      <w:bodyDiv w:val="1"/>
      <w:marLeft w:val="0"/>
      <w:marRight w:val="0"/>
      <w:marTop w:val="0"/>
      <w:marBottom w:val="0"/>
      <w:divBdr>
        <w:top w:val="none" w:sz="0" w:space="0" w:color="auto"/>
        <w:left w:val="none" w:sz="0" w:space="0" w:color="auto"/>
        <w:bottom w:val="none" w:sz="0" w:space="0" w:color="auto"/>
        <w:right w:val="none" w:sz="0" w:space="0" w:color="auto"/>
      </w:divBdr>
    </w:div>
    <w:div w:id="1009410823">
      <w:bodyDiv w:val="1"/>
      <w:marLeft w:val="0"/>
      <w:marRight w:val="0"/>
      <w:marTop w:val="0"/>
      <w:marBottom w:val="0"/>
      <w:divBdr>
        <w:top w:val="none" w:sz="0" w:space="0" w:color="auto"/>
        <w:left w:val="none" w:sz="0" w:space="0" w:color="auto"/>
        <w:bottom w:val="none" w:sz="0" w:space="0" w:color="auto"/>
        <w:right w:val="none" w:sz="0" w:space="0" w:color="auto"/>
      </w:divBdr>
    </w:div>
    <w:div w:id="1010565988">
      <w:bodyDiv w:val="1"/>
      <w:marLeft w:val="0"/>
      <w:marRight w:val="0"/>
      <w:marTop w:val="0"/>
      <w:marBottom w:val="0"/>
      <w:divBdr>
        <w:top w:val="none" w:sz="0" w:space="0" w:color="auto"/>
        <w:left w:val="none" w:sz="0" w:space="0" w:color="auto"/>
        <w:bottom w:val="none" w:sz="0" w:space="0" w:color="auto"/>
        <w:right w:val="none" w:sz="0" w:space="0" w:color="auto"/>
      </w:divBdr>
    </w:div>
    <w:div w:id="1010907287">
      <w:bodyDiv w:val="1"/>
      <w:marLeft w:val="0"/>
      <w:marRight w:val="0"/>
      <w:marTop w:val="0"/>
      <w:marBottom w:val="0"/>
      <w:divBdr>
        <w:top w:val="none" w:sz="0" w:space="0" w:color="auto"/>
        <w:left w:val="none" w:sz="0" w:space="0" w:color="auto"/>
        <w:bottom w:val="none" w:sz="0" w:space="0" w:color="auto"/>
        <w:right w:val="none" w:sz="0" w:space="0" w:color="auto"/>
      </w:divBdr>
    </w:div>
    <w:div w:id="1011372410">
      <w:bodyDiv w:val="1"/>
      <w:marLeft w:val="0"/>
      <w:marRight w:val="0"/>
      <w:marTop w:val="0"/>
      <w:marBottom w:val="0"/>
      <w:divBdr>
        <w:top w:val="none" w:sz="0" w:space="0" w:color="auto"/>
        <w:left w:val="none" w:sz="0" w:space="0" w:color="auto"/>
        <w:bottom w:val="none" w:sz="0" w:space="0" w:color="auto"/>
        <w:right w:val="none" w:sz="0" w:space="0" w:color="auto"/>
      </w:divBdr>
    </w:div>
    <w:div w:id="1011372786">
      <w:bodyDiv w:val="1"/>
      <w:marLeft w:val="0"/>
      <w:marRight w:val="0"/>
      <w:marTop w:val="0"/>
      <w:marBottom w:val="0"/>
      <w:divBdr>
        <w:top w:val="none" w:sz="0" w:space="0" w:color="auto"/>
        <w:left w:val="none" w:sz="0" w:space="0" w:color="auto"/>
        <w:bottom w:val="none" w:sz="0" w:space="0" w:color="auto"/>
        <w:right w:val="none" w:sz="0" w:space="0" w:color="auto"/>
      </w:divBdr>
    </w:div>
    <w:div w:id="1012227041">
      <w:bodyDiv w:val="1"/>
      <w:marLeft w:val="0"/>
      <w:marRight w:val="0"/>
      <w:marTop w:val="0"/>
      <w:marBottom w:val="0"/>
      <w:divBdr>
        <w:top w:val="none" w:sz="0" w:space="0" w:color="auto"/>
        <w:left w:val="none" w:sz="0" w:space="0" w:color="auto"/>
        <w:bottom w:val="none" w:sz="0" w:space="0" w:color="auto"/>
        <w:right w:val="none" w:sz="0" w:space="0" w:color="auto"/>
      </w:divBdr>
    </w:div>
    <w:div w:id="1012681488">
      <w:bodyDiv w:val="1"/>
      <w:marLeft w:val="0"/>
      <w:marRight w:val="0"/>
      <w:marTop w:val="0"/>
      <w:marBottom w:val="0"/>
      <w:divBdr>
        <w:top w:val="none" w:sz="0" w:space="0" w:color="auto"/>
        <w:left w:val="none" w:sz="0" w:space="0" w:color="auto"/>
        <w:bottom w:val="none" w:sz="0" w:space="0" w:color="auto"/>
        <w:right w:val="none" w:sz="0" w:space="0" w:color="auto"/>
      </w:divBdr>
    </w:div>
    <w:div w:id="1012996777">
      <w:bodyDiv w:val="1"/>
      <w:marLeft w:val="0"/>
      <w:marRight w:val="0"/>
      <w:marTop w:val="0"/>
      <w:marBottom w:val="0"/>
      <w:divBdr>
        <w:top w:val="none" w:sz="0" w:space="0" w:color="auto"/>
        <w:left w:val="none" w:sz="0" w:space="0" w:color="auto"/>
        <w:bottom w:val="none" w:sz="0" w:space="0" w:color="auto"/>
        <w:right w:val="none" w:sz="0" w:space="0" w:color="auto"/>
      </w:divBdr>
    </w:div>
    <w:div w:id="1015814497">
      <w:bodyDiv w:val="1"/>
      <w:marLeft w:val="0"/>
      <w:marRight w:val="0"/>
      <w:marTop w:val="0"/>
      <w:marBottom w:val="0"/>
      <w:divBdr>
        <w:top w:val="none" w:sz="0" w:space="0" w:color="auto"/>
        <w:left w:val="none" w:sz="0" w:space="0" w:color="auto"/>
        <w:bottom w:val="none" w:sz="0" w:space="0" w:color="auto"/>
        <w:right w:val="none" w:sz="0" w:space="0" w:color="auto"/>
      </w:divBdr>
    </w:div>
    <w:div w:id="1016425550">
      <w:bodyDiv w:val="1"/>
      <w:marLeft w:val="0"/>
      <w:marRight w:val="0"/>
      <w:marTop w:val="0"/>
      <w:marBottom w:val="0"/>
      <w:divBdr>
        <w:top w:val="none" w:sz="0" w:space="0" w:color="auto"/>
        <w:left w:val="none" w:sz="0" w:space="0" w:color="auto"/>
        <w:bottom w:val="none" w:sz="0" w:space="0" w:color="auto"/>
        <w:right w:val="none" w:sz="0" w:space="0" w:color="auto"/>
      </w:divBdr>
    </w:div>
    <w:div w:id="1016887397">
      <w:bodyDiv w:val="1"/>
      <w:marLeft w:val="0"/>
      <w:marRight w:val="0"/>
      <w:marTop w:val="0"/>
      <w:marBottom w:val="0"/>
      <w:divBdr>
        <w:top w:val="none" w:sz="0" w:space="0" w:color="auto"/>
        <w:left w:val="none" w:sz="0" w:space="0" w:color="auto"/>
        <w:bottom w:val="none" w:sz="0" w:space="0" w:color="auto"/>
        <w:right w:val="none" w:sz="0" w:space="0" w:color="auto"/>
      </w:divBdr>
    </w:div>
    <w:div w:id="1017658763">
      <w:bodyDiv w:val="1"/>
      <w:marLeft w:val="0"/>
      <w:marRight w:val="0"/>
      <w:marTop w:val="0"/>
      <w:marBottom w:val="0"/>
      <w:divBdr>
        <w:top w:val="none" w:sz="0" w:space="0" w:color="auto"/>
        <w:left w:val="none" w:sz="0" w:space="0" w:color="auto"/>
        <w:bottom w:val="none" w:sz="0" w:space="0" w:color="auto"/>
        <w:right w:val="none" w:sz="0" w:space="0" w:color="auto"/>
      </w:divBdr>
    </w:div>
    <w:div w:id="1019166174">
      <w:bodyDiv w:val="1"/>
      <w:marLeft w:val="0"/>
      <w:marRight w:val="0"/>
      <w:marTop w:val="0"/>
      <w:marBottom w:val="0"/>
      <w:divBdr>
        <w:top w:val="none" w:sz="0" w:space="0" w:color="auto"/>
        <w:left w:val="none" w:sz="0" w:space="0" w:color="auto"/>
        <w:bottom w:val="none" w:sz="0" w:space="0" w:color="auto"/>
        <w:right w:val="none" w:sz="0" w:space="0" w:color="auto"/>
      </w:divBdr>
    </w:div>
    <w:div w:id="1023365118">
      <w:bodyDiv w:val="1"/>
      <w:marLeft w:val="0"/>
      <w:marRight w:val="0"/>
      <w:marTop w:val="0"/>
      <w:marBottom w:val="0"/>
      <w:divBdr>
        <w:top w:val="none" w:sz="0" w:space="0" w:color="auto"/>
        <w:left w:val="none" w:sz="0" w:space="0" w:color="auto"/>
        <w:bottom w:val="none" w:sz="0" w:space="0" w:color="auto"/>
        <w:right w:val="none" w:sz="0" w:space="0" w:color="auto"/>
      </w:divBdr>
    </w:div>
    <w:div w:id="1023432430">
      <w:bodyDiv w:val="1"/>
      <w:marLeft w:val="0"/>
      <w:marRight w:val="0"/>
      <w:marTop w:val="0"/>
      <w:marBottom w:val="0"/>
      <w:divBdr>
        <w:top w:val="none" w:sz="0" w:space="0" w:color="auto"/>
        <w:left w:val="none" w:sz="0" w:space="0" w:color="auto"/>
        <w:bottom w:val="none" w:sz="0" w:space="0" w:color="auto"/>
        <w:right w:val="none" w:sz="0" w:space="0" w:color="auto"/>
      </w:divBdr>
    </w:div>
    <w:div w:id="1024475649">
      <w:bodyDiv w:val="1"/>
      <w:marLeft w:val="0"/>
      <w:marRight w:val="0"/>
      <w:marTop w:val="0"/>
      <w:marBottom w:val="0"/>
      <w:divBdr>
        <w:top w:val="none" w:sz="0" w:space="0" w:color="auto"/>
        <w:left w:val="none" w:sz="0" w:space="0" w:color="auto"/>
        <w:bottom w:val="none" w:sz="0" w:space="0" w:color="auto"/>
        <w:right w:val="none" w:sz="0" w:space="0" w:color="auto"/>
      </w:divBdr>
    </w:div>
    <w:div w:id="1024667662">
      <w:bodyDiv w:val="1"/>
      <w:marLeft w:val="0"/>
      <w:marRight w:val="0"/>
      <w:marTop w:val="0"/>
      <w:marBottom w:val="0"/>
      <w:divBdr>
        <w:top w:val="none" w:sz="0" w:space="0" w:color="auto"/>
        <w:left w:val="none" w:sz="0" w:space="0" w:color="auto"/>
        <w:bottom w:val="none" w:sz="0" w:space="0" w:color="auto"/>
        <w:right w:val="none" w:sz="0" w:space="0" w:color="auto"/>
      </w:divBdr>
    </w:div>
    <w:div w:id="1026369010">
      <w:bodyDiv w:val="1"/>
      <w:marLeft w:val="0"/>
      <w:marRight w:val="0"/>
      <w:marTop w:val="0"/>
      <w:marBottom w:val="0"/>
      <w:divBdr>
        <w:top w:val="none" w:sz="0" w:space="0" w:color="auto"/>
        <w:left w:val="none" w:sz="0" w:space="0" w:color="auto"/>
        <w:bottom w:val="none" w:sz="0" w:space="0" w:color="auto"/>
        <w:right w:val="none" w:sz="0" w:space="0" w:color="auto"/>
      </w:divBdr>
    </w:div>
    <w:div w:id="1026448869">
      <w:bodyDiv w:val="1"/>
      <w:marLeft w:val="0"/>
      <w:marRight w:val="0"/>
      <w:marTop w:val="0"/>
      <w:marBottom w:val="0"/>
      <w:divBdr>
        <w:top w:val="none" w:sz="0" w:space="0" w:color="auto"/>
        <w:left w:val="none" w:sz="0" w:space="0" w:color="auto"/>
        <w:bottom w:val="none" w:sz="0" w:space="0" w:color="auto"/>
        <w:right w:val="none" w:sz="0" w:space="0" w:color="auto"/>
      </w:divBdr>
    </w:div>
    <w:div w:id="1026712907">
      <w:bodyDiv w:val="1"/>
      <w:marLeft w:val="0"/>
      <w:marRight w:val="0"/>
      <w:marTop w:val="0"/>
      <w:marBottom w:val="0"/>
      <w:divBdr>
        <w:top w:val="none" w:sz="0" w:space="0" w:color="auto"/>
        <w:left w:val="none" w:sz="0" w:space="0" w:color="auto"/>
        <w:bottom w:val="none" w:sz="0" w:space="0" w:color="auto"/>
        <w:right w:val="none" w:sz="0" w:space="0" w:color="auto"/>
      </w:divBdr>
    </w:div>
    <w:div w:id="1026952950">
      <w:bodyDiv w:val="1"/>
      <w:marLeft w:val="0"/>
      <w:marRight w:val="0"/>
      <w:marTop w:val="0"/>
      <w:marBottom w:val="0"/>
      <w:divBdr>
        <w:top w:val="none" w:sz="0" w:space="0" w:color="auto"/>
        <w:left w:val="none" w:sz="0" w:space="0" w:color="auto"/>
        <w:bottom w:val="none" w:sz="0" w:space="0" w:color="auto"/>
        <w:right w:val="none" w:sz="0" w:space="0" w:color="auto"/>
      </w:divBdr>
    </w:div>
    <w:div w:id="1028675256">
      <w:bodyDiv w:val="1"/>
      <w:marLeft w:val="0"/>
      <w:marRight w:val="0"/>
      <w:marTop w:val="0"/>
      <w:marBottom w:val="0"/>
      <w:divBdr>
        <w:top w:val="none" w:sz="0" w:space="0" w:color="auto"/>
        <w:left w:val="none" w:sz="0" w:space="0" w:color="auto"/>
        <w:bottom w:val="none" w:sz="0" w:space="0" w:color="auto"/>
        <w:right w:val="none" w:sz="0" w:space="0" w:color="auto"/>
      </w:divBdr>
    </w:div>
    <w:div w:id="1028874573">
      <w:bodyDiv w:val="1"/>
      <w:marLeft w:val="0"/>
      <w:marRight w:val="0"/>
      <w:marTop w:val="0"/>
      <w:marBottom w:val="0"/>
      <w:divBdr>
        <w:top w:val="none" w:sz="0" w:space="0" w:color="auto"/>
        <w:left w:val="none" w:sz="0" w:space="0" w:color="auto"/>
        <w:bottom w:val="none" w:sz="0" w:space="0" w:color="auto"/>
        <w:right w:val="none" w:sz="0" w:space="0" w:color="auto"/>
      </w:divBdr>
    </w:div>
    <w:div w:id="1029985139">
      <w:bodyDiv w:val="1"/>
      <w:marLeft w:val="0"/>
      <w:marRight w:val="0"/>
      <w:marTop w:val="0"/>
      <w:marBottom w:val="0"/>
      <w:divBdr>
        <w:top w:val="none" w:sz="0" w:space="0" w:color="auto"/>
        <w:left w:val="none" w:sz="0" w:space="0" w:color="auto"/>
        <w:bottom w:val="none" w:sz="0" w:space="0" w:color="auto"/>
        <w:right w:val="none" w:sz="0" w:space="0" w:color="auto"/>
      </w:divBdr>
    </w:div>
    <w:div w:id="1029986205">
      <w:bodyDiv w:val="1"/>
      <w:marLeft w:val="0"/>
      <w:marRight w:val="0"/>
      <w:marTop w:val="0"/>
      <w:marBottom w:val="0"/>
      <w:divBdr>
        <w:top w:val="none" w:sz="0" w:space="0" w:color="auto"/>
        <w:left w:val="none" w:sz="0" w:space="0" w:color="auto"/>
        <w:bottom w:val="none" w:sz="0" w:space="0" w:color="auto"/>
        <w:right w:val="none" w:sz="0" w:space="0" w:color="auto"/>
      </w:divBdr>
    </w:div>
    <w:div w:id="1030258192">
      <w:bodyDiv w:val="1"/>
      <w:marLeft w:val="0"/>
      <w:marRight w:val="0"/>
      <w:marTop w:val="0"/>
      <w:marBottom w:val="0"/>
      <w:divBdr>
        <w:top w:val="none" w:sz="0" w:space="0" w:color="auto"/>
        <w:left w:val="none" w:sz="0" w:space="0" w:color="auto"/>
        <w:bottom w:val="none" w:sz="0" w:space="0" w:color="auto"/>
        <w:right w:val="none" w:sz="0" w:space="0" w:color="auto"/>
      </w:divBdr>
    </w:div>
    <w:div w:id="1030304322">
      <w:bodyDiv w:val="1"/>
      <w:marLeft w:val="0"/>
      <w:marRight w:val="0"/>
      <w:marTop w:val="0"/>
      <w:marBottom w:val="0"/>
      <w:divBdr>
        <w:top w:val="none" w:sz="0" w:space="0" w:color="auto"/>
        <w:left w:val="none" w:sz="0" w:space="0" w:color="auto"/>
        <w:bottom w:val="none" w:sz="0" w:space="0" w:color="auto"/>
        <w:right w:val="none" w:sz="0" w:space="0" w:color="auto"/>
      </w:divBdr>
    </w:div>
    <w:div w:id="1032463007">
      <w:bodyDiv w:val="1"/>
      <w:marLeft w:val="0"/>
      <w:marRight w:val="0"/>
      <w:marTop w:val="0"/>
      <w:marBottom w:val="0"/>
      <w:divBdr>
        <w:top w:val="none" w:sz="0" w:space="0" w:color="auto"/>
        <w:left w:val="none" w:sz="0" w:space="0" w:color="auto"/>
        <w:bottom w:val="none" w:sz="0" w:space="0" w:color="auto"/>
        <w:right w:val="none" w:sz="0" w:space="0" w:color="auto"/>
      </w:divBdr>
    </w:div>
    <w:div w:id="1034039667">
      <w:bodyDiv w:val="1"/>
      <w:marLeft w:val="0"/>
      <w:marRight w:val="0"/>
      <w:marTop w:val="0"/>
      <w:marBottom w:val="0"/>
      <w:divBdr>
        <w:top w:val="none" w:sz="0" w:space="0" w:color="auto"/>
        <w:left w:val="none" w:sz="0" w:space="0" w:color="auto"/>
        <w:bottom w:val="none" w:sz="0" w:space="0" w:color="auto"/>
        <w:right w:val="none" w:sz="0" w:space="0" w:color="auto"/>
      </w:divBdr>
    </w:div>
    <w:div w:id="1034575318">
      <w:bodyDiv w:val="1"/>
      <w:marLeft w:val="0"/>
      <w:marRight w:val="0"/>
      <w:marTop w:val="0"/>
      <w:marBottom w:val="0"/>
      <w:divBdr>
        <w:top w:val="none" w:sz="0" w:space="0" w:color="auto"/>
        <w:left w:val="none" w:sz="0" w:space="0" w:color="auto"/>
        <w:bottom w:val="none" w:sz="0" w:space="0" w:color="auto"/>
        <w:right w:val="none" w:sz="0" w:space="0" w:color="auto"/>
      </w:divBdr>
    </w:div>
    <w:div w:id="1035538606">
      <w:bodyDiv w:val="1"/>
      <w:marLeft w:val="0"/>
      <w:marRight w:val="0"/>
      <w:marTop w:val="0"/>
      <w:marBottom w:val="0"/>
      <w:divBdr>
        <w:top w:val="none" w:sz="0" w:space="0" w:color="auto"/>
        <w:left w:val="none" w:sz="0" w:space="0" w:color="auto"/>
        <w:bottom w:val="none" w:sz="0" w:space="0" w:color="auto"/>
        <w:right w:val="none" w:sz="0" w:space="0" w:color="auto"/>
      </w:divBdr>
    </w:div>
    <w:div w:id="1035697004">
      <w:bodyDiv w:val="1"/>
      <w:marLeft w:val="0"/>
      <w:marRight w:val="0"/>
      <w:marTop w:val="0"/>
      <w:marBottom w:val="0"/>
      <w:divBdr>
        <w:top w:val="none" w:sz="0" w:space="0" w:color="auto"/>
        <w:left w:val="none" w:sz="0" w:space="0" w:color="auto"/>
        <w:bottom w:val="none" w:sz="0" w:space="0" w:color="auto"/>
        <w:right w:val="none" w:sz="0" w:space="0" w:color="auto"/>
      </w:divBdr>
    </w:div>
    <w:div w:id="1036154669">
      <w:bodyDiv w:val="1"/>
      <w:marLeft w:val="0"/>
      <w:marRight w:val="0"/>
      <w:marTop w:val="0"/>
      <w:marBottom w:val="0"/>
      <w:divBdr>
        <w:top w:val="none" w:sz="0" w:space="0" w:color="auto"/>
        <w:left w:val="none" w:sz="0" w:space="0" w:color="auto"/>
        <w:bottom w:val="none" w:sz="0" w:space="0" w:color="auto"/>
        <w:right w:val="none" w:sz="0" w:space="0" w:color="auto"/>
      </w:divBdr>
    </w:div>
    <w:div w:id="1036203402">
      <w:bodyDiv w:val="1"/>
      <w:marLeft w:val="0"/>
      <w:marRight w:val="0"/>
      <w:marTop w:val="0"/>
      <w:marBottom w:val="0"/>
      <w:divBdr>
        <w:top w:val="none" w:sz="0" w:space="0" w:color="auto"/>
        <w:left w:val="none" w:sz="0" w:space="0" w:color="auto"/>
        <w:bottom w:val="none" w:sz="0" w:space="0" w:color="auto"/>
        <w:right w:val="none" w:sz="0" w:space="0" w:color="auto"/>
      </w:divBdr>
    </w:div>
    <w:div w:id="1036733221">
      <w:bodyDiv w:val="1"/>
      <w:marLeft w:val="0"/>
      <w:marRight w:val="0"/>
      <w:marTop w:val="0"/>
      <w:marBottom w:val="0"/>
      <w:divBdr>
        <w:top w:val="none" w:sz="0" w:space="0" w:color="auto"/>
        <w:left w:val="none" w:sz="0" w:space="0" w:color="auto"/>
        <w:bottom w:val="none" w:sz="0" w:space="0" w:color="auto"/>
        <w:right w:val="none" w:sz="0" w:space="0" w:color="auto"/>
      </w:divBdr>
    </w:div>
    <w:div w:id="1036932483">
      <w:bodyDiv w:val="1"/>
      <w:marLeft w:val="0"/>
      <w:marRight w:val="0"/>
      <w:marTop w:val="0"/>
      <w:marBottom w:val="0"/>
      <w:divBdr>
        <w:top w:val="none" w:sz="0" w:space="0" w:color="auto"/>
        <w:left w:val="none" w:sz="0" w:space="0" w:color="auto"/>
        <w:bottom w:val="none" w:sz="0" w:space="0" w:color="auto"/>
        <w:right w:val="none" w:sz="0" w:space="0" w:color="auto"/>
      </w:divBdr>
    </w:div>
    <w:div w:id="1036932971">
      <w:bodyDiv w:val="1"/>
      <w:marLeft w:val="0"/>
      <w:marRight w:val="0"/>
      <w:marTop w:val="0"/>
      <w:marBottom w:val="0"/>
      <w:divBdr>
        <w:top w:val="none" w:sz="0" w:space="0" w:color="auto"/>
        <w:left w:val="none" w:sz="0" w:space="0" w:color="auto"/>
        <w:bottom w:val="none" w:sz="0" w:space="0" w:color="auto"/>
        <w:right w:val="none" w:sz="0" w:space="0" w:color="auto"/>
      </w:divBdr>
    </w:div>
    <w:div w:id="1037588243">
      <w:bodyDiv w:val="1"/>
      <w:marLeft w:val="0"/>
      <w:marRight w:val="0"/>
      <w:marTop w:val="0"/>
      <w:marBottom w:val="0"/>
      <w:divBdr>
        <w:top w:val="none" w:sz="0" w:space="0" w:color="auto"/>
        <w:left w:val="none" w:sz="0" w:space="0" w:color="auto"/>
        <w:bottom w:val="none" w:sz="0" w:space="0" w:color="auto"/>
        <w:right w:val="none" w:sz="0" w:space="0" w:color="auto"/>
      </w:divBdr>
    </w:div>
    <w:div w:id="1038353009">
      <w:bodyDiv w:val="1"/>
      <w:marLeft w:val="0"/>
      <w:marRight w:val="0"/>
      <w:marTop w:val="0"/>
      <w:marBottom w:val="0"/>
      <w:divBdr>
        <w:top w:val="none" w:sz="0" w:space="0" w:color="auto"/>
        <w:left w:val="none" w:sz="0" w:space="0" w:color="auto"/>
        <w:bottom w:val="none" w:sz="0" w:space="0" w:color="auto"/>
        <w:right w:val="none" w:sz="0" w:space="0" w:color="auto"/>
      </w:divBdr>
    </w:div>
    <w:div w:id="1038429057">
      <w:bodyDiv w:val="1"/>
      <w:marLeft w:val="0"/>
      <w:marRight w:val="0"/>
      <w:marTop w:val="0"/>
      <w:marBottom w:val="0"/>
      <w:divBdr>
        <w:top w:val="none" w:sz="0" w:space="0" w:color="auto"/>
        <w:left w:val="none" w:sz="0" w:space="0" w:color="auto"/>
        <w:bottom w:val="none" w:sz="0" w:space="0" w:color="auto"/>
        <w:right w:val="none" w:sz="0" w:space="0" w:color="auto"/>
      </w:divBdr>
    </w:div>
    <w:div w:id="1038815650">
      <w:bodyDiv w:val="1"/>
      <w:marLeft w:val="0"/>
      <w:marRight w:val="0"/>
      <w:marTop w:val="0"/>
      <w:marBottom w:val="0"/>
      <w:divBdr>
        <w:top w:val="none" w:sz="0" w:space="0" w:color="auto"/>
        <w:left w:val="none" w:sz="0" w:space="0" w:color="auto"/>
        <w:bottom w:val="none" w:sz="0" w:space="0" w:color="auto"/>
        <w:right w:val="none" w:sz="0" w:space="0" w:color="auto"/>
      </w:divBdr>
    </w:div>
    <w:div w:id="1039475740">
      <w:bodyDiv w:val="1"/>
      <w:marLeft w:val="0"/>
      <w:marRight w:val="0"/>
      <w:marTop w:val="0"/>
      <w:marBottom w:val="0"/>
      <w:divBdr>
        <w:top w:val="none" w:sz="0" w:space="0" w:color="auto"/>
        <w:left w:val="none" w:sz="0" w:space="0" w:color="auto"/>
        <w:bottom w:val="none" w:sz="0" w:space="0" w:color="auto"/>
        <w:right w:val="none" w:sz="0" w:space="0" w:color="auto"/>
      </w:divBdr>
    </w:div>
    <w:div w:id="1042557899">
      <w:bodyDiv w:val="1"/>
      <w:marLeft w:val="0"/>
      <w:marRight w:val="0"/>
      <w:marTop w:val="0"/>
      <w:marBottom w:val="0"/>
      <w:divBdr>
        <w:top w:val="none" w:sz="0" w:space="0" w:color="auto"/>
        <w:left w:val="none" w:sz="0" w:space="0" w:color="auto"/>
        <w:bottom w:val="none" w:sz="0" w:space="0" w:color="auto"/>
        <w:right w:val="none" w:sz="0" w:space="0" w:color="auto"/>
      </w:divBdr>
    </w:div>
    <w:div w:id="1043287784">
      <w:bodyDiv w:val="1"/>
      <w:marLeft w:val="0"/>
      <w:marRight w:val="0"/>
      <w:marTop w:val="0"/>
      <w:marBottom w:val="0"/>
      <w:divBdr>
        <w:top w:val="none" w:sz="0" w:space="0" w:color="auto"/>
        <w:left w:val="none" w:sz="0" w:space="0" w:color="auto"/>
        <w:bottom w:val="none" w:sz="0" w:space="0" w:color="auto"/>
        <w:right w:val="none" w:sz="0" w:space="0" w:color="auto"/>
      </w:divBdr>
    </w:div>
    <w:div w:id="1044141950">
      <w:bodyDiv w:val="1"/>
      <w:marLeft w:val="0"/>
      <w:marRight w:val="0"/>
      <w:marTop w:val="0"/>
      <w:marBottom w:val="0"/>
      <w:divBdr>
        <w:top w:val="none" w:sz="0" w:space="0" w:color="auto"/>
        <w:left w:val="none" w:sz="0" w:space="0" w:color="auto"/>
        <w:bottom w:val="none" w:sz="0" w:space="0" w:color="auto"/>
        <w:right w:val="none" w:sz="0" w:space="0" w:color="auto"/>
      </w:divBdr>
    </w:div>
    <w:div w:id="1044791243">
      <w:bodyDiv w:val="1"/>
      <w:marLeft w:val="0"/>
      <w:marRight w:val="0"/>
      <w:marTop w:val="0"/>
      <w:marBottom w:val="0"/>
      <w:divBdr>
        <w:top w:val="none" w:sz="0" w:space="0" w:color="auto"/>
        <w:left w:val="none" w:sz="0" w:space="0" w:color="auto"/>
        <w:bottom w:val="none" w:sz="0" w:space="0" w:color="auto"/>
        <w:right w:val="none" w:sz="0" w:space="0" w:color="auto"/>
      </w:divBdr>
    </w:div>
    <w:div w:id="1045569525">
      <w:bodyDiv w:val="1"/>
      <w:marLeft w:val="0"/>
      <w:marRight w:val="0"/>
      <w:marTop w:val="0"/>
      <w:marBottom w:val="0"/>
      <w:divBdr>
        <w:top w:val="none" w:sz="0" w:space="0" w:color="auto"/>
        <w:left w:val="none" w:sz="0" w:space="0" w:color="auto"/>
        <w:bottom w:val="none" w:sz="0" w:space="0" w:color="auto"/>
        <w:right w:val="none" w:sz="0" w:space="0" w:color="auto"/>
      </w:divBdr>
    </w:div>
    <w:div w:id="1046173411">
      <w:bodyDiv w:val="1"/>
      <w:marLeft w:val="0"/>
      <w:marRight w:val="0"/>
      <w:marTop w:val="0"/>
      <w:marBottom w:val="0"/>
      <w:divBdr>
        <w:top w:val="none" w:sz="0" w:space="0" w:color="auto"/>
        <w:left w:val="none" w:sz="0" w:space="0" w:color="auto"/>
        <w:bottom w:val="none" w:sz="0" w:space="0" w:color="auto"/>
        <w:right w:val="none" w:sz="0" w:space="0" w:color="auto"/>
      </w:divBdr>
    </w:div>
    <w:div w:id="1047219296">
      <w:bodyDiv w:val="1"/>
      <w:marLeft w:val="0"/>
      <w:marRight w:val="0"/>
      <w:marTop w:val="0"/>
      <w:marBottom w:val="0"/>
      <w:divBdr>
        <w:top w:val="none" w:sz="0" w:space="0" w:color="auto"/>
        <w:left w:val="none" w:sz="0" w:space="0" w:color="auto"/>
        <w:bottom w:val="none" w:sz="0" w:space="0" w:color="auto"/>
        <w:right w:val="none" w:sz="0" w:space="0" w:color="auto"/>
      </w:divBdr>
    </w:div>
    <w:div w:id="1049377492">
      <w:bodyDiv w:val="1"/>
      <w:marLeft w:val="0"/>
      <w:marRight w:val="0"/>
      <w:marTop w:val="0"/>
      <w:marBottom w:val="0"/>
      <w:divBdr>
        <w:top w:val="none" w:sz="0" w:space="0" w:color="auto"/>
        <w:left w:val="none" w:sz="0" w:space="0" w:color="auto"/>
        <w:bottom w:val="none" w:sz="0" w:space="0" w:color="auto"/>
        <w:right w:val="none" w:sz="0" w:space="0" w:color="auto"/>
      </w:divBdr>
    </w:div>
    <w:div w:id="1049763014">
      <w:bodyDiv w:val="1"/>
      <w:marLeft w:val="0"/>
      <w:marRight w:val="0"/>
      <w:marTop w:val="0"/>
      <w:marBottom w:val="0"/>
      <w:divBdr>
        <w:top w:val="none" w:sz="0" w:space="0" w:color="auto"/>
        <w:left w:val="none" w:sz="0" w:space="0" w:color="auto"/>
        <w:bottom w:val="none" w:sz="0" w:space="0" w:color="auto"/>
        <w:right w:val="none" w:sz="0" w:space="0" w:color="auto"/>
      </w:divBdr>
    </w:div>
    <w:div w:id="1050156256">
      <w:bodyDiv w:val="1"/>
      <w:marLeft w:val="0"/>
      <w:marRight w:val="0"/>
      <w:marTop w:val="0"/>
      <w:marBottom w:val="0"/>
      <w:divBdr>
        <w:top w:val="none" w:sz="0" w:space="0" w:color="auto"/>
        <w:left w:val="none" w:sz="0" w:space="0" w:color="auto"/>
        <w:bottom w:val="none" w:sz="0" w:space="0" w:color="auto"/>
        <w:right w:val="none" w:sz="0" w:space="0" w:color="auto"/>
      </w:divBdr>
    </w:div>
    <w:div w:id="1050301587">
      <w:bodyDiv w:val="1"/>
      <w:marLeft w:val="0"/>
      <w:marRight w:val="0"/>
      <w:marTop w:val="0"/>
      <w:marBottom w:val="0"/>
      <w:divBdr>
        <w:top w:val="none" w:sz="0" w:space="0" w:color="auto"/>
        <w:left w:val="none" w:sz="0" w:space="0" w:color="auto"/>
        <w:bottom w:val="none" w:sz="0" w:space="0" w:color="auto"/>
        <w:right w:val="none" w:sz="0" w:space="0" w:color="auto"/>
      </w:divBdr>
    </w:div>
    <w:div w:id="1050882264">
      <w:bodyDiv w:val="1"/>
      <w:marLeft w:val="0"/>
      <w:marRight w:val="0"/>
      <w:marTop w:val="0"/>
      <w:marBottom w:val="0"/>
      <w:divBdr>
        <w:top w:val="none" w:sz="0" w:space="0" w:color="auto"/>
        <w:left w:val="none" w:sz="0" w:space="0" w:color="auto"/>
        <w:bottom w:val="none" w:sz="0" w:space="0" w:color="auto"/>
        <w:right w:val="none" w:sz="0" w:space="0" w:color="auto"/>
      </w:divBdr>
    </w:div>
    <w:div w:id="1051612470">
      <w:bodyDiv w:val="1"/>
      <w:marLeft w:val="0"/>
      <w:marRight w:val="0"/>
      <w:marTop w:val="0"/>
      <w:marBottom w:val="0"/>
      <w:divBdr>
        <w:top w:val="none" w:sz="0" w:space="0" w:color="auto"/>
        <w:left w:val="none" w:sz="0" w:space="0" w:color="auto"/>
        <w:bottom w:val="none" w:sz="0" w:space="0" w:color="auto"/>
        <w:right w:val="none" w:sz="0" w:space="0" w:color="auto"/>
      </w:divBdr>
    </w:div>
    <w:div w:id="1052583197">
      <w:bodyDiv w:val="1"/>
      <w:marLeft w:val="0"/>
      <w:marRight w:val="0"/>
      <w:marTop w:val="0"/>
      <w:marBottom w:val="0"/>
      <w:divBdr>
        <w:top w:val="none" w:sz="0" w:space="0" w:color="auto"/>
        <w:left w:val="none" w:sz="0" w:space="0" w:color="auto"/>
        <w:bottom w:val="none" w:sz="0" w:space="0" w:color="auto"/>
        <w:right w:val="none" w:sz="0" w:space="0" w:color="auto"/>
      </w:divBdr>
    </w:div>
    <w:div w:id="1053119363">
      <w:bodyDiv w:val="1"/>
      <w:marLeft w:val="0"/>
      <w:marRight w:val="0"/>
      <w:marTop w:val="0"/>
      <w:marBottom w:val="0"/>
      <w:divBdr>
        <w:top w:val="none" w:sz="0" w:space="0" w:color="auto"/>
        <w:left w:val="none" w:sz="0" w:space="0" w:color="auto"/>
        <w:bottom w:val="none" w:sz="0" w:space="0" w:color="auto"/>
        <w:right w:val="none" w:sz="0" w:space="0" w:color="auto"/>
      </w:divBdr>
    </w:div>
    <w:div w:id="1054042220">
      <w:bodyDiv w:val="1"/>
      <w:marLeft w:val="0"/>
      <w:marRight w:val="0"/>
      <w:marTop w:val="0"/>
      <w:marBottom w:val="0"/>
      <w:divBdr>
        <w:top w:val="none" w:sz="0" w:space="0" w:color="auto"/>
        <w:left w:val="none" w:sz="0" w:space="0" w:color="auto"/>
        <w:bottom w:val="none" w:sz="0" w:space="0" w:color="auto"/>
        <w:right w:val="none" w:sz="0" w:space="0" w:color="auto"/>
      </w:divBdr>
    </w:div>
    <w:div w:id="1054238568">
      <w:bodyDiv w:val="1"/>
      <w:marLeft w:val="0"/>
      <w:marRight w:val="0"/>
      <w:marTop w:val="0"/>
      <w:marBottom w:val="0"/>
      <w:divBdr>
        <w:top w:val="none" w:sz="0" w:space="0" w:color="auto"/>
        <w:left w:val="none" w:sz="0" w:space="0" w:color="auto"/>
        <w:bottom w:val="none" w:sz="0" w:space="0" w:color="auto"/>
        <w:right w:val="none" w:sz="0" w:space="0" w:color="auto"/>
      </w:divBdr>
    </w:div>
    <w:div w:id="1054933496">
      <w:bodyDiv w:val="1"/>
      <w:marLeft w:val="0"/>
      <w:marRight w:val="0"/>
      <w:marTop w:val="0"/>
      <w:marBottom w:val="0"/>
      <w:divBdr>
        <w:top w:val="none" w:sz="0" w:space="0" w:color="auto"/>
        <w:left w:val="none" w:sz="0" w:space="0" w:color="auto"/>
        <w:bottom w:val="none" w:sz="0" w:space="0" w:color="auto"/>
        <w:right w:val="none" w:sz="0" w:space="0" w:color="auto"/>
      </w:divBdr>
    </w:div>
    <w:div w:id="1055006435">
      <w:bodyDiv w:val="1"/>
      <w:marLeft w:val="0"/>
      <w:marRight w:val="0"/>
      <w:marTop w:val="0"/>
      <w:marBottom w:val="0"/>
      <w:divBdr>
        <w:top w:val="none" w:sz="0" w:space="0" w:color="auto"/>
        <w:left w:val="none" w:sz="0" w:space="0" w:color="auto"/>
        <w:bottom w:val="none" w:sz="0" w:space="0" w:color="auto"/>
        <w:right w:val="none" w:sz="0" w:space="0" w:color="auto"/>
      </w:divBdr>
    </w:div>
    <w:div w:id="1055087453">
      <w:bodyDiv w:val="1"/>
      <w:marLeft w:val="0"/>
      <w:marRight w:val="0"/>
      <w:marTop w:val="0"/>
      <w:marBottom w:val="0"/>
      <w:divBdr>
        <w:top w:val="none" w:sz="0" w:space="0" w:color="auto"/>
        <w:left w:val="none" w:sz="0" w:space="0" w:color="auto"/>
        <w:bottom w:val="none" w:sz="0" w:space="0" w:color="auto"/>
        <w:right w:val="none" w:sz="0" w:space="0" w:color="auto"/>
      </w:divBdr>
    </w:div>
    <w:div w:id="1055162037">
      <w:bodyDiv w:val="1"/>
      <w:marLeft w:val="0"/>
      <w:marRight w:val="0"/>
      <w:marTop w:val="0"/>
      <w:marBottom w:val="0"/>
      <w:divBdr>
        <w:top w:val="none" w:sz="0" w:space="0" w:color="auto"/>
        <w:left w:val="none" w:sz="0" w:space="0" w:color="auto"/>
        <w:bottom w:val="none" w:sz="0" w:space="0" w:color="auto"/>
        <w:right w:val="none" w:sz="0" w:space="0" w:color="auto"/>
      </w:divBdr>
    </w:div>
    <w:div w:id="1055666592">
      <w:bodyDiv w:val="1"/>
      <w:marLeft w:val="0"/>
      <w:marRight w:val="0"/>
      <w:marTop w:val="0"/>
      <w:marBottom w:val="0"/>
      <w:divBdr>
        <w:top w:val="none" w:sz="0" w:space="0" w:color="auto"/>
        <w:left w:val="none" w:sz="0" w:space="0" w:color="auto"/>
        <w:bottom w:val="none" w:sz="0" w:space="0" w:color="auto"/>
        <w:right w:val="none" w:sz="0" w:space="0" w:color="auto"/>
      </w:divBdr>
    </w:div>
    <w:div w:id="1055929364">
      <w:bodyDiv w:val="1"/>
      <w:marLeft w:val="0"/>
      <w:marRight w:val="0"/>
      <w:marTop w:val="0"/>
      <w:marBottom w:val="0"/>
      <w:divBdr>
        <w:top w:val="none" w:sz="0" w:space="0" w:color="auto"/>
        <w:left w:val="none" w:sz="0" w:space="0" w:color="auto"/>
        <w:bottom w:val="none" w:sz="0" w:space="0" w:color="auto"/>
        <w:right w:val="none" w:sz="0" w:space="0" w:color="auto"/>
      </w:divBdr>
    </w:div>
    <w:div w:id="1057709203">
      <w:bodyDiv w:val="1"/>
      <w:marLeft w:val="0"/>
      <w:marRight w:val="0"/>
      <w:marTop w:val="0"/>
      <w:marBottom w:val="0"/>
      <w:divBdr>
        <w:top w:val="none" w:sz="0" w:space="0" w:color="auto"/>
        <w:left w:val="none" w:sz="0" w:space="0" w:color="auto"/>
        <w:bottom w:val="none" w:sz="0" w:space="0" w:color="auto"/>
        <w:right w:val="none" w:sz="0" w:space="0" w:color="auto"/>
      </w:divBdr>
    </w:div>
    <w:div w:id="1057823401">
      <w:bodyDiv w:val="1"/>
      <w:marLeft w:val="0"/>
      <w:marRight w:val="0"/>
      <w:marTop w:val="0"/>
      <w:marBottom w:val="0"/>
      <w:divBdr>
        <w:top w:val="none" w:sz="0" w:space="0" w:color="auto"/>
        <w:left w:val="none" w:sz="0" w:space="0" w:color="auto"/>
        <w:bottom w:val="none" w:sz="0" w:space="0" w:color="auto"/>
        <w:right w:val="none" w:sz="0" w:space="0" w:color="auto"/>
      </w:divBdr>
    </w:div>
    <w:div w:id="1058627967">
      <w:bodyDiv w:val="1"/>
      <w:marLeft w:val="0"/>
      <w:marRight w:val="0"/>
      <w:marTop w:val="0"/>
      <w:marBottom w:val="0"/>
      <w:divBdr>
        <w:top w:val="none" w:sz="0" w:space="0" w:color="auto"/>
        <w:left w:val="none" w:sz="0" w:space="0" w:color="auto"/>
        <w:bottom w:val="none" w:sz="0" w:space="0" w:color="auto"/>
        <w:right w:val="none" w:sz="0" w:space="0" w:color="auto"/>
      </w:divBdr>
    </w:div>
    <w:div w:id="1060129073">
      <w:bodyDiv w:val="1"/>
      <w:marLeft w:val="0"/>
      <w:marRight w:val="0"/>
      <w:marTop w:val="0"/>
      <w:marBottom w:val="0"/>
      <w:divBdr>
        <w:top w:val="none" w:sz="0" w:space="0" w:color="auto"/>
        <w:left w:val="none" w:sz="0" w:space="0" w:color="auto"/>
        <w:bottom w:val="none" w:sz="0" w:space="0" w:color="auto"/>
        <w:right w:val="none" w:sz="0" w:space="0" w:color="auto"/>
      </w:divBdr>
    </w:div>
    <w:div w:id="1060591459">
      <w:bodyDiv w:val="1"/>
      <w:marLeft w:val="0"/>
      <w:marRight w:val="0"/>
      <w:marTop w:val="0"/>
      <w:marBottom w:val="0"/>
      <w:divBdr>
        <w:top w:val="none" w:sz="0" w:space="0" w:color="auto"/>
        <w:left w:val="none" w:sz="0" w:space="0" w:color="auto"/>
        <w:bottom w:val="none" w:sz="0" w:space="0" w:color="auto"/>
        <w:right w:val="none" w:sz="0" w:space="0" w:color="auto"/>
      </w:divBdr>
    </w:div>
    <w:div w:id="1060591898">
      <w:bodyDiv w:val="1"/>
      <w:marLeft w:val="0"/>
      <w:marRight w:val="0"/>
      <w:marTop w:val="0"/>
      <w:marBottom w:val="0"/>
      <w:divBdr>
        <w:top w:val="none" w:sz="0" w:space="0" w:color="auto"/>
        <w:left w:val="none" w:sz="0" w:space="0" w:color="auto"/>
        <w:bottom w:val="none" w:sz="0" w:space="0" w:color="auto"/>
        <w:right w:val="none" w:sz="0" w:space="0" w:color="auto"/>
      </w:divBdr>
    </w:div>
    <w:div w:id="1060791400">
      <w:bodyDiv w:val="1"/>
      <w:marLeft w:val="0"/>
      <w:marRight w:val="0"/>
      <w:marTop w:val="0"/>
      <w:marBottom w:val="0"/>
      <w:divBdr>
        <w:top w:val="none" w:sz="0" w:space="0" w:color="auto"/>
        <w:left w:val="none" w:sz="0" w:space="0" w:color="auto"/>
        <w:bottom w:val="none" w:sz="0" w:space="0" w:color="auto"/>
        <w:right w:val="none" w:sz="0" w:space="0" w:color="auto"/>
      </w:divBdr>
    </w:div>
    <w:div w:id="1061099226">
      <w:bodyDiv w:val="1"/>
      <w:marLeft w:val="0"/>
      <w:marRight w:val="0"/>
      <w:marTop w:val="0"/>
      <w:marBottom w:val="0"/>
      <w:divBdr>
        <w:top w:val="none" w:sz="0" w:space="0" w:color="auto"/>
        <w:left w:val="none" w:sz="0" w:space="0" w:color="auto"/>
        <w:bottom w:val="none" w:sz="0" w:space="0" w:color="auto"/>
        <w:right w:val="none" w:sz="0" w:space="0" w:color="auto"/>
      </w:divBdr>
    </w:div>
    <w:div w:id="1061714885">
      <w:bodyDiv w:val="1"/>
      <w:marLeft w:val="0"/>
      <w:marRight w:val="0"/>
      <w:marTop w:val="0"/>
      <w:marBottom w:val="0"/>
      <w:divBdr>
        <w:top w:val="none" w:sz="0" w:space="0" w:color="auto"/>
        <w:left w:val="none" w:sz="0" w:space="0" w:color="auto"/>
        <w:bottom w:val="none" w:sz="0" w:space="0" w:color="auto"/>
        <w:right w:val="none" w:sz="0" w:space="0" w:color="auto"/>
      </w:divBdr>
    </w:div>
    <w:div w:id="1063866410">
      <w:bodyDiv w:val="1"/>
      <w:marLeft w:val="0"/>
      <w:marRight w:val="0"/>
      <w:marTop w:val="0"/>
      <w:marBottom w:val="0"/>
      <w:divBdr>
        <w:top w:val="none" w:sz="0" w:space="0" w:color="auto"/>
        <w:left w:val="none" w:sz="0" w:space="0" w:color="auto"/>
        <w:bottom w:val="none" w:sz="0" w:space="0" w:color="auto"/>
        <w:right w:val="none" w:sz="0" w:space="0" w:color="auto"/>
      </w:divBdr>
    </w:div>
    <w:div w:id="1063992565">
      <w:bodyDiv w:val="1"/>
      <w:marLeft w:val="0"/>
      <w:marRight w:val="0"/>
      <w:marTop w:val="0"/>
      <w:marBottom w:val="0"/>
      <w:divBdr>
        <w:top w:val="none" w:sz="0" w:space="0" w:color="auto"/>
        <w:left w:val="none" w:sz="0" w:space="0" w:color="auto"/>
        <w:bottom w:val="none" w:sz="0" w:space="0" w:color="auto"/>
        <w:right w:val="none" w:sz="0" w:space="0" w:color="auto"/>
      </w:divBdr>
    </w:div>
    <w:div w:id="1065564923">
      <w:bodyDiv w:val="1"/>
      <w:marLeft w:val="0"/>
      <w:marRight w:val="0"/>
      <w:marTop w:val="0"/>
      <w:marBottom w:val="0"/>
      <w:divBdr>
        <w:top w:val="none" w:sz="0" w:space="0" w:color="auto"/>
        <w:left w:val="none" w:sz="0" w:space="0" w:color="auto"/>
        <w:bottom w:val="none" w:sz="0" w:space="0" w:color="auto"/>
        <w:right w:val="none" w:sz="0" w:space="0" w:color="auto"/>
      </w:divBdr>
    </w:div>
    <w:div w:id="1065569907">
      <w:bodyDiv w:val="1"/>
      <w:marLeft w:val="0"/>
      <w:marRight w:val="0"/>
      <w:marTop w:val="0"/>
      <w:marBottom w:val="0"/>
      <w:divBdr>
        <w:top w:val="none" w:sz="0" w:space="0" w:color="auto"/>
        <w:left w:val="none" w:sz="0" w:space="0" w:color="auto"/>
        <w:bottom w:val="none" w:sz="0" w:space="0" w:color="auto"/>
        <w:right w:val="none" w:sz="0" w:space="0" w:color="auto"/>
      </w:divBdr>
    </w:div>
    <w:div w:id="1067461258">
      <w:bodyDiv w:val="1"/>
      <w:marLeft w:val="0"/>
      <w:marRight w:val="0"/>
      <w:marTop w:val="0"/>
      <w:marBottom w:val="0"/>
      <w:divBdr>
        <w:top w:val="none" w:sz="0" w:space="0" w:color="auto"/>
        <w:left w:val="none" w:sz="0" w:space="0" w:color="auto"/>
        <w:bottom w:val="none" w:sz="0" w:space="0" w:color="auto"/>
        <w:right w:val="none" w:sz="0" w:space="0" w:color="auto"/>
      </w:divBdr>
    </w:div>
    <w:div w:id="1068454156">
      <w:bodyDiv w:val="1"/>
      <w:marLeft w:val="0"/>
      <w:marRight w:val="0"/>
      <w:marTop w:val="0"/>
      <w:marBottom w:val="0"/>
      <w:divBdr>
        <w:top w:val="none" w:sz="0" w:space="0" w:color="auto"/>
        <w:left w:val="none" w:sz="0" w:space="0" w:color="auto"/>
        <w:bottom w:val="none" w:sz="0" w:space="0" w:color="auto"/>
        <w:right w:val="none" w:sz="0" w:space="0" w:color="auto"/>
      </w:divBdr>
    </w:div>
    <w:div w:id="1068655137">
      <w:bodyDiv w:val="1"/>
      <w:marLeft w:val="0"/>
      <w:marRight w:val="0"/>
      <w:marTop w:val="0"/>
      <w:marBottom w:val="0"/>
      <w:divBdr>
        <w:top w:val="none" w:sz="0" w:space="0" w:color="auto"/>
        <w:left w:val="none" w:sz="0" w:space="0" w:color="auto"/>
        <w:bottom w:val="none" w:sz="0" w:space="0" w:color="auto"/>
        <w:right w:val="none" w:sz="0" w:space="0" w:color="auto"/>
      </w:divBdr>
    </w:div>
    <w:div w:id="1069425352">
      <w:bodyDiv w:val="1"/>
      <w:marLeft w:val="0"/>
      <w:marRight w:val="0"/>
      <w:marTop w:val="0"/>
      <w:marBottom w:val="0"/>
      <w:divBdr>
        <w:top w:val="none" w:sz="0" w:space="0" w:color="auto"/>
        <w:left w:val="none" w:sz="0" w:space="0" w:color="auto"/>
        <w:bottom w:val="none" w:sz="0" w:space="0" w:color="auto"/>
        <w:right w:val="none" w:sz="0" w:space="0" w:color="auto"/>
      </w:divBdr>
    </w:div>
    <w:div w:id="1070345602">
      <w:bodyDiv w:val="1"/>
      <w:marLeft w:val="0"/>
      <w:marRight w:val="0"/>
      <w:marTop w:val="0"/>
      <w:marBottom w:val="0"/>
      <w:divBdr>
        <w:top w:val="none" w:sz="0" w:space="0" w:color="auto"/>
        <w:left w:val="none" w:sz="0" w:space="0" w:color="auto"/>
        <w:bottom w:val="none" w:sz="0" w:space="0" w:color="auto"/>
        <w:right w:val="none" w:sz="0" w:space="0" w:color="auto"/>
      </w:divBdr>
    </w:div>
    <w:div w:id="1071001335">
      <w:bodyDiv w:val="1"/>
      <w:marLeft w:val="0"/>
      <w:marRight w:val="0"/>
      <w:marTop w:val="0"/>
      <w:marBottom w:val="0"/>
      <w:divBdr>
        <w:top w:val="none" w:sz="0" w:space="0" w:color="auto"/>
        <w:left w:val="none" w:sz="0" w:space="0" w:color="auto"/>
        <w:bottom w:val="none" w:sz="0" w:space="0" w:color="auto"/>
        <w:right w:val="none" w:sz="0" w:space="0" w:color="auto"/>
      </w:divBdr>
    </w:div>
    <w:div w:id="1072703429">
      <w:bodyDiv w:val="1"/>
      <w:marLeft w:val="0"/>
      <w:marRight w:val="0"/>
      <w:marTop w:val="0"/>
      <w:marBottom w:val="0"/>
      <w:divBdr>
        <w:top w:val="none" w:sz="0" w:space="0" w:color="auto"/>
        <w:left w:val="none" w:sz="0" w:space="0" w:color="auto"/>
        <w:bottom w:val="none" w:sz="0" w:space="0" w:color="auto"/>
        <w:right w:val="none" w:sz="0" w:space="0" w:color="auto"/>
      </w:divBdr>
    </w:div>
    <w:div w:id="1073428812">
      <w:bodyDiv w:val="1"/>
      <w:marLeft w:val="0"/>
      <w:marRight w:val="0"/>
      <w:marTop w:val="0"/>
      <w:marBottom w:val="0"/>
      <w:divBdr>
        <w:top w:val="none" w:sz="0" w:space="0" w:color="auto"/>
        <w:left w:val="none" w:sz="0" w:space="0" w:color="auto"/>
        <w:bottom w:val="none" w:sz="0" w:space="0" w:color="auto"/>
        <w:right w:val="none" w:sz="0" w:space="0" w:color="auto"/>
      </w:divBdr>
    </w:div>
    <w:div w:id="1074284132">
      <w:bodyDiv w:val="1"/>
      <w:marLeft w:val="0"/>
      <w:marRight w:val="0"/>
      <w:marTop w:val="0"/>
      <w:marBottom w:val="0"/>
      <w:divBdr>
        <w:top w:val="none" w:sz="0" w:space="0" w:color="auto"/>
        <w:left w:val="none" w:sz="0" w:space="0" w:color="auto"/>
        <w:bottom w:val="none" w:sz="0" w:space="0" w:color="auto"/>
        <w:right w:val="none" w:sz="0" w:space="0" w:color="auto"/>
      </w:divBdr>
    </w:div>
    <w:div w:id="1074741598">
      <w:bodyDiv w:val="1"/>
      <w:marLeft w:val="0"/>
      <w:marRight w:val="0"/>
      <w:marTop w:val="0"/>
      <w:marBottom w:val="0"/>
      <w:divBdr>
        <w:top w:val="none" w:sz="0" w:space="0" w:color="auto"/>
        <w:left w:val="none" w:sz="0" w:space="0" w:color="auto"/>
        <w:bottom w:val="none" w:sz="0" w:space="0" w:color="auto"/>
        <w:right w:val="none" w:sz="0" w:space="0" w:color="auto"/>
      </w:divBdr>
    </w:div>
    <w:div w:id="1075054446">
      <w:bodyDiv w:val="1"/>
      <w:marLeft w:val="0"/>
      <w:marRight w:val="0"/>
      <w:marTop w:val="0"/>
      <w:marBottom w:val="0"/>
      <w:divBdr>
        <w:top w:val="none" w:sz="0" w:space="0" w:color="auto"/>
        <w:left w:val="none" w:sz="0" w:space="0" w:color="auto"/>
        <w:bottom w:val="none" w:sz="0" w:space="0" w:color="auto"/>
        <w:right w:val="none" w:sz="0" w:space="0" w:color="auto"/>
      </w:divBdr>
    </w:div>
    <w:div w:id="1076123205">
      <w:bodyDiv w:val="1"/>
      <w:marLeft w:val="0"/>
      <w:marRight w:val="0"/>
      <w:marTop w:val="0"/>
      <w:marBottom w:val="0"/>
      <w:divBdr>
        <w:top w:val="none" w:sz="0" w:space="0" w:color="auto"/>
        <w:left w:val="none" w:sz="0" w:space="0" w:color="auto"/>
        <w:bottom w:val="none" w:sz="0" w:space="0" w:color="auto"/>
        <w:right w:val="none" w:sz="0" w:space="0" w:color="auto"/>
      </w:divBdr>
    </w:div>
    <w:div w:id="1076589817">
      <w:bodyDiv w:val="1"/>
      <w:marLeft w:val="0"/>
      <w:marRight w:val="0"/>
      <w:marTop w:val="0"/>
      <w:marBottom w:val="0"/>
      <w:divBdr>
        <w:top w:val="none" w:sz="0" w:space="0" w:color="auto"/>
        <w:left w:val="none" w:sz="0" w:space="0" w:color="auto"/>
        <w:bottom w:val="none" w:sz="0" w:space="0" w:color="auto"/>
        <w:right w:val="none" w:sz="0" w:space="0" w:color="auto"/>
      </w:divBdr>
    </w:div>
    <w:div w:id="1078671187">
      <w:bodyDiv w:val="1"/>
      <w:marLeft w:val="0"/>
      <w:marRight w:val="0"/>
      <w:marTop w:val="0"/>
      <w:marBottom w:val="0"/>
      <w:divBdr>
        <w:top w:val="none" w:sz="0" w:space="0" w:color="auto"/>
        <w:left w:val="none" w:sz="0" w:space="0" w:color="auto"/>
        <w:bottom w:val="none" w:sz="0" w:space="0" w:color="auto"/>
        <w:right w:val="none" w:sz="0" w:space="0" w:color="auto"/>
      </w:divBdr>
    </w:div>
    <w:div w:id="1082723095">
      <w:bodyDiv w:val="1"/>
      <w:marLeft w:val="0"/>
      <w:marRight w:val="0"/>
      <w:marTop w:val="0"/>
      <w:marBottom w:val="0"/>
      <w:divBdr>
        <w:top w:val="none" w:sz="0" w:space="0" w:color="auto"/>
        <w:left w:val="none" w:sz="0" w:space="0" w:color="auto"/>
        <w:bottom w:val="none" w:sz="0" w:space="0" w:color="auto"/>
        <w:right w:val="none" w:sz="0" w:space="0" w:color="auto"/>
      </w:divBdr>
    </w:div>
    <w:div w:id="1083841732">
      <w:bodyDiv w:val="1"/>
      <w:marLeft w:val="0"/>
      <w:marRight w:val="0"/>
      <w:marTop w:val="0"/>
      <w:marBottom w:val="0"/>
      <w:divBdr>
        <w:top w:val="none" w:sz="0" w:space="0" w:color="auto"/>
        <w:left w:val="none" w:sz="0" w:space="0" w:color="auto"/>
        <w:bottom w:val="none" w:sz="0" w:space="0" w:color="auto"/>
        <w:right w:val="none" w:sz="0" w:space="0" w:color="auto"/>
      </w:divBdr>
    </w:div>
    <w:div w:id="1084113173">
      <w:bodyDiv w:val="1"/>
      <w:marLeft w:val="0"/>
      <w:marRight w:val="0"/>
      <w:marTop w:val="0"/>
      <w:marBottom w:val="0"/>
      <w:divBdr>
        <w:top w:val="none" w:sz="0" w:space="0" w:color="auto"/>
        <w:left w:val="none" w:sz="0" w:space="0" w:color="auto"/>
        <w:bottom w:val="none" w:sz="0" w:space="0" w:color="auto"/>
        <w:right w:val="none" w:sz="0" w:space="0" w:color="auto"/>
      </w:divBdr>
    </w:div>
    <w:div w:id="1084567748">
      <w:bodyDiv w:val="1"/>
      <w:marLeft w:val="0"/>
      <w:marRight w:val="0"/>
      <w:marTop w:val="0"/>
      <w:marBottom w:val="0"/>
      <w:divBdr>
        <w:top w:val="none" w:sz="0" w:space="0" w:color="auto"/>
        <w:left w:val="none" w:sz="0" w:space="0" w:color="auto"/>
        <w:bottom w:val="none" w:sz="0" w:space="0" w:color="auto"/>
        <w:right w:val="none" w:sz="0" w:space="0" w:color="auto"/>
      </w:divBdr>
    </w:div>
    <w:div w:id="1084690920">
      <w:bodyDiv w:val="1"/>
      <w:marLeft w:val="0"/>
      <w:marRight w:val="0"/>
      <w:marTop w:val="0"/>
      <w:marBottom w:val="0"/>
      <w:divBdr>
        <w:top w:val="none" w:sz="0" w:space="0" w:color="auto"/>
        <w:left w:val="none" w:sz="0" w:space="0" w:color="auto"/>
        <w:bottom w:val="none" w:sz="0" w:space="0" w:color="auto"/>
        <w:right w:val="none" w:sz="0" w:space="0" w:color="auto"/>
      </w:divBdr>
    </w:div>
    <w:div w:id="1086265054">
      <w:bodyDiv w:val="1"/>
      <w:marLeft w:val="0"/>
      <w:marRight w:val="0"/>
      <w:marTop w:val="0"/>
      <w:marBottom w:val="0"/>
      <w:divBdr>
        <w:top w:val="none" w:sz="0" w:space="0" w:color="auto"/>
        <w:left w:val="none" w:sz="0" w:space="0" w:color="auto"/>
        <w:bottom w:val="none" w:sz="0" w:space="0" w:color="auto"/>
        <w:right w:val="none" w:sz="0" w:space="0" w:color="auto"/>
      </w:divBdr>
    </w:div>
    <w:div w:id="1090657377">
      <w:bodyDiv w:val="1"/>
      <w:marLeft w:val="0"/>
      <w:marRight w:val="0"/>
      <w:marTop w:val="0"/>
      <w:marBottom w:val="0"/>
      <w:divBdr>
        <w:top w:val="none" w:sz="0" w:space="0" w:color="auto"/>
        <w:left w:val="none" w:sz="0" w:space="0" w:color="auto"/>
        <w:bottom w:val="none" w:sz="0" w:space="0" w:color="auto"/>
        <w:right w:val="none" w:sz="0" w:space="0" w:color="auto"/>
      </w:divBdr>
    </w:div>
    <w:div w:id="1090665415">
      <w:bodyDiv w:val="1"/>
      <w:marLeft w:val="0"/>
      <w:marRight w:val="0"/>
      <w:marTop w:val="0"/>
      <w:marBottom w:val="0"/>
      <w:divBdr>
        <w:top w:val="none" w:sz="0" w:space="0" w:color="auto"/>
        <w:left w:val="none" w:sz="0" w:space="0" w:color="auto"/>
        <w:bottom w:val="none" w:sz="0" w:space="0" w:color="auto"/>
        <w:right w:val="none" w:sz="0" w:space="0" w:color="auto"/>
      </w:divBdr>
    </w:div>
    <w:div w:id="1091464085">
      <w:bodyDiv w:val="1"/>
      <w:marLeft w:val="0"/>
      <w:marRight w:val="0"/>
      <w:marTop w:val="0"/>
      <w:marBottom w:val="0"/>
      <w:divBdr>
        <w:top w:val="none" w:sz="0" w:space="0" w:color="auto"/>
        <w:left w:val="none" w:sz="0" w:space="0" w:color="auto"/>
        <w:bottom w:val="none" w:sz="0" w:space="0" w:color="auto"/>
        <w:right w:val="none" w:sz="0" w:space="0" w:color="auto"/>
      </w:divBdr>
    </w:div>
    <w:div w:id="1091661045">
      <w:bodyDiv w:val="1"/>
      <w:marLeft w:val="0"/>
      <w:marRight w:val="0"/>
      <w:marTop w:val="0"/>
      <w:marBottom w:val="0"/>
      <w:divBdr>
        <w:top w:val="none" w:sz="0" w:space="0" w:color="auto"/>
        <w:left w:val="none" w:sz="0" w:space="0" w:color="auto"/>
        <w:bottom w:val="none" w:sz="0" w:space="0" w:color="auto"/>
        <w:right w:val="none" w:sz="0" w:space="0" w:color="auto"/>
      </w:divBdr>
    </w:div>
    <w:div w:id="1091701732">
      <w:bodyDiv w:val="1"/>
      <w:marLeft w:val="0"/>
      <w:marRight w:val="0"/>
      <w:marTop w:val="0"/>
      <w:marBottom w:val="0"/>
      <w:divBdr>
        <w:top w:val="none" w:sz="0" w:space="0" w:color="auto"/>
        <w:left w:val="none" w:sz="0" w:space="0" w:color="auto"/>
        <w:bottom w:val="none" w:sz="0" w:space="0" w:color="auto"/>
        <w:right w:val="none" w:sz="0" w:space="0" w:color="auto"/>
      </w:divBdr>
    </w:div>
    <w:div w:id="1093474082">
      <w:bodyDiv w:val="1"/>
      <w:marLeft w:val="0"/>
      <w:marRight w:val="0"/>
      <w:marTop w:val="0"/>
      <w:marBottom w:val="0"/>
      <w:divBdr>
        <w:top w:val="none" w:sz="0" w:space="0" w:color="auto"/>
        <w:left w:val="none" w:sz="0" w:space="0" w:color="auto"/>
        <w:bottom w:val="none" w:sz="0" w:space="0" w:color="auto"/>
        <w:right w:val="none" w:sz="0" w:space="0" w:color="auto"/>
      </w:divBdr>
    </w:div>
    <w:div w:id="1093743980">
      <w:bodyDiv w:val="1"/>
      <w:marLeft w:val="0"/>
      <w:marRight w:val="0"/>
      <w:marTop w:val="0"/>
      <w:marBottom w:val="0"/>
      <w:divBdr>
        <w:top w:val="none" w:sz="0" w:space="0" w:color="auto"/>
        <w:left w:val="none" w:sz="0" w:space="0" w:color="auto"/>
        <w:bottom w:val="none" w:sz="0" w:space="0" w:color="auto"/>
        <w:right w:val="none" w:sz="0" w:space="0" w:color="auto"/>
      </w:divBdr>
    </w:div>
    <w:div w:id="1094209744">
      <w:bodyDiv w:val="1"/>
      <w:marLeft w:val="0"/>
      <w:marRight w:val="0"/>
      <w:marTop w:val="0"/>
      <w:marBottom w:val="0"/>
      <w:divBdr>
        <w:top w:val="none" w:sz="0" w:space="0" w:color="auto"/>
        <w:left w:val="none" w:sz="0" w:space="0" w:color="auto"/>
        <w:bottom w:val="none" w:sz="0" w:space="0" w:color="auto"/>
        <w:right w:val="none" w:sz="0" w:space="0" w:color="auto"/>
      </w:divBdr>
    </w:div>
    <w:div w:id="1094352622">
      <w:bodyDiv w:val="1"/>
      <w:marLeft w:val="0"/>
      <w:marRight w:val="0"/>
      <w:marTop w:val="0"/>
      <w:marBottom w:val="0"/>
      <w:divBdr>
        <w:top w:val="none" w:sz="0" w:space="0" w:color="auto"/>
        <w:left w:val="none" w:sz="0" w:space="0" w:color="auto"/>
        <w:bottom w:val="none" w:sz="0" w:space="0" w:color="auto"/>
        <w:right w:val="none" w:sz="0" w:space="0" w:color="auto"/>
      </w:divBdr>
    </w:div>
    <w:div w:id="1095250867">
      <w:bodyDiv w:val="1"/>
      <w:marLeft w:val="0"/>
      <w:marRight w:val="0"/>
      <w:marTop w:val="0"/>
      <w:marBottom w:val="0"/>
      <w:divBdr>
        <w:top w:val="none" w:sz="0" w:space="0" w:color="auto"/>
        <w:left w:val="none" w:sz="0" w:space="0" w:color="auto"/>
        <w:bottom w:val="none" w:sz="0" w:space="0" w:color="auto"/>
        <w:right w:val="none" w:sz="0" w:space="0" w:color="auto"/>
      </w:divBdr>
    </w:div>
    <w:div w:id="1095786363">
      <w:bodyDiv w:val="1"/>
      <w:marLeft w:val="0"/>
      <w:marRight w:val="0"/>
      <w:marTop w:val="0"/>
      <w:marBottom w:val="0"/>
      <w:divBdr>
        <w:top w:val="none" w:sz="0" w:space="0" w:color="auto"/>
        <w:left w:val="none" w:sz="0" w:space="0" w:color="auto"/>
        <w:bottom w:val="none" w:sz="0" w:space="0" w:color="auto"/>
        <w:right w:val="none" w:sz="0" w:space="0" w:color="auto"/>
      </w:divBdr>
    </w:div>
    <w:div w:id="1096554040">
      <w:bodyDiv w:val="1"/>
      <w:marLeft w:val="0"/>
      <w:marRight w:val="0"/>
      <w:marTop w:val="0"/>
      <w:marBottom w:val="0"/>
      <w:divBdr>
        <w:top w:val="none" w:sz="0" w:space="0" w:color="auto"/>
        <w:left w:val="none" w:sz="0" w:space="0" w:color="auto"/>
        <w:bottom w:val="none" w:sz="0" w:space="0" w:color="auto"/>
        <w:right w:val="none" w:sz="0" w:space="0" w:color="auto"/>
      </w:divBdr>
    </w:div>
    <w:div w:id="1096945153">
      <w:bodyDiv w:val="1"/>
      <w:marLeft w:val="0"/>
      <w:marRight w:val="0"/>
      <w:marTop w:val="0"/>
      <w:marBottom w:val="0"/>
      <w:divBdr>
        <w:top w:val="none" w:sz="0" w:space="0" w:color="auto"/>
        <w:left w:val="none" w:sz="0" w:space="0" w:color="auto"/>
        <w:bottom w:val="none" w:sz="0" w:space="0" w:color="auto"/>
        <w:right w:val="none" w:sz="0" w:space="0" w:color="auto"/>
      </w:divBdr>
    </w:div>
    <w:div w:id="1097098714">
      <w:bodyDiv w:val="1"/>
      <w:marLeft w:val="0"/>
      <w:marRight w:val="0"/>
      <w:marTop w:val="0"/>
      <w:marBottom w:val="0"/>
      <w:divBdr>
        <w:top w:val="none" w:sz="0" w:space="0" w:color="auto"/>
        <w:left w:val="none" w:sz="0" w:space="0" w:color="auto"/>
        <w:bottom w:val="none" w:sz="0" w:space="0" w:color="auto"/>
        <w:right w:val="none" w:sz="0" w:space="0" w:color="auto"/>
      </w:divBdr>
    </w:div>
    <w:div w:id="1097871393">
      <w:bodyDiv w:val="1"/>
      <w:marLeft w:val="0"/>
      <w:marRight w:val="0"/>
      <w:marTop w:val="0"/>
      <w:marBottom w:val="0"/>
      <w:divBdr>
        <w:top w:val="none" w:sz="0" w:space="0" w:color="auto"/>
        <w:left w:val="none" w:sz="0" w:space="0" w:color="auto"/>
        <w:bottom w:val="none" w:sz="0" w:space="0" w:color="auto"/>
        <w:right w:val="none" w:sz="0" w:space="0" w:color="auto"/>
      </w:divBdr>
    </w:div>
    <w:div w:id="1099176487">
      <w:bodyDiv w:val="1"/>
      <w:marLeft w:val="0"/>
      <w:marRight w:val="0"/>
      <w:marTop w:val="0"/>
      <w:marBottom w:val="0"/>
      <w:divBdr>
        <w:top w:val="none" w:sz="0" w:space="0" w:color="auto"/>
        <w:left w:val="none" w:sz="0" w:space="0" w:color="auto"/>
        <w:bottom w:val="none" w:sz="0" w:space="0" w:color="auto"/>
        <w:right w:val="none" w:sz="0" w:space="0" w:color="auto"/>
      </w:divBdr>
    </w:div>
    <w:div w:id="1100224416">
      <w:bodyDiv w:val="1"/>
      <w:marLeft w:val="0"/>
      <w:marRight w:val="0"/>
      <w:marTop w:val="0"/>
      <w:marBottom w:val="0"/>
      <w:divBdr>
        <w:top w:val="none" w:sz="0" w:space="0" w:color="auto"/>
        <w:left w:val="none" w:sz="0" w:space="0" w:color="auto"/>
        <w:bottom w:val="none" w:sz="0" w:space="0" w:color="auto"/>
        <w:right w:val="none" w:sz="0" w:space="0" w:color="auto"/>
      </w:divBdr>
    </w:div>
    <w:div w:id="1102456894">
      <w:bodyDiv w:val="1"/>
      <w:marLeft w:val="0"/>
      <w:marRight w:val="0"/>
      <w:marTop w:val="0"/>
      <w:marBottom w:val="0"/>
      <w:divBdr>
        <w:top w:val="none" w:sz="0" w:space="0" w:color="auto"/>
        <w:left w:val="none" w:sz="0" w:space="0" w:color="auto"/>
        <w:bottom w:val="none" w:sz="0" w:space="0" w:color="auto"/>
        <w:right w:val="none" w:sz="0" w:space="0" w:color="auto"/>
      </w:divBdr>
    </w:div>
    <w:div w:id="1103694097">
      <w:bodyDiv w:val="1"/>
      <w:marLeft w:val="0"/>
      <w:marRight w:val="0"/>
      <w:marTop w:val="0"/>
      <w:marBottom w:val="0"/>
      <w:divBdr>
        <w:top w:val="none" w:sz="0" w:space="0" w:color="auto"/>
        <w:left w:val="none" w:sz="0" w:space="0" w:color="auto"/>
        <w:bottom w:val="none" w:sz="0" w:space="0" w:color="auto"/>
        <w:right w:val="none" w:sz="0" w:space="0" w:color="auto"/>
      </w:divBdr>
    </w:div>
    <w:div w:id="1104963144">
      <w:bodyDiv w:val="1"/>
      <w:marLeft w:val="0"/>
      <w:marRight w:val="0"/>
      <w:marTop w:val="0"/>
      <w:marBottom w:val="0"/>
      <w:divBdr>
        <w:top w:val="none" w:sz="0" w:space="0" w:color="auto"/>
        <w:left w:val="none" w:sz="0" w:space="0" w:color="auto"/>
        <w:bottom w:val="none" w:sz="0" w:space="0" w:color="auto"/>
        <w:right w:val="none" w:sz="0" w:space="0" w:color="auto"/>
      </w:divBdr>
    </w:div>
    <w:div w:id="1105033602">
      <w:bodyDiv w:val="1"/>
      <w:marLeft w:val="0"/>
      <w:marRight w:val="0"/>
      <w:marTop w:val="0"/>
      <w:marBottom w:val="0"/>
      <w:divBdr>
        <w:top w:val="none" w:sz="0" w:space="0" w:color="auto"/>
        <w:left w:val="none" w:sz="0" w:space="0" w:color="auto"/>
        <w:bottom w:val="none" w:sz="0" w:space="0" w:color="auto"/>
        <w:right w:val="none" w:sz="0" w:space="0" w:color="auto"/>
      </w:divBdr>
    </w:div>
    <w:div w:id="1105462468">
      <w:bodyDiv w:val="1"/>
      <w:marLeft w:val="0"/>
      <w:marRight w:val="0"/>
      <w:marTop w:val="0"/>
      <w:marBottom w:val="0"/>
      <w:divBdr>
        <w:top w:val="none" w:sz="0" w:space="0" w:color="auto"/>
        <w:left w:val="none" w:sz="0" w:space="0" w:color="auto"/>
        <w:bottom w:val="none" w:sz="0" w:space="0" w:color="auto"/>
        <w:right w:val="none" w:sz="0" w:space="0" w:color="auto"/>
      </w:divBdr>
    </w:div>
    <w:div w:id="1105468615">
      <w:bodyDiv w:val="1"/>
      <w:marLeft w:val="0"/>
      <w:marRight w:val="0"/>
      <w:marTop w:val="0"/>
      <w:marBottom w:val="0"/>
      <w:divBdr>
        <w:top w:val="none" w:sz="0" w:space="0" w:color="auto"/>
        <w:left w:val="none" w:sz="0" w:space="0" w:color="auto"/>
        <w:bottom w:val="none" w:sz="0" w:space="0" w:color="auto"/>
        <w:right w:val="none" w:sz="0" w:space="0" w:color="auto"/>
      </w:divBdr>
    </w:div>
    <w:div w:id="1105617753">
      <w:bodyDiv w:val="1"/>
      <w:marLeft w:val="0"/>
      <w:marRight w:val="0"/>
      <w:marTop w:val="0"/>
      <w:marBottom w:val="0"/>
      <w:divBdr>
        <w:top w:val="none" w:sz="0" w:space="0" w:color="auto"/>
        <w:left w:val="none" w:sz="0" w:space="0" w:color="auto"/>
        <w:bottom w:val="none" w:sz="0" w:space="0" w:color="auto"/>
        <w:right w:val="none" w:sz="0" w:space="0" w:color="auto"/>
      </w:divBdr>
    </w:div>
    <w:div w:id="1105883437">
      <w:bodyDiv w:val="1"/>
      <w:marLeft w:val="0"/>
      <w:marRight w:val="0"/>
      <w:marTop w:val="0"/>
      <w:marBottom w:val="0"/>
      <w:divBdr>
        <w:top w:val="none" w:sz="0" w:space="0" w:color="auto"/>
        <w:left w:val="none" w:sz="0" w:space="0" w:color="auto"/>
        <w:bottom w:val="none" w:sz="0" w:space="0" w:color="auto"/>
        <w:right w:val="none" w:sz="0" w:space="0" w:color="auto"/>
      </w:divBdr>
    </w:div>
    <w:div w:id="1105923061">
      <w:bodyDiv w:val="1"/>
      <w:marLeft w:val="0"/>
      <w:marRight w:val="0"/>
      <w:marTop w:val="0"/>
      <w:marBottom w:val="0"/>
      <w:divBdr>
        <w:top w:val="none" w:sz="0" w:space="0" w:color="auto"/>
        <w:left w:val="none" w:sz="0" w:space="0" w:color="auto"/>
        <w:bottom w:val="none" w:sz="0" w:space="0" w:color="auto"/>
        <w:right w:val="none" w:sz="0" w:space="0" w:color="auto"/>
      </w:divBdr>
    </w:div>
    <w:div w:id="1105924167">
      <w:bodyDiv w:val="1"/>
      <w:marLeft w:val="0"/>
      <w:marRight w:val="0"/>
      <w:marTop w:val="0"/>
      <w:marBottom w:val="0"/>
      <w:divBdr>
        <w:top w:val="none" w:sz="0" w:space="0" w:color="auto"/>
        <w:left w:val="none" w:sz="0" w:space="0" w:color="auto"/>
        <w:bottom w:val="none" w:sz="0" w:space="0" w:color="auto"/>
        <w:right w:val="none" w:sz="0" w:space="0" w:color="auto"/>
      </w:divBdr>
    </w:div>
    <w:div w:id="1106122312">
      <w:bodyDiv w:val="1"/>
      <w:marLeft w:val="0"/>
      <w:marRight w:val="0"/>
      <w:marTop w:val="0"/>
      <w:marBottom w:val="0"/>
      <w:divBdr>
        <w:top w:val="none" w:sz="0" w:space="0" w:color="auto"/>
        <w:left w:val="none" w:sz="0" w:space="0" w:color="auto"/>
        <w:bottom w:val="none" w:sz="0" w:space="0" w:color="auto"/>
        <w:right w:val="none" w:sz="0" w:space="0" w:color="auto"/>
      </w:divBdr>
    </w:div>
    <w:div w:id="1108813071">
      <w:bodyDiv w:val="1"/>
      <w:marLeft w:val="0"/>
      <w:marRight w:val="0"/>
      <w:marTop w:val="0"/>
      <w:marBottom w:val="0"/>
      <w:divBdr>
        <w:top w:val="none" w:sz="0" w:space="0" w:color="auto"/>
        <w:left w:val="none" w:sz="0" w:space="0" w:color="auto"/>
        <w:bottom w:val="none" w:sz="0" w:space="0" w:color="auto"/>
        <w:right w:val="none" w:sz="0" w:space="0" w:color="auto"/>
      </w:divBdr>
    </w:div>
    <w:div w:id="1109275952">
      <w:bodyDiv w:val="1"/>
      <w:marLeft w:val="0"/>
      <w:marRight w:val="0"/>
      <w:marTop w:val="0"/>
      <w:marBottom w:val="0"/>
      <w:divBdr>
        <w:top w:val="none" w:sz="0" w:space="0" w:color="auto"/>
        <w:left w:val="none" w:sz="0" w:space="0" w:color="auto"/>
        <w:bottom w:val="none" w:sz="0" w:space="0" w:color="auto"/>
        <w:right w:val="none" w:sz="0" w:space="0" w:color="auto"/>
      </w:divBdr>
    </w:div>
    <w:div w:id="1110204302">
      <w:bodyDiv w:val="1"/>
      <w:marLeft w:val="0"/>
      <w:marRight w:val="0"/>
      <w:marTop w:val="0"/>
      <w:marBottom w:val="0"/>
      <w:divBdr>
        <w:top w:val="none" w:sz="0" w:space="0" w:color="auto"/>
        <w:left w:val="none" w:sz="0" w:space="0" w:color="auto"/>
        <w:bottom w:val="none" w:sz="0" w:space="0" w:color="auto"/>
        <w:right w:val="none" w:sz="0" w:space="0" w:color="auto"/>
      </w:divBdr>
    </w:div>
    <w:div w:id="1110660906">
      <w:bodyDiv w:val="1"/>
      <w:marLeft w:val="0"/>
      <w:marRight w:val="0"/>
      <w:marTop w:val="0"/>
      <w:marBottom w:val="0"/>
      <w:divBdr>
        <w:top w:val="none" w:sz="0" w:space="0" w:color="auto"/>
        <w:left w:val="none" w:sz="0" w:space="0" w:color="auto"/>
        <w:bottom w:val="none" w:sz="0" w:space="0" w:color="auto"/>
        <w:right w:val="none" w:sz="0" w:space="0" w:color="auto"/>
      </w:divBdr>
    </w:div>
    <w:div w:id="1113786244">
      <w:bodyDiv w:val="1"/>
      <w:marLeft w:val="0"/>
      <w:marRight w:val="0"/>
      <w:marTop w:val="0"/>
      <w:marBottom w:val="0"/>
      <w:divBdr>
        <w:top w:val="none" w:sz="0" w:space="0" w:color="auto"/>
        <w:left w:val="none" w:sz="0" w:space="0" w:color="auto"/>
        <w:bottom w:val="none" w:sz="0" w:space="0" w:color="auto"/>
        <w:right w:val="none" w:sz="0" w:space="0" w:color="auto"/>
      </w:divBdr>
    </w:div>
    <w:div w:id="1113792806">
      <w:bodyDiv w:val="1"/>
      <w:marLeft w:val="0"/>
      <w:marRight w:val="0"/>
      <w:marTop w:val="0"/>
      <w:marBottom w:val="0"/>
      <w:divBdr>
        <w:top w:val="none" w:sz="0" w:space="0" w:color="auto"/>
        <w:left w:val="none" w:sz="0" w:space="0" w:color="auto"/>
        <w:bottom w:val="none" w:sz="0" w:space="0" w:color="auto"/>
        <w:right w:val="none" w:sz="0" w:space="0" w:color="auto"/>
      </w:divBdr>
    </w:div>
    <w:div w:id="1114980768">
      <w:bodyDiv w:val="1"/>
      <w:marLeft w:val="0"/>
      <w:marRight w:val="0"/>
      <w:marTop w:val="0"/>
      <w:marBottom w:val="0"/>
      <w:divBdr>
        <w:top w:val="none" w:sz="0" w:space="0" w:color="auto"/>
        <w:left w:val="none" w:sz="0" w:space="0" w:color="auto"/>
        <w:bottom w:val="none" w:sz="0" w:space="0" w:color="auto"/>
        <w:right w:val="none" w:sz="0" w:space="0" w:color="auto"/>
      </w:divBdr>
    </w:div>
    <w:div w:id="1116371450">
      <w:bodyDiv w:val="1"/>
      <w:marLeft w:val="0"/>
      <w:marRight w:val="0"/>
      <w:marTop w:val="0"/>
      <w:marBottom w:val="0"/>
      <w:divBdr>
        <w:top w:val="none" w:sz="0" w:space="0" w:color="auto"/>
        <w:left w:val="none" w:sz="0" w:space="0" w:color="auto"/>
        <w:bottom w:val="none" w:sz="0" w:space="0" w:color="auto"/>
        <w:right w:val="none" w:sz="0" w:space="0" w:color="auto"/>
      </w:divBdr>
    </w:div>
    <w:div w:id="1117796857">
      <w:bodyDiv w:val="1"/>
      <w:marLeft w:val="0"/>
      <w:marRight w:val="0"/>
      <w:marTop w:val="0"/>
      <w:marBottom w:val="0"/>
      <w:divBdr>
        <w:top w:val="none" w:sz="0" w:space="0" w:color="auto"/>
        <w:left w:val="none" w:sz="0" w:space="0" w:color="auto"/>
        <w:bottom w:val="none" w:sz="0" w:space="0" w:color="auto"/>
        <w:right w:val="none" w:sz="0" w:space="0" w:color="auto"/>
      </w:divBdr>
    </w:div>
    <w:div w:id="1117984397">
      <w:bodyDiv w:val="1"/>
      <w:marLeft w:val="0"/>
      <w:marRight w:val="0"/>
      <w:marTop w:val="0"/>
      <w:marBottom w:val="0"/>
      <w:divBdr>
        <w:top w:val="none" w:sz="0" w:space="0" w:color="auto"/>
        <w:left w:val="none" w:sz="0" w:space="0" w:color="auto"/>
        <w:bottom w:val="none" w:sz="0" w:space="0" w:color="auto"/>
        <w:right w:val="none" w:sz="0" w:space="0" w:color="auto"/>
      </w:divBdr>
    </w:div>
    <w:div w:id="1118336695">
      <w:bodyDiv w:val="1"/>
      <w:marLeft w:val="0"/>
      <w:marRight w:val="0"/>
      <w:marTop w:val="0"/>
      <w:marBottom w:val="0"/>
      <w:divBdr>
        <w:top w:val="none" w:sz="0" w:space="0" w:color="auto"/>
        <w:left w:val="none" w:sz="0" w:space="0" w:color="auto"/>
        <w:bottom w:val="none" w:sz="0" w:space="0" w:color="auto"/>
        <w:right w:val="none" w:sz="0" w:space="0" w:color="auto"/>
      </w:divBdr>
    </w:div>
    <w:div w:id="1118916874">
      <w:bodyDiv w:val="1"/>
      <w:marLeft w:val="0"/>
      <w:marRight w:val="0"/>
      <w:marTop w:val="0"/>
      <w:marBottom w:val="0"/>
      <w:divBdr>
        <w:top w:val="none" w:sz="0" w:space="0" w:color="auto"/>
        <w:left w:val="none" w:sz="0" w:space="0" w:color="auto"/>
        <w:bottom w:val="none" w:sz="0" w:space="0" w:color="auto"/>
        <w:right w:val="none" w:sz="0" w:space="0" w:color="auto"/>
      </w:divBdr>
    </w:div>
    <w:div w:id="1118917466">
      <w:bodyDiv w:val="1"/>
      <w:marLeft w:val="0"/>
      <w:marRight w:val="0"/>
      <w:marTop w:val="0"/>
      <w:marBottom w:val="0"/>
      <w:divBdr>
        <w:top w:val="none" w:sz="0" w:space="0" w:color="auto"/>
        <w:left w:val="none" w:sz="0" w:space="0" w:color="auto"/>
        <w:bottom w:val="none" w:sz="0" w:space="0" w:color="auto"/>
        <w:right w:val="none" w:sz="0" w:space="0" w:color="auto"/>
      </w:divBdr>
    </w:div>
    <w:div w:id="1119758062">
      <w:bodyDiv w:val="1"/>
      <w:marLeft w:val="0"/>
      <w:marRight w:val="0"/>
      <w:marTop w:val="0"/>
      <w:marBottom w:val="0"/>
      <w:divBdr>
        <w:top w:val="none" w:sz="0" w:space="0" w:color="auto"/>
        <w:left w:val="none" w:sz="0" w:space="0" w:color="auto"/>
        <w:bottom w:val="none" w:sz="0" w:space="0" w:color="auto"/>
        <w:right w:val="none" w:sz="0" w:space="0" w:color="auto"/>
      </w:divBdr>
    </w:div>
    <w:div w:id="1120489494">
      <w:bodyDiv w:val="1"/>
      <w:marLeft w:val="0"/>
      <w:marRight w:val="0"/>
      <w:marTop w:val="0"/>
      <w:marBottom w:val="0"/>
      <w:divBdr>
        <w:top w:val="none" w:sz="0" w:space="0" w:color="auto"/>
        <w:left w:val="none" w:sz="0" w:space="0" w:color="auto"/>
        <w:bottom w:val="none" w:sz="0" w:space="0" w:color="auto"/>
        <w:right w:val="none" w:sz="0" w:space="0" w:color="auto"/>
      </w:divBdr>
    </w:div>
    <w:div w:id="1121142797">
      <w:bodyDiv w:val="1"/>
      <w:marLeft w:val="0"/>
      <w:marRight w:val="0"/>
      <w:marTop w:val="0"/>
      <w:marBottom w:val="0"/>
      <w:divBdr>
        <w:top w:val="none" w:sz="0" w:space="0" w:color="auto"/>
        <w:left w:val="none" w:sz="0" w:space="0" w:color="auto"/>
        <w:bottom w:val="none" w:sz="0" w:space="0" w:color="auto"/>
        <w:right w:val="none" w:sz="0" w:space="0" w:color="auto"/>
      </w:divBdr>
    </w:div>
    <w:div w:id="1121263625">
      <w:bodyDiv w:val="1"/>
      <w:marLeft w:val="0"/>
      <w:marRight w:val="0"/>
      <w:marTop w:val="0"/>
      <w:marBottom w:val="0"/>
      <w:divBdr>
        <w:top w:val="none" w:sz="0" w:space="0" w:color="auto"/>
        <w:left w:val="none" w:sz="0" w:space="0" w:color="auto"/>
        <w:bottom w:val="none" w:sz="0" w:space="0" w:color="auto"/>
        <w:right w:val="none" w:sz="0" w:space="0" w:color="auto"/>
      </w:divBdr>
    </w:div>
    <w:div w:id="1121342264">
      <w:bodyDiv w:val="1"/>
      <w:marLeft w:val="0"/>
      <w:marRight w:val="0"/>
      <w:marTop w:val="0"/>
      <w:marBottom w:val="0"/>
      <w:divBdr>
        <w:top w:val="none" w:sz="0" w:space="0" w:color="auto"/>
        <w:left w:val="none" w:sz="0" w:space="0" w:color="auto"/>
        <w:bottom w:val="none" w:sz="0" w:space="0" w:color="auto"/>
        <w:right w:val="none" w:sz="0" w:space="0" w:color="auto"/>
      </w:divBdr>
    </w:div>
    <w:div w:id="1122844897">
      <w:bodyDiv w:val="1"/>
      <w:marLeft w:val="0"/>
      <w:marRight w:val="0"/>
      <w:marTop w:val="0"/>
      <w:marBottom w:val="0"/>
      <w:divBdr>
        <w:top w:val="none" w:sz="0" w:space="0" w:color="auto"/>
        <w:left w:val="none" w:sz="0" w:space="0" w:color="auto"/>
        <w:bottom w:val="none" w:sz="0" w:space="0" w:color="auto"/>
        <w:right w:val="none" w:sz="0" w:space="0" w:color="auto"/>
      </w:divBdr>
    </w:div>
    <w:div w:id="1123116081">
      <w:bodyDiv w:val="1"/>
      <w:marLeft w:val="0"/>
      <w:marRight w:val="0"/>
      <w:marTop w:val="0"/>
      <w:marBottom w:val="0"/>
      <w:divBdr>
        <w:top w:val="none" w:sz="0" w:space="0" w:color="auto"/>
        <w:left w:val="none" w:sz="0" w:space="0" w:color="auto"/>
        <w:bottom w:val="none" w:sz="0" w:space="0" w:color="auto"/>
        <w:right w:val="none" w:sz="0" w:space="0" w:color="auto"/>
      </w:divBdr>
    </w:div>
    <w:div w:id="1123185973">
      <w:bodyDiv w:val="1"/>
      <w:marLeft w:val="0"/>
      <w:marRight w:val="0"/>
      <w:marTop w:val="0"/>
      <w:marBottom w:val="0"/>
      <w:divBdr>
        <w:top w:val="none" w:sz="0" w:space="0" w:color="auto"/>
        <w:left w:val="none" w:sz="0" w:space="0" w:color="auto"/>
        <w:bottom w:val="none" w:sz="0" w:space="0" w:color="auto"/>
        <w:right w:val="none" w:sz="0" w:space="0" w:color="auto"/>
      </w:divBdr>
    </w:div>
    <w:div w:id="1123890574">
      <w:bodyDiv w:val="1"/>
      <w:marLeft w:val="0"/>
      <w:marRight w:val="0"/>
      <w:marTop w:val="0"/>
      <w:marBottom w:val="0"/>
      <w:divBdr>
        <w:top w:val="none" w:sz="0" w:space="0" w:color="auto"/>
        <w:left w:val="none" w:sz="0" w:space="0" w:color="auto"/>
        <w:bottom w:val="none" w:sz="0" w:space="0" w:color="auto"/>
        <w:right w:val="none" w:sz="0" w:space="0" w:color="auto"/>
      </w:divBdr>
    </w:div>
    <w:div w:id="1124616028">
      <w:bodyDiv w:val="1"/>
      <w:marLeft w:val="0"/>
      <w:marRight w:val="0"/>
      <w:marTop w:val="0"/>
      <w:marBottom w:val="0"/>
      <w:divBdr>
        <w:top w:val="none" w:sz="0" w:space="0" w:color="auto"/>
        <w:left w:val="none" w:sz="0" w:space="0" w:color="auto"/>
        <w:bottom w:val="none" w:sz="0" w:space="0" w:color="auto"/>
        <w:right w:val="none" w:sz="0" w:space="0" w:color="auto"/>
      </w:divBdr>
    </w:div>
    <w:div w:id="1125270032">
      <w:bodyDiv w:val="1"/>
      <w:marLeft w:val="0"/>
      <w:marRight w:val="0"/>
      <w:marTop w:val="0"/>
      <w:marBottom w:val="0"/>
      <w:divBdr>
        <w:top w:val="none" w:sz="0" w:space="0" w:color="auto"/>
        <w:left w:val="none" w:sz="0" w:space="0" w:color="auto"/>
        <w:bottom w:val="none" w:sz="0" w:space="0" w:color="auto"/>
        <w:right w:val="none" w:sz="0" w:space="0" w:color="auto"/>
      </w:divBdr>
    </w:div>
    <w:div w:id="1125470351">
      <w:bodyDiv w:val="1"/>
      <w:marLeft w:val="0"/>
      <w:marRight w:val="0"/>
      <w:marTop w:val="0"/>
      <w:marBottom w:val="0"/>
      <w:divBdr>
        <w:top w:val="none" w:sz="0" w:space="0" w:color="auto"/>
        <w:left w:val="none" w:sz="0" w:space="0" w:color="auto"/>
        <w:bottom w:val="none" w:sz="0" w:space="0" w:color="auto"/>
        <w:right w:val="none" w:sz="0" w:space="0" w:color="auto"/>
      </w:divBdr>
    </w:div>
    <w:div w:id="1126654430">
      <w:bodyDiv w:val="1"/>
      <w:marLeft w:val="0"/>
      <w:marRight w:val="0"/>
      <w:marTop w:val="0"/>
      <w:marBottom w:val="0"/>
      <w:divBdr>
        <w:top w:val="none" w:sz="0" w:space="0" w:color="auto"/>
        <w:left w:val="none" w:sz="0" w:space="0" w:color="auto"/>
        <w:bottom w:val="none" w:sz="0" w:space="0" w:color="auto"/>
        <w:right w:val="none" w:sz="0" w:space="0" w:color="auto"/>
      </w:divBdr>
    </w:div>
    <w:div w:id="1127552415">
      <w:bodyDiv w:val="1"/>
      <w:marLeft w:val="0"/>
      <w:marRight w:val="0"/>
      <w:marTop w:val="0"/>
      <w:marBottom w:val="0"/>
      <w:divBdr>
        <w:top w:val="none" w:sz="0" w:space="0" w:color="auto"/>
        <w:left w:val="none" w:sz="0" w:space="0" w:color="auto"/>
        <w:bottom w:val="none" w:sz="0" w:space="0" w:color="auto"/>
        <w:right w:val="none" w:sz="0" w:space="0" w:color="auto"/>
      </w:divBdr>
    </w:div>
    <w:div w:id="1128278015">
      <w:bodyDiv w:val="1"/>
      <w:marLeft w:val="0"/>
      <w:marRight w:val="0"/>
      <w:marTop w:val="0"/>
      <w:marBottom w:val="0"/>
      <w:divBdr>
        <w:top w:val="none" w:sz="0" w:space="0" w:color="auto"/>
        <w:left w:val="none" w:sz="0" w:space="0" w:color="auto"/>
        <w:bottom w:val="none" w:sz="0" w:space="0" w:color="auto"/>
        <w:right w:val="none" w:sz="0" w:space="0" w:color="auto"/>
      </w:divBdr>
    </w:div>
    <w:div w:id="1128358376">
      <w:bodyDiv w:val="1"/>
      <w:marLeft w:val="0"/>
      <w:marRight w:val="0"/>
      <w:marTop w:val="0"/>
      <w:marBottom w:val="0"/>
      <w:divBdr>
        <w:top w:val="none" w:sz="0" w:space="0" w:color="auto"/>
        <w:left w:val="none" w:sz="0" w:space="0" w:color="auto"/>
        <w:bottom w:val="none" w:sz="0" w:space="0" w:color="auto"/>
        <w:right w:val="none" w:sz="0" w:space="0" w:color="auto"/>
      </w:divBdr>
    </w:div>
    <w:div w:id="1128740499">
      <w:bodyDiv w:val="1"/>
      <w:marLeft w:val="0"/>
      <w:marRight w:val="0"/>
      <w:marTop w:val="0"/>
      <w:marBottom w:val="0"/>
      <w:divBdr>
        <w:top w:val="none" w:sz="0" w:space="0" w:color="auto"/>
        <w:left w:val="none" w:sz="0" w:space="0" w:color="auto"/>
        <w:bottom w:val="none" w:sz="0" w:space="0" w:color="auto"/>
        <w:right w:val="none" w:sz="0" w:space="0" w:color="auto"/>
      </w:divBdr>
    </w:div>
    <w:div w:id="1129396540">
      <w:bodyDiv w:val="1"/>
      <w:marLeft w:val="0"/>
      <w:marRight w:val="0"/>
      <w:marTop w:val="0"/>
      <w:marBottom w:val="0"/>
      <w:divBdr>
        <w:top w:val="none" w:sz="0" w:space="0" w:color="auto"/>
        <w:left w:val="none" w:sz="0" w:space="0" w:color="auto"/>
        <w:bottom w:val="none" w:sz="0" w:space="0" w:color="auto"/>
        <w:right w:val="none" w:sz="0" w:space="0" w:color="auto"/>
      </w:divBdr>
    </w:div>
    <w:div w:id="1129589669">
      <w:bodyDiv w:val="1"/>
      <w:marLeft w:val="0"/>
      <w:marRight w:val="0"/>
      <w:marTop w:val="0"/>
      <w:marBottom w:val="0"/>
      <w:divBdr>
        <w:top w:val="none" w:sz="0" w:space="0" w:color="auto"/>
        <w:left w:val="none" w:sz="0" w:space="0" w:color="auto"/>
        <w:bottom w:val="none" w:sz="0" w:space="0" w:color="auto"/>
        <w:right w:val="none" w:sz="0" w:space="0" w:color="auto"/>
      </w:divBdr>
    </w:div>
    <w:div w:id="1130510974">
      <w:bodyDiv w:val="1"/>
      <w:marLeft w:val="0"/>
      <w:marRight w:val="0"/>
      <w:marTop w:val="0"/>
      <w:marBottom w:val="0"/>
      <w:divBdr>
        <w:top w:val="none" w:sz="0" w:space="0" w:color="auto"/>
        <w:left w:val="none" w:sz="0" w:space="0" w:color="auto"/>
        <w:bottom w:val="none" w:sz="0" w:space="0" w:color="auto"/>
        <w:right w:val="none" w:sz="0" w:space="0" w:color="auto"/>
      </w:divBdr>
    </w:div>
    <w:div w:id="1130708837">
      <w:bodyDiv w:val="1"/>
      <w:marLeft w:val="0"/>
      <w:marRight w:val="0"/>
      <w:marTop w:val="0"/>
      <w:marBottom w:val="0"/>
      <w:divBdr>
        <w:top w:val="none" w:sz="0" w:space="0" w:color="auto"/>
        <w:left w:val="none" w:sz="0" w:space="0" w:color="auto"/>
        <w:bottom w:val="none" w:sz="0" w:space="0" w:color="auto"/>
        <w:right w:val="none" w:sz="0" w:space="0" w:color="auto"/>
      </w:divBdr>
    </w:div>
    <w:div w:id="1131051211">
      <w:bodyDiv w:val="1"/>
      <w:marLeft w:val="0"/>
      <w:marRight w:val="0"/>
      <w:marTop w:val="0"/>
      <w:marBottom w:val="0"/>
      <w:divBdr>
        <w:top w:val="none" w:sz="0" w:space="0" w:color="auto"/>
        <w:left w:val="none" w:sz="0" w:space="0" w:color="auto"/>
        <w:bottom w:val="none" w:sz="0" w:space="0" w:color="auto"/>
        <w:right w:val="none" w:sz="0" w:space="0" w:color="auto"/>
      </w:divBdr>
    </w:div>
    <w:div w:id="1131439984">
      <w:bodyDiv w:val="1"/>
      <w:marLeft w:val="0"/>
      <w:marRight w:val="0"/>
      <w:marTop w:val="0"/>
      <w:marBottom w:val="0"/>
      <w:divBdr>
        <w:top w:val="none" w:sz="0" w:space="0" w:color="auto"/>
        <w:left w:val="none" w:sz="0" w:space="0" w:color="auto"/>
        <w:bottom w:val="none" w:sz="0" w:space="0" w:color="auto"/>
        <w:right w:val="none" w:sz="0" w:space="0" w:color="auto"/>
      </w:divBdr>
    </w:div>
    <w:div w:id="1131942206">
      <w:bodyDiv w:val="1"/>
      <w:marLeft w:val="0"/>
      <w:marRight w:val="0"/>
      <w:marTop w:val="0"/>
      <w:marBottom w:val="0"/>
      <w:divBdr>
        <w:top w:val="none" w:sz="0" w:space="0" w:color="auto"/>
        <w:left w:val="none" w:sz="0" w:space="0" w:color="auto"/>
        <w:bottom w:val="none" w:sz="0" w:space="0" w:color="auto"/>
        <w:right w:val="none" w:sz="0" w:space="0" w:color="auto"/>
      </w:divBdr>
    </w:div>
    <w:div w:id="1132748762">
      <w:bodyDiv w:val="1"/>
      <w:marLeft w:val="0"/>
      <w:marRight w:val="0"/>
      <w:marTop w:val="0"/>
      <w:marBottom w:val="0"/>
      <w:divBdr>
        <w:top w:val="none" w:sz="0" w:space="0" w:color="auto"/>
        <w:left w:val="none" w:sz="0" w:space="0" w:color="auto"/>
        <w:bottom w:val="none" w:sz="0" w:space="0" w:color="auto"/>
        <w:right w:val="none" w:sz="0" w:space="0" w:color="auto"/>
      </w:divBdr>
    </w:div>
    <w:div w:id="1133476262">
      <w:bodyDiv w:val="1"/>
      <w:marLeft w:val="0"/>
      <w:marRight w:val="0"/>
      <w:marTop w:val="0"/>
      <w:marBottom w:val="0"/>
      <w:divBdr>
        <w:top w:val="none" w:sz="0" w:space="0" w:color="auto"/>
        <w:left w:val="none" w:sz="0" w:space="0" w:color="auto"/>
        <w:bottom w:val="none" w:sz="0" w:space="0" w:color="auto"/>
        <w:right w:val="none" w:sz="0" w:space="0" w:color="auto"/>
      </w:divBdr>
    </w:div>
    <w:div w:id="1135374231">
      <w:bodyDiv w:val="1"/>
      <w:marLeft w:val="0"/>
      <w:marRight w:val="0"/>
      <w:marTop w:val="0"/>
      <w:marBottom w:val="0"/>
      <w:divBdr>
        <w:top w:val="none" w:sz="0" w:space="0" w:color="auto"/>
        <w:left w:val="none" w:sz="0" w:space="0" w:color="auto"/>
        <w:bottom w:val="none" w:sz="0" w:space="0" w:color="auto"/>
        <w:right w:val="none" w:sz="0" w:space="0" w:color="auto"/>
      </w:divBdr>
    </w:div>
    <w:div w:id="1136021228">
      <w:bodyDiv w:val="1"/>
      <w:marLeft w:val="0"/>
      <w:marRight w:val="0"/>
      <w:marTop w:val="0"/>
      <w:marBottom w:val="0"/>
      <w:divBdr>
        <w:top w:val="none" w:sz="0" w:space="0" w:color="auto"/>
        <w:left w:val="none" w:sz="0" w:space="0" w:color="auto"/>
        <w:bottom w:val="none" w:sz="0" w:space="0" w:color="auto"/>
        <w:right w:val="none" w:sz="0" w:space="0" w:color="auto"/>
      </w:divBdr>
    </w:div>
    <w:div w:id="1136796304">
      <w:bodyDiv w:val="1"/>
      <w:marLeft w:val="0"/>
      <w:marRight w:val="0"/>
      <w:marTop w:val="0"/>
      <w:marBottom w:val="0"/>
      <w:divBdr>
        <w:top w:val="none" w:sz="0" w:space="0" w:color="auto"/>
        <w:left w:val="none" w:sz="0" w:space="0" w:color="auto"/>
        <w:bottom w:val="none" w:sz="0" w:space="0" w:color="auto"/>
        <w:right w:val="none" w:sz="0" w:space="0" w:color="auto"/>
      </w:divBdr>
    </w:div>
    <w:div w:id="1136950914">
      <w:bodyDiv w:val="1"/>
      <w:marLeft w:val="0"/>
      <w:marRight w:val="0"/>
      <w:marTop w:val="0"/>
      <w:marBottom w:val="0"/>
      <w:divBdr>
        <w:top w:val="none" w:sz="0" w:space="0" w:color="auto"/>
        <w:left w:val="none" w:sz="0" w:space="0" w:color="auto"/>
        <w:bottom w:val="none" w:sz="0" w:space="0" w:color="auto"/>
        <w:right w:val="none" w:sz="0" w:space="0" w:color="auto"/>
      </w:divBdr>
    </w:div>
    <w:div w:id="1137070266">
      <w:bodyDiv w:val="1"/>
      <w:marLeft w:val="0"/>
      <w:marRight w:val="0"/>
      <w:marTop w:val="0"/>
      <w:marBottom w:val="0"/>
      <w:divBdr>
        <w:top w:val="none" w:sz="0" w:space="0" w:color="auto"/>
        <w:left w:val="none" w:sz="0" w:space="0" w:color="auto"/>
        <w:bottom w:val="none" w:sz="0" w:space="0" w:color="auto"/>
        <w:right w:val="none" w:sz="0" w:space="0" w:color="auto"/>
      </w:divBdr>
    </w:div>
    <w:div w:id="1137524968">
      <w:bodyDiv w:val="1"/>
      <w:marLeft w:val="0"/>
      <w:marRight w:val="0"/>
      <w:marTop w:val="0"/>
      <w:marBottom w:val="0"/>
      <w:divBdr>
        <w:top w:val="none" w:sz="0" w:space="0" w:color="auto"/>
        <w:left w:val="none" w:sz="0" w:space="0" w:color="auto"/>
        <w:bottom w:val="none" w:sz="0" w:space="0" w:color="auto"/>
        <w:right w:val="none" w:sz="0" w:space="0" w:color="auto"/>
      </w:divBdr>
    </w:div>
    <w:div w:id="1137528269">
      <w:bodyDiv w:val="1"/>
      <w:marLeft w:val="0"/>
      <w:marRight w:val="0"/>
      <w:marTop w:val="0"/>
      <w:marBottom w:val="0"/>
      <w:divBdr>
        <w:top w:val="none" w:sz="0" w:space="0" w:color="auto"/>
        <w:left w:val="none" w:sz="0" w:space="0" w:color="auto"/>
        <w:bottom w:val="none" w:sz="0" w:space="0" w:color="auto"/>
        <w:right w:val="none" w:sz="0" w:space="0" w:color="auto"/>
      </w:divBdr>
    </w:div>
    <w:div w:id="1138180500">
      <w:bodyDiv w:val="1"/>
      <w:marLeft w:val="0"/>
      <w:marRight w:val="0"/>
      <w:marTop w:val="0"/>
      <w:marBottom w:val="0"/>
      <w:divBdr>
        <w:top w:val="none" w:sz="0" w:space="0" w:color="auto"/>
        <w:left w:val="none" w:sz="0" w:space="0" w:color="auto"/>
        <w:bottom w:val="none" w:sz="0" w:space="0" w:color="auto"/>
        <w:right w:val="none" w:sz="0" w:space="0" w:color="auto"/>
      </w:divBdr>
    </w:div>
    <w:div w:id="1138381740">
      <w:bodyDiv w:val="1"/>
      <w:marLeft w:val="0"/>
      <w:marRight w:val="0"/>
      <w:marTop w:val="0"/>
      <w:marBottom w:val="0"/>
      <w:divBdr>
        <w:top w:val="none" w:sz="0" w:space="0" w:color="auto"/>
        <w:left w:val="none" w:sz="0" w:space="0" w:color="auto"/>
        <w:bottom w:val="none" w:sz="0" w:space="0" w:color="auto"/>
        <w:right w:val="none" w:sz="0" w:space="0" w:color="auto"/>
      </w:divBdr>
    </w:div>
    <w:div w:id="1138763814">
      <w:bodyDiv w:val="1"/>
      <w:marLeft w:val="0"/>
      <w:marRight w:val="0"/>
      <w:marTop w:val="0"/>
      <w:marBottom w:val="0"/>
      <w:divBdr>
        <w:top w:val="none" w:sz="0" w:space="0" w:color="auto"/>
        <w:left w:val="none" w:sz="0" w:space="0" w:color="auto"/>
        <w:bottom w:val="none" w:sz="0" w:space="0" w:color="auto"/>
        <w:right w:val="none" w:sz="0" w:space="0" w:color="auto"/>
      </w:divBdr>
    </w:div>
    <w:div w:id="1139301486">
      <w:bodyDiv w:val="1"/>
      <w:marLeft w:val="0"/>
      <w:marRight w:val="0"/>
      <w:marTop w:val="0"/>
      <w:marBottom w:val="0"/>
      <w:divBdr>
        <w:top w:val="none" w:sz="0" w:space="0" w:color="auto"/>
        <w:left w:val="none" w:sz="0" w:space="0" w:color="auto"/>
        <w:bottom w:val="none" w:sz="0" w:space="0" w:color="auto"/>
        <w:right w:val="none" w:sz="0" w:space="0" w:color="auto"/>
      </w:divBdr>
    </w:div>
    <w:div w:id="1141926422">
      <w:bodyDiv w:val="1"/>
      <w:marLeft w:val="0"/>
      <w:marRight w:val="0"/>
      <w:marTop w:val="0"/>
      <w:marBottom w:val="0"/>
      <w:divBdr>
        <w:top w:val="none" w:sz="0" w:space="0" w:color="auto"/>
        <w:left w:val="none" w:sz="0" w:space="0" w:color="auto"/>
        <w:bottom w:val="none" w:sz="0" w:space="0" w:color="auto"/>
        <w:right w:val="none" w:sz="0" w:space="0" w:color="auto"/>
      </w:divBdr>
    </w:div>
    <w:div w:id="1142308004">
      <w:bodyDiv w:val="1"/>
      <w:marLeft w:val="0"/>
      <w:marRight w:val="0"/>
      <w:marTop w:val="0"/>
      <w:marBottom w:val="0"/>
      <w:divBdr>
        <w:top w:val="none" w:sz="0" w:space="0" w:color="auto"/>
        <w:left w:val="none" w:sz="0" w:space="0" w:color="auto"/>
        <w:bottom w:val="none" w:sz="0" w:space="0" w:color="auto"/>
        <w:right w:val="none" w:sz="0" w:space="0" w:color="auto"/>
      </w:divBdr>
    </w:div>
    <w:div w:id="1142312487">
      <w:bodyDiv w:val="1"/>
      <w:marLeft w:val="0"/>
      <w:marRight w:val="0"/>
      <w:marTop w:val="0"/>
      <w:marBottom w:val="0"/>
      <w:divBdr>
        <w:top w:val="none" w:sz="0" w:space="0" w:color="auto"/>
        <w:left w:val="none" w:sz="0" w:space="0" w:color="auto"/>
        <w:bottom w:val="none" w:sz="0" w:space="0" w:color="auto"/>
        <w:right w:val="none" w:sz="0" w:space="0" w:color="auto"/>
      </w:divBdr>
    </w:div>
    <w:div w:id="1142504051">
      <w:bodyDiv w:val="1"/>
      <w:marLeft w:val="0"/>
      <w:marRight w:val="0"/>
      <w:marTop w:val="0"/>
      <w:marBottom w:val="0"/>
      <w:divBdr>
        <w:top w:val="none" w:sz="0" w:space="0" w:color="auto"/>
        <w:left w:val="none" w:sz="0" w:space="0" w:color="auto"/>
        <w:bottom w:val="none" w:sz="0" w:space="0" w:color="auto"/>
        <w:right w:val="none" w:sz="0" w:space="0" w:color="auto"/>
      </w:divBdr>
    </w:div>
    <w:div w:id="1145006853">
      <w:bodyDiv w:val="1"/>
      <w:marLeft w:val="0"/>
      <w:marRight w:val="0"/>
      <w:marTop w:val="0"/>
      <w:marBottom w:val="0"/>
      <w:divBdr>
        <w:top w:val="none" w:sz="0" w:space="0" w:color="auto"/>
        <w:left w:val="none" w:sz="0" w:space="0" w:color="auto"/>
        <w:bottom w:val="none" w:sz="0" w:space="0" w:color="auto"/>
        <w:right w:val="none" w:sz="0" w:space="0" w:color="auto"/>
      </w:divBdr>
    </w:div>
    <w:div w:id="1146702771">
      <w:bodyDiv w:val="1"/>
      <w:marLeft w:val="0"/>
      <w:marRight w:val="0"/>
      <w:marTop w:val="0"/>
      <w:marBottom w:val="0"/>
      <w:divBdr>
        <w:top w:val="none" w:sz="0" w:space="0" w:color="auto"/>
        <w:left w:val="none" w:sz="0" w:space="0" w:color="auto"/>
        <w:bottom w:val="none" w:sz="0" w:space="0" w:color="auto"/>
        <w:right w:val="none" w:sz="0" w:space="0" w:color="auto"/>
      </w:divBdr>
    </w:div>
    <w:div w:id="1147698172">
      <w:bodyDiv w:val="1"/>
      <w:marLeft w:val="0"/>
      <w:marRight w:val="0"/>
      <w:marTop w:val="0"/>
      <w:marBottom w:val="0"/>
      <w:divBdr>
        <w:top w:val="none" w:sz="0" w:space="0" w:color="auto"/>
        <w:left w:val="none" w:sz="0" w:space="0" w:color="auto"/>
        <w:bottom w:val="none" w:sz="0" w:space="0" w:color="auto"/>
        <w:right w:val="none" w:sz="0" w:space="0" w:color="auto"/>
      </w:divBdr>
    </w:div>
    <w:div w:id="1148324808">
      <w:bodyDiv w:val="1"/>
      <w:marLeft w:val="0"/>
      <w:marRight w:val="0"/>
      <w:marTop w:val="0"/>
      <w:marBottom w:val="0"/>
      <w:divBdr>
        <w:top w:val="none" w:sz="0" w:space="0" w:color="auto"/>
        <w:left w:val="none" w:sz="0" w:space="0" w:color="auto"/>
        <w:bottom w:val="none" w:sz="0" w:space="0" w:color="auto"/>
        <w:right w:val="none" w:sz="0" w:space="0" w:color="auto"/>
      </w:divBdr>
    </w:div>
    <w:div w:id="1148398842">
      <w:bodyDiv w:val="1"/>
      <w:marLeft w:val="0"/>
      <w:marRight w:val="0"/>
      <w:marTop w:val="0"/>
      <w:marBottom w:val="0"/>
      <w:divBdr>
        <w:top w:val="none" w:sz="0" w:space="0" w:color="auto"/>
        <w:left w:val="none" w:sz="0" w:space="0" w:color="auto"/>
        <w:bottom w:val="none" w:sz="0" w:space="0" w:color="auto"/>
        <w:right w:val="none" w:sz="0" w:space="0" w:color="auto"/>
      </w:divBdr>
    </w:div>
    <w:div w:id="1148546337">
      <w:bodyDiv w:val="1"/>
      <w:marLeft w:val="0"/>
      <w:marRight w:val="0"/>
      <w:marTop w:val="0"/>
      <w:marBottom w:val="0"/>
      <w:divBdr>
        <w:top w:val="none" w:sz="0" w:space="0" w:color="auto"/>
        <w:left w:val="none" w:sz="0" w:space="0" w:color="auto"/>
        <w:bottom w:val="none" w:sz="0" w:space="0" w:color="auto"/>
        <w:right w:val="none" w:sz="0" w:space="0" w:color="auto"/>
      </w:divBdr>
    </w:div>
    <w:div w:id="1148938801">
      <w:bodyDiv w:val="1"/>
      <w:marLeft w:val="0"/>
      <w:marRight w:val="0"/>
      <w:marTop w:val="0"/>
      <w:marBottom w:val="0"/>
      <w:divBdr>
        <w:top w:val="none" w:sz="0" w:space="0" w:color="auto"/>
        <w:left w:val="none" w:sz="0" w:space="0" w:color="auto"/>
        <w:bottom w:val="none" w:sz="0" w:space="0" w:color="auto"/>
        <w:right w:val="none" w:sz="0" w:space="0" w:color="auto"/>
      </w:divBdr>
    </w:div>
    <w:div w:id="1150365587">
      <w:bodyDiv w:val="1"/>
      <w:marLeft w:val="0"/>
      <w:marRight w:val="0"/>
      <w:marTop w:val="0"/>
      <w:marBottom w:val="0"/>
      <w:divBdr>
        <w:top w:val="none" w:sz="0" w:space="0" w:color="auto"/>
        <w:left w:val="none" w:sz="0" w:space="0" w:color="auto"/>
        <w:bottom w:val="none" w:sz="0" w:space="0" w:color="auto"/>
        <w:right w:val="none" w:sz="0" w:space="0" w:color="auto"/>
      </w:divBdr>
    </w:div>
    <w:div w:id="1151865241">
      <w:bodyDiv w:val="1"/>
      <w:marLeft w:val="0"/>
      <w:marRight w:val="0"/>
      <w:marTop w:val="0"/>
      <w:marBottom w:val="0"/>
      <w:divBdr>
        <w:top w:val="none" w:sz="0" w:space="0" w:color="auto"/>
        <w:left w:val="none" w:sz="0" w:space="0" w:color="auto"/>
        <w:bottom w:val="none" w:sz="0" w:space="0" w:color="auto"/>
        <w:right w:val="none" w:sz="0" w:space="0" w:color="auto"/>
      </w:divBdr>
    </w:div>
    <w:div w:id="1151942274">
      <w:bodyDiv w:val="1"/>
      <w:marLeft w:val="0"/>
      <w:marRight w:val="0"/>
      <w:marTop w:val="0"/>
      <w:marBottom w:val="0"/>
      <w:divBdr>
        <w:top w:val="none" w:sz="0" w:space="0" w:color="auto"/>
        <w:left w:val="none" w:sz="0" w:space="0" w:color="auto"/>
        <w:bottom w:val="none" w:sz="0" w:space="0" w:color="auto"/>
        <w:right w:val="none" w:sz="0" w:space="0" w:color="auto"/>
      </w:divBdr>
    </w:div>
    <w:div w:id="1152715660">
      <w:bodyDiv w:val="1"/>
      <w:marLeft w:val="0"/>
      <w:marRight w:val="0"/>
      <w:marTop w:val="0"/>
      <w:marBottom w:val="0"/>
      <w:divBdr>
        <w:top w:val="none" w:sz="0" w:space="0" w:color="auto"/>
        <w:left w:val="none" w:sz="0" w:space="0" w:color="auto"/>
        <w:bottom w:val="none" w:sz="0" w:space="0" w:color="auto"/>
        <w:right w:val="none" w:sz="0" w:space="0" w:color="auto"/>
      </w:divBdr>
    </w:div>
    <w:div w:id="1155805896">
      <w:bodyDiv w:val="1"/>
      <w:marLeft w:val="0"/>
      <w:marRight w:val="0"/>
      <w:marTop w:val="0"/>
      <w:marBottom w:val="0"/>
      <w:divBdr>
        <w:top w:val="none" w:sz="0" w:space="0" w:color="auto"/>
        <w:left w:val="none" w:sz="0" w:space="0" w:color="auto"/>
        <w:bottom w:val="none" w:sz="0" w:space="0" w:color="auto"/>
        <w:right w:val="none" w:sz="0" w:space="0" w:color="auto"/>
      </w:divBdr>
    </w:div>
    <w:div w:id="1155996101">
      <w:bodyDiv w:val="1"/>
      <w:marLeft w:val="0"/>
      <w:marRight w:val="0"/>
      <w:marTop w:val="0"/>
      <w:marBottom w:val="0"/>
      <w:divBdr>
        <w:top w:val="none" w:sz="0" w:space="0" w:color="auto"/>
        <w:left w:val="none" w:sz="0" w:space="0" w:color="auto"/>
        <w:bottom w:val="none" w:sz="0" w:space="0" w:color="auto"/>
        <w:right w:val="none" w:sz="0" w:space="0" w:color="auto"/>
      </w:divBdr>
    </w:div>
    <w:div w:id="1156259091">
      <w:bodyDiv w:val="1"/>
      <w:marLeft w:val="0"/>
      <w:marRight w:val="0"/>
      <w:marTop w:val="0"/>
      <w:marBottom w:val="0"/>
      <w:divBdr>
        <w:top w:val="none" w:sz="0" w:space="0" w:color="auto"/>
        <w:left w:val="none" w:sz="0" w:space="0" w:color="auto"/>
        <w:bottom w:val="none" w:sz="0" w:space="0" w:color="auto"/>
        <w:right w:val="none" w:sz="0" w:space="0" w:color="auto"/>
      </w:divBdr>
    </w:div>
    <w:div w:id="1157111386">
      <w:bodyDiv w:val="1"/>
      <w:marLeft w:val="0"/>
      <w:marRight w:val="0"/>
      <w:marTop w:val="0"/>
      <w:marBottom w:val="0"/>
      <w:divBdr>
        <w:top w:val="none" w:sz="0" w:space="0" w:color="auto"/>
        <w:left w:val="none" w:sz="0" w:space="0" w:color="auto"/>
        <w:bottom w:val="none" w:sz="0" w:space="0" w:color="auto"/>
        <w:right w:val="none" w:sz="0" w:space="0" w:color="auto"/>
      </w:divBdr>
    </w:div>
    <w:div w:id="1157960552">
      <w:bodyDiv w:val="1"/>
      <w:marLeft w:val="0"/>
      <w:marRight w:val="0"/>
      <w:marTop w:val="0"/>
      <w:marBottom w:val="0"/>
      <w:divBdr>
        <w:top w:val="none" w:sz="0" w:space="0" w:color="auto"/>
        <w:left w:val="none" w:sz="0" w:space="0" w:color="auto"/>
        <w:bottom w:val="none" w:sz="0" w:space="0" w:color="auto"/>
        <w:right w:val="none" w:sz="0" w:space="0" w:color="auto"/>
      </w:divBdr>
    </w:div>
    <w:div w:id="1159691550">
      <w:bodyDiv w:val="1"/>
      <w:marLeft w:val="0"/>
      <w:marRight w:val="0"/>
      <w:marTop w:val="0"/>
      <w:marBottom w:val="0"/>
      <w:divBdr>
        <w:top w:val="none" w:sz="0" w:space="0" w:color="auto"/>
        <w:left w:val="none" w:sz="0" w:space="0" w:color="auto"/>
        <w:bottom w:val="none" w:sz="0" w:space="0" w:color="auto"/>
        <w:right w:val="none" w:sz="0" w:space="0" w:color="auto"/>
      </w:divBdr>
    </w:div>
    <w:div w:id="1159931031">
      <w:bodyDiv w:val="1"/>
      <w:marLeft w:val="0"/>
      <w:marRight w:val="0"/>
      <w:marTop w:val="0"/>
      <w:marBottom w:val="0"/>
      <w:divBdr>
        <w:top w:val="none" w:sz="0" w:space="0" w:color="auto"/>
        <w:left w:val="none" w:sz="0" w:space="0" w:color="auto"/>
        <w:bottom w:val="none" w:sz="0" w:space="0" w:color="auto"/>
        <w:right w:val="none" w:sz="0" w:space="0" w:color="auto"/>
      </w:divBdr>
    </w:div>
    <w:div w:id="1162164599">
      <w:bodyDiv w:val="1"/>
      <w:marLeft w:val="0"/>
      <w:marRight w:val="0"/>
      <w:marTop w:val="0"/>
      <w:marBottom w:val="0"/>
      <w:divBdr>
        <w:top w:val="none" w:sz="0" w:space="0" w:color="auto"/>
        <w:left w:val="none" w:sz="0" w:space="0" w:color="auto"/>
        <w:bottom w:val="none" w:sz="0" w:space="0" w:color="auto"/>
        <w:right w:val="none" w:sz="0" w:space="0" w:color="auto"/>
      </w:divBdr>
    </w:div>
    <w:div w:id="1162358946">
      <w:bodyDiv w:val="1"/>
      <w:marLeft w:val="0"/>
      <w:marRight w:val="0"/>
      <w:marTop w:val="0"/>
      <w:marBottom w:val="0"/>
      <w:divBdr>
        <w:top w:val="none" w:sz="0" w:space="0" w:color="auto"/>
        <w:left w:val="none" w:sz="0" w:space="0" w:color="auto"/>
        <w:bottom w:val="none" w:sz="0" w:space="0" w:color="auto"/>
        <w:right w:val="none" w:sz="0" w:space="0" w:color="auto"/>
      </w:divBdr>
    </w:div>
    <w:div w:id="1163159403">
      <w:bodyDiv w:val="1"/>
      <w:marLeft w:val="0"/>
      <w:marRight w:val="0"/>
      <w:marTop w:val="0"/>
      <w:marBottom w:val="0"/>
      <w:divBdr>
        <w:top w:val="none" w:sz="0" w:space="0" w:color="auto"/>
        <w:left w:val="none" w:sz="0" w:space="0" w:color="auto"/>
        <w:bottom w:val="none" w:sz="0" w:space="0" w:color="auto"/>
        <w:right w:val="none" w:sz="0" w:space="0" w:color="auto"/>
      </w:divBdr>
    </w:div>
    <w:div w:id="1164201033">
      <w:bodyDiv w:val="1"/>
      <w:marLeft w:val="0"/>
      <w:marRight w:val="0"/>
      <w:marTop w:val="0"/>
      <w:marBottom w:val="0"/>
      <w:divBdr>
        <w:top w:val="none" w:sz="0" w:space="0" w:color="auto"/>
        <w:left w:val="none" w:sz="0" w:space="0" w:color="auto"/>
        <w:bottom w:val="none" w:sz="0" w:space="0" w:color="auto"/>
        <w:right w:val="none" w:sz="0" w:space="0" w:color="auto"/>
      </w:divBdr>
    </w:div>
    <w:div w:id="1164976022">
      <w:bodyDiv w:val="1"/>
      <w:marLeft w:val="0"/>
      <w:marRight w:val="0"/>
      <w:marTop w:val="0"/>
      <w:marBottom w:val="0"/>
      <w:divBdr>
        <w:top w:val="none" w:sz="0" w:space="0" w:color="auto"/>
        <w:left w:val="none" w:sz="0" w:space="0" w:color="auto"/>
        <w:bottom w:val="none" w:sz="0" w:space="0" w:color="auto"/>
        <w:right w:val="none" w:sz="0" w:space="0" w:color="auto"/>
      </w:divBdr>
    </w:div>
    <w:div w:id="1165123815">
      <w:bodyDiv w:val="1"/>
      <w:marLeft w:val="0"/>
      <w:marRight w:val="0"/>
      <w:marTop w:val="0"/>
      <w:marBottom w:val="0"/>
      <w:divBdr>
        <w:top w:val="none" w:sz="0" w:space="0" w:color="auto"/>
        <w:left w:val="none" w:sz="0" w:space="0" w:color="auto"/>
        <w:bottom w:val="none" w:sz="0" w:space="0" w:color="auto"/>
        <w:right w:val="none" w:sz="0" w:space="0" w:color="auto"/>
      </w:divBdr>
    </w:div>
    <w:div w:id="1166940131">
      <w:bodyDiv w:val="1"/>
      <w:marLeft w:val="0"/>
      <w:marRight w:val="0"/>
      <w:marTop w:val="0"/>
      <w:marBottom w:val="0"/>
      <w:divBdr>
        <w:top w:val="none" w:sz="0" w:space="0" w:color="auto"/>
        <w:left w:val="none" w:sz="0" w:space="0" w:color="auto"/>
        <w:bottom w:val="none" w:sz="0" w:space="0" w:color="auto"/>
        <w:right w:val="none" w:sz="0" w:space="0" w:color="auto"/>
      </w:divBdr>
    </w:div>
    <w:div w:id="1167212480">
      <w:bodyDiv w:val="1"/>
      <w:marLeft w:val="0"/>
      <w:marRight w:val="0"/>
      <w:marTop w:val="0"/>
      <w:marBottom w:val="0"/>
      <w:divBdr>
        <w:top w:val="none" w:sz="0" w:space="0" w:color="auto"/>
        <w:left w:val="none" w:sz="0" w:space="0" w:color="auto"/>
        <w:bottom w:val="none" w:sz="0" w:space="0" w:color="auto"/>
        <w:right w:val="none" w:sz="0" w:space="0" w:color="auto"/>
      </w:divBdr>
    </w:div>
    <w:div w:id="1167675048">
      <w:bodyDiv w:val="1"/>
      <w:marLeft w:val="0"/>
      <w:marRight w:val="0"/>
      <w:marTop w:val="0"/>
      <w:marBottom w:val="0"/>
      <w:divBdr>
        <w:top w:val="none" w:sz="0" w:space="0" w:color="auto"/>
        <w:left w:val="none" w:sz="0" w:space="0" w:color="auto"/>
        <w:bottom w:val="none" w:sz="0" w:space="0" w:color="auto"/>
        <w:right w:val="none" w:sz="0" w:space="0" w:color="auto"/>
      </w:divBdr>
    </w:div>
    <w:div w:id="1169096990">
      <w:bodyDiv w:val="1"/>
      <w:marLeft w:val="0"/>
      <w:marRight w:val="0"/>
      <w:marTop w:val="0"/>
      <w:marBottom w:val="0"/>
      <w:divBdr>
        <w:top w:val="none" w:sz="0" w:space="0" w:color="auto"/>
        <w:left w:val="none" w:sz="0" w:space="0" w:color="auto"/>
        <w:bottom w:val="none" w:sz="0" w:space="0" w:color="auto"/>
        <w:right w:val="none" w:sz="0" w:space="0" w:color="auto"/>
      </w:divBdr>
    </w:div>
    <w:div w:id="1169099887">
      <w:bodyDiv w:val="1"/>
      <w:marLeft w:val="0"/>
      <w:marRight w:val="0"/>
      <w:marTop w:val="0"/>
      <w:marBottom w:val="0"/>
      <w:divBdr>
        <w:top w:val="none" w:sz="0" w:space="0" w:color="auto"/>
        <w:left w:val="none" w:sz="0" w:space="0" w:color="auto"/>
        <w:bottom w:val="none" w:sz="0" w:space="0" w:color="auto"/>
        <w:right w:val="none" w:sz="0" w:space="0" w:color="auto"/>
      </w:divBdr>
    </w:div>
    <w:div w:id="1169103622">
      <w:bodyDiv w:val="1"/>
      <w:marLeft w:val="0"/>
      <w:marRight w:val="0"/>
      <w:marTop w:val="0"/>
      <w:marBottom w:val="0"/>
      <w:divBdr>
        <w:top w:val="none" w:sz="0" w:space="0" w:color="auto"/>
        <w:left w:val="none" w:sz="0" w:space="0" w:color="auto"/>
        <w:bottom w:val="none" w:sz="0" w:space="0" w:color="auto"/>
        <w:right w:val="none" w:sz="0" w:space="0" w:color="auto"/>
      </w:divBdr>
    </w:div>
    <w:div w:id="1169908434">
      <w:bodyDiv w:val="1"/>
      <w:marLeft w:val="0"/>
      <w:marRight w:val="0"/>
      <w:marTop w:val="0"/>
      <w:marBottom w:val="0"/>
      <w:divBdr>
        <w:top w:val="none" w:sz="0" w:space="0" w:color="auto"/>
        <w:left w:val="none" w:sz="0" w:space="0" w:color="auto"/>
        <w:bottom w:val="none" w:sz="0" w:space="0" w:color="auto"/>
        <w:right w:val="none" w:sz="0" w:space="0" w:color="auto"/>
      </w:divBdr>
    </w:div>
    <w:div w:id="1169951056">
      <w:bodyDiv w:val="1"/>
      <w:marLeft w:val="0"/>
      <w:marRight w:val="0"/>
      <w:marTop w:val="0"/>
      <w:marBottom w:val="0"/>
      <w:divBdr>
        <w:top w:val="none" w:sz="0" w:space="0" w:color="auto"/>
        <w:left w:val="none" w:sz="0" w:space="0" w:color="auto"/>
        <w:bottom w:val="none" w:sz="0" w:space="0" w:color="auto"/>
        <w:right w:val="none" w:sz="0" w:space="0" w:color="auto"/>
      </w:divBdr>
    </w:div>
    <w:div w:id="1170826756">
      <w:bodyDiv w:val="1"/>
      <w:marLeft w:val="0"/>
      <w:marRight w:val="0"/>
      <w:marTop w:val="0"/>
      <w:marBottom w:val="0"/>
      <w:divBdr>
        <w:top w:val="none" w:sz="0" w:space="0" w:color="auto"/>
        <w:left w:val="none" w:sz="0" w:space="0" w:color="auto"/>
        <w:bottom w:val="none" w:sz="0" w:space="0" w:color="auto"/>
        <w:right w:val="none" w:sz="0" w:space="0" w:color="auto"/>
      </w:divBdr>
    </w:div>
    <w:div w:id="1171021963">
      <w:bodyDiv w:val="1"/>
      <w:marLeft w:val="0"/>
      <w:marRight w:val="0"/>
      <w:marTop w:val="0"/>
      <w:marBottom w:val="0"/>
      <w:divBdr>
        <w:top w:val="none" w:sz="0" w:space="0" w:color="auto"/>
        <w:left w:val="none" w:sz="0" w:space="0" w:color="auto"/>
        <w:bottom w:val="none" w:sz="0" w:space="0" w:color="auto"/>
        <w:right w:val="none" w:sz="0" w:space="0" w:color="auto"/>
      </w:divBdr>
    </w:div>
    <w:div w:id="1171456658">
      <w:bodyDiv w:val="1"/>
      <w:marLeft w:val="0"/>
      <w:marRight w:val="0"/>
      <w:marTop w:val="0"/>
      <w:marBottom w:val="0"/>
      <w:divBdr>
        <w:top w:val="none" w:sz="0" w:space="0" w:color="auto"/>
        <w:left w:val="none" w:sz="0" w:space="0" w:color="auto"/>
        <w:bottom w:val="none" w:sz="0" w:space="0" w:color="auto"/>
        <w:right w:val="none" w:sz="0" w:space="0" w:color="auto"/>
      </w:divBdr>
    </w:div>
    <w:div w:id="1171457256">
      <w:bodyDiv w:val="1"/>
      <w:marLeft w:val="0"/>
      <w:marRight w:val="0"/>
      <w:marTop w:val="0"/>
      <w:marBottom w:val="0"/>
      <w:divBdr>
        <w:top w:val="none" w:sz="0" w:space="0" w:color="auto"/>
        <w:left w:val="none" w:sz="0" w:space="0" w:color="auto"/>
        <w:bottom w:val="none" w:sz="0" w:space="0" w:color="auto"/>
        <w:right w:val="none" w:sz="0" w:space="0" w:color="auto"/>
      </w:divBdr>
    </w:div>
    <w:div w:id="1171674138">
      <w:bodyDiv w:val="1"/>
      <w:marLeft w:val="0"/>
      <w:marRight w:val="0"/>
      <w:marTop w:val="0"/>
      <w:marBottom w:val="0"/>
      <w:divBdr>
        <w:top w:val="none" w:sz="0" w:space="0" w:color="auto"/>
        <w:left w:val="none" w:sz="0" w:space="0" w:color="auto"/>
        <w:bottom w:val="none" w:sz="0" w:space="0" w:color="auto"/>
        <w:right w:val="none" w:sz="0" w:space="0" w:color="auto"/>
      </w:divBdr>
    </w:div>
    <w:div w:id="1172641942">
      <w:bodyDiv w:val="1"/>
      <w:marLeft w:val="0"/>
      <w:marRight w:val="0"/>
      <w:marTop w:val="0"/>
      <w:marBottom w:val="0"/>
      <w:divBdr>
        <w:top w:val="none" w:sz="0" w:space="0" w:color="auto"/>
        <w:left w:val="none" w:sz="0" w:space="0" w:color="auto"/>
        <w:bottom w:val="none" w:sz="0" w:space="0" w:color="auto"/>
        <w:right w:val="none" w:sz="0" w:space="0" w:color="auto"/>
      </w:divBdr>
    </w:div>
    <w:div w:id="1173181873">
      <w:bodyDiv w:val="1"/>
      <w:marLeft w:val="0"/>
      <w:marRight w:val="0"/>
      <w:marTop w:val="0"/>
      <w:marBottom w:val="0"/>
      <w:divBdr>
        <w:top w:val="none" w:sz="0" w:space="0" w:color="auto"/>
        <w:left w:val="none" w:sz="0" w:space="0" w:color="auto"/>
        <w:bottom w:val="none" w:sz="0" w:space="0" w:color="auto"/>
        <w:right w:val="none" w:sz="0" w:space="0" w:color="auto"/>
      </w:divBdr>
    </w:div>
    <w:div w:id="1175077002">
      <w:bodyDiv w:val="1"/>
      <w:marLeft w:val="0"/>
      <w:marRight w:val="0"/>
      <w:marTop w:val="0"/>
      <w:marBottom w:val="0"/>
      <w:divBdr>
        <w:top w:val="none" w:sz="0" w:space="0" w:color="auto"/>
        <w:left w:val="none" w:sz="0" w:space="0" w:color="auto"/>
        <w:bottom w:val="none" w:sz="0" w:space="0" w:color="auto"/>
        <w:right w:val="none" w:sz="0" w:space="0" w:color="auto"/>
      </w:divBdr>
    </w:div>
    <w:div w:id="1175926060">
      <w:bodyDiv w:val="1"/>
      <w:marLeft w:val="0"/>
      <w:marRight w:val="0"/>
      <w:marTop w:val="0"/>
      <w:marBottom w:val="0"/>
      <w:divBdr>
        <w:top w:val="none" w:sz="0" w:space="0" w:color="auto"/>
        <w:left w:val="none" w:sz="0" w:space="0" w:color="auto"/>
        <w:bottom w:val="none" w:sz="0" w:space="0" w:color="auto"/>
        <w:right w:val="none" w:sz="0" w:space="0" w:color="auto"/>
      </w:divBdr>
    </w:div>
    <w:div w:id="1176572896">
      <w:bodyDiv w:val="1"/>
      <w:marLeft w:val="0"/>
      <w:marRight w:val="0"/>
      <w:marTop w:val="0"/>
      <w:marBottom w:val="0"/>
      <w:divBdr>
        <w:top w:val="none" w:sz="0" w:space="0" w:color="auto"/>
        <w:left w:val="none" w:sz="0" w:space="0" w:color="auto"/>
        <w:bottom w:val="none" w:sz="0" w:space="0" w:color="auto"/>
        <w:right w:val="none" w:sz="0" w:space="0" w:color="auto"/>
      </w:divBdr>
    </w:div>
    <w:div w:id="1178538923">
      <w:bodyDiv w:val="1"/>
      <w:marLeft w:val="0"/>
      <w:marRight w:val="0"/>
      <w:marTop w:val="0"/>
      <w:marBottom w:val="0"/>
      <w:divBdr>
        <w:top w:val="none" w:sz="0" w:space="0" w:color="auto"/>
        <w:left w:val="none" w:sz="0" w:space="0" w:color="auto"/>
        <w:bottom w:val="none" w:sz="0" w:space="0" w:color="auto"/>
        <w:right w:val="none" w:sz="0" w:space="0" w:color="auto"/>
      </w:divBdr>
    </w:div>
    <w:div w:id="1179080044">
      <w:bodyDiv w:val="1"/>
      <w:marLeft w:val="0"/>
      <w:marRight w:val="0"/>
      <w:marTop w:val="0"/>
      <w:marBottom w:val="0"/>
      <w:divBdr>
        <w:top w:val="none" w:sz="0" w:space="0" w:color="auto"/>
        <w:left w:val="none" w:sz="0" w:space="0" w:color="auto"/>
        <w:bottom w:val="none" w:sz="0" w:space="0" w:color="auto"/>
        <w:right w:val="none" w:sz="0" w:space="0" w:color="auto"/>
      </w:divBdr>
    </w:div>
    <w:div w:id="1179925831">
      <w:bodyDiv w:val="1"/>
      <w:marLeft w:val="0"/>
      <w:marRight w:val="0"/>
      <w:marTop w:val="0"/>
      <w:marBottom w:val="0"/>
      <w:divBdr>
        <w:top w:val="none" w:sz="0" w:space="0" w:color="auto"/>
        <w:left w:val="none" w:sz="0" w:space="0" w:color="auto"/>
        <w:bottom w:val="none" w:sz="0" w:space="0" w:color="auto"/>
        <w:right w:val="none" w:sz="0" w:space="0" w:color="auto"/>
      </w:divBdr>
    </w:div>
    <w:div w:id="1180391400">
      <w:bodyDiv w:val="1"/>
      <w:marLeft w:val="0"/>
      <w:marRight w:val="0"/>
      <w:marTop w:val="0"/>
      <w:marBottom w:val="0"/>
      <w:divBdr>
        <w:top w:val="none" w:sz="0" w:space="0" w:color="auto"/>
        <w:left w:val="none" w:sz="0" w:space="0" w:color="auto"/>
        <w:bottom w:val="none" w:sz="0" w:space="0" w:color="auto"/>
        <w:right w:val="none" w:sz="0" w:space="0" w:color="auto"/>
      </w:divBdr>
    </w:div>
    <w:div w:id="1180512331">
      <w:bodyDiv w:val="1"/>
      <w:marLeft w:val="0"/>
      <w:marRight w:val="0"/>
      <w:marTop w:val="0"/>
      <w:marBottom w:val="0"/>
      <w:divBdr>
        <w:top w:val="none" w:sz="0" w:space="0" w:color="auto"/>
        <w:left w:val="none" w:sz="0" w:space="0" w:color="auto"/>
        <w:bottom w:val="none" w:sz="0" w:space="0" w:color="auto"/>
        <w:right w:val="none" w:sz="0" w:space="0" w:color="auto"/>
      </w:divBdr>
    </w:div>
    <w:div w:id="1180774988">
      <w:bodyDiv w:val="1"/>
      <w:marLeft w:val="0"/>
      <w:marRight w:val="0"/>
      <w:marTop w:val="0"/>
      <w:marBottom w:val="0"/>
      <w:divBdr>
        <w:top w:val="none" w:sz="0" w:space="0" w:color="auto"/>
        <w:left w:val="none" w:sz="0" w:space="0" w:color="auto"/>
        <w:bottom w:val="none" w:sz="0" w:space="0" w:color="auto"/>
        <w:right w:val="none" w:sz="0" w:space="0" w:color="auto"/>
      </w:divBdr>
    </w:div>
    <w:div w:id="1182431819">
      <w:bodyDiv w:val="1"/>
      <w:marLeft w:val="0"/>
      <w:marRight w:val="0"/>
      <w:marTop w:val="0"/>
      <w:marBottom w:val="0"/>
      <w:divBdr>
        <w:top w:val="none" w:sz="0" w:space="0" w:color="auto"/>
        <w:left w:val="none" w:sz="0" w:space="0" w:color="auto"/>
        <w:bottom w:val="none" w:sz="0" w:space="0" w:color="auto"/>
        <w:right w:val="none" w:sz="0" w:space="0" w:color="auto"/>
      </w:divBdr>
    </w:div>
    <w:div w:id="1182933030">
      <w:bodyDiv w:val="1"/>
      <w:marLeft w:val="0"/>
      <w:marRight w:val="0"/>
      <w:marTop w:val="0"/>
      <w:marBottom w:val="0"/>
      <w:divBdr>
        <w:top w:val="none" w:sz="0" w:space="0" w:color="auto"/>
        <w:left w:val="none" w:sz="0" w:space="0" w:color="auto"/>
        <w:bottom w:val="none" w:sz="0" w:space="0" w:color="auto"/>
        <w:right w:val="none" w:sz="0" w:space="0" w:color="auto"/>
      </w:divBdr>
    </w:div>
    <w:div w:id="1183203649">
      <w:bodyDiv w:val="1"/>
      <w:marLeft w:val="0"/>
      <w:marRight w:val="0"/>
      <w:marTop w:val="0"/>
      <w:marBottom w:val="0"/>
      <w:divBdr>
        <w:top w:val="none" w:sz="0" w:space="0" w:color="auto"/>
        <w:left w:val="none" w:sz="0" w:space="0" w:color="auto"/>
        <w:bottom w:val="none" w:sz="0" w:space="0" w:color="auto"/>
        <w:right w:val="none" w:sz="0" w:space="0" w:color="auto"/>
      </w:divBdr>
    </w:div>
    <w:div w:id="1183402021">
      <w:bodyDiv w:val="1"/>
      <w:marLeft w:val="0"/>
      <w:marRight w:val="0"/>
      <w:marTop w:val="0"/>
      <w:marBottom w:val="0"/>
      <w:divBdr>
        <w:top w:val="none" w:sz="0" w:space="0" w:color="auto"/>
        <w:left w:val="none" w:sz="0" w:space="0" w:color="auto"/>
        <w:bottom w:val="none" w:sz="0" w:space="0" w:color="auto"/>
        <w:right w:val="none" w:sz="0" w:space="0" w:color="auto"/>
      </w:divBdr>
    </w:div>
    <w:div w:id="1183788752">
      <w:bodyDiv w:val="1"/>
      <w:marLeft w:val="0"/>
      <w:marRight w:val="0"/>
      <w:marTop w:val="0"/>
      <w:marBottom w:val="0"/>
      <w:divBdr>
        <w:top w:val="none" w:sz="0" w:space="0" w:color="auto"/>
        <w:left w:val="none" w:sz="0" w:space="0" w:color="auto"/>
        <w:bottom w:val="none" w:sz="0" w:space="0" w:color="auto"/>
        <w:right w:val="none" w:sz="0" w:space="0" w:color="auto"/>
      </w:divBdr>
    </w:div>
    <w:div w:id="1184131517">
      <w:bodyDiv w:val="1"/>
      <w:marLeft w:val="0"/>
      <w:marRight w:val="0"/>
      <w:marTop w:val="0"/>
      <w:marBottom w:val="0"/>
      <w:divBdr>
        <w:top w:val="none" w:sz="0" w:space="0" w:color="auto"/>
        <w:left w:val="none" w:sz="0" w:space="0" w:color="auto"/>
        <w:bottom w:val="none" w:sz="0" w:space="0" w:color="auto"/>
        <w:right w:val="none" w:sz="0" w:space="0" w:color="auto"/>
      </w:divBdr>
    </w:div>
    <w:div w:id="1184326266">
      <w:bodyDiv w:val="1"/>
      <w:marLeft w:val="0"/>
      <w:marRight w:val="0"/>
      <w:marTop w:val="0"/>
      <w:marBottom w:val="0"/>
      <w:divBdr>
        <w:top w:val="none" w:sz="0" w:space="0" w:color="auto"/>
        <w:left w:val="none" w:sz="0" w:space="0" w:color="auto"/>
        <w:bottom w:val="none" w:sz="0" w:space="0" w:color="auto"/>
        <w:right w:val="none" w:sz="0" w:space="0" w:color="auto"/>
      </w:divBdr>
    </w:div>
    <w:div w:id="1184709184">
      <w:bodyDiv w:val="1"/>
      <w:marLeft w:val="0"/>
      <w:marRight w:val="0"/>
      <w:marTop w:val="0"/>
      <w:marBottom w:val="0"/>
      <w:divBdr>
        <w:top w:val="none" w:sz="0" w:space="0" w:color="auto"/>
        <w:left w:val="none" w:sz="0" w:space="0" w:color="auto"/>
        <w:bottom w:val="none" w:sz="0" w:space="0" w:color="auto"/>
        <w:right w:val="none" w:sz="0" w:space="0" w:color="auto"/>
      </w:divBdr>
    </w:div>
    <w:div w:id="1184906048">
      <w:bodyDiv w:val="1"/>
      <w:marLeft w:val="0"/>
      <w:marRight w:val="0"/>
      <w:marTop w:val="0"/>
      <w:marBottom w:val="0"/>
      <w:divBdr>
        <w:top w:val="none" w:sz="0" w:space="0" w:color="auto"/>
        <w:left w:val="none" w:sz="0" w:space="0" w:color="auto"/>
        <w:bottom w:val="none" w:sz="0" w:space="0" w:color="auto"/>
        <w:right w:val="none" w:sz="0" w:space="0" w:color="auto"/>
      </w:divBdr>
    </w:div>
    <w:div w:id="1185437757">
      <w:bodyDiv w:val="1"/>
      <w:marLeft w:val="0"/>
      <w:marRight w:val="0"/>
      <w:marTop w:val="0"/>
      <w:marBottom w:val="0"/>
      <w:divBdr>
        <w:top w:val="none" w:sz="0" w:space="0" w:color="auto"/>
        <w:left w:val="none" w:sz="0" w:space="0" w:color="auto"/>
        <w:bottom w:val="none" w:sz="0" w:space="0" w:color="auto"/>
        <w:right w:val="none" w:sz="0" w:space="0" w:color="auto"/>
      </w:divBdr>
    </w:div>
    <w:div w:id="1185944051">
      <w:bodyDiv w:val="1"/>
      <w:marLeft w:val="0"/>
      <w:marRight w:val="0"/>
      <w:marTop w:val="0"/>
      <w:marBottom w:val="0"/>
      <w:divBdr>
        <w:top w:val="none" w:sz="0" w:space="0" w:color="auto"/>
        <w:left w:val="none" w:sz="0" w:space="0" w:color="auto"/>
        <w:bottom w:val="none" w:sz="0" w:space="0" w:color="auto"/>
        <w:right w:val="none" w:sz="0" w:space="0" w:color="auto"/>
      </w:divBdr>
    </w:div>
    <w:div w:id="1186023864">
      <w:bodyDiv w:val="1"/>
      <w:marLeft w:val="0"/>
      <w:marRight w:val="0"/>
      <w:marTop w:val="0"/>
      <w:marBottom w:val="0"/>
      <w:divBdr>
        <w:top w:val="none" w:sz="0" w:space="0" w:color="auto"/>
        <w:left w:val="none" w:sz="0" w:space="0" w:color="auto"/>
        <w:bottom w:val="none" w:sz="0" w:space="0" w:color="auto"/>
        <w:right w:val="none" w:sz="0" w:space="0" w:color="auto"/>
      </w:divBdr>
    </w:div>
    <w:div w:id="1186794609">
      <w:bodyDiv w:val="1"/>
      <w:marLeft w:val="0"/>
      <w:marRight w:val="0"/>
      <w:marTop w:val="0"/>
      <w:marBottom w:val="0"/>
      <w:divBdr>
        <w:top w:val="none" w:sz="0" w:space="0" w:color="auto"/>
        <w:left w:val="none" w:sz="0" w:space="0" w:color="auto"/>
        <w:bottom w:val="none" w:sz="0" w:space="0" w:color="auto"/>
        <w:right w:val="none" w:sz="0" w:space="0" w:color="auto"/>
      </w:divBdr>
    </w:div>
    <w:div w:id="1186795541">
      <w:bodyDiv w:val="1"/>
      <w:marLeft w:val="0"/>
      <w:marRight w:val="0"/>
      <w:marTop w:val="0"/>
      <w:marBottom w:val="0"/>
      <w:divBdr>
        <w:top w:val="none" w:sz="0" w:space="0" w:color="auto"/>
        <w:left w:val="none" w:sz="0" w:space="0" w:color="auto"/>
        <w:bottom w:val="none" w:sz="0" w:space="0" w:color="auto"/>
        <w:right w:val="none" w:sz="0" w:space="0" w:color="auto"/>
      </w:divBdr>
    </w:div>
    <w:div w:id="1186821957">
      <w:bodyDiv w:val="1"/>
      <w:marLeft w:val="0"/>
      <w:marRight w:val="0"/>
      <w:marTop w:val="0"/>
      <w:marBottom w:val="0"/>
      <w:divBdr>
        <w:top w:val="none" w:sz="0" w:space="0" w:color="auto"/>
        <w:left w:val="none" w:sz="0" w:space="0" w:color="auto"/>
        <w:bottom w:val="none" w:sz="0" w:space="0" w:color="auto"/>
        <w:right w:val="none" w:sz="0" w:space="0" w:color="auto"/>
      </w:divBdr>
    </w:div>
    <w:div w:id="1187519007">
      <w:bodyDiv w:val="1"/>
      <w:marLeft w:val="0"/>
      <w:marRight w:val="0"/>
      <w:marTop w:val="0"/>
      <w:marBottom w:val="0"/>
      <w:divBdr>
        <w:top w:val="none" w:sz="0" w:space="0" w:color="auto"/>
        <w:left w:val="none" w:sz="0" w:space="0" w:color="auto"/>
        <w:bottom w:val="none" w:sz="0" w:space="0" w:color="auto"/>
        <w:right w:val="none" w:sz="0" w:space="0" w:color="auto"/>
      </w:divBdr>
    </w:div>
    <w:div w:id="1188518390">
      <w:bodyDiv w:val="1"/>
      <w:marLeft w:val="0"/>
      <w:marRight w:val="0"/>
      <w:marTop w:val="0"/>
      <w:marBottom w:val="0"/>
      <w:divBdr>
        <w:top w:val="none" w:sz="0" w:space="0" w:color="auto"/>
        <w:left w:val="none" w:sz="0" w:space="0" w:color="auto"/>
        <w:bottom w:val="none" w:sz="0" w:space="0" w:color="auto"/>
        <w:right w:val="none" w:sz="0" w:space="0" w:color="auto"/>
      </w:divBdr>
    </w:div>
    <w:div w:id="1190023006">
      <w:bodyDiv w:val="1"/>
      <w:marLeft w:val="0"/>
      <w:marRight w:val="0"/>
      <w:marTop w:val="0"/>
      <w:marBottom w:val="0"/>
      <w:divBdr>
        <w:top w:val="none" w:sz="0" w:space="0" w:color="auto"/>
        <w:left w:val="none" w:sz="0" w:space="0" w:color="auto"/>
        <w:bottom w:val="none" w:sz="0" w:space="0" w:color="auto"/>
        <w:right w:val="none" w:sz="0" w:space="0" w:color="auto"/>
      </w:divBdr>
    </w:div>
    <w:div w:id="1190218439">
      <w:bodyDiv w:val="1"/>
      <w:marLeft w:val="0"/>
      <w:marRight w:val="0"/>
      <w:marTop w:val="0"/>
      <w:marBottom w:val="0"/>
      <w:divBdr>
        <w:top w:val="none" w:sz="0" w:space="0" w:color="auto"/>
        <w:left w:val="none" w:sz="0" w:space="0" w:color="auto"/>
        <w:bottom w:val="none" w:sz="0" w:space="0" w:color="auto"/>
        <w:right w:val="none" w:sz="0" w:space="0" w:color="auto"/>
      </w:divBdr>
    </w:div>
    <w:div w:id="1190267010">
      <w:bodyDiv w:val="1"/>
      <w:marLeft w:val="0"/>
      <w:marRight w:val="0"/>
      <w:marTop w:val="0"/>
      <w:marBottom w:val="0"/>
      <w:divBdr>
        <w:top w:val="none" w:sz="0" w:space="0" w:color="auto"/>
        <w:left w:val="none" w:sz="0" w:space="0" w:color="auto"/>
        <w:bottom w:val="none" w:sz="0" w:space="0" w:color="auto"/>
        <w:right w:val="none" w:sz="0" w:space="0" w:color="auto"/>
      </w:divBdr>
    </w:div>
    <w:div w:id="1190534822">
      <w:bodyDiv w:val="1"/>
      <w:marLeft w:val="0"/>
      <w:marRight w:val="0"/>
      <w:marTop w:val="0"/>
      <w:marBottom w:val="0"/>
      <w:divBdr>
        <w:top w:val="none" w:sz="0" w:space="0" w:color="auto"/>
        <w:left w:val="none" w:sz="0" w:space="0" w:color="auto"/>
        <w:bottom w:val="none" w:sz="0" w:space="0" w:color="auto"/>
        <w:right w:val="none" w:sz="0" w:space="0" w:color="auto"/>
      </w:divBdr>
    </w:div>
    <w:div w:id="1190728984">
      <w:bodyDiv w:val="1"/>
      <w:marLeft w:val="0"/>
      <w:marRight w:val="0"/>
      <w:marTop w:val="0"/>
      <w:marBottom w:val="0"/>
      <w:divBdr>
        <w:top w:val="none" w:sz="0" w:space="0" w:color="auto"/>
        <w:left w:val="none" w:sz="0" w:space="0" w:color="auto"/>
        <w:bottom w:val="none" w:sz="0" w:space="0" w:color="auto"/>
        <w:right w:val="none" w:sz="0" w:space="0" w:color="auto"/>
      </w:divBdr>
    </w:div>
    <w:div w:id="1191912992">
      <w:bodyDiv w:val="1"/>
      <w:marLeft w:val="0"/>
      <w:marRight w:val="0"/>
      <w:marTop w:val="0"/>
      <w:marBottom w:val="0"/>
      <w:divBdr>
        <w:top w:val="none" w:sz="0" w:space="0" w:color="auto"/>
        <w:left w:val="none" w:sz="0" w:space="0" w:color="auto"/>
        <w:bottom w:val="none" w:sz="0" w:space="0" w:color="auto"/>
        <w:right w:val="none" w:sz="0" w:space="0" w:color="auto"/>
      </w:divBdr>
    </w:div>
    <w:div w:id="1191996552">
      <w:bodyDiv w:val="1"/>
      <w:marLeft w:val="0"/>
      <w:marRight w:val="0"/>
      <w:marTop w:val="0"/>
      <w:marBottom w:val="0"/>
      <w:divBdr>
        <w:top w:val="none" w:sz="0" w:space="0" w:color="auto"/>
        <w:left w:val="none" w:sz="0" w:space="0" w:color="auto"/>
        <w:bottom w:val="none" w:sz="0" w:space="0" w:color="auto"/>
        <w:right w:val="none" w:sz="0" w:space="0" w:color="auto"/>
      </w:divBdr>
    </w:div>
    <w:div w:id="1194269937">
      <w:bodyDiv w:val="1"/>
      <w:marLeft w:val="0"/>
      <w:marRight w:val="0"/>
      <w:marTop w:val="0"/>
      <w:marBottom w:val="0"/>
      <w:divBdr>
        <w:top w:val="none" w:sz="0" w:space="0" w:color="auto"/>
        <w:left w:val="none" w:sz="0" w:space="0" w:color="auto"/>
        <w:bottom w:val="none" w:sz="0" w:space="0" w:color="auto"/>
        <w:right w:val="none" w:sz="0" w:space="0" w:color="auto"/>
      </w:divBdr>
    </w:div>
    <w:div w:id="1196389189">
      <w:bodyDiv w:val="1"/>
      <w:marLeft w:val="0"/>
      <w:marRight w:val="0"/>
      <w:marTop w:val="0"/>
      <w:marBottom w:val="0"/>
      <w:divBdr>
        <w:top w:val="none" w:sz="0" w:space="0" w:color="auto"/>
        <w:left w:val="none" w:sz="0" w:space="0" w:color="auto"/>
        <w:bottom w:val="none" w:sz="0" w:space="0" w:color="auto"/>
        <w:right w:val="none" w:sz="0" w:space="0" w:color="auto"/>
      </w:divBdr>
    </w:div>
    <w:div w:id="1196577000">
      <w:bodyDiv w:val="1"/>
      <w:marLeft w:val="0"/>
      <w:marRight w:val="0"/>
      <w:marTop w:val="0"/>
      <w:marBottom w:val="0"/>
      <w:divBdr>
        <w:top w:val="none" w:sz="0" w:space="0" w:color="auto"/>
        <w:left w:val="none" w:sz="0" w:space="0" w:color="auto"/>
        <w:bottom w:val="none" w:sz="0" w:space="0" w:color="auto"/>
        <w:right w:val="none" w:sz="0" w:space="0" w:color="auto"/>
      </w:divBdr>
    </w:div>
    <w:div w:id="1196580564">
      <w:bodyDiv w:val="1"/>
      <w:marLeft w:val="0"/>
      <w:marRight w:val="0"/>
      <w:marTop w:val="0"/>
      <w:marBottom w:val="0"/>
      <w:divBdr>
        <w:top w:val="none" w:sz="0" w:space="0" w:color="auto"/>
        <w:left w:val="none" w:sz="0" w:space="0" w:color="auto"/>
        <w:bottom w:val="none" w:sz="0" w:space="0" w:color="auto"/>
        <w:right w:val="none" w:sz="0" w:space="0" w:color="auto"/>
      </w:divBdr>
    </w:div>
    <w:div w:id="1197356564">
      <w:bodyDiv w:val="1"/>
      <w:marLeft w:val="0"/>
      <w:marRight w:val="0"/>
      <w:marTop w:val="0"/>
      <w:marBottom w:val="0"/>
      <w:divBdr>
        <w:top w:val="none" w:sz="0" w:space="0" w:color="auto"/>
        <w:left w:val="none" w:sz="0" w:space="0" w:color="auto"/>
        <w:bottom w:val="none" w:sz="0" w:space="0" w:color="auto"/>
        <w:right w:val="none" w:sz="0" w:space="0" w:color="auto"/>
      </w:divBdr>
    </w:div>
    <w:div w:id="1199197072">
      <w:bodyDiv w:val="1"/>
      <w:marLeft w:val="0"/>
      <w:marRight w:val="0"/>
      <w:marTop w:val="0"/>
      <w:marBottom w:val="0"/>
      <w:divBdr>
        <w:top w:val="none" w:sz="0" w:space="0" w:color="auto"/>
        <w:left w:val="none" w:sz="0" w:space="0" w:color="auto"/>
        <w:bottom w:val="none" w:sz="0" w:space="0" w:color="auto"/>
        <w:right w:val="none" w:sz="0" w:space="0" w:color="auto"/>
      </w:divBdr>
    </w:div>
    <w:div w:id="1199856947">
      <w:bodyDiv w:val="1"/>
      <w:marLeft w:val="0"/>
      <w:marRight w:val="0"/>
      <w:marTop w:val="0"/>
      <w:marBottom w:val="0"/>
      <w:divBdr>
        <w:top w:val="none" w:sz="0" w:space="0" w:color="auto"/>
        <w:left w:val="none" w:sz="0" w:space="0" w:color="auto"/>
        <w:bottom w:val="none" w:sz="0" w:space="0" w:color="auto"/>
        <w:right w:val="none" w:sz="0" w:space="0" w:color="auto"/>
      </w:divBdr>
    </w:div>
    <w:div w:id="1200969090">
      <w:bodyDiv w:val="1"/>
      <w:marLeft w:val="0"/>
      <w:marRight w:val="0"/>
      <w:marTop w:val="0"/>
      <w:marBottom w:val="0"/>
      <w:divBdr>
        <w:top w:val="none" w:sz="0" w:space="0" w:color="auto"/>
        <w:left w:val="none" w:sz="0" w:space="0" w:color="auto"/>
        <w:bottom w:val="none" w:sz="0" w:space="0" w:color="auto"/>
        <w:right w:val="none" w:sz="0" w:space="0" w:color="auto"/>
      </w:divBdr>
    </w:div>
    <w:div w:id="1201283935">
      <w:bodyDiv w:val="1"/>
      <w:marLeft w:val="0"/>
      <w:marRight w:val="0"/>
      <w:marTop w:val="0"/>
      <w:marBottom w:val="0"/>
      <w:divBdr>
        <w:top w:val="none" w:sz="0" w:space="0" w:color="auto"/>
        <w:left w:val="none" w:sz="0" w:space="0" w:color="auto"/>
        <w:bottom w:val="none" w:sz="0" w:space="0" w:color="auto"/>
        <w:right w:val="none" w:sz="0" w:space="0" w:color="auto"/>
      </w:divBdr>
    </w:div>
    <w:div w:id="1202521091">
      <w:bodyDiv w:val="1"/>
      <w:marLeft w:val="0"/>
      <w:marRight w:val="0"/>
      <w:marTop w:val="0"/>
      <w:marBottom w:val="0"/>
      <w:divBdr>
        <w:top w:val="none" w:sz="0" w:space="0" w:color="auto"/>
        <w:left w:val="none" w:sz="0" w:space="0" w:color="auto"/>
        <w:bottom w:val="none" w:sz="0" w:space="0" w:color="auto"/>
        <w:right w:val="none" w:sz="0" w:space="0" w:color="auto"/>
      </w:divBdr>
    </w:div>
    <w:div w:id="1203206709">
      <w:bodyDiv w:val="1"/>
      <w:marLeft w:val="0"/>
      <w:marRight w:val="0"/>
      <w:marTop w:val="0"/>
      <w:marBottom w:val="0"/>
      <w:divBdr>
        <w:top w:val="none" w:sz="0" w:space="0" w:color="auto"/>
        <w:left w:val="none" w:sz="0" w:space="0" w:color="auto"/>
        <w:bottom w:val="none" w:sz="0" w:space="0" w:color="auto"/>
        <w:right w:val="none" w:sz="0" w:space="0" w:color="auto"/>
      </w:divBdr>
    </w:div>
    <w:div w:id="1204101296">
      <w:bodyDiv w:val="1"/>
      <w:marLeft w:val="0"/>
      <w:marRight w:val="0"/>
      <w:marTop w:val="0"/>
      <w:marBottom w:val="0"/>
      <w:divBdr>
        <w:top w:val="none" w:sz="0" w:space="0" w:color="auto"/>
        <w:left w:val="none" w:sz="0" w:space="0" w:color="auto"/>
        <w:bottom w:val="none" w:sz="0" w:space="0" w:color="auto"/>
        <w:right w:val="none" w:sz="0" w:space="0" w:color="auto"/>
      </w:divBdr>
    </w:div>
    <w:div w:id="1204101865">
      <w:bodyDiv w:val="1"/>
      <w:marLeft w:val="0"/>
      <w:marRight w:val="0"/>
      <w:marTop w:val="0"/>
      <w:marBottom w:val="0"/>
      <w:divBdr>
        <w:top w:val="none" w:sz="0" w:space="0" w:color="auto"/>
        <w:left w:val="none" w:sz="0" w:space="0" w:color="auto"/>
        <w:bottom w:val="none" w:sz="0" w:space="0" w:color="auto"/>
        <w:right w:val="none" w:sz="0" w:space="0" w:color="auto"/>
      </w:divBdr>
    </w:div>
    <w:div w:id="1206482830">
      <w:bodyDiv w:val="1"/>
      <w:marLeft w:val="0"/>
      <w:marRight w:val="0"/>
      <w:marTop w:val="0"/>
      <w:marBottom w:val="0"/>
      <w:divBdr>
        <w:top w:val="none" w:sz="0" w:space="0" w:color="auto"/>
        <w:left w:val="none" w:sz="0" w:space="0" w:color="auto"/>
        <w:bottom w:val="none" w:sz="0" w:space="0" w:color="auto"/>
        <w:right w:val="none" w:sz="0" w:space="0" w:color="auto"/>
      </w:divBdr>
    </w:div>
    <w:div w:id="1206679003">
      <w:bodyDiv w:val="1"/>
      <w:marLeft w:val="0"/>
      <w:marRight w:val="0"/>
      <w:marTop w:val="0"/>
      <w:marBottom w:val="0"/>
      <w:divBdr>
        <w:top w:val="none" w:sz="0" w:space="0" w:color="auto"/>
        <w:left w:val="none" w:sz="0" w:space="0" w:color="auto"/>
        <w:bottom w:val="none" w:sz="0" w:space="0" w:color="auto"/>
        <w:right w:val="none" w:sz="0" w:space="0" w:color="auto"/>
      </w:divBdr>
    </w:div>
    <w:div w:id="1207909583">
      <w:bodyDiv w:val="1"/>
      <w:marLeft w:val="0"/>
      <w:marRight w:val="0"/>
      <w:marTop w:val="0"/>
      <w:marBottom w:val="0"/>
      <w:divBdr>
        <w:top w:val="none" w:sz="0" w:space="0" w:color="auto"/>
        <w:left w:val="none" w:sz="0" w:space="0" w:color="auto"/>
        <w:bottom w:val="none" w:sz="0" w:space="0" w:color="auto"/>
        <w:right w:val="none" w:sz="0" w:space="0" w:color="auto"/>
      </w:divBdr>
    </w:div>
    <w:div w:id="1208030413">
      <w:bodyDiv w:val="1"/>
      <w:marLeft w:val="0"/>
      <w:marRight w:val="0"/>
      <w:marTop w:val="0"/>
      <w:marBottom w:val="0"/>
      <w:divBdr>
        <w:top w:val="none" w:sz="0" w:space="0" w:color="auto"/>
        <w:left w:val="none" w:sz="0" w:space="0" w:color="auto"/>
        <w:bottom w:val="none" w:sz="0" w:space="0" w:color="auto"/>
        <w:right w:val="none" w:sz="0" w:space="0" w:color="auto"/>
      </w:divBdr>
    </w:div>
    <w:div w:id="1209032315">
      <w:bodyDiv w:val="1"/>
      <w:marLeft w:val="0"/>
      <w:marRight w:val="0"/>
      <w:marTop w:val="0"/>
      <w:marBottom w:val="0"/>
      <w:divBdr>
        <w:top w:val="none" w:sz="0" w:space="0" w:color="auto"/>
        <w:left w:val="none" w:sz="0" w:space="0" w:color="auto"/>
        <w:bottom w:val="none" w:sz="0" w:space="0" w:color="auto"/>
        <w:right w:val="none" w:sz="0" w:space="0" w:color="auto"/>
      </w:divBdr>
    </w:div>
    <w:div w:id="1209100977">
      <w:bodyDiv w:val="1"/>
      <w:marLeft w:val="0"/>
      <w:marRight w:val="0"/>
      <w:marTop w:val="0"/>
      <w:marBottom w:val="0"/>
      <w:divBdr>
        <w:top w:val="none" w:sz="0" w:space="0" w:color="auto"/>
        <w:left w:val="none" w:sz="0" w:space="0" w:color="auto"/>
        <w:bottom w:val="none" w:sz="0" w:space="0" w:color="auto"/>
        <w:right w:val="none" w:sz="0" w:space="0" w:color="auto"/>
      </w:divBdr>
    </w:div>
    <w:div w:id="1209609232">
      <w:bodyDiv w:val="1"/>
      <w:marLeft w:val="0"/>
      <w:marRight w:val="0"/>
      <w:marTop w:val="0"/>
      <w:marBottom w:val="0"/>
      <w:divBdr>
        <w:top w:val="none" w:sz="0" w:space="0" w:color="auto"/>
        <w:left w:val="none" w:sz="0" w:space="0" w:color="auto"/>
        <w:bottom w:val="none" w:sz="0" w:space="0" w:color="auto"/>
        <w:right w:val="none" w:sz="0" w:space="0" w:color="auto"/>
      </w:divBdr>
    </w:div>
    <w:div w:id="1209956248">
      <w:bodyDiv w:val="1"/>
      <w:marLeft w:val="0"/>
      <w:marRight w:val="0"/>
      <w:marTop w:val="0"/>
      <w:marBottom w:val="0"/>
      <w:divBdr>
        <w:top w:val="none" w:sz="0" w:space="0" w:color="auto"/>
        <w:left w:val="none" w:sz="0" w:space="0" w:color="auto"/>
        <w:bottom w:val="none" w:sz="0" w:space="0" w:color="auto"/>
        <w:right w:val="none" w:sz="0" w:space="0" w:color="auto"/>
      </w:divBdr>
    </w:div>
    <w:div w:id="1210921564">
      <w:bodyDiv w:val="1"/>
      <w:marLeft w:val="0"/>
      <w:marRight w:val="0"/>
      <w:marTop w:val="0"/>
      <w:marBottom w:val="0"/>
      <w:divBdr>
        <w:top w:val="none" w:sz="0" w:space="0" w:color="auto"/>
        <w:left w:val="none" w:sz="0" w:space="0" w:color="auto"/>
        <w:bottom w:val="none" w:sz="0" w:space="0" w:color="auto"/>
        <w:right w:val="none" w:sz="0" w:space="0" w:color="auto"/>
      </w:divBdr>
    </w:div>
    <w:div w:id="1211964156">
      <w:bodyDiv w:val="1"/>
      <w:marLeft w:val="0"/>
      <w:marRight w:val="0"/>
      <w:marTop w:val="0"/>
      <w:marBottom w:val="0"/>
      <w:divBdr>
        <w:top w:val="none" w:sz="0" w:space="0" w:color="auto"/>
        <w:left w:val="none" w:sz="0" w:space="0" w:color="auto"/>
        <w:bottom w:val="none" w:sz="0" w:space="0" w:color="auto"/>
        <w:right w:val="none" w:sz="0" w:space="0" w:color="auto"/>
      </w:divBdr>
    </w:div>
    <w:div w:id="1212232649">
      <w:bodyDiv w:val="1"/>
      <w:marLeft w:val="0"/>
      <w:marRight w:val="0"/>
      <w:marTop w:val="0"/>
      <w:marBottom w:val="0"/>
      <w:divBdr>
        <w:top w:val="none" w:sz="0" w:space="0" w:color="auto"/>
        <w:left w:val="none" w:sz="0" w:space="0" w:color="auto"/>
        <w:bottom w:val="none" w:sz="0" w:space="0" w:color="auto"/>
        <w:right w:val="none" w:sz="0" w:space="0" w:color="auto"/>
      </w:divBdr>
    </w:div>
    <w:div w:id="1212308483">
      <w:bodyDiv w:val="1"/>
      <w:marLeft w:val="0"/>
      <w:marRight w:val="0"/>
      <w:marTop w:val="0"/>
      <w:marBottom w:val="0"/>
      <w:divBdr>
        <w:top w:val="none" w:sz="0" w:space="0" w:color="auto"/>
        <w:left w:val="none" w:sz="0" w:space="0" w:color="auto"/>
        <w:bottom w:val="none" w:sz="0" w:space="0" w:color="auto"/>
        <w:right w:val="none" w:sz="0" w:space="0" w:color="auto"/>
      </w:divBdr>
    </w:div>
    <w:div w:id="1212576241">
      <w:bodyDiv w:val="1"/>
      <w:marLeft w:val="0"/>
      <w:marRight w:val="0"/>
      <w:marTop w:val="0"/>
      <w:marBottom w:val="0"/>
      <w:divBdr>
        <w:top w:val="none" w:sz="0" w:space="0" w:color="auto"/>
        <w:left w:val="none" w:sz="0" w:space="0" w:color="auto"/>
        <w:bottom w:val="none" w:sz="0" w:space="0" w:color="auto"/>
        <w:right w:val="none" w:sz="0" w:space="0" w:color="auto"/>
      </w:divBdr>
    </w:div>
    <w:div w:id="1214001102">
      <w:bodyDiv w:val="1"/>
      <w:marLeft w:val="0"/>
      <w:marRight w:val="0"/>
      <w:marTop w:val="0"/>
      <w:marBottom w:val="0"/>
      <w:divBdr>
        <w:top w:val="none" w:sz="0" w:space="0" w:color="auto"/>
        <w:left w:val="none" w:sz="0" w:space="0" w:color="auto"/>
        <w:bottom w:val="none" w:sz="0" w:space="0" w:color="auto"/>
        <w:right w:val="none" w:sz="0" w:space="0" w:color="auto"/>
      </w:divBdr>
    </w:div>
    <w:div w:id="1216356415">
      <w:bodyDiv w:val="1"/>
      <w:marLeft w:val="0"/>
      <w:marRight w:val="0"/>
      <w:marTop w:val="0"/>
      <w:marBottom w:val="0"/>
      <w:divBdr>
        <w:top w:val="none" w:sz="0" w:space="0" w:color="auto"/>
        <w:left w:val="none" w:sz="0" w:space="0" w:color="auto"/>
        <w:bottom w:val="none" w:sz="0" w:space="0" w:color="auto"/>
        <w:right w:val="none" w:sz="0" w:space="0" w:color="auto"/>
      </w:divBdr>
    </w:div>
    <w:div w:id="1216427207">
      <w:bodyDiv w:val="1"/>
      <w:marLeft w:val="0"/>
      <w:marRight w:val="0"/>
      <w:marTop w:val="0"/>
      <w:marBottom w:val="0"/>
      <w:divBdr>
        <w:top w:val="none" w:sz="0" w:space="0" w:color="auto"/>
        <w:left w:val="none" w:sz="0" w:space="0" w:color="auto"/>
        <w:bottom w:val="none" w:sz="0" w:space="0" w:color="auto"/>
        <w:right w:val="none" w:sz="0" w:space="0" w:color="auto"/>
      </w:divBdr>
    </w:div>
    <w:div w:id="1216965510">
      <w:bodyDiv w:val="1"/>
      <w:marLeft w:val="0"/>
      <w:marRight w:val="0"/>
      <w:marTop w:val="0"/>
      <w:marBottom w:val="0"/>
      <w:divBdr>
        <w:top w:val="none" w:sz="0" w:space="0" w:color="auto"/>
        <w:left w:val="none" w:sz="0" w:space="0" w:color="auto"/>
        <w:bottom w:val="none" w:sz="0" w:space="0" w:color="auto"/>
        <w:right w:val="none" w:sz="0" w:space="0" w:color="auto"/>
      </w:divBdr>
    </w:div>
    <w:div w:id="1217399774">
      <w:bodyDiv w:val="1"/>
      <w:marLeft w:val="0"/>
      <w:marRight w:val="0"/>
      <w:marTop w:val="0"/>
      <w:marBottom w:val="0"/>
      <w:divBdr>
        <w:top w:val="none" w:sz="0" w:space="0" w:color="auto"/>
        <w:left w:val="none" w:sz="0" w:space="0" w:color="auto"/>
        <w:bottom w:val="none" w:sz="0" w:space="0" w:color="auto"/>
        <w:right w:val="none" w:sz="0" w:space="0" w:color="auto"/>
      </w:divBdr>
    </w:div>
    <w:div w:id="1218129979">
      <w:bodyDiv w:val="1"/>
      <w:marLeft w:val="0"/>
      <w:marRight w:val="0"/>
      <w:marTop w:val="0"/>
      <w:marBottom w:val="0"/>
      <w:divBdr>
        <w:top w:val="none" w:sz="0" w:space="0" w:color="auto"/>
        <w:left w:val="none" w:sz="0" w:space="0" w:color="auto"/>
        <w:bottom w:val="none" w:sz="0" w:space="0" w:color="auto"/>
        <w:right w:val="none" w:sz="0" w:space="0" w:color="auto"/>
      </w:divBdr>
    </w:div>
    <w:div w:id="1218278058">
      <w:bodyDiv w:val="1"/>
      <w:marLeft w:val="0"/>
      <w:marRight w:val="0"/>
      <w:marTop w:val="0"/>
      <w:marBottom w:val="0"/>
      <w:divBdr>
        <w:top w:val="none" w:sz="0" w:space="0" w:color="auto"/>
        <w:left w:val="none" w:sz="0" w:space="0" w:color="auto"/>
        <w:bottom w:val="none" w:sz="0" w:space="0" w:color="auto"/>
        <w:right w:val="none" w:sz="0" w:space="0" w:color="auto"/>
      </w:divBdr>
    </w:div>
    <w:div w:id="1220364662">
      <w:bodyDiv w:val="1"/>
      <w:marLeft w:val="0"/>
      <w:marRight w:val="0"/>
      <w:marTop w:val="0"/>
      <w:marBottom w:val="0"/>
      <w:divBdr>
        <w:top w:val="none" w:sz="0" w:space="0" w:color="auto"/>
        <w:left w:val="none" w:sz="0" w:space="0" w:color="auto"/>
        <w:bottom w:val="none" w:sz="0" w:space="0" w:color="auto"/>
        <w:right w:val="none" w:sz="0" w:space="0" w:color="auto"/>
      </w:divBdr>
    </w:div>
    <w:div w:id="1220750974">
      <w:bodyDiv w:val="1"/>
      <w:marLeft w:val="0"/>
      <w:marRight w:val="0"/>
      <w:marTop w:val="0"/>
      <w:marBottom w:val="0"/>
      <w:divBdr>
        <w:top w:val="none" w:sz="0" w:space="0" w:color="auto"/>
        <w:left w:val="none" w:sz="0" w:space="0" w:color="auto"/>
        <w:bottom w:val="none" w:sz="0" w:space="0" w:color="auto"/>
        <w:right w:val="none" w:sz="0" w:space="0" w:color="auto"/>
      </w:divBdr>
    </w:div>
    <w:div w:id="1221207761">
      <w:bodyDiv w:val="1"/>
      <w:marLeft w:val="0"/>
      <w:marRight w:val="0"/>
      <w:marTop w:val="0"/>
      <w:marBottom w:val="0"/>
      <w:divBdr>
        <w:top w:val="none" w:sz="0" w:space="0" w:color="auto"/>
        <w:left w:val="none" w:sz="0" w:space="0" w:color="auto"/>
        <w:bottom w:val="none" w:sz="0" w:space="0" w:color="auto"/>
        <w:right w:val="none" w:sz="0" w:space="0" w:color="auto"/>
      </w:divBdr>
    </w:div>
    <w:div w:id="1221207781">
      <w:bodyDiv w:val="1"/>
      <w:marLeft w:val="0"/>
      <w:marRight w:val="0"/>
      <w:marTop w:val="0"/>
      <w:marBottom w:val="0"/>
      <w:divBdr>
        <w:top w:val="none" w:sz="0" w:space="0" w:color="auto"/>
        <w:left w:val="none" w:sz="0" w:space="0" w:color="auto"/>
        <w:bottom w:val="none" w:sz="0" w:space="0" w:color="auto"/>
        <w:right w:val="none" w:sz="0" w:space="0" w:color="auto"/>
      </w:divBdr>
    </w:div>
    <w:div w:id="1221478042">
      <w:bodyDiv w:val="1"/>
      <w:marLeft w:val="0"/>
      <w:marRight w:val="0"/>
      <w:marTop w:val="0"/>
      <w:marBottom w:val="0"/>
      <w:divBdr>
        <w:top w:val="none" w:sz="0" w:space="0" w:color="auto"/>
        <w:left w:val="none" w:sz="0" w:space="0" w:color="auto"/>
        <w:bottom w:val="none" w:sz="0" w:space="0" w:color="auto"/>
        <w:right w:val="none" w:sz="0" w:space="0" w:color="auto"/>
      </w:divBdr>
    </w:div>
    <w:div w:id="1225027317">
      <w:bodyDiv w:val="1"/>
      <w:marLeft w:val="0"/>
      <w:marRight w:val="0"/>
      <w:marTop w:val="0"/>
      <w:marBottom w:val="0"/>
      <w:divBdr>
        <w:top w:val="none" w:sz="0" w:space="0" w:color="auto"/>
        <w:left w:val="none" w:sz="0" w:space="0" w:color="auto"/>
        <w:bottom w:val="none" w:sz="0" w:space="0" w:color="auto"/>
        <w:right w:val="none" w:sz="0" w:space="0" w:color="auto"/>
      </w:divBdr>
    </w:div>
    <w:div w:id="1225144359">
      <w:bodyDiv w:val="1"/>
      <w:marLeft w:val="0"/>
      <w:marRight w:val="0"/>
      <w:marTop w:val="0"/>
      <w:marBottom w:val="0"/>
      <w:divBdr>
        <w:top w:val="none" w:sz="0" w:space="0" w:color="auto"/>
        <w:left w:val="none" w:sz="0" w:space="0" w:color="auto"/>
        <w:bottom w:val="none" w:sz="0" w:space="0" w:color="auto"/>
        <w:right w:val="none" w:sz="0" w:space="0" w:color="auto"/>
      </w:divBdr>
    </w:div>
    <w:div w:id="1225800098">
      <w:bodyDiv w:val="1"/>
      <w:marLeft w:val="0"/>
      <w:marRight w:val="0"/>
      <w:marTop w:val="0"/>
      <w:marBottom w:val="0"/>
      <w:divBdr>
        <w:top w:val="none" w:sz="0" w:space="0" w:color="auto"/>
        <w:left w:val="none" w:sz="0" w:space="0" w:color="auto"/>
        <w:bottom w:val="none" w:sz="0" w:space="0" w:color="auto"/>
        <w:right w:val="none" w:sz="0" w:space="0" w:color="auto"/>
      </w:divBdr>
    </w:div>
    <w:div w:id="1227304927">
      <w:bodyDiv w:val="1"/>
      <w:marLeft w:val="0"/>
      <w:marRight w:val="0"/>
      <w:marTop w:val="0"/>
      <w:marBottom w:val="0"/>
      <w:divBdr>
        <w:top w:val="none" w:sz="0" w:space="0" w:color="auto"/>
        <w:left w:val="none" w:sz="0" w:space="0" w:color="auto"/>
        <w:bottom w:val="none" w:sz="0" w:space="0" w:color="auto"/>
        <w:right w:val="none" w:sz="0" w:space="0" w:color="auto"/>
      </w:divBdr>
    </w:div>
    <w:div w:id="1227716346">
      <w:bodyDiv w:val="1"/>
      <w:marLeft w:val="0"/>
      <w:marRight w:val="0"/>
      <w:marTop w:val="0"/>
      <w:marBottom w:val="0"/>
      <w:divBdr>
        <w:top w:val="none" w:sz="0" w:space="0" w:color="auto"/>
        <w:left w:val="none" w:sz="0" w:space="0" w:color="auto"/>
        <w:bottom w:val="none" w:sz="0" w:space="0" w:color="auto"/>
        <w:right w:val="none" w:sz="0" w:space="0" w:color="auto"/>
      </w:divBdr>
    </w:div>
    <w:div w:id="1228682312">
      <w:bodyDiv w:val="1"/>
      <w:marLeft w:val="0"/>
      <w:marRight w:val="0"/>
      <w:marTop w:val="0"/>
      <w:marBottom w:val="0"/>
      <w:divBdr>
        <w:top w:val="none" w:sz="0" w:space="0" w:color="auto"/>
        <w:left w:val="none" w:sz="0" w:space="0" w:color="auto"/>
        <w:bottom w:val="none" w:sz="0" w:space="0" w:color="auto"/>
        <w:right w:val="none" w:sz="0" w:space="0" w:color="auto"/>
      </w:divBdr>
    </w:div>
    <w:div w:id="1229456131">
      <w:bodyDiv w:val="1"/>
      <w:marLeft w:val="0"/>
      <w:marRight w:val="0"/>
      <w:marTop w:val="0"/>
      <w:marBottom w:val="0"/>
      <w:divBdr>
        <w:top w:val="none" w:sz="0" w:space="0" w:color="auto"/>
        <w:left w:val="none" w:sz="0" w:space="0" w:color="auto"/>
        <w:bottom w:val="none" w:sz="0" w:space="0" w:color="auto"/>
        <w:right w:val="none" w:sz="0" w:space="0" w:color="auto"/>
      </w:divBdr>
    </w:div>
    <w:div w:id="1232274502">
      <w:bodyDiv w:val="1"/>
      <w:marLeft w:val="0"/>
      <w:marRight w:val="0"/>
      <w:marTop w:val="0"/>
      <w:marBottom w:val="0"/>
      <w:divBdr>
        <w:top w:val="none" w:sz="0" w:space="0" w:color="auto"/>
        <w:left w:val="none" w:sz="0" w:space="0" w:color="auto"/>
        <w:bottom w:val="none" w:sz="0" w:space="0" w:color="auto"/>
        <w:right w:val="none" w:sz="0" w:space="0" w:color="auto"/>
      </w:divBdr>
    </w:div>
    <w:div w:id="1233464472">
      <w:bodyDiv w:val="1"/>
      <w:marLeft w:val="0"/>
      <w:marRight w:val="0"/>
      <w:marTop w:val="0"/>
      <w:marBottom w:val="0"/>
      <w:divBdr>
        <w:top w:val="none" w:sz="0" w:space="0" w:color="auto"/>
        <w:left w:val="none" w:sz="0" w:space="0" w:color="auto"/>
        <w:bottom w:val="none" w:sz="0" w:space="0" w:color="auto"/>
        <w:right w:val="none" w:sz="0" w:space="0" w:color="auto"/>
      </w:divBdr>
    </w:div>
    <w:div w:id="1234849255">
      <w:bodyDiv w:val="1"/>
      <w:marLeft w:val="0"/>
      <w:marRight w:val="0"/>
      <w:marTop w:val="0"/>
      <w:marBottom w:val="0"/>
      <w:divBdr>
        <w:top w:val="none" w:sz="0" w:space="0" w:color="auto"/>
        <w:left w:val="none" w:sz="0" w:space="0" w:color="auto"/>
        <w:bottom w:val="none" w:sz="0" w:space="0" w:color="auto"/>
        <w:right w:val="none" w:sz="0" w:space="0" w:color="auto"/>
      </w:divBdr>
    </w:div>
    <w:div w:id="1236932691">
      <w:bodyDiv w:val="1"/>
      <w:marLeft w:val="0"/>
      <w:marRight w:val="0"/>
      <w:marTop w:val="0"/>
      <w:marBottom w:val="0"/>
      <w:divBdr>
        <w:top w:val="none" w:sz="0" w:space="0" w:color="auto"/>
        <w:left w:val="none" w:sz="0" w:space="0" w:color="auto"/>
        <w:bottom w:val="none" w:sz="0" w:space="0" w:color="auto"/>
        <w:right w:val="none" w:sz="0" w:space="0" w:color="auto"/>
      </w:divBdr>
    </w:div>
    <w:div w:id="1237665146">
      <w:bodyDiv w:val="1"/>
      <w:marLeft w:val="0"/>
      <w:marRight w:val="0"/>
      <w:marTop w:val="0"/>
      <w:marBottom w:val="0"/>
      <w:divBdr>
        <w:top w:val="none" w:sz="0" w:space="0" w:color="auto"/>
        <w:left w:val="none" w:sz="0" w:space="0" w:color="auto"/>
        <w:bottom w:val="none" w:sz="0" w:space="0" w:color="auto"/>
        <w:right w:val="none" w:sz="0" w:space="0" w:color="auto"/>
      </w:divBdr>
    </w:div>
    <w:div w:id="1238243310">
      <w:bodyDiv w:val="1"/>
      <w:marLeft w:val="0"/>
      <w:marRight w:val="0"/>
      <w:marTop w:val="0"/>
      <w:marBottom w:val="0"/>
      <w:divBdr>
        <w:top w:val="none" w:sz="0" w:space="0" w:color="auto"/>
        <w:left w:val="none" w:sz="0" w:space="0" w:color="auto"/>
        <w:bottom w:val="none" w:sz="0" w:space="0" w:color="auto"/>
        <w:right w:val="none" w:sz="0" w:space="0" w:color="auto"/>
      </w:divBdr>
    </w:div>
    <w:div w:id="1239368886">
      <w:bodyDiv w:val="1"/>
      <w:marLeft w:val="0"/>
      <w:marRight w:val="0"/>
      <w:marTop w:val="0"/>
      <w:marBottom w:val="0"/>
      <w:divBdr>
        <w:top w:val="none" w:sz="0" w:space="0" w:color="auto"/>
        <w:left w:val="none" w:sz="0" w:space="0" w:color="auto"/>
        <w:bottom w:val="none" w:sz="0" w:space="0" w:color="auto"/>
        <w:right w:val="none" w:sz="0" w:space="0" w:color="auto"/>
      </w:divBdr>
    </w:div>
    <w:div w:id="1239754709">
      <w:bodyDiv w:val="1"/>
      <w:marLeft w:val="0"/>
      <w:marRight w:val="0"/>
      <w:marTop w:val="0"/>
      <w:marBottom w:val="0"/>
      <w:divBdr>
        <w:top w:val="none" w:sz="0" w:space="0" w:color="auto"/>
        <w:left w:val="none" w:sz="0" w:space="0" w:color="auto"/>
        <w:bottom w:val="none" w:sz="0" w:space="0" w:color="auto"/>
        <w:right w:val="none" w:sz="0" w:space="0" w:color="auto"/>
      </w:divBdr>
    </w:div>
    <w:div w:id="1242133171">
      <w:bodyDiv w:val="1"/>
      <w:marLeft w:val="0"/>
      <w:marRight w:val="0"/>
      <w:marTop w:val="0"/>
      <w:marBottom w:val="0"/>
      <w:divBdr>
        <w:top w:val="none" w:sz="0" w:space="0" w:color="auto"/>
        <w:left w:val="none" w:sz="0" w:space="0" w:color="auto"/>
        <w:bottom w:val="none" w:sz="0" w:space="0" w:color="auto"/>
        <w:right w:val="none" w:sz="0" w:space="0" w:color="auto"/>
      </w:divBdr>
    </w:div>
    <w:div w:id="1242837260">
      <w:bodyDiv w:val="1"/>
      <w:marLeft w:val="0"/>
      <w:marRight w:val="0"/>
      <w:marTop w:val="0"/>
      <w:marBottom w:val="0"/>
      <w:divBdr>
        <w:top w:val="none" w:sz="0" w:space="0" w:color="auto"/>
        <w:left w:val="none" w:sz="0" w:space="0" w:color="auto"/>
        <w:bottom w:val="none" w:sz="0" w:space="0" w:color="auto"/>
        <w:right w:val="none" w:sz="0" w:space="0" w:color="auto"/>
      </w:divBdr>
    </w:div>
    <w:div w:id="1243566120">
      <w:bodyDiv w:val="1"/>
      <w:marLeft w:val="0"/>
      <w:marRight w:val="0"/>
      <w:marTop w:val="0"/>
      <w:marBottom w:val="0"/>
      <w:divBdr>
        <w:top w:val="none" w:sz="0" w:space="0" w:color="auto"/>
        <w:left w:val="none" w:sz="0" w:space="0" w:color="auto"/>
        <w:bottom w:val="none" w:sz="0" w:space="0" w:color="auto"/>
        <w:right w:val="none" w:sz="0" w:space="0" w:color="auto"/>
      </w:divBdr>
    </w:div>
    <w:div w:id="1244027963">
      <w:bodyDiv w:val="1"/>
      <w:marLeft w:val="0"/>
      <w:marRight w:val="0"/>
      <w:marTop w:val="0"/>
      <w:marBottom w:val="0"/>
      <w:divBdr>
        <w:top w:val="none" w:sz="0" w:space="0" w:color="auto"/>
        <w:left w:val="none" w:sz="0" w:space="0" w:color="auto"/>
        <w:bottom w:val="none" w:sz="0" w:space="0" w:color="auto"/>
        <w:right w:val="none" w:sz="0" w:space="0" w:color="auto"/>
      </w:divBdr>
    </w:div>
    <w:div w:id="1244146165">
      <w:bodyDiv w:val="1"/>
      <w:marLeft w:val="0"/>
      <w:marRight w:val="0"/>
      <w:marTop w:val="0"/>
      <w:marBottom w:val="0"/>
      <w:divBdr>
        <w:top w:val="none" w:sz="0" w:space="0" w:color="auto"/>
        <w:left w:val="none" w:sz="0" w:space="0" w:color="auto"/>
        <w:bottom w:val="none" w:sz="0" w:space="0" w:color="auto"/>
        <w:right w:val="none" w:sz="0" w:space="0" w:color="auto"/>
      </w:divBdr>
    </w:div>
    <w:div w:id="1244678110">
      <w:bodyDiv w:val="1"/>
      <w:marLeft w:val="0"/>
      <w:marRight w:val="0"/>
      <w:marTop w:val="0"/>
      <w:marBottom w:val="0"/>
      <w:divBdr>
        <w:top w:val="none" w:sz="0" w:space="0" w:color="auto"/>
        <w:left w:val="none" w:sz="0" w:space="0" w:color="auto"/>
        <w:bottom w:val="none" w:sz="0" w:space="0" w:color="auto"/>
        <w:right w:val="none" w:sz="0" w:space="0" w:color="auto"/>
      </w:divBdr>
    </w:div>
    <w:div w:id="1244949288">
      <w:bodyDiv w:val="1"/>
      <w:marLeft w:val="0"/>
      <w:marRight w:val="0"/>
      <w:marTop w:val="0"/>
      <w:marBottom w:val="0"/>
      <w:divBdr>
        <w:top w:val="none" w:sz="0" w:space="0" w:color="auto"/>
        <w:left w:val="none" w:sz="0" w:space="0" w:color="auto"/>
        <w:bottom w:val="none" w:sz="0" w:space="0" w:color="auto"/>
        <w:right w:val="none" w:sz="0" w:space="0" w:color="auto"/>
      </w:divBdr>
    </w:div>
    <w:div w:id="1247229609">
      <w:bodyDiv w:val="1"/>
      <w:marLeft w:val="0"/>
      <w:marRight w:val="0"/>
      <w:marTop w:val="0"/>
      <w:marBottom w:val="0"/>
      <w:divBdr>
        <w:top w:val="none" w:sz="0" w:space="0" w:color="auto"/>
        <w:left w:val="none" w:sz="0" w:space="0" w:color="auto"/>
        <w:bottom w:val="none" w:sz="0" w:space="0" w:color="auto"/>
        <w:right w:val="none" w:sz="0" w:space="0" w:color="auto"/>
      </w:divBdr>
    </w:div>
    <w:div w:id="1251697193">
      <w:bodyDiv w:val="1"/>
      <w:marLeft w:val="0"/>
      <w:marRight w:val="0"/>
      <w:marTop w:val="0"/>
      <w:marBottom w:val="0"/>
      <w:divBdr>
        <w:top w:val="none" w:sz="0" w:space="0" w:color="auto"/>
        <w:left w:val="none" w:sz="0" w:space="0" w:color="auto"/>
        <w:bottom w:val="none" w:sz="0" w:space="0" w:color="auto"/>
        <w:right w:val="none" w:sz="0" w:space="0" w:color="auto"/>
      </w:divBdr>
    </w:div>
    <w:div w:id="1252086174">
      <w:bodyDiv w:val="1"/>
      <w:marLeft w:val="0"/>
      <w:marRight w:val="0"/>
      <w:marTop w:val="0"/>
      <w:marBottom w:val="0"/>
      <w:divBdr>
        <w:top w:val="none" w:sz="0" w:space="0" w:color="auto"/>
        <w:left w:val="none" w:sz="0" w:space="0" w:color="auto"/>
        <w:bottom w:val="none" w:sz="0" w:space="0" w:color="auto"/>
        <w:right w:val="none" w:sz="0" w:space="0" w:color="auto"/>
      </w:divBdr>
    </w:div>
    <w:div w:id="1253661993">
      <w:bodyDiv w:val="1"/>
      <w:marLeft w:val="0"/>
      <w:marRight w:val="0"/>
      <w:marTop w:val="0"/>
      <w:marBottom w:val="0"/>
      <w:divBdr>
        <w:top w:val="none" w:sz="0" w:space="0" w:color="auto"/>
        <w:left w:val="none" w:sz="0" w:space="0" w:color="auto"/>
        <w:bottom w:val="none" w:sz="0" w:space="0" w:color="auto"/>
        <w:right w:val="none" w:sz="0" w:space="0" w:color="auto"/>
      </w:divBdr>
    </w:div>
    <w:div w:id="1255088261">
      <w:bodyDiv w:val="1"/>
      <w:marLeft w:val="0"/>
      <w:marRight w:val="0"/>
      <w:marTop w:val="0"/>
      <w:marBottom w:val="0"/>
      <w:divBdr>
        <w:top w:val="none" w:sz="0" w:space="0" w:color="auto"/>
        <w:left w:val="none" w:sz="0" w:space="0" w:color="auto"/>
        <w:bottom w:val="none" w:sz="0" w:space="0" w:color="auto"/>
        <w:right w:val="none" w:sz="0" w:space="0" w:color="auto"/>
      </w:divBdr>
    </w:div>
    <w:div w:id="1255240079">
      <w:bodyDiv w:val="1"/>
      <w:marLeft w:val="0"/>
      <w:marRight w:val="0"/>
      <w:marTop w:val="0"/>
      <w:marBottom w:val="0"/>
      <w:divBdr>
        <w:top w:val="none" w:sz="0" w:space="0" w:color="auto"/>
        <w:left w:val="none" w:sz="0" w:space="0" w:color="auto"/>
        <w:bottom w:val="none" w:sz="0" w:space="0" w:color="auto"/>
        <w:right w:val="none" w:sz="0" w:space="0" w:color="auto"/>
      </w:divBdr>
    </w:div>
    <w:div w:id="1256865924">
      <w:bodyDiv w:val="1"/>
      <w:marLeft w:val="0"/>
      <w:marRight w:val="0"/>
      <w:marTop w:val="0"/>
      <w:marBottom w:val="0"/>
      <w:divBdr>
        <w:top w:val="none" w:sz="0" w:space="0" w:color="auto"/>
        <w:left w:val="none" w:sz="0" w:space="0" w:color="auto"/>
        <w:bottom w:val="none" w:sz="0" w:space="0" w:color="auto"/>
        <w:right w:val="none" w:sz="0" w:space="0" w:color="auto"/>
      </w:divBdr>
    </w:div>
    <w:div w:id="1258559705">
      <w:bodyDiv w:val="1"/>
      <w:marLeft w:val="0"/>
      <w:marRight w:val="0"/>
      <w:marTop w:val="0"/>
      <w:marBottom w:val="0"/>
      <w:divBdr>
        <w:top w:val="none" w:sz="0" w:space="0" w:color="auto"/>
        <w:left w:val="none" w:sz="0" w:space="0" w:color="auto"/>
        <w:bottom w:val="none" w:sz="0" w:space="0" w:color="auto"/>
        <w:right w:val="none" w:sz="0" w:space="0" w:color="auto"/>
      </w:divBdr>
    </w:div>
    <w:div w:id="1261066049">
      <w:bodyDiv w:val="1"/>
      <w:marLeft w:val="0"/>
      <w:marRight w:val="0"/>
      <w:marTop w:val="0"/>
      <w:marBottom w:val="0"/>
      <w:divBdr>
        <w:top w:val="none" w:sz="0" w:space="0" w:color="auto"/>
        <w:left w:val="none" w:sz="0" w:space="0" w:color="auto"/>
        <w:bottom w:val="none" w:sz="0" w:space="0" w:color="auto"/>
        <w:right w:val="none" w:sz="0" w:space="0" w:color="auto"/>
      </w:divBdr>
    </w:div>
    <w:div w:id="1261598086">
      <w:bodyDiv w:val="1"/>
      <w:marLeft w:val="0"/>
      <w:marRight w:val="0"/>
      <w:marTop w:val="0"/>
      <w:marBottom w:val="0"/>
      <w:divBdr>
        <w:top w:val="none" w:sz="0" w:space="0" w:color="auto"/>
        <w:left w:val="none" w:sz="0" w:space="0" w:color="auto"/>
        <w:bottom w:val="none" w:sz="0" w:space="0" w:color="auto"/>
        <w:right w:val="none" w:sz="0" w:space="0" w:color="auto"/>
      </w:divBdr>
    </w:div>
    <w:div w:id="1261834585">
      <w:bodyDiv w:val="1"/>
      <w:marLeft w:val="0"/>
      <w:marRight w:val="0"/>
      <w:marTop w:val="0"/>
      <w:marBottom w:val="0"/>
      <w:divBdr>
        <w:top w:val="none" w:sz="0" w:space="0" w:color="auto"/>
        <w:left w:val="none" w:sz="0" w:space="0" w:color="auto"/>
        <w:bottom w:val="none" w:sz="0" w:space="0" w:color="auto"/>
        <w:right w:val="none" w:sz="0" w:space="0" w:color="auto"/>
      </w:divBdr>
    </w:div>
    <w:div w:id="1265072696">
      <w:bodyDiv w:val="1"/>
      <w:marLeft w:val="0"/>
      <w:marRight w:val="0"/>
      <w:marTop w:val="0"/>
      <w:marBottom w:val="0"/>
      <w:divBdr>
        <w:top w:val="none" w:sz="0" w:space="0" w:color="auto"/>
        <w:left w:val="none" w:sz="0" w:space="0" w:color="auto"/>
        <w:bottom w:val="none" w:sz="0" w:space="0" w:color="auto"/>
        <w:right w:val="none" w:sz="0" w:space="0" w:color="auto"/>
      </w:divBdr>
    </w:div>
    <w:div w:id="1265192644">
      <w:bodyDiv w:val="1"/>
      <w:marLeft w:val="0"/>
      <w:marRight w:val="0"/>
      <w:marTop w:val="0"/>
      <w:marBottom w:val="0"/>
      <w:divBdr>
        <w:top w:val="none" w:sz="0" w:space="0" w:color="auto"/>
        <w:left w:val="none" w:sz="0" w:space="0" w:color="auto"/>
        <w:bottom w:val="none" w:sz="0" w:space="0" w:color="auto"/>
        <w:right w:val="none" w:sz="0" w:space="0" w:color="auto"/>
      </w:divBdr>
    </w:div>
    <w:div w:id="1265848640">
      <w:bodyDiv w:val="1"/>
      <w:marLeft w:val="0"/>
      <w:marRight w:val="0"/>
      <w:marTop w:val="0"/>
      <w:marBottom w:val="0"/>
      <w:divBdr>
        <w:top w:val="none" w:sz="0" w:space="0" w:color="auto"/>
        <w:left w:val="none" w:sz="0" w:space="0" w:color="auto"/>
        <w:bottom w:val="none" w:sz="0" w:space="0" w:color="auto"/>
        <w:right w:val="none" w:sz="0" w:space="0" w:color="auto"/>
      </w:divBdr>
    </w:div>
    <w:div w:id="1266302931">
      <w:bodyDiv w:val="1"/>
      <w:marLeft w:val="0"/>
      <w:marRight w:val="0"/>
      <w:marTop w:val="0"/>
      <w:marBottom w:val="0"/>
      <w:divBdr>
        <w:top w:val="none" w:sz="0" w:space="0" w:color="auto"/>
        <w:left w:val="none" w:sz="0" w:space="0" w:color="auto"/>
        <w:bottom w:val="none" w:sz="0" w:space="0" w:color="auto"/>
        <w:right w:val="none" w:sz="0" w:space="0" w:color="auto"/>
      </w:divBdr>
    </w:div>
    <w:div w:id="1266382267">
      <w:bodyDiv w:val="1"/>
      <w:marLeft w:val="0"/>
      <w:marRight w:val="0"/>
      <w:marTop w:val="0"/>
      <w:marBottom w:val="0"/>
      <w:divBdr>
        <w:top w:val="none" w:sz="0" w:space="0" w:color="auto"/>
        <w:left w:val="none" w:sz="0" w:space="0" w:color="auto"/>
        <w:bottom w:val="none" w:sz="0" w:space="0" w:color="auto"/>
        <w:right w:val="none" w:sz="0" w:space="0" w:color="auto"/>
      </w:divBdr>
    </w:div>
    <w:div w:id="1266772859">
      <w:bodyDiv w:val="1"/>
      <w:marLeft w:val="0"/>
      <w:marRight w:val="0"/>
      <w:marTop w:val="0"/>
      <w:marBottom w:val="0"/>
      <w:divBdr>
        <w:top w:val="none" w:sz="0" w:space="0" w:color="auto"/>
        <w:left w:val="none" w:sz="0" w:space="0" w:color="auto"/>
        <w:bottom w:val="none" w:sz="0" w:space="0" w:color="auto"/>
        <w:right w:val="none" w:sz="0" w:space="0" w:color="auto"/>
      </w:divBdr>
    </w:div>
    <w:div w:id="1267277169">
      <w:bodyDiv w:val="1"/>
      <w:marLeft w:val="0"/>
      <w:marRight w:val="0"/>
      <w:marTop w:val="0"/>
      <w:marBottom w:val="0"/>
      <w:divBdr>
        <w:top w:val="none" w:sz="0" w:space="0" w:color="auto"/>
        <w:left w:val="none" w:sz="0" w:space="0" w:color="auto"/>
        <w:bottom w:val="none" w:sz="0" w:space="0" w:color="auto"/>
        <w:right w:val="none" w:sz="0" w:space="0" w:color="auto"/>
      </w:divBdr>
    </w:div>
    <w:div w:id="1269047846">
      <w:bodyDiv w:val="1"/>
      <w:marLeft w:val="0"/>
      <w:marRight w:val="0"/>
      <w:marTop w:val="0"/>
      <w:marBottom w:val="0"/>
      <w:divBdr>
        <w:top w:val="none" w:sz="0" w:space="0" w:color="auto"/>
        <w:left w:val="none" w:sz="0" w:space="0" w:color="auto"/>
        <w:bottom w:val="none" w:sz="0" w:space="0" w:color="auto"/>
        <w:right w:val="none" w:sz="0" w:space="0" w:color="auto"/>
      </w:divBdr>
    </w:div>
    <w:div w:id="1269115946">
      <w:bodyDiv w:val="1"/>
      <w:marLeft w:val="0"/>
      <w:marRight w:val="0"/>
      <w:marTop w:val="0"/>
      <w:marBottom w:val="0"/>
      <w:divBdr>
        <w:top w:val="none" w:sz="0" w:space="0" w:color="auto"/>
        <w:left w:val="none" w:sz="0" w:space="0" w:color="auto"/>
        <w:bottom w:val="none" w:sz="0" w:space="0" w:color="auto"/>
        <w:right w:val="none" w:sz="0" w:space="0" w:color="auto"/>
      </w:divBdr>
    </w:div>
    <w:div w:id="1271426135">
      <w:bodyDiv w:val="1"/>
      <w:marLeft w:val="0"/>
      <w:marRight w:val="0"/>
      <w:marTop w:val="0"/>
      <w:marBottom w:val="0"/>
      <w:divBdr>
        <w:top w:val="none" w:sz="0" w:space="0" w:color="auto"/>
        <w:left w:val="none" w:sz="0" w:space="0" w:color="auto"/>
        <w:bottom w:val="none" w:sz="0" w:space="0" w:color="auto"/>
        <w:right w:val="none" w:sz="0" w:space="0" w:color="auto"/>
      </w:divBdr>
    </w:div>
    <w:div w:id="1273786297">
      <w:bodyDiv w:val="1"/>
      <w:marLeft w:val="0"/>
      <w:marRight w:val="0"/>
      <w:marTop w:val="0"/>
      <w:marBottom w:val="0"/>
      <w:divBdr>
        <w:top w:val="none" w:sz="0" w:space="0" w:color="auto"/>
        <w:left w:val="none" w:sz="0" w:space="0" w:color="auto"/>
        <w:bottom w:val="none" w:sz="0" w:space="0" w:color="auto"/>
        <w:right w:val="none" w:sz="0" w:space="0" w:color="auto"/>
      </w:divBdr>
    </w:div>
    <w:div w:id="1274171842">
      <w:bodyDiv w:val="1"/>
      <w:marLeft w:val="0"/>
      <w:marRight w:val="0"/>
      <w:marTop w:val="0"/>
      <w:marBottom w:val="0"/>
      <w:divBdr>
        <w:top w:val="none" w:sz="0" w:space="0" w:color="auto"/>
        <w:left w:val="none" w:sz="0" w:space="0" w:color="auto"/>
        <w:bottom w:val="none" w:sz="0" w:space="0" w:color="auto"/>
        <w:right w:val="none" w:sz="0" w:space="0" w:color="auto"/>
      </w:divBdr>
    </w:div>
    <w:div w:id="1274748771">
      <w:bodyDiv w:val="1"/>
      <w:marLeft w:val="0"/>
      <w:marRight w:val="0"/>
      <w:marTop w:val="0"/>
      <w:marBottom w:val="0"/>
      <w:divBdr>
        <w:top w:val="none" w:sz="0" w:space="0" w:color="auto"/>
        <w:left w:val="none" w:sz="0" w:space="0" w:color="auto"/>
        <w:bottom w:val="none" w:sz="0" w:space="0" w:color="auto"/>
        <w:right w:val="none" w:sz="0" w:space="0" w:color="auto"/>
      </w:divBdr>
    </w:div>
    <w:div w:id="1275674666">
      <w:bodyDiv w:val="1"/>
      <w:marLeft w:val="0"/>
      <w:marRight w:val="0"/>
      <w:marTop w:val="0"/>
      <w:marBottom w:val="0"/>
      <w:divBdr>
        <w:top w:val="none" w:sz="0" w:space="0" w:color="auto"/>
        <w:left w:val="none" w:sz="0" w:space="0" w:color="auto"/>
        <w:bottom w:val="none" w:sz="0" w:space="0" w:color="auto"/>
        <w:right w:val="none" w:sz="0" w:space="0" w:color="auto"/>
      </w:divBdr>
    </w:div>
    <w:div w:id="1276673085">
      <w:bodyDiv w:val="1"/>
      <w:marLeft w:val="0"/>
      <w:marRight w:val="0"/>
      <w:marTop w:val="0"/>
      <w:marBottom w:val="0"/>
      <w:divBdr>
        <w:top w:val="none" w:sz="0" w:space="0" w:color="auto"/>
        <w:left w:val="none" w:sz="0" w:space="0" w:color="auto"/>
        <w:bottom w:val="none" w:sz="0" w:space="0" w:color="auto"/>
        <w:right w:val="none" w:sz="0" w:space="0" w:color="auto"/>
      </w:divBdr>
    </w:div>
    <w:div w:id="1278177259">
      <w:bodyDiv w:val="1"/>
      <w:marLeft w:val="0"/>
      <w:marRight w:val="0"/>
      <w:marTop w:val="0"/>
      <w:marBottom w:val="0"/>
      <w:divBdr>
        <w:top w:val="none" w:sz="0" w:space="0" w:color="auto"/>
        <w:left w:val="none" w:sz="0" w:space="0" w:color="auto"/>
        <w:bottom w:val="none" w:sz="0" w:space="0" w:color="auto"/>
        <w:right w:val="none" w:sz="0" w:space="0" w:color="auto"/>
      </w:divBdr>
    </w:div>
    <w:div w:id="1278561965">
      <w:bodyDiv w:val="1"/>
      <w:marLeft w:val="0"/>
      <w:marRight w:val="0"/>
      <w:marTop w:val="0"/>
      <w:marBottom w:val="0"/>
      <w:divBdr>
        <w:top w:val="none" w:sz="0" w:space="0" w:color="auto"/>
        <w:left w:val="none" w:sz="0" w:space="0" w:color="auto"/>
        <w:bottom w:val="none" w:sz="0" w:space="0" w:color="auto"/>
        <w:right w:val="none" w:sz="0" w:space="0" w:color="auto"/>
      </w:divBdr>
    </w:div>
    <w:div w:id="1279289225">
      <w:bodyDiv w:val="1"/>
      <w:marLeft w:val="0"/>
      <w:marRight w:val="0"/>
      <w:marTop w:val="0"/>
      <w:marBottom w:val="0"/>
      <w:divBdr>
        <w:top w:val="none" w:sz="0" w:space="0" w:color="auto"/>
        <w:left w:val="none" w:sz="0" w:space="0" w:color="auto"/>
        <w:bottom w:val="none" w:sz="0" w:space="0" w:color="auto"/>
        <w:right w:val="none" w:sz="0" w:space="0" w:color="auto"/>
      </w:divBdr>
    </w:div>
    <w:div w:id="1280599155">
      <w:bodyDiv w:val="1"/>
      <w:marLeft w:val="0"/>
      <w:marRight w:val="0"/>
      <w:marTop w:val="0"/>
      <w:marBottom w:val="0"/>
      <w:divBdr>
        <w:top w:val="none" w:sz="0" w:space="0" w:color="auto"/>
        <w:left w:val="none" w:sz="0" w:space="0" w:color="auto"/>
        <w:bottom w:val="none" w:sz="0" w:space="0" w:color="auto"/>
        <w:right w:val="none" w:sz="0" w:space="0" w:color="auto"/>
      </w:divBdr>
    </w:div>
    <w:div w:id="1280605312">
      <w:bodyDiv w:val="1"/>
      <w:marLeft w:val="0"/>
      <w:marRight w:val="0"/>
      <w:marTop w:val="0"/>
      <w:marBottom w:val="0"/>
      <w:divBdr>
        <w:top w:val="none" w:sz="0" w:space="0" w:color="auto"/>
        <w:left w:val="none" w:sz="0" w:space="0" w:color="auto"/>
        <w:bottom w:val="none" w:sz="0" w:space="0" w:color="auto"/>
        <w:right w:val="none" w:sz="0" w:space="0" w:color="auto"/>
      </w:divBdr>
    </w:div>
    <w:div w:id="1281375127">
      <w:bodyDiv w:val="1"/>
      <w:marLeft w:val="0"/>
      <w:marRight w:val="0"/>
      <w:marTop w:val="0"/>
      <w:marBottom w:val="0"/>
      <w:divBdr>
        <w:top w:val="none" w:sz="0" w:space="0" w:color="auto"/>
        <w:left w:val="none" w:sz="0" w:space="0" w:color="auto"/>
        <w:bottom w:val="none" w:sz="0" w:space="0" w:color="auto"/>
        <w:right w:val="none" w:sz="0" w:space="0" w:color="auto"/>
      </w:divBdr>
    </w:div>
    <w:div w:id="1282148952">
      <w:bodyDiv w:val="1"/>
      <w:marLeft w:val="0"/>
      <w:marRight w:val="0"/>
      <w:marTop w:val="0"/>
      <w:marBottom w:val="0"/>
      <w:divBdr>
        <w:top w:val="none" w:sz="0" w:space="0" w:color="auto"/>
        <w:left w:val="none" w:sz="0" w:space="0" w:color="auto"/>
        <w:bottom w:val="none" w:sz="0" w:space="0" w:color="auto"/>
        <w:right w:val="none" w:sz="0" w:space="0" w:color="auto"/>
      </w:divBdr>
    </w:div>
    <w:div w:id="1283197222">
      <w:bodyDiv w:val="1"/>
      <w:marLeft w:val="0"/>
      <w:marRight w:val="0"/>
      <w:marTop w:val="0"/>
      <w:marBottom w:val="0"/>
      <w:divBdr>
        <w:top w:val="none" w:sz="0" w:space="0" w:color="auto"/>
        <w:left w:val="none" w:sz="0" w:space="0" w:color="auto"/>
        <w:bottom w:val="none" w:sz="0" w:space="0" w:color="auto"/>
        <w:right w:val="none" w:sz="0" w:space="0" w:color="auto"/>
      </w:divBdr>
    </w:div>
    <w:div w:id="1283339849">
      <w:bodyDiv w:val="1"/>
      <w:marLeft w:val="0"/>
      <w:marRight w:val="0"/>
      <w:marTop w:val="0"/>
      <w:marBottom w:val="0"/>
      <w:divBdr>
        <w:top w:val="none" w:sz="0" w:space="0" w:color="auto"/>
        <w:left w:val="none" w:sz="0" w:space="0" w:color="auto"/>
        <w:bottom w:val="none" w:sz="0" w:space="0" w:color="auto"/>
        <w:right w:val="none" w:sz="0" w:space="0" w:color="auto"/>
      </w:divBdr>
    </w:div>
    <w:div w:id="1283996213">
      <w:bodyDiv w:val="1"/>
      <w:marLeft w:val="0"/>
      <w:marRight w:val="0"/>
      <w:marTop w:val="0"/>
      <w:marBottom w:val="0"/>
      <w:divBdr>
        <w:top w:val="none" w:sz="0" w:space="0" w:color="auto"/>
        <w:left w:val="none" w:sz="0" w:space="0" w:color="auto"/>
        <w:bottom w:val="none" w:sz="0" w:space="0" w:color="auto"/>
        <w:right w:val="none" w:sz="0" w:space="0" w:color="auto"/>
      </w:divBdr>
    </w:div>
    <w:div w:id="1284733257">
      <w:bodyDiv w:val="1"/>
      <w:marLeft w:val="0"/>
      <w:marRight w:val="0"/>
      <w:marTop w:val="0"/>
      <w:marBottom w:val="0"/>
      <w:divBdr>
        <w:top w:val="none" w:sz="0" w:space="0" w:color="auto"/>
        <w:left w:val="none" w:sz="0" w:space="0" w:color="auto"/>
        <w:bottom w:val="none" w:sz="0" w:space="0" w:color="auto"/>
        <w:right w:val="none" w:sz="0" w:space="0" w:color="auto"/>
      </w:divBdr>
    </w:div>
    <w:div w:id="1284768021">
      <w:bodyDiv w:val="1"/>
      <w:marLeft w:val="0"/>
      <w:marRight w:val="0"/>
      <w:marTop w:val="0"/>
      <w:marBottom w:val="0"/>
      <w:divBdr>
        <w:top w:val="none" w:sz="0" w:space="0" w:color="auto"/>
        <w:left w:val="none" w:sz="0" w:space="0" w:color="auto"/>
        <w:bottom w:val="none" w:sz="0" w:space="0" w:color="auto"/>
        <w:right w:val="none" w:sz="0" w:space="0" w:color="auto"/>
      </w:divBdr>
    </w:div>
    <w:div w:id="1285893167">
      <w:bodyDiv w:val="1"/>
      <w:marLeft w:val="0"/>
      <w:marRight w:val="0"/>
      <w:marTop w:val="0"/>
      <w:marBottom w:val="0"/>
      <w:divBdr>
        <w:top w:val="none" w:sz="0" w:space="0" w:color="auto"/>
        <w:left w:val="none" w:sz="0" w:space="0" w:color="auto"/>
        <w:bottom w:val="none" w:sz="0" w:space="0" w:color="auto"/>
        <w:right w:val="none" w:sz="0" w:space="0" w:color="auto"/>
      </w:divBdr>
    </w:div>
    <w:div w:id="1285966103">
      <w:bodyDiv w:val="1"/>
      <w:marLeft w:val="0"/>
      <w:marRight w:val="0"/>
      <w:marTop w:val="0"/>
      <w:marBottom w:val="0"/>
      <w:divBdr>
        <w:top w:val="none" w:sz="0" w:space="0" w:color="auto"/>
        <w:left w:val="none" w:sz="0" w:space="0" w:color="auto"/>
        <w:bottom w:val="none" w:sz="0" w:space="0" w:color="auto"/>
        <w:right w:val="none" w:sz="0" w:space="0" w:color="auto"/>
      </w:divBdr>
    </w:div>
    <w:div w:id="1286275177">
      <w:bodyDiv w:val="1"/>
      <w:marLeft w:val="0"/>
      <w:marRight w:val="0"/>
      <w:marTop w:val="0"/>
      <w:marBottom w:val="0"/>
      <w:divBdr>
        <w:top w:val="none" w:sz="0" w:space="0" w:color="auto"/>
        <w:left w:val="none" w:sz="0" w:space="0" w:color="auto"/>
        <w:bottom w:val="none" w:sz="0" w:space="0" w:color="auto"/>
        <w:right w:val="none" w:sz="0" w:space="0" w:color="auto"/>
      </w:divBdr>
    </w:div>
    <w:div w:id="1286427128">
      <w:bodyDiv w:val="1"/>
      <w:marLeft w:val="0"/>
      <w:marRight w:val="0"/>
      <w:marTop w:val="0"/>
      <w:marBottom w:val="0"/>
      <w:divBdr>
        <w:top w:val="none" w:sz="0" w:space="0" w:color="auto"/>
        <w:left w:val="none" w:sz="0" w:space="0" w:color="auto"/>
        <w:bottom w:val="none" w:sz="0" w:space="0" w:color="auto"/>
        <w:right w:val="none" w:sz="0" w:space="0" w:color="auto"/>
      </w:divBdr>
    </w:div>
    <w:div w:id="1286811826">
      <w:bodyDiv w:val="1"/>
      <w:marLeft w:val="0"/>
      <w:marRight w:val="0"/>
      <w:marTop w:val="0"/>
      <w:marBottom w:val="0"/>
      <w:divBdr>
        <w:top w:val="none" w:sz="0" w:space="0" w:color="auto"/>
        <w:left w:val="none" w:sz="0" w:space="0" w:color="auto"/>
        <w:bottom w:val="none" w:sz="0" w:space="0" w:color="auto"/>
        <w:right w:val="none" w:sz="0" w:space="0" w:color="auto"/>
      </w:divBdr>
    </w:div>
    <w:div w:id="1287078542">
      <w:bodyDiv w:val="1"/>
      <w:marLeft w:val="0"/>
      <w:marRight w:val="0"/>
      <w:marTop w:val="0"/>
      <w:marBottom w:val="0"/>
      <w:divBdr>
        <w:top w:val="none" w:sz="0" w:space="0" w:color="auto"/>
        <w:left w:val="none" w:sz="0" w:space="0" w:color="auto"/>
        <w:bottom w:val="none" w:sz="0" w:space="0" w:color="auto"/>
        <w:right w:val="none" w:sz="0" w:space="0" w:color="auto"/>
      </w:divBdr>
    </w:div>
    <w:div w:id="1290161621">
      <w:bodyDiv w:val="1"/>
      <w:marLeft w:val="0"/>
      <w:marRight w:val="0"/>
      <w:marTop w:val="0"/>
      <w:marBottom w:val="0"/>
      <w:divBdr>
        <w:top w:val="none" w:sz="0" w:space="0" w:color="auto"/>
        <w:left w:val="none" w:sz="0" w:space="0" w:color="auto"/>
        <w:bottom w:val="none" w:sz="0" w:space="0" w:color="auto"/>
        <w:right w:val="none" w:sz="0" w:space="0" w:color="auto"/>
      </w:divBdr>
    </w:div>
    <w:div w:id="1290622283">
      <w:bodyDiv w:val="1"/>
      <w:marLeft w:val="0"/>
      <w:marRight w:val="0"/>
      <w:marTop w:val="0"/>
      <w:marBottom w:val="0"/>
      <w:divBdr>
        <w:top w:val="none" w:sz="0" w:space="0" w:color="auto"/>
        <w:left w:val="none" w:sz="0" w:space="0" w:color="auto"/>
        <w:bottom w:val="none" w:sz="0" w:space="0" w:color="auto"/>
        <w:right w:val="none" w:sz="0" w:space="0" w:color="auto"/>
      </w:divBdr>
    </w:div>
    <w:div w:id="1291518626">
      <w:bodyDiv w:val="1"/>
      <w:marLeft w:val="0"/>
      <w:marRight w:val="0"/>
      <w:marTop w:val="0"/>
      <w:marBottom w:val="0"/>
      <w:divBdr>
        <w:top w:val="none" w:sz="0" w:space="0" w:color="auto"/>
        <w:left w:val="none" w:sz="0" w:space="0" w:color="auto"/>
        <w:bottom w:val="none" w:sz="0" w:space="0" w:color="auto"/>
        <w:right w:val="none" w:sz="0" w:space="0" w:color="auto"/>
      </w:divBdr>
    </w:div>
    <w:div w:id="1294286495">
      <w:bodyDiv w:val="1"/>
      <w:marLeft w:val="0"/>
      <w:marRight w:val="0"/>
      <w:marTop w:val="0"/>
      <w:marBottom w:val="0"/>
      <w:divBdr>
        <w:top w:val="none" w:sz="0" w:space="0" w:color="auto"/>
        <w:left w:val="none" w:sz="0" w:space="0" w:color="auto"/>
        <w:bottom w:val="none" w:sz="0" w:space="0" w:color="auto"/>
        <w:right w:val="none" w:sz="0" w:space="0" w:color="auto"/>
      </w:divBdr>
    </w:div>
    <w:div w:id="1295716991">
      <w:bodyDiv w:val="1"/>
      <w:marLeft w:val="0"/>
      <w:marRight w:val="0"/>
      <w:marTop w:val="0"/>
      <w:marBottom w:val="0"/>
      <w:divBdr>
        <w:top w:val="none" w:sz="0" w:space="0" w:color="auto"/>
        <w:left w:val="none" w:sz="0" w:space="0" w:color="auto"/>
        <w:bottom w:val="none" w:sz="0" w:space="0" w:color="auto"/>
        <w:right w:val="none" w:sz="0" w:space="0" w:color="auto"/>
      </w:divBdr>
    </w:div>
    <w:div w:id="1296256951">
      <w:bodyDiv w:val="1"/>
      <w:marLeft w:val="0"/>
      <w:marRight w:val="0"/>
      <w:marTop w:val="0"/>
      <w:marBottom w:val="0"/>
      <w:divBdr>
        <w:top w:val="none" w:sz="0" w:space="0" w:color="auto"/>
        <w:left w:val="none" w:sz="0" w:space="0" w:color="auto"/>
        <w:bottom w:val="none" w:sz="0" w:space="0" w:color="auto"/>
        <w:right w:val="none" w:sz="0" w:space="0" w:color="auto"/>
      </w:divBdr>
    </w:div>
    <w:div w:id="1296717694">
      <w:bodyDiv w:val="1"/>
      <w:marLeft w:val="0"/>
      <w:marRight w:val="0"/>
      <w:marTop w:val="0"/>
      <w:marBottom w:val="0"/>
      <w:divBdr>
        <w:top w:val="none" w:sz="0" w:space="0" w:color="auto"/>
        <w:left w:val="none" w:sz="0" w:space="0" w:color="auto"/>
        <w:bottom w:val="none" w:sz="0" w:space="0" w:color="auto"/>
        <w:right w:val="none" w:sz="0" w:space="0" w:color="auto"/>
      </w:divBdr>
    </w:div>
    <w:div w:id="1296982424">
      <w:bodyDiv w:val="1"/>
      <w:marLeft w:val="0"/>
      <w:marRight w:val="0"/>
      <w:marTop w:val="0"/>
      <w:marBottom w:val="0"/>
      <w:divBdr>
        <w:top w:val="none" w:sz="0" w:space="0" w:color="auto"/>
        <w:left w:val="none" w:sz="0" w:space="0" w:color="auto"/>
        <w:bottom w:val="none" w:sz="0" w:space="0" w:color="auto"/>
        <w:right w:val="none" w:sz="0" w:space="0" w:color="auto"/>
      </w:divBdr>
    </w:div>
    <w:div w:id="1297099160">
      <w:bodyDiv w:val="1"/>
      <w:marLeft w:val="0"/>
      <w:marRight w:val="0"/>
      <w:marTop w:val="0"/>
      <w:marBottom w:val="0"/>
      <w:divBdr>
        <w:top w:val="none" w:sz="0" w:space="0" w:color="auto"/>
        <w:left w:val="none" w:sz="0" w:space="0" w:color="auto"/>
        <w:bottom w:val="none" w:sz="0" w:space="0" w:color="auto"/>
        <w:right w:val="none" w:sz="0" w:space="0" w:color="auto"/>
      </w:divBdr>
    </w:div>
    <w:div w:id="1298222627">
      <w:bodyDiv w:val="1"/>
      <w:marLeft w:val="0"/>
      <w:marRight w:val="0"/>
      <w:marTop w:val="0"/>
      <w:marBottom w:val="0"/>
      <w:divBdr>
        <w:top w:val="none" w:sz="0" w:space="0" w:color="auto"/>
        <w:left w:val="none" w:sz="0" w:space="0" w:color="auto"/>
        <w:bottom w:val="none" w:sz="0" w:space="0" w:color="auto"/>
        <w:right w:val="none" w:sz="0" w:space="0" w:color="auto"/>
      </w:divBdr>
    </w:div>
    <w:div w:id="1298342147">
      <w:bodyDiv w:val="1"/>
      <w:marLeft w:val="0"/>
      <w:marRight w:val="0"/>
      <w:marTop w:val="0"/>
      <w:marBottom w:val="0"/>
      <w:divBdr>
        <w:top w:val="none" w:sz="0" w:space="0" w:color="auto"/>
        <w:left w:val="none" w:sz="0" w:space="0" w:color="auto"/>
        <w:bottom w:val="none" w:sz="0" w:space="0" w:color="auto"/>
        <w:right w:val="none" w:sz="0" w:space="0" w:color="auto"/>
      </w:divBdr>
    </w:div>
    <w:div w:id="1299071244">
      <w:bodyDiv w:val="1"/>
      <w:marLeft w:val="0"/>
      <w:marRight w:val="0"/>
      <w:marTop w:val="0"/>
      <w:marBottom w:val="0"/>
      <w:divBdr>
        <w:top w:val="none" w:sz="0" w:space="0" w:color="auto"/>
        <w:left w:val="none" w:sz="0" w:space="0" w:color="auto"/>
        <w:bottom w:val="none" w:sz="0" w:space="0" w:color="auto"/>
        <w:right w:val="none" w:sz="0" w:space="0" w:color="auto"/>
      </w:divBdr>
    </w:div>
    <w:div w:id="1302267489">
      <w:bodyDiv w:val="1"/>
      <w:marLeft w:val="0"/>
      <w:marRight w:val="0"/>
      <w:marTop w:val="0"/>
      <w:marBottom w:val="0"/>
      <w:divBdr>
        <w:top w:val="none" w:sz="0" w:space="0" w:color="auto"/>
        <w:left w:val="none" w:sz="0" w:space="0" w:color="auto"/>
        <w:bottom w:val="none" w:sz="0" w:space="0" w:color="auto"/>
        <w:right w:val="none" w:sz="0" w:space="0" w:color="auto"/>
      </w:divBdr>
    </w:div>
    <w:div w:id="1302542728">
      <w:bodyDiv w:val="1"/>
      <w:marLeft w:val="0"/>
      <w:marRight w:val="0"/>
      <w:marTop w:val="0"/>
      <w:marBottom w:val="0"/>
      <w:divBdr>
        <w:top w:val="none" w:sz="0" w:space="0" w:color="auto"/>
        <w:left w:val="none" w:sz="0" w:space="0" w:color="auto"/>
        <w:bottom w:val="none" w:sz="0" w:space="0" w:color="auto"/>
        <w:right w:val="none" w:sz="0" w:space="0" w:color="auto"/>
      </w:divBdr>
    </w:div>
    <w:div w:id="1302729506">
      <w:bodyDiv w:val="1"/>
      <w:marLeft w:val="0"/>
      <w:marRight w:val="0"/>
      <w:marTop w:val="0"/>
      <w:marBottom w:val="0"/>
      <w:divBdr>
        <w:top w:val="none" w:sz="0" w:space="0" w:color="auto"/>
        <w:left w:val="none" w:sz="0" w:space="0" w:color="auto"/>
        <w:bottom w:val="none" w:sz="0" w:space="0" w:color="auto"/>
        <w:right w:val="none" w:sz="0" w:space="0" w:color="auto"/>
      </w:divBdr>
    </w:div>
    <w:div w:id="1304114831">
      <w:bodyDiv w:val="1"/>
      <w:marLeft w:val="0"/>
      <w:marRight w:val="0"/>
      <w:marTop w:val="0"/>
      <w:marBottom w:val="0"/>
      <w:divBdr>
        <w:top w:val="none" w:sz="0" w:space="0" w:color="auto"/>
        <w:left w:val="none" w:sz="0" w:space="0" w:color="auto"/>
        <w:bottom w:val="none" w:sz="0" w:space="0" w:color="auto"/>
        <w:right w:val="none" w:sz="0" w:space="0" w:color="auto"/>
      </w:divBdr>
    </w:div>
    <w:div w:id="1305742711">
      <w:bodyDiv w:val="1"/>
      <w:marLeft w:val="0"/>
      <w:marRight w:val="0"/>
      <w:marTop w:val="0"/>
      <w:marBottom w:val="0"/>
      <w:divBdr>
        <w:top w:val="none" w:sz="0" w:space="0" w:color="auto"/>
        <w:left w:val="none" w:sz="0" w:space="0" w:color="auto"/>
        <w:bottom w:val="none" w:sz="0" w:space="0" w:color="auto"/>
        <w:right w:val="none" w:sz="0" w:space="0" w:color="auto"/>
      </w:divBdr>
    </w:div>
    <w:div w:id="1306198251">
      <w:bodyDiv w:val="1"/>
      <w:marLeft w:val="0"/>
      <w:marRight w:val="0"/>
      <w:marTop w:val="0"/>
      <w:marBottom w:val="0"/>
      <w:divBdr>
        <w:top w:val="none" w:sz="0" w:space="0" w:color="auto"/>
        <w:left w:val="none" w:sz="0" w:space="0" w:color="auto"/>
        <w:bottom w:val="none" w:sz="0" w:space="0" w:color="auto"/>
        <w:right w:val="none" w:sz="0" w:space="0" w:color="auto"/>
      </w:divBdr>
    </w:div>
    <w:div w:id="1307130412">
      <w:bodyDiv w:val="1"/>
      <w:marLeft w:val="0"/>
      <w:marRight w:val="0"/>
      <w:marTop w:val="0"/>
      <w:marBottom w:val="0"/>
      <w:divBdr>
        <w:top w:val="none" w:sz="0" w:space="0" w:color="auto"/>
        <w:left w:val="none" w:sz="0" w:space="0" w:color="auto"/>
        <w:bottom w:val="none" w:sz="0" w:space="0" w:color="auto"/>
        <w:right w:val="none" w:sz="0" w:space="0" w:color="auto"/>
      </w:divBdr>
    </w:div>
    <w:div w:id="1311906075">
      <w:bodyDiv w:val="1"/>
      <w:marLeft w:val="0"/>
      <w:marRight w:val="0"/>
      <w:marTop w:val="0"/>
      <w:marBottom w:val="0"/>
      <w:divBdr>
        <w:top w:val="none" w:sz="0" w:space="0" w:color="auto"/>
        <w:left w:val="none" w:sz="0" w:space="0" w:color="auto"/>
        <w:bottom w:val="none" w:sz="0" w:space="0" w:color="auto"/>
        <w:right w:val="none" w:sz="0" w:space="0" w:color="auto"/>
      </w:divBdr>
    </w:div>
    <w:div w:id="1312716625">
      <w:bodyDiv w:val="1"/>
      <w:marLeft w:val="0"/>
      <w:marRight w:val="0"/>
      <w:marTop w:val="0"/>
      <w:marBottom w:val="0"/>
      <w:divBdr>
        <w:top w:val="none" w:sz="0" w:space="0" w:color="auto"/>
        <w:left w:val="none" w:sz="0" w:space="0" w:color="auto"/>
        <w:bottom w:val="none" w:sz="0" w:space="0" w:color="auto"/>
        <w:right w:val="none" w:sz="0" w:space="0" w:color="auto"/>
      </w:divBdr>
    </w:div>
    <w:div w:id="1313555940">
      <w:bodyDiv w:val="1"/>
      <w:marLeft w:val="0"/>
      <w:marRight w:val="0"/>
      <w:marTop w:val="0"/>
      <w:marBottom w:val="0"/>
      <w:divBdr>
        <w:top w:val="none" w:sz="0" w:space="0" w:color="auto"/>
        <w:left w:val="none" w:sz="0" w:space="0" w:color="auto"/>
        <w:bottom w:val="none" w:sz="0" w:space="0" w:color="auto"/>
        <w:right w:val="none" w:sz="0" w:space="0" w:color="auto"/>
      </w:divBdr>
    </w:div>
    <w:div w:id="1313676211">
      <w:bodyDiv w:val="1"/>
      <w:marLeft w:val="0"/>
      <w:marRight w:val="0"/>
      <w:marTop w:val="0"/>
      <w:marBottom w:val="0"/>
      <w:divBdr>
        <w:top w:val="none" w:sz="0" w:space="0" w:color="auto"/>
        <w:left w:val="none" w:sz="0" w:space="0" w:color="auto"/>
        <w:bottom w:val="none" w:sz="0" w:space="0" w:color="auto"/>
        <w:right w:val="none" w:sz="0" w:space="0" w:color="auto"/>
      </w:divBdr>
    </w:div>
    <w:div w:id="1313872697">
      <w:bodyDiv w:val="1"/>
      <w:marLeft w:val="0"/>
      <w:marRight w:val="0"/>
      <w:marTop w:val="0"/>
      <w:marBottom w:val="0"/>
      <w:divBdr>
        <w:top w:val="none" w:sz="0" w:space="0" w:color="auto"/>
        <w:left w:val="none" w:sz="0" w:space="0" w:color="auto"/>
        <w:bottom w:val="none" w:sz="0" w:space="0" w:color="auto"/>
        <w:right w:val="none" w:sz="0" w:space="0" w:color="auto"/>
      </w:divBdr>
    </w:div>
    <w:div w:id="1314749147">
      <w:bodyDiv w:val="1"/>
      <w:marLeft w:val="0"/>
      <w:marRight w:val="0"/>
      <w:marTop w:val="0"/>
      <w:marBottom w:val="0"/>
      <w:divBdr>
        <w:top w:val="none" w:sz="0" w:space="0" w:color="auto"/>
        <w:left w:val="none" w:sz="0" w:space="0" w:color="auto"/>
        <w:bottom w:val="none" w:sz="0" w:space="0" w:color="auto"/>
        <w:right w:val="none" w:sz="0" w:space="0" w:color="auto"/>
      </w:divBdr>
    </w:div>
    <w:div w:id="1314797778">
      <w:bodyDiv w:val="1"/>
      <w:marLeft w:val="0"/>
      <w:marRight w:val="0"/>
      <w:marTop w:val="0"/>
      <w:marBottom w:val="0"/>
      <w:divBdr>
        <w:top w:val="none" w:sz="0" w:space="0" w:color="auto"/>
        <w:left w:val="none" w:sz="0" w:space="0" w:color="auto"/>
        <w:bottom w:val="none" w:sz="0" w:space="0" w:color="auto"/>
        <w:right w:val="none" w:sz="0" w:space="0" w:color="auto"/>
      </w:divBdr>
    </w:div>
    <w:div w:id="1315334844">
      <w:bodyDiv w:val="1"/>
      <w:marLeft w:val="0"/>
      <w:marRight w:val="0"/>
      <w:marTop w:val="0"/>
      <w:marBottom w:val="0"/>
      <w:divBdr>
        <w:top w:val="none" w:sz="0" w:space="0" w:color="auto"/>
        <w:left w:val="none" w:sz="0" w:space="0" w:color="auto"/>
        <w:bottom w:val="none" w:sz="0" w:space="0" w:color="auto"/>
        <w:right w:val="none" w:sz="0" w:space="0" w:color="auto"/>
      </w:divBdr>
    </w:div>
    <w:div w:id="1316571744">
      <w:bodyDiv w:val="1"/>
      <w:marLeft w:val="0"/>
      <w:marRight w:val="0"/>
      <w:marTop w:val="0"/>
      <w:marBottom w:val="0"/>
      <w:divBdr>
        <w:top w:val="none" w:sz="0" w:space="0" w:color="auto"/>
        <w:left w:val="none" w:sz="0" w:space="0" w:color="auto"/>
        <w:bottom w:val="none" w:sz="0" w:space="0" w:color="auto"/>
        <w:right w:val="none" w:sz="0" w:space="0" w:color="auto"/>
      </w:divBdr>
    </w:div>
    <w:div w:id="1316643207">
      <w:bodyDiv w:val="1"/>
      <w:marLeft w:val="0"/>
      <w:marRight w:val="0"/>
      <w:marTop w:val="0"/>
      <w:marBottom w:val="0"/>
      <w:divBdr>
        <w:top w:val="none" w:sz="0" w:space="0" w:color="auto"/>
        <w:left w:val="none" w:sz="0" w:space="0" w:color="auto"/>
        <w:bottom w:val="none" w:sz="0" w:space="0" w:color="auto"/>
        <w:right w:val="none" w:sz="0" w:space="0" w:color="auto"/>
      </w:divBdr>
    </w:div>
    <w:div w:id="1316689905">
      <w:bodyDiv w:val="1"/>
      <w:marLeft w:val="0"/>
      <w:marRight w:val="0"/>
      <w:marTop w:val="0"/>
      <w:marBottom w:val="0"/>
      <w:divBdr>
        <w:top w:val="none" w:sz="0" w:space="0" w:color="auto"/>
        <w:left w:val="none" w:sz="0" w:space="0" w:color="auto"/>
        <w:bottom w:val="none" w:sz="0" w:space="0" w:color="auto"/>
        <w:right w:val="none" w:sz="0" w:space="0" w:color="auto"/>
      </w:divBdr>
    </w:div>
    <w:div w:id="1317564010">
      <w:bodyDiv w:val="1"/>
      <w:marLeft w:val="0"/>
      <w:marRight w:val="0"/>
      <w:marTop w:val="0"/>
      <w:marBottom w:val="0"/>
      <w:divBdr>
        <w:top w:val="none" w:sz="0" w:space="0" w:color="auto"/>
        <w:left w:val="none" w:sz="0" w:space="0" w:color="auto"/>
        <w:bottom w:val="none" w:sz="0" w:space="0" w:color="auto"/>
        <w:right w:val="none" w:sz="0" w:space="0" w:color="auto"/>
      </w:divBdr>
    </w:div>
    <w:div w:id="1317612484">
      <w:bodyDiv w:val="1"/>
      <w:marLeft w:val="0"/>
      <w:marRight w:val="0"/>
      <w:marTop w:val="0"/>
      <w:marBottom w:val="0"/>
      <w:divBdr>
        <w:top w:val="none" w:sz="0" w:space="0" w:color="auto"/>
        <w:left w:val="none" w:sz="0" w:space="0" w:color="auto"/>
        <w:bottom w:val="none" w:sz="0" w:space="0" w:color="auto"/>
        <w:right w:val="none" w:sz="0" w:space="0" w:color="auto"/>
      </w:divBdr>
    </w:div>
    <w:div w:id="1318147055">
      <w:bodyDiv w:val="1"/>
      <w:marLeft w:val="0"/>
      <w:marRight w:val="0"/>
      <w:marTop w:val="0"/>
      <w:marBottom w:val="0"/>
      <w:divBdr>
        <w:top w:val="none" w:sz="0" w:space="0" w:color="auto"/>
        <w:left w:val="none" w:sz="0" w:space="0" w:color="auto"/>
        <w:bottom w:val="none" w:sz="0" w:space="0" w:color="auto"/>
        <w:right w:val="none" w:sz="0" w:space="0" w:color="auto"/>
      </w:divBdr>
    </w:div>
    <w:div w:id="1318345681">
      <w:bodyDiv w:val="1"/>
      <w:marLeft w:val="0"/>
      <w:marRight w:val="0"/>
      <w:marTop w:val="0"/>
      <w:marBottom w:val="0"/>
      <w:divBdr>
        <w:top w:val="none" w:sz="0" w:space="0" w:color="auto"/>
        <w:left w:val="none" w:sz="0" w:space="0" w:color="auto"/>
        <w:bottom w:val="none" w:sz="0" w:space="0" w:color="auto"/>
        <w:right w:val="none" w:sz="0" w:space="0" w:color="auto"/>
      </w:divBdr>
    </w:div>
    <w:div w:id="1321076718">
      <w:bodyDiv w:val="1"/>
      <w:marLeft w:val="0"/>
      <w:marRight w:val="0"/>
      <w:marTop w:val="0"/>
      <w:marBottom w:val="0"/>
      <w:divBdr>
        <w:top w:val="none" w:sz="0" w:space="0" w:color="auto"/>
        <w:left w:val="none" w:sz="0" w:space="0" w:color="auto"/>
        <w:bottom w:val="none" w:sz="0" w:space="0" w:color="auto"/>
        <w:right w:val="none" w:sz="0" w:space="0" w:color="auto"/>
      </w:divBdr>
    </w:div>
    <w:div w:id="1321230692">
      <w:bodyDiv w:val="1"/>
      <w:marLeft w:val="0"/>
      <w:marRight w:val="0"/>
      <w:marTop w:val="0"/>
      <w:marBottom w:val="0"/>
      <w:divBdr>
        <w:top w:val="none" w:sz="0" w:space="0" w:color="auto"/>
        <w:left w:val="none" w:sz="0" w:space="0" w:color="auto"/>
        <w:bottom w:val="none" w:sz="0" w:space="0" w:color="auto"/>
        <w:right w:val="none" w:sz="0" w:space="0" w:color="auto"/>
      </w:divBdr>
    </w:div>
    <w:div w:id="1321620561">
      <w:bodyDiv w:val="1"/>
      <w:marLeft w:val="0"/>
      <w:marRight w:val="0"/>
      <w:marTop w:val="0"/>
      <w:marBottom w:val="0"/>
      <w:divBdr>
        <w:top w:val="none" w:sz="0" w:space="0" w:color="auto"/>
        <w:left w:val="none" w:sz="0" w:space="0" w:color="auto"/>
        <w:bottom w:val="none" w:sz="0" w:space="0" w:color="auto"/>
        <w:right w:val="none" w:sz="0" w:space="0" w:color="auto"/>
      </w:divBdr>
    </w:div>
    <w:div w:id="1321688842">
      <w:bodyDiv w:val="1"/>
      <w:marLeft w:val="0"/>
      <w:marRight w:val="0"/>
      <w:marTop w:val="0"/>
      <w:marBottom w:val="0"/>
      <w:divBdr>
        <w:top w:val="none" w:sz="0" w:space="0" w:color="auto"/>
        <w:left w:val="none" w:sz="0" w:space="0" w:color="auto"/>
        <w:bottom w:val="none" w:sz="0" w:space="0" w:color="auto"/>
        <w:right w:val="none" w:sz="0" w:space="0" w:color="auto"/>
      </w:divBdr>
    </w:div>
    <w:div w:id="1321693371">
      <w:bodyDiv w:val="1"/>
      <w:marLeft w:val="0"/>
      <w:marRight w:val="0"/>
      <w:marTop w:val="0"/>
      <w:marBottom w:val="0"/>
      <w:divBdr>
        <w:top w:val="none" w:sz="0" w:space="0" w:color="auto"/>
        <w:left w:val="none" w:sz="0" w:space="0" w:color="auto"/>
        <w:bottom w:val="none" w:sz="0" w:space="0" w:color="auto"/>
        <w:right w:val="none" w:sz="0" w:space="0" w:color="auto"/>
      </w:divBdr>
    </w:div>
    <w:div w:id="1322003501">
      <w:bodyDiv w:val="1"/>
      <w:marLeft w:val="0"/>
      <w:marRight w:val="0"/>
      <w:marTop w:val="0"/>
      <w:marBottom w:val="0"/>
      <w:divBdr>
        <w:top w:val="none" w:sz="0" w:space="0" w:color="auto"/>
        <w:left w:val="none" w:sz="0" w:space="0" w:color="auto"/>
        <w:bottom w:val="none" w:sz="0" w:space="0" w:color="auto"/>
        <w:right w:val="none" w:sz="0" w:space="0" w:color="auto"/>
      </w:divBdr>
    </w:div>
    <w:div w:id="1322149931">
      <w:bodyDiv w:val="1"/>
      <w:marLeft w:val="0"/>
      <w:marRight w:val="0"/>
      <w:marTop w:val="0"/>
      <w:marBottom w:val="0"/>
      <w:divBdr>
        <w:top w:val="none" w:sz="0" w:space="0" w:color="auto"/>
        <w:left w:val="none" w:sz="0" w:space="0" w:color="auto"/>
        <w:bottom w:val="none" w:sz="0" w:space="0" w:color="auto"/>
        <w:right w:val="none" w:sz="0" w:space="0" w:color="auto"/>
      </w:divBdr>
    </w:div>
    <w:div w:id="1322586450">
      <w:bodyDiv w:val="1"/>
      <w:marLeft w:val="0"/>
      <w:marRight w:val="0"/>
      <w:marTop w:val="0"/>
      <w:marBottom w:val="0"/>
      <w:divBdr>
        <w:top w:val="none" w:sz="0" w:space="0" w:color="auto"/>
        <w:left w:val="none" w:sz="0" w:space="0" w:color="auto"/>
        <w:bottom w:val="none" w:sz="0" w:space="0" w:color="auto"/>
        <w:right w:val="none" w:sz="0" w:space="0" w:color="auto"/>
      </w:divBdr>
    </w:div>
    <w:div w:id="1322730966">
      <w:bodyDiv w:val="1"/>
      <w:marLeft w:val="0"/>
      <w:marRight w:val="0"/>
      <w:marTop w:val="0"/>
      <w:marBottom w:val="0"/>
      <w:divBdr>
        <w:top w:val="none" w:sz="0" w:space="0" w:color="auto"/>
        <w:left w:val="none" w:sz="0" w:space="0" w:color="auto"/>
        <w:bottom w:val="none" w:sz="0" w:space="0" w:color="auto"/>
        <w:right w:val="none" w:sz="0" w:space="0" w:color="auto"/>
      </w:divBdr>
    </w:div>
    <w:div w:id="1323895496">
      <w:bodyDiv w:val="1"/>
      <w:marLeft w:val="0"/>
      <w:marRight w:val="0"/>
      <w:marTop w:val="0"/>
      <w:marBottom w:val="0"/>
      <w:divBdr>
        <w:top w:val="none" w:sz="0" w:space="0" w:color="auto"/>
        <w:left w:val="none" w:sz="0" w:space="0" w:color="auto"/>
        <w:bottom w:val="none" w:sz="0" w:space="0" w:color="auto"/>
        <w:right w:val="none" w:sz="0" w:space="0" w:color="auto"/>
      </w:divBdr>
    </w:div>
    <w:div w:id="1324121951">
      <w:bodyDiv w:val="1"/>
      <w:marLeft w:val="0"/>
      <w:marRight w:val="0"/>
      <w:marTop w:val="0"/>
      <w:marBottom w:val="0"/>
      <w:divBdr>
        <w:top w:val="none" w:sz="0" w:space="0" w:color="auto"/>
        <w:left w:val="none" w:sz="0" w:space="0" w:color="auto"/>
        <w:bottom w:val="none" w:sz="0" w:space="0" w:color="auto"/>
        <w:right w:val="none" w:sz="0" w:space="0" w:color="auto"/>
      </w:divBdr>
    </w:div>
    <w:div w:id="1324358265">
      <w:bodyDiv w:val="1"/>
      <w:marLeft w:val="0"/>
      <w:marRight w:val="0"/>
      <w:marTop w:val="0"/>
      <w:marBottom w:val="0"/>
      <w:divBdr>
        <w:top w:val="none" w:sz="0" w:space="0" w:color="auto"/>
        <w:left w:val="none" w:sz="0" w:space="0" w:color="auto"/>
        <w:bottom w:val="none" w:sz="0" w:space="0" w:color="auto"/>
        <w:right w:val="none" w:sz="0" w:space="0" w:color="auto"/>
      </w:divBdr>
    </w:div>
    <w:div w:id="1325471965">
      <w:bodyDiv w:val="1"/>
      <w:marLeft w:val="0"/>
      <w:marRight w:val="0"/>
      <w:marTop w:val="0"/>
      <w:marBottom w:val="0"/>
      <w:divBdr>
        <w:top w:val="none" w:sz="0" w:space="0" w:color="auto"/>
        <w:left w:val="none" w:sz="0" w:space="0" w:color="auto"/>
        <w:bottom w:val="none" w:sz="0" w:space="0" w:color="auto"/>
        <w:right w:val="none" w:sz="0" w:space="0" w:color="auto"/>
      </w:divBdr>
    </w:div>
    <w:div w:id="1326055768">
      <w:bodyDiv w:val="1"/>
      <w:marLeft w:val="0"/>
      <w:marRight w:val="0"/>
      <w:marTop w:val="0"/>
      <w:marBottom w:val="0"/>
      <w:divBdr>
        <w:top w:val="none" w:sz="0" w:space="0" w:color="auto"/>
        <w:left w:val="none" w:sz="0" w:space="0" w:color="auto"/>
        <w:bottom w:val="none" w:sz="0" w:space="0" w:color="auto"/>
        <w:right w:val="none" w:sz="0" w:space="0" w:color="auto"/>
      </w:divBdr>
    </w:div>
    <w:div w:id="1329015024">
      <w:bodyDiv w:val="1"/>
      <w:marLeft w:val="0"/>
      <w:marRight w:val="0"/>
      <w:marTop w:val="0"/>
      <w:marBottom w:val="0"/>
      <w:divBdr>
        <w:top w:val="none" w:sz="0" w:space="0" w:color="auto"/>
        <w:left w:val="none" w:sz="0" w:space="0" w:color="auto"/>
        <w:bottom w:val="none" w:sz="0" w:space="0" w:color="auto"/>
        <w:right w:val="none" w:sz="0" w:space="0" w:color="auto"/>
      </w:divBdr>
    </w:div>
    <w:div w:id="1330014580">
      <w:bodyDiv w:val="1"/>
      <w:marLeft w:val="0"/>
      <w:marRight w:val="0"/>
      <w:marTop w:val="0"/>
      <w:marBottom w:val="0"/>
      <w:divBdr>
        <w:top w:val="none" w:sz="0" w:space="0" w:color="auto"/>
        <w:left w:val="none" w:sz="0" w:space="0" w:color="auto"/>
        <w:bottom w:val="none" w:sz="0" w:space="0" w:color="auto"/>
        <w:right w:val="none" w:sz="0" w:space="0" w:color="auto"/>
      </w:divBdr>
    </w:div>
    <w:div w:id="1330668498">
      <w:bodyDiv w:val="1"/>
      <w:marLeft w:val="0"/>
      <w:marRight w:val="0"/>
      <w:marTop w:val="0"/>
      <w:marBottom w:val="0"/>
      <w:divBdr>
        <w:top w:val="none" w:sz="0" w:space="0" w:color="auto"/>
        <w:left w:val="none" w:sz="0" w:space="0" w:color="auto"/>
        <w:bottom w:val="none" w:sz="0" w:space="0" w:color="auto"/>
        <w:right w:val="none" w:sz="0" w:space="0" w:color="auto"/>
      </w:divBdr>
    </w:div>
    <w:div w:id="1330791505">
      <w:bodyDiv w:val="1"/>
      <w:marLeft w:val="0"/>
      <w:marRight w:val="0"/>
      <w:marTop w:val="0"/>
      <w:marBottom w:val="0"/>
      <w:divBdr>
        <w:top w:val="none" w:sz="0" w:space="0" w:color="auto"/>
        <w:left w:val="none" w:sz="0" w:space="0" w:color="auto"/>
        <w:bottom w:val="none" w:sz="0" w:space="0" w:color="auto"/>
        <w:right w:val="none" w:sz="0" w:space="0" w:color="auto"/>
      </w:divBdr>
    </w:div>
    <w:div w:id="1330983621">
      <w:bodyDiv w:val="1"/>
      <w:marLeft w:val="0"/>
      <w:marRight w:val="0"/>
      <w:marTop w:val="0"/>
      <w:marBottom w:val="0"/>
      <w:divBdr>
        <w:top w:val="none" w:sz="0" w:space="0" w:color="auto"/>
        <w:left w:val="none" w:sz="0" w:space="0" w:color="auto"/>
        <w:bottom w:val="none" w:sz="0" w:space="0" w:color="auto"/>
        <w:right w:val="none" w:sz="0" w:space="0" w:color="auto"/>
      </w:divBdr>
    </w:div>
    <w:div w:id="1332025726">
      <w:bodyDiv w:val="1"/>
      <w:marLeft w:val="0"/>
      <w:marRight w:val="0"/>
      <w:marTop w:val="0"/>
      <w:marBottom w:val="0"/>
      <w:divBdr>
        <w:top w:val="none" w:sz="0" w:space="0" w:color="auto"/>
        <w:left w:val="none" w:sz="0" w:space="0" w:color="auto"/>
        <w:bottom w:val="none" w:sz="0" w:space="0" w:color="auto"/>
        <w:right w:val="none" w:sz="0" w:space="0" w:color="auto"/>
      </w:divBdr>
    </w:div>
    <w:div w:id="1332296462">
      <w:bodyDiv w:val="1"/>
      <w:marLeft w:val="0"/>
      <w:marRight w:val="0"/>
      <w:marTop w:val="0"/>
      <w:marBottom w:val="0"/>
      <w:divBdr>
        <w:top w:val="none" w:sz="0" w:space="0" w:color="auto"/>
        <w:left w:val="none" w:sz="0" w:space="0" w:color="auto"/>
        <w:bottom w:val="none" w:sz="0" w:space="0" w:color="auto"/>
        <w:right w:val="none" w:sz="0" w:space="0" w:color="auto"/>
      </w:divBdr>
    </w:div>
    <w:div w:id="1332836954">
      <w:bodyDiv w:val="1"/>
      <w:marLeft w:val="0"/>
      <w:marRight w:val="0"/>
      <w:marTop w:val="0"/>
      <w:marBottom w:val="0"/>
      <w:divBdr>
        <w:top w:val="none" w:sz="0" w:space="0" w:color="auto"/>
        <w:left w:val="none" w:sz="0" w:space="0" w:color="auto"/>
        <w:bottom w:val="none" w:sz="0" w:space="0" w:color="auto"/>
        <w:right w:val="none" w:sz="0" w:space="0" w:color="auto"/>
      </w:divBdr>
    </w:div>
    <w:div w:id="1333487187">
      <w:bodyDiv w:val="1"/>
      <w:marLeft w:val="0"/>
      <w:marRight w:val="0"/>
      <w:marTop w:val="0"/>
      <w:marBottom w:val="0"/>
      <w:divBdr>
        <w:top w:val="none" w:sz="0" w:space="0" w:color="auto"/>
        <w:left w:val="none" w:sz="0" w:space="0" w:color="auto"/>
        <w:bottom w:val="none" w:sz="0" w:space="0" w:color="auto"/>
        <w:right w:val="none" w:sz="0" w:space="0" w:color="auto"/>
      </w:divBdr>
    </w:div>
    <w:div w:id="1333996012">
      <w:bodyDiv w:val="1"/>
      <w:marLeft w:val="0"/>
      <w:marRight w:val="0"/>
      <w:marTop w:val="0"/>
      <w:marBottom w:val="0"/>
      <w:divBdr>
        <w:top w:val="none" w:sz="0" w:space="0" w:color="auto"/>
        <w:left w:val="none" w:sz="0" w:space="0" w:color="auto"/>
        <w:bottom w:val="none" w:sz="0" w:space="0" w:color="auto"/>
        <w:right w:val="none" w:sz="0" w:space="0" w:color="auto"/>
      </w:divBdr>
    </w:div>
    <w:div w:id="1333996518">
      <w:bodyDiv w:val="1"/>
      <w:marLeft w:val="0"/>
      <w:marRight w:val="0"/>
      <w:marTop w:val="0"/>
      <w:marBottom w:val="0"/>
      <w:divBdr>
        <w:top w:val="none" w:sz="0" w:space="0" w:color="auto"/>
        <w:left w:val="none" w:sz="0" w:space="0" w:color="auto"/>
        <w:bottom w:val="none" w:sz="0" w:space="0" w:color="auto"/>
        <w:right w:val="none" w:sz="0" w:space="0" w:color="auto"/>
      </w:divBdr>
    </w:div>
    <w:div w:id="1334260147">
      <w:bodyDiv w:val="1"/>
      <w:marLeft w:val="0"/>
      <w:marRight w:val="0"/>
      <w:marTop w:val="0"/>
      <w:marBottom w:val="0"/>
      <w:divBdr>
        <w:top w:val="none" w:sz="0" w:space="0" w:color="auto"/>
        <w:left w:val="none" w:sz="0" w:space="0" w:color="auto"/>
        <w:bottom w:val="none" w:sz="0" w:space="0" w:color="auto"/>
        <w:right w:val="none" w:sz="0" w:space="0" w:color="auto"/>
      </w:divBdr>
    </w:div>
    <w:div w:id="1335959031">
      <w:bodyDiv w:val="1"/>
      <w:marLeft w:val="0"/>
      <w:marRight w:val="0"/>
      <w:marTop w:val="0"/>
      <w:marBottom w:val="0"/>
      <w:divBdr>
        <w:top w:val="none" w:sz="0" w:space="0" w:color="auto"/>
        <w:left w:val="none" w:sz="0" w:space="0" w:color="auto"/>
        <w:bottom w:val="none" w:sz="0" w:space="0" w:color="auto"/>
        <w:right w:val="none" w:sz="0" w:space="0" w:color="auto"/>
      </w:divBdr>
    </w:div>
    <w:div w:id="1336300183">
      <w:bodyDiv w:val="1"/>
      <w:marLeft w:val="0"/>
      <w:marRight w:val="0"/>
      <w:marTop w:val="0"/>
      <w:marBottom w:val="0"/>
      <w:divBdr>
        <w:top w:val="none" w:sz="0" w:space="0" w:color="auto"/>
        <w:left w:val="none" w:sz="0" w:space="0" w:color="auto"/>
        <w:bottom w:val="none" w:sz="0" w:space="0" w:color="auto"/>
        <w:right w:val="none" w:sz="0" w:space="0" w:color="auto"/>
      </w:divBdr>
    </w:div>
    <w:div w:id="1338119556">
      <w:bodyDiv w:val="1"/>
      <w:marLeft w:val="0"/>
      <w:marRight w:val="0"/>
      <w:marTop w:val="0"/>
      <w:marBottom w:val="0"/>
      <w:divBdr>
        <w:top w:val="none" w:sz="0" w:space="0" w:color="auto"/>
        <w:left w:val="none" w:sz="0" w:space="0" w:color="auto"/>
        <w:bottom w:val="none" w:sz="0" w:space="0" w:color="auto"/>
        <w:right w:val="none" w:sz="0" w:space="0" w:color="auto"/>
      </w:divBdr>
    </w:div>
    <w:div w:id="1338574437">
      <w:bodyDiv w:val="1"/>
      <w:marLeft w:val="0"/>
      <w:marRight w:val="0"/>
      <w:marTop w:val="0"/>
      <w:marBottom w:val="0"/>
      <w:divBdr>
        <w:top w:val="none" w:sz="0" w:space="0" w:color="auto"/>
        <w:left w:val="none" w:sz="0" w:space="0" w:color="auto"/>
        <w:bottom w:val="none" w:sz="0" w:space="0" w:color="auto"/>
        <w:right w:val="none" w:sz="0" w:space="0" w:color="auto"/>
      </w:divBdr>
    </w:div>
    <w:div w:id="1341350047">
      <w:bodyDiv w:val="1"/>
      <w:marLeft w:val="0"/>
      <w:marRight w:val="0"/>
      <w:marTop w:val="0"/>
      <w:marBottom w:val="0"/>
      <w:divBdr>
        <w:top w:val="none" w:sz="0" w:space="0" w:color="auto"/>
        <w:left w:val="none" w:sz="0" w:space="0" w:color="auto"/>
        <w:bottom w:val="none" w:sz="0" w:space="0" w:color="auto"/>
        <w:right w:val="none" w:sz="0" w:space="0" w:color="auto"/>
      </w:divBdr>
    </w:div>
    <w:div w:id="1341421870">
      <w:bodyDiv w:val="1"/>
      <w:marLeft w:val="0"/>
      <w:marRight w:val="0"/>
      <w:marTop w:val="0"/>
      <w:marBottom w:val="0"/>
      <w:divBdr>
        <w:top w:val="none" w:sz="0" w:space="0" w:color="auto"/>
        <w:left w:val="none" w:sz="0" w:space="0" w:color="auto"/>
        <w:bottom w:val="none" w:sz="0" w:space="0" w:color="auto"/>
        <w:right w:val="none" w:sz="0" w:space="0" w:color="auto"/>
      </w:divBdr>
    </w:div>
    <w:div w:id="1341928408">
      <w:bodyDiv w:val="1"/>
      <w:marLeft w:val="0"/>
      <w:marRight w:val="0"/>
      <w:marTop w:val="0"/>
      <w:marBottom w:val="0"/>
      <w:divBdr>
        <w:top w:val="none" w:sz="0" w:space="0" w:color="auto"/>
        <w:left w:val="none" w:sz="0" w:space="0" w:color="auto"/>
        <w:bottom w:val="none" w:sz="0" w:space="0" w:color="auto"/>
        <w:right w:val="none" w:sz="0" w:space="0" w:color="auto"/>
      </w:divBdr>
    </w:div>
    <w:div w:id="1343169395">
      <w:bodyDiv w:val="1"/>
      <w:marLeft w:val="0"/>
      <w:marRight w:val="0"/>
      <w:marTop w:val="0"/>
      <w:marBottom w:val="0"/>
      <w:divBdr>
        <w:top w:val="none" w:sz="0" w:space="0" w:color="auto"/>
        <w:left w:val="none" w:sz="0" w:space="0" w:color="auto"/>
        <w:bottom w:val="none" w:sz="0" w:space="0" w:color="auto"/>
        <w:right w:val="none" w:sz="0" w:space="0" w:color="auto"/>
      </w:divBdr>
    </w:div>
    <w:div w:id="1344014279">
      <w:bodyDiv w:val="1"/>
      <w:marLeft w:val="0"/>
      <w:marRight w:val="0"/>
      <w:marTop w:val="0"/>
      <w:marBottom w:val="0"/>
      <w:divBdr>
        <w:top w:val="none" w:sz="0" w:space="0" w:color="auto"/>
        <w:left w:val="none" w:sz="0" w:space="0" w:color="auto"/>
        <w:bottom w:val="none" w:sz="0" w:space="0" w:color="auto"/>
        <w:right w:val="none" w:sz="0" w:space="0" w:color="auto"/>
      </w:divBdr>
    </w:div>
    <w:div w:id="1344017355">
      <w:bodyDiv w:val="1"/>
      <w:marLeft w:val="0"/>
      <w:marRight w:val="0"/>
      <w:marTop w:val="0"/>
      <w:marBottom w:val="0"/>
      <w:divBdr>
        <w:top w:val="none" w:sz="0" w:space="0" w:color="auto"/>
        <w:left w:val="none" w:sz="0" w:space="0" w:color="auto"/>
        <w:bottom w:val="none" w:sz="0" w:space="0" w:color="auto"/>
        <w:right w:val="none" w:sz="0" w:space="0" w:color="auto"/>
      </w:divBdr>
    </w:div>
    <w:div w:id="1346054968">
      <w:bodyDiv w:val="1"/>
      <w:marLeft w:val="0"/>
      <w:marRight w:val="0"/>
      <w:marTop w:val="0"/>
      <w:marBottom w:val="0"/>
      <w:divBdr>
        <w:top w:val="none" w:sz="0" w:space="0" w:color="auto"/>
        <w:left w:val="none" w:sz="0" w:space="0" w:color="auto"/>
        <w:bottom w:val="none" w:sz="0" w:space="0" w:color="auto"/>
        <w:right w:val="none" w:sz="0" w:space="0" w:color="auto"/>
      </w:divBdr>
    </w:div>
    <w:div w:id="1346131018">
      <w:bodyDiv w:val="1"/>
      <w:marLeft w:val="0"/>
      <w:marRight w:val="0"/>
      <w:marTop w:val="0"/>
      <w:marBottom w:val="0"/>
      <w:divBdr>
        <w:top w:val="none" w:sz="0" w:space="0" w:color="auto"/>
        <w:left w:val="none" w:sz="0" w:space="0" w:color="auto"/>
        <w:bottom w:val="none" w:sz="0" w:space="0" w:color="auto"/>
        <w:right w:val="none" w:sz="0" w:space="0" w:color="auto"/>
      </w:divBdr>
    </w:div>
    <w:div w:id="1347562509">
      <w:bodyDiv w:val="1"/>
      <w:marLeft w:val="0"/>
      <w:marRight w:val="0"/>
      <w:marTop w:val="0"/>
      <w:marBottom w:val="0"/>
      <w:divBdr>
        <w:top w:val="none" w:sz="0" w:space="0" w:color="auto"/>
        <w:left w:val="none" w:sz="0" w:space="0" w:color="auto"/>
        <w:bottom w:val="none" w:sz="0" w:space="0" w:color="auto"/>
        <w:right w:val="none" w:sz="0" w:space="0" w:color="auto"/>
      </w:divBdr>
    </w:div>
    <w:div w:id="1347828906">
      <w:bodyDiv w:val="1"/>
      <w:marLeft w:val="0"/>
      <w:marRight w:val="0"/>
      <w:marTop w:val="0"/>
      <w:marBottom w:val="0"/>
      <w:divBdr>
        <w:top w:val="none" w:sz="0" w:space="0" w:color="auto"/>
        <w:left w:val="none" w:sz="0" w:space="0" w:color="auto"/>
        <w:bottom w:val="none" w:sz="0" w:space="0" w:color="auto"/>
        <w:right w:val="none" w:sz="0" w:space="0" w:color="auto"/>
      </w:divBdr>
    </w:div>
    <w:div w:id="1351487049">
      <w:bodyDiv w:val="1"/>
      <w:marLeft w:val="0"/>
      <w:marRight w:val="0"/>
      <w:marTop w:val="0"/>
      <w:marBottom w:val="0"/>
      <w:divBdr>
        <w:top w:val="none" w:sz="0" w:space="0" w:color="auto"/>
        <w:left w:val="none" w:sz="0" w:space="0" w:color="auto"/>
        <w:bottom w:val="none" w:sz="0" w:space="0" w:color="auto"/>
        <w:right w:val="none" w:sz="0" w:space="0" w:color="auto"/>
      </w:divBdr>
    </w:div>
    <w:div w:id="1351833329">
      <w:bodyDiv w:val="1"/>
      <w:marLeft w:val="0"/>
      <w:marRight w:val="0"/>
      <w:marTop w:val="0"/>
      <w:marBottom w:val="0"/>
      <w:divBdr>
        <w:top w:val="none" w:sz="0" w:space="0" w:color="auto"/>
        <w:left w:val="none" w:sz="0" w:space="0" w:color="auto"/>
        <w:bottom w:val="none" w:sz="0" w:space="0" w:color="auto"/>
        <w:right w:val="none" w:sz="0" w:space="0" w:color="auto"/>
      </w:divBdr>
    </w:div>
    <w:div w:id="1351956386">
      <w:bodyDiv w:val="1"/>
      <w:marLeft w:val="0"/>
      <w:marRight w:val="0"/>
      <w:marTop w:val="0"/>
      <w:marBottom w:val="0"/>
      <w:divBdr>
        <w:top w:val="none" w:sz="0" w:space="0" w:color="auto"/>
        <w:left w:val="none" w:sz="0" w:space="0" w:color="auto"/>
        <w:bottom w:val="none" w:sz="0" w:space="0" w:color="auto"/>
        <w:right w:val="none" w:sz="0" w:space="0" w:color="auto"/>
      </w:divBdr>
    </w:div>
    <w:div w:id="1352687652">
      <w:bodyDiv w:val="1"/>
      <w:marLeft w:val="0"/>
      <w:marRight w:val="0"/>
      <w:marTop w:val="0"/>
      <w:marBottom w:val="0"/>
      <w:divBdr>
        <w:top w:val="none" w:sz="0" w:space="0" w:color="auto"/>
        <w:left w:val="none" w:sz="0" w:space="0" w:color="auto"/>
        <w:bottom w:val="none" w:sz="0" w:space="0" w:color="auto"/>
        <w:right w:val="none" w:sz="0" w:space="0" w:color="auto"/>
      </w:divBdr>
    </w:div>
    <w:div w:id="1352755242">
      <w:bodyDiv w:val="1"/>
      <w:marLeft w:val="0"/>
      <w:marRight w:val="0"/>
      <w:marTop w:val="0"/>
      <w:marBottom w:val="0"/>
      <w:divBdr>
        <w:top w:val="none" w:sz="0" w:space="0" w:color="auto"/>
        <w:left w:val="none" w:sz="0" w:space="0" w:color="auto"/>
        <w:bottom w:val="none" w:sz="0" w:space="0" w:color="auto"/>
        <w:right w:val="none" w:sz="0" w:space="0" w:color="auto"/>
      </w:divBdr>
    </w:div>
    <w:div w:id="1353873523">
      <w:bodyDiv w:val="1"/>
      <w:marLeft w:val="0"/>
      <w:marRight w:val="0"/>
      <w:marTop w:val="0"/>
      <w:marBottom w:val="0"/>
      <w:divBdr>
        <w:top w:val="none" w:sz="0" w:space="0" w:color="auto"/>
        <w:left w:val="none" w:sz="0" w:space="0" w:color="auto"/>
        <w:bottom w:val="none" w:sz="0" w:space="0" w:color="auto"/>
        <w:right w:val="none" w:sz="0" w:space="0" w:color="auto"/>
      </w:divBdr>
    </w:div>
    <w:div w:id="1353920035">
      <w:bodyDiv w:val="1"/>
      <w:marLeft w:val="0"/>
      <w:marRight w:val="0"/>
      <w:marTop w:val="0"/>
      <w:marBottom w:val="0"/>
      <w:divBdr>
        <w:top w:val="none" w:sz="0" w:space="0" w:color="auto"/>
        <w:left w:val="none" w:sz="0" w:space="0" w:color="auto"/>
        <w:bottom w:val="none" w:sz="0" w:space="0" w:color="auto"/>
        <w:right w:val="none" w:sz="0" w:space="0" w:color="auto"/>
      </w:divBdr>
    </w:div>
    <w:div w:id="1355687585">
      <w:bodyDiv w:val="1"/>
      <w:marLeft w:val="0"/>
      <w:marRight w:val="0"/>
      <w:marTop w:val="0"/>
      <w:marBottom w:val="0"/>
      <w:divBdr>
        <w:top w:val="none" w:sz="0" w:space="0" w:color="auto"/>
        <w:left w:val="none" w:sz="0" w:space="0" w:color="auto"/>
        <w:bottom w:val="none" w:sz="0" w:space="0" w:color="auto"/>
        <w:right w:val="none" w:sz="0" w:space="0" w:color="auto"/>
      </w:divBdr>
    </w:div>
    <w:div w:id="1357269724">
      <w:bodyDiv w:val="1"/>
      <w:marLeft w:val="0"/>
      <w:marRight w:val="0"/>
      <w:marTop w:val="0"/>
      <w:marBottom w:val="0"/>
      <w:divBdr>
        <w:top w:val="none" w:sz="0" w:space="0" w:color="auto"/>
        <w:left w:val="none" w:sz="0" w:space="0" w:color="auto"/>
        <w:bottom w:val="none" w:sz="0" w:space="0" w:color="auto"/>
        <w:right w:val="none" w:sz="0" w:space="0" w:color="auto"/>
      </w:divBdr>
    </w:div>
    <w:div w:id="1357729008">
      <w:bodyDiv w:val="1"/>
      <w:marLeft w:val="0"/>
      <w:marRight w:val="0"/>
      <w:marTop w:val="0"/>
      <w:marBottom w:val="0"/>
      <w:divBdr>
        <w:top w:val="none" w:sz="0" w:space="0" w:color="auto"/>
        <w:left w:val="none" w:sz="0" w:space="0" w:color="auto"/>
        <w:bottom w:val="none" w:sz="0" w:space="0" w:color="auto"/>
        <w:right w:val="none" w:sz="0" w:space="0" w:color="auto"/>
      </w:divBdr>
    </w:div>
    <w:div w:id="1357926717">
      <w:bodyDiv w:val="1"/>
      <w:marLeft w:val="0"/>
      <w:marRight w:val="0"/>
      <w:marTop w:val="0"/>
      <w:marBottom w:val="0"/>
      <w:divBdr>
        <w:top w:val="none" w:sz="0" w:space="0" w:color="auto"/>
        <w:left w:val="none" w:sz="0" w:space="0" w:color="auto"/>
        <w:bottom w:val="none" w:sz="0" w:space="0" w:color="auto"/>
        <w:right w:val="none" w:sz="0" w:space="0" w:color="auto"/>
      </w:divBdr>
    </w:div>
    <w:div w:id="1358197997">
      <w:bodyDiv w:val="1"/>
      <w:marLeft w:val="0"/>
      <w:marRight w:val="0"/>
      <w:marTop w:val="0"/>
      <w:marBottom w:val="0"/>
      <w:divBdr>
        <w:top w:val="none" w:sz="0" w:space="0" w:color="auto"/>
        <w:left w:val="none" w:sz="0" w:space="0" w:color="auto"/>
        <w:bottom w:val="none" w:sz="0" w:space="0" w:color="auto"/>
        <w:right w:val="none" w:sz="0" w:space="0" w:color="auto"/>
      </w:divBdr>
    </w:div>
    <w:div w:id="1362780424">
      <w:bodyDiv w:val="1"/>
      <w:marLeft w:val="0"/>
      <w:marRight w:val="0"/>
      <w:marTop w:val="0"/>
      <w:marBottom w:val="0"/>
      <w:divBdr>
        <w:top w:val="none" w:sz="0" w:space="0" w:color="auto"/>
        <w:left w:val="none" w:sz="0" w:space="0" w:color="auto"/>
        <w:bottom w:val="none" w:sz="0" w:space="0" w:color="auto"/>
        <w:right w:val="none" w:sz="0" w:space="0" w:color="auto"/>
      </w:divBdr>
    </w:div>
    <w:div w:id="1362896638">
      <w:bodyDiv w:val="1"/>
      <w:marLeft w:val="0"/>
      <w:marRight w:val="0"/>
      <w:marTop w:val="0"/>
      <w:marBottom w:val="0"/>
      <w:divBdr>
        <w:top w:val="none" w:sz="0" w:space="0" w:color="auto"/>
        <w:left w:val="none" w:sz="0" w:space="0" w:color="auto"/>
        <w:bottom w:val="none" w:sz="0" w:space="0" w:color="auto"/>
        <w:right w:val="none" w:sz="0" w:space="0" w:color="auto"/>
      </w:divBdr>
    </w:div>
    <w:div w:id="1362977275">
      <w:bodyDiv w:val="1"/>
      <w:marLeft w:val="0"/>
      <w:marRight w:val="0"/>
      <w:marTop w:val="0"/>
      <w:marBottom w:val="0"/>
      <w:divBdr>
        <w:top w:val="none" w:sz="0" w:space="0" w:color="auto"/>
        <w:left w:val="none" w:sz="0" w:space="0" w:color="auto"/>
        <w:bottom w:val="none" w:sz="0" w:space="0" w:color="auto"/>
        <w:right w:val="none" w:sz="0" w:space="0" w:color="auto"/>
      </w:divBdr>
    </w:div>
    <w:div w:id="1363362929">
      <w:bodyDiv w:val="1"/>
      <w:marLeft w:val="0"/>
      <w:marRight w:val="0"/>
      <w:marTop w:val="0"/>
      <w:marBottom w:val="0"/>
      <w:divBdr>
        <w:top w:val="none" w:sz="0" w:space="0" w:color="auto"/>
        <w:left w:val="none" w:sz="0" w:space="0" w:color="auto"/>
        <w:bottom w:val="none" w:sz="0" w:space="0" w:color="auto"/>
        <w:right w:val="none" w:sz="0" w:space="0" w:color="auto"/>
      </w:divBdr>
    </w:div>
    <w:div w:id="1363365193">
      <w:bodyDiv w:val="1"/>
      <w:marLeft w:val="0"/>
      <w:marRight w:val="0"/>
      <w:marTop w:val="0"/>
      <w:marBottom w:val="0"/>
      <w:divBdr>
        <w:top w:val="none" w:sz="0" w:space="0" w:color="auto"/>
        <w:left w:val="none" w:sz="0" w:space="0" w:color="auto"/>
        <w:bottom w:val="none" w:sz="0" w:space="0" w:color="auto"/>
        <w:right w:val="none" w:sz="0" w:space="0" w:color="auto"/>
      </w:divBdr>
    </w:div>
    <w:div w:id="1367216813">
      <w:bodyDiv w:val="1"/>
      <w:marLeft w:val="0"/>
      <w:marRight w:val="0"/>
      <w:marTop w:val="0"/>
      <w:marBottom w:val="0"/>
      <w:divBdr>
        <w:top w:val="none" w:sz="0" w:space="0" w:color="auto"/>
        <w:left w:val="none" w:sz="0" w:space="0" w:color="auto"/>
        <w:bottom w:val="none" w:sz="0" w:space="0" w:color="auto"/>
        <w:right w:val="none" w:sz="0" w:space="0" w:color="auto"/>
      </w:divBdr>
    </w:div>
    <w:div w:id="1368215268">
      <w:bodyDiv w:val="1"/>
      <w:marLeft w:val="0"/>
      <w:marRight w:val="0"/>
      <w:marTop w:val="0"/>
      <w:marBottom w:val="0"/>
      <w:divBdr>
        <w:top w:val="none" w:sz="0" w:space="0" w:color="auto"/>
        <w:left w:val="none" w:sz="0" w:space="0" w:color="auto"/>
        <w:bottom w:val="none" w:sz="0" w:space="0" w:color="auto"/>
        <w:right w:val="none" w:sz="0" w:space="0" w:color="auto"/>
      </w:divBdr>
    </w:div>
    <w:div w:id="1370060180">
      <w:bodyDiv w:val="1"/>
      <w:marLeft w:val="0"/>
      <w:marRight w:val="0"/>
      <w:marTop w:val="0"/>
      <w:marBottom w:val="0"/>
      <w:divBdr>
        <w:top w:val="none" w:sz="0" w:space="0" w:color="auto"/>
        <w:left w:val="none" w:sz="0" w:space="0" w:color="auto"/>
        <w:bottom w:val="none" w:sz="0" w:space="0" w:color="auto"/>
        <w:right w:val="none" w:sz="0" w:space="0" w:color="auto"/>
      </w:divBdr>
    </w:div>
    <w:div w:id="1370253503">
      <w:bodyDiv w:val="1"/>
      <w:marLeft w:val="0"/>
      <w:marRight w:val="0"/>
      <w:marTop w:val="0"/>
      <w:marBottom w:val="0"/>
      <w:divBdr>
        <w:top w:val="none" w:sz="0" w:space="0" w:color="auto"/>
        <w:left w:val="none" w:sz="0" w:space="0" w:color="auto"/>
        <w:bottom w:val="none" w:sz="0" w:space="0" w:color="auto"/>
        <w:right w:val="none" w:sz="0" w:space="0" w:color="auto"/>
      </w:divBdr>
    </w:div>
    <w:div w:id="1370958602">
      <w:bodyDiv w:val="1"/>
      <w:marLeft w:val="0"/>
      <w:marRight w:val="0"/>
      <w:marTop w:val="0"/>
      <w:marBottom w:val="0"/>
      <w:divBdr>
        <w:top w:val="none" w:sz="0" w:space="0" w:color="auto"/>
        <w:left w:val="none" w:sz="0" w:space="0" w:color="auto"/>
        <w:bottom w:val="none" w:sz="0" w:space="0" w:color="auto"/>
        <w:right w:val="none" w:sz="0" w:space="0" w:color="auto"/>
      </w:divBdr>
    </w:div>
    <w:div w:id="1372924532">
      <w:bodyDiv w:val="1"/>
      <w:marLeft w:val="0"/>
      <w:marRight w:val="0"/>
      <w:marTop w:val="0"/>
      <w:marBottom w:val="0"/>
      <w:divBdr>
        <w:top w:val="none" w:sz="0" w:space="0" w:color="auto"/>
        <w:left w:val="none" w:sz="0" w:space="0" w:color="auto"/>
        <w:bottom w:val="none" w:sz="0" w:space="0" w:color="auto"/>
        <w:right w:val="none" w:sz="0" w:space="0" w:color="auto"/>
      </w:divBdr>
    </w:div>
    <w:div w:id="1375814590">
      <w:bodyDiv w:val="1"/>
      <w:marLeft w:val="0"/>
      <w:marRight w:val="0"/>
      <w:marTop w:val="0"/>
      <w:marBottom w:val="0"/>
      <w:divBdr>
        <w:top w:val="none" w:sz="0" w:space="0" w:color="auto"/>
        <w:left w:val="none" w:sz="0" w:space="0" w:color="auto"/>
        <w:bottom w:val="none" w:sz="0" w:space="0" w:color="auto"/>
        <w:right w:val="none" w:sz="0" w:space="0" w:color="auto"/>
      </w:divBdr>
    </w:div>
    <w:div w:id="1376781666">
      <w:bodyDiv w:val="1"/>
      <w:marLeft w:val="0"/>
      <w:marRight w:val="0"/>
      <w:marTop w:val="0"/>
      <w:marBottom w:val="0"/>
      <w:divBdr>
        <w:top w:val="none" w:sz="0" w:space="0" w:color="auto"/>
        <w:left w:val="none" w:sz="0" w:space="0" w:color="auto"/>
        <w:bottom w:val="none" w:sz="0" w:space="0" w:color="auto"/>
        <w:right w:val="none" w:sz="0" w:space="0" w:color="auto"/>
      </w:divBdr>
    </w:div>
    <w:div w:id="1379739278">
      <w:bodyDiv w:val="1"/>
      <w:marLeft w:val="0"/>
      <w:marRight w:val="0"/>
      <w:marTop w:val="0"/>
      <w:marBottom w:val="0"/>
      <w:divBdr>
        <w:top w:val="none" w:sz="0" w:space="0" w:color="auto"/>
        <w:left w:val="none" w:sz="0" w:space="0" w:color="auto"/>
        <w:bottom w:val="none" w:sz="0" w:space="0" w:color="auto"/>
        <w:right w:val="none" w:sz="0" w:space="0" w:color="auto"/>
      </w:divBdr>
    </w:div>
    <w:div w:id="1380325949">
      <w:bodyDiv w:val="1"/>
      <w:marLeft w:val="0"/>
      <w:marRight w:val="0"/>
      <w:marTop w:val="0"/>
      <w:marBottom w:val="0"/>
      <w:divBdr>
        <w:top w:val="none" w:sz="0" w:space="0" w:color="auto"/>
        <w:left w:val="none" w:sz="0" w:space="0" w:color="auto"/>
        <w:bottom w:val="none" w:sz="0" w:space="0" w:color="auto"/>
        <w:right w:val="none" w:sz="0" w:space="0" w:color="auto"/>
      </w:divBdr>
    </w:div>
    <w:div w:id="1381131011">
      <w:bodyDiv w:val="1"/>
      <w:marLeft w:val="0"/>
      <w:marRight w:val="0"/>
      <w:marTop w:val="0"/>
      <w:marBottom w:val="0"/>
      <w:divBdr>
        <w:top w:val="none" w:sz="0" w:space="0" w:color="auto"/>
        <w:left w:val="none" w:sz="0" w:space="0" w:color="auto"/>
        <w:bottom w:val="none" w:sz="0" w:space="0" w:color="auto"/>
        <w:right w:val="none" w:sz="0" w:space="0" w:color="auto"/>
      </w:divBdr>
    </w:div>
    <w:div w:id="1381396035">
      <w:bodyDiv w:val="1"/>
      <w:marLeft w:val="0"/>
      <w:marRight w:val="0"/>
      <w:marTop w:val="0"/>
      <w:marBottom w:val="0"/>
      <w:divBdr>
        <w:top w:val="none" w:sz="0" w:space="0" w:color="auto"/>
        <w:left w:val="none" w:sz="0" w:space="0" w:color="auto"/>
        <w:bottom w:val="none" w:sz="0" w:space="0" w:color="auto"/>
        <w:right w:val="none" w:sz="0" w:space="0" w:color="auto"/>
      </w:divBdr>
    </w:div>
    <w:div w:id="1383138443">
      <w:bodyDiv w:val="1"/>
      <w:marLeft w:val="0"/>
      <w:marRight w:val="0"/>
      <w:marTop w:val="0"/>
      <w:marBottom w:val="0"/>
      <w:divBdr>
        <w:top w:val="none" w:sz="0" w:space="0" w:color="auto"/>
        <w:left w:val="none" w:sz="0" w:space="0" w:color="auto"/>
        <w:bottom w:val="none" w:sz="0" w:space="0" w:color="auto"/>
        <w:right w:val="none" w:sz="0" w:space="0" w:color="auto"/>
      </w:divBdr>
    </w:div>
    <w:div w:id="1384717783">
      <w:bodyDiv w:val="1"/>
      <w:marLeft w:val="0"/>
      <w:marRight w:val="0"/>
      <w:marTop w:val="0"/>
      <w:marBottom w:val="0"/>
      <w:divBdr>
        <w:top w:val="none" w:sz="0" w:space="0" w:color="auto"/>
        <w:left w:val="none" w:sz="0" w:space="0" w:color="auto"/>
        <w:bottom w:val="none" w:sz="0" w:space="0" w:color="auto"/>
        <w:right w:val="none" w:sz="0" w:space="0" w:color="auto"/>
      </w:divBdr>
    </w:div>
    <w:div w:id="1385367340">
      <w:bodyDiv w:val="1"/>
      <w:marLeft w:val="0"/>
      <w:marRight w:val="0"/>
      <w:marTop w:val="0"/>
      <w:marBottom w:val="0"/>
      <w:divBdr>
        <w:top w:val="none" w:sz="0" w:space="0" w:color="auto"/>
        <w:left w:val="none" w:sz="0" w:space="0" w:color="auto"/>
        <w:bottom w:val="none" w:sz="0" w:space="0" w:color="auto"/>
        <w:right w:val="none" w:sz="0" w:space="0" w:color="auto"/>
      </w:divBdr>
    </w:div>
    <w:div w:id="1386101080">
      <w:bodyDiv w:val="1"/>
      <w:marLeft w:val="0"/>
      <w:marRight w:val="0"/>
      <w:marTop w:val="0"/>
      <w:marBottom w:val="0"/>
      <w:divBdr>
        <w:top w:val="none" w:sz="0" w:space="0" w:color="auto"/>
        <w:left w:val="none" w:sz="0" w:space="0" w:color="auto"/>
        <w:bottom w:val="none" w:sz="0" w:space="0" w:color="auto"/>
        <w:right w:val="none" w:sz="0" w:space="0" w:color="auto"/>
      </w:divBdr>
    </w:div>
    <w:div w:id="1387029900">
      <w:bodyDiv w:val="1"/>
      <w:marLeft w:val="0"/>
      <w:marRight w:val="0"/>
      <w:marTop w:val="0"/>
      <w:marBottom w:val="0"/>
      <w:divBdr>
        <w:top w:val="none" w:sz="0" w:space="0" w:color="auto"/>
        <w:left w:val="none" w:sz="0" w:space="0" w:color="auto"/>
        <w:bottom w:val="none" w:sz="0" w:space="0" w:color="auto"/>
        <w:right w:val="none" w:sz="0" w:space="0" w:color="auto"/>
      </w:divBdr>
    </w:div>
    <w:div w:id="1387100791">
      <w:bodyDiv w:val="1"/>
      <w:marLeft w:val="0"/>
      <w:marRight w:val="0"/>
      <w:marTop w:val="0"/>
      <w:marBottom w:val="0"/>
      <w:divBdr>
        <w:top w:val="none" w:sz="0" w:space="0" w:color="auto"/>
        <w:left w:val="none" w:sz="0" w:space="0" w:color="auto"/>
        <w:bottom w:val="none" w:sz="0" w:space="0" w:color="auto"/>
        <w:right w:val="none" w:sz="0" w:space="0" w:color="auto"/>
      </w:divBdr>
    </w:div>
    <w:div w:id="1388408327">
      <w:bodyDiv w:val="1"/>
      <w:marLeft w:val="0"/>
      <w:marRight w:val="0"/>
      <w:marTop w:val="0"/>
      <w:marBottom w:val="0"/>
      <w:divBdr>
        <w:top w:val="none" w:sz="0" w:space="0" w:color="auto"/>
        <w:left w:val="none" w:sz="0" w:space="0" w:color="auto"/>
        <w:bottom w:val="none" w:sz="0" w:space="0" w:color="auto"/>
        <w:right w:val="none" w:sz="0" w:space="0" w:color="auto"/>
      </w:divBdr>
    </w:div>
    <w:div w:id="1389382912">
      <w:bodyDiv w:val="1"/>
      <w:marLeft w:val="0"/>
      <w:marRight w:val="0"/>
      <w:marTop w:val="0"/>
      <w:marBottom w:val="0"/>
      <w:divBdr>
        <w:top w:val="none" w:sz="0" w:space="0" w:color="auto"/>
        <w:left w:val="none" w:sz="0" w:space="0" w:color="auto"/>
        <w:bottom w:val="none" w:sz="0" w:space="0" w:color="auto"/>
        <w:right w:val="none" w:sz="0" w:space="0" w:color="auto"/>
      </w:divBdr>
    </w:div>
    <w:div w:id="1389457938">
      <w:bodyDiv w:val="1"/>
      <w:marLeft w:val="0"/>
      <w:marRight w:val="0"/>
      <w:marTop w:val="0"/>
      <w:marBottom w:val="0"/>
      <w:divBdr>
        <w:top w:val="none" w:sz="0" w:space="0" w:color="auto"/>
        <w:left w:val="none" w:sz="0" w:space="0" w:color="auto"/>
        <w:bottom w:val="none" w:sz="0" w:space="0" w:color="auto"/>
        <w:right w:val="none" w:sz="0" w:space="0" w:color="auto"/>
      </w:divBdr>
    </w:div>
    <w:div w:id="1390885380">
      <w:bodyDiv w:val="1"/>
      <w:marLeft w:val="0"/>
      <w:marRight w:val="0"/>
      <w:marTop w:val="0"/>
      <w:marBottom w:val="0"/>
      <w:divBdr>
        <w:top w:val="none" w:sz="0" w:space="0" w:color="auto"/>
        <w:left w:val="none" w:sz="0" w:space="0" w:color="auto"/>
        <w:bottom w:val="none" w:sz="0" w:space="0" w:color="auto"/>
        <w:right w:val="none" w:sz="0" w:space="0" w:color="auto"/>
      </w:divBdr>
    </w:div>
    <w:div w:id="1391491614">
      <w:bodyDiv w:val="1"/>
      <w:marLeft w:val="0"/>
      <w:marRight w:val="0"/>
      <w:marTop w:val="0"/>
      <w:marBottom w:val="0"/>
      <w:divBdr>
        <w:top w:val="none" w:sz="0" w:space="0" w:color="auto"/>
        <w:left w:val="none" w:sz="0" w:space="0" w:color="auto"/>
        <w:bottom w:val="none" w:sz="0" w:space="0" w:color="auto"/>
        <w:right w:val="none" w:sz="0" w:space="0" w:color="auto"/>
      </w:divBdr>
    </w:div>
    <w:div w:id="1392273076">
      <w:bodyDiv w:val="1"/>
      <w:marLeft w:val="0"/>
      <w:marRight w:val="0"/>
      <w:marTop w:val="0"/>
      <w:marBottom w:val="0"/>
      <w:divBdr>
        <w:top w:val="none" w:sz="0" w:space="0" w:color="auto"/>
        <w:left w:val="none" w:sz="0" w:space="0" w:color="auto"/>
        <w:bottom w:val="none" w:sz="0" w:space="0" w:color="auto"/>
        <w:right w:val="none" w:sz="0" w:space="0" w:color="auto"/>
      </w:divBdr>
    </w:div>
    <w:div w:id="1393655124">
      <w:bodyDiv w:val="1"/>
      <w:marLeft w:val="0"/>
      <w:marRight w:val="0"/>
      <w:marTop w:val="0"/>
      <w:marBottom w:val="0"/>
      <w:divBdr>
        <w:top w:val="none" w:sz="0" w:space="0" w:color="auto"/>
        <w:left w:val="none" w:sz="0" w:space="0" w:color="auto"/>
        <w:bottom w:val="none" w:sz="0" w:space="0" w:color="auto"/>
        <w:right w:val="none" w:sz="0" w:space="0" w:color="auto"/>
      </w:divBdr>
    </w:div>
    <w:div w:id="1395392655">
      <w:bodyDiv w:val="1"/>
      <w:marLeft w:val="0"/>
      <w:marRight w:val="0"/>
      <w:marTop w:val="0"/>
      <w:marBottom w:val="0"/>
      <w:divBdr>
        <w:top w:val="none" w:sz="0" w:space="0" w:color="auto"/>
        <w:left w:val="none" w:sz="0" w:space="0" w:color="auto"/>
        <w:bottom w:val="none" w:sz="0" w:space="0" w:color="auto"/>
        <w:right w:val="none" w:sz="0" w:space="0" w:color="auto"/>
      </w:divBdr>
    </w:div>
    <w:div w:id="1397433364">
      <w:bodyDiv w:val="1"/>
      <w:marLeft w:val="0"/>
      <w:marRight w:val="0"/>
      <w:marTop w:val="0"/>
      <w:marBottom w:val="0"/>
      <w:divBdr>
        <w:top w:val="none" w:sz="0" w:space="0" w:color="auto"/>
        <w:left w:val="none" w:sz="0" w:space="0" w:color="auto"/>
        <w:bottom w:val="none" w:sz="0" w:space="0" w:color="auto"/>
        <w:right w:val="none" w:sz="0" w:space="0" w:color="auto"/>
      </w:divBdr>
    </w:div>
    <w:div w:id="1397435792">
      <w:bodyDiv w:val="1"/>
      <w:marLeft w:val="0"/>
      <w:marRight w:val="0"/>
      <w:marTop w:val="0"/>
      <w:marBottom w:val="0"/>
      <w:divBdr>
        <w:top w:val="none" w:sz="0" w:space="0" w:color="auto"/>
        <w:left w:val="none" w:sz="0" w:space="0" w:color="auto"/>
        <w:bottom w:val="none" w:sz="0" w:space="0" w:color="auto"/>
        <w:right w:val="none" w:sz="0" w:space="0" w:color="auto"/>
      </w:divBdr>
    </w:div>
    <w:div w:id="1397630162">
      <w:bodyDiv w:val="1"/>
      <w:marLeft w:val="0"/>
      <w:marRight w:val="0"/>
      <w:marTop w:val="0"/>
      <w:marBottom w:val="0"/>
      <w:divBdr>
        <w:top w:val="none" w:sz="0" w:space="0" w:color="auto"/>
        <w:left w:val="none" w:sz="0" w:space="0" w:color="auto"/>
        <w:bottom w:val="none" w:sz="0" w:space="0" w:color="auto"/>
        <w:right w:val="none" w:sz="0" w:space="0" w:color="auto"/>
      </w:divBdr>
    </w:div>
    <w:div w:id="1398867520">
      <w:bodyDiv w:val="1"/>
      <w:marLeft w:val="0"/>
      <w:marRight w:val="0"/>
      <w:marTop w:val="0"/>
      <w:marBottom w:val="0"/>
      <w:divBdr>
        <w:top w:val="none" w:sz="0" w:space="0" w:color="auto"/>
        <w:left w:val="none" w:sz="0" w:space="0" w:color="auto"/>
        <w:bottom w:val="none" w:sz="0" w:space="0" w:color="auto"/>
        <w:right w:val="none" w:sz="0" w:space="0" w:color="auto"/>
      </w:divBdr>
    </w:div>
    <w:div w:id="1401096016">
      <w:bodyDiv w:val="1"/>
      <w:marLeft w:val="0"/>
      <w:marRight w:val="0"/>
      <w:marTop w:val="0"/>
      <w:marBottom w:val="0"/>
      <w:divBdr>
        <w:top w:val="none" w:sz="0" w:space="0" w:color="auto"/>
        <w:left w:val="none" w:sz="0" w:space="0" w:color="auto"/>
        <w:bottom w:val="none" w:sz="0" w:space="0" w:color="auto"/>
        <w:right w:val="none" w:sz="0" w:space="0" w:color="auto"/>
      </w:divBdr>
    </w:div>
    <w:div w:id="1403019564">
      <w:bodyDiv w:val="1"/>
      <w:marLeft w:val="0"/>
      <w:marRight w:val="0"/>
      <w:marTop w:val="0"/>
      <w:marBottom w:val="0"/>
      <w:divBdr>
        <w:top w:val="none" w:sz="0" w:space="0" w:color="auto"/>
        <w:left w:val="none" w:sz="0" w:space="0" w:color="auto"/>
        <w:bottom w:val="none" w:sz="0" w:space="0" w:color="auto"/>
        <w:right w:val="none" w:sz="0" w:space="0" w:color="auto"/>
      </w:divBdr>
    </w:div>
    <w:div w:id="1403331429">
      <w:bodyDiv w:val="1"/>
      <w:marLeft w:val="0"/>
      <w:marRight w:val="0"/>
      <w:marTop w:val="0"/>
      <w:marBottom w:val="0"/>
      <w:divBdr>
        <w:top w:val="none" w:sz="0" w:space="0" w:color="auto"/>
        <w:left w:val="none" w:sz="0" w:space="0" w:color="auto"/>
        <w:bottom w:val="none" w:sz="0" w:space="0" w:color="auto"/>
        <w:right w:val="none" w:sz="0" w:space="0" w:color="auto"/>
      </w:divBdr>
    </w:div>
    <w:div w:id="1403678351">
      <w:bodyDiv w:val="1"/>
      <w:marLeft w:val="0"/>
      <w:marRight w:val="0"/>
      <w:marTop w:val="0"/>
      <w:marBottom w:val="0"/>
      <w:divBdr>
        <w:top w:val="none" w:sz="0" w:space="0" w:color="auto"/>
        <w:left w:val="none" w:sz="0" w:space="0" w:color="auto"/>
        <w:bottom w:val="none" w:sz="0" w:space="0" w:color="auto"/>
        <w:right w:val="none" w:sz="0" w:space="0" w:color="auto"/>
      </w:divBdr>
    </w:div>
    <w:div w:id="1404067288">
      <w:bodyDiv w:val="1"/>
      <w:marLeft w:val="0"/>
      <w:marRight w:val="0"/>
      <w:marTop w:val="0"/>
      <w:marBottom w:val="0"/>
      <w:divBdr>
        <w:top w:val="none" w:sz="0" w:space="0" w:color="auto"/>
        <w:left w:val="none" w:sz="0" w:space="0" w:color="auto"/>
        <w:bottom w:val="none" w:sz="0" w:space="0" w:color="auto"/>
        <w:right w:val="none" w:sz="0" w:space="0" w:color="auto"/>
      </w:divBdr>
    </w:div>
    <w:div w:id="1404449685">
      <w:bodyDiv w:val="1"/>
      <w:marLeft w:val="0"/>
      <w:marRight w:val="0"/>
      <w:marTop w:val="0"/>
      <w:marBottom w:val="0"/>
      <w:divBdr>
        <w:top w:val="none" w:sz="0" w:space="0" w:color="auto"/>
        <w:left w:val="none" w:sz="0" w:space="0" w:color="auto"/>
        <w:bottom w:val="none" w:sz="0" w:space="0" w:color="auto"/>
        <w:right w:val="none" w:sz="0" w:space="0" w:color="auto"/>
      </w:divBdr>
    </w:div>
    <w:div w:id="1405490536">
      <w:bodyDiv w:val="1"/>
      <w:marLeft w:val="0"/>
      <w:marRight w:val="0"/>
      <w:marTop w:val="0"/>
      <w:marBottom w:val="0"/>
      <w:divBdr>
        <w:top w:val="none" w:sz="0" w:space="0" w:color="auto"/>
        <w:left w:val="none" w:sz="0" w:space="0" w:color="auto"/>
        <w:bottom w:val="none" w:sz="0" w:space="0" w:color="auto"/>
        <w:right w:val="none" w:sz="0" w:space="0" w:color="auto"/>
      </w:divBdr>
    </w:div>
    <w:div w:id="1405757164">
      <w:bodyDiv w:val="1"/>
      <w:marLeft w:val="0"/>
      <w:marRight w:val="0"/>
      <w:marTop w:val="0"/>
      <w:marBottom w:val="0"/>
      <w:divBdr>
        <w:top w:val="none" w:sz="0" w:space="0" w:color="auto"/>
        <w:left w:val="none" w:sz="0" w:space="0" w:color="auto"/>
        <w:bottom w:val="none" w:sz="0" w:space="0" w:color="auto"/>
        <w:right w:val="none" w:sz="0" w:space="0" w:color="auto"/>
      </w:divBdr>
    </w:div>
    <w:div w:id="1406874098">
      <w:bodyDiv w:val="1"/>
      <w:marLeft w:val="0"/>
      <w:marRight w:val="0"/>
      <w:marTop w:val="0"/>
      <w:marBottom w:val="0"/>
      <w:divBdr>
        <w:top w:val="none" w:sz="0" w:space="0" w:color="auto"/>
        <w:left w:val="none" w:sz="0" w:space="0" w:color="auto"/>
        <w:bottom w:val="none" w:sz="0" w:space="0" w:color="auto"/>
        <w:right w:val="none" w:sz="0" w:space="0" w:color="auto"/>
      </w:divBdr>
    </w:div>
    <w:div w:id="1407068448">
      <w:bodyDiv w:val="1"/>
      <w:marLeft w:val="0"/>
      <w:marRight w:val="0"/>
      <w:marTop w:val="0"/>
      <w:marBottom w:val="0"/>
      <w:divBdr>
        <w:top w:val="none" w:sz="0" w:space="0" w:color="auto"/>
        <w:left w:val="none" w:sz="0" w:space="0" w:color="auto"/>
        <w:bottom w:val="none" w:sz="0" w:space="0" w:color="auto"/>
        <w:right w:val="none" w:sz="0" w:space="0" w:color="auto"/>
      </w:divBdr>
    </w:div>
    <w:div w:id="1408727504">
      <w:bodyDiv w:val="1"/>
      <w:marLeft w:val="0"/>
      <w:marRight w:val="0"/>
      <w:marTop w:val="0"/>
      <w:marBottom w:val="0"/>
      <w:divBdr>
        <w:top w:val="none" w:sz="0" w:space="0" w:color="auto"/>
        <w:left w:val="none" w:sz="0" w:space="0" w:color="auto"/>
        <w:bottom w:val="none" w:sz="0" w:space="0" w:color="auto"/>
        <w:right w:val="none" w:sz="0" w:space="0" w:color="auto"/>
      </w:divBdr>
    </w:div>
    <w:div w:id="1409186568">
      <w:bodyDiv w:val="1"/>
      <w:marLeft w:val="0"/>
      <w:marRight w:val="0"/>
      <w:marTop w:val="0"/>
      <w:marBottom w:val="0"/>
      <w:divBdr>
        <w:top w:val="none" w:sz="0" w:space="0" w:color="auto"/>
        <w:left w:val="none" w:sz="0" w:space="0" w:color="auto"/>
        <w:bottom w:val="none" w:sz="0" w:space="0" w:color="auto"/>
        <w:right w:val="none" w:sz="0" w:space="0" w:color="auto"/>
      </w:divBdr>
    </w:div>
    <w:div w:id="1409811346">
      <w:bodyDiv w:val="1"/>
      <w:marLeft w:val="0"/>
      <w:marRight w:val="0"/>
      <w:marTop w:val="0"/>
      <w:marBottom w:val="0"/>
      <w:divBdr>
        <w:top w:val="none" w:sz="0" w:space="0" w:color="auto"/>
        <w:left w:val="none" w:sz="0" w:space="0" w:color="auto"/>
        <w:bottom w:val="none" w:sz="0" w:space="0" w:color="auto"/>
        <w:right w:val="none" w:sz="0" w:space="0" w:color="auto"/>
      </w:divBdr>
    </w:div>
    <w:div w:id="1410419133">
      <w:bodyDiv w:val="1"/>
      <w:marLeft w:val="0"/>
      <w:marRight w:val="0"/>
      <w:marTop w:val="0"/>
      <w:marBottom w:val="0"/>
      <w:divBdr>
        <w:top w:val="none" w:sz="0" w:space="0" w:color="auto"/>
        <w:left w:val="none" w:sz="0" w:space="0" w:color="auto"/>
        <w:bottom w:val="none" w:sz="0" w:space="0" w:color="auto"/>
        <w:right w:val="none" w:sz="0" w:space="0" w:color="auto"/>
      </w:divBdr>
    </w:div>
    <w:div w:id="1412387973">
      <w:bodyDiv w:val="1"/>
      <w:marLeft w:val="0"/>
      <w:marRight w:val="0"/>
      <w:marTop w:val="0"/>
      <w:marBottom w:val="0"/>
      <w:divBdr>
        <w:top w:val="none" w:sz="0" w:space="0" w:color="auto"/>
        <w:left w:val="none" w:sz="0" w:space="0" w:color="auto"/>
        <w:bottom w:val="none" w:sz="0" w:space="0" w:color="auto"/>
        <w:right w:val="none" w:sz="0" w:space="0" w:color="auto"/>
      </w:divBdr>
    </w:div>
    <w:div w:id="1412435230">
      <w:bodyDiv w:val="1"/>
      <w:marLeft w:val="0"/>
      <w:marRight w:val="0"/>
      <w:marTop w:val="0"/>
      <w:marBottom w:val="0"/>
      <w:divBdr>
        <w:top w:val="none" w:sz="0" w:space="0" w:color="auto"/>
        <w:left w:val="none" w:sz="0" w:space="0" w:color="auto"/>
        <w:bottom w:val="none" w:sz="0" w:space="0" w:color="auto"/>
        <w:right w:val="none" w:sz="0" w:space="0" w:color="auto"/>
      </w:divBdr>
    </w:div>
    <w:div w:id="1412652532">
      <w:bodyDiv w:val="1"/>
      <w:marLeft w:val="0"/>
      <w:marRight w:val="0"/>
      <w:marTop w:val="0"/>
      <w:marBottom w:val="0"/>
      <w:divBdr>
        <w:top w:val="none" w:sz="0" w:space="0" w:color="auto"/>
        <w:left w:val="none" w:sz="0" w:space="0" w:color="auto"/>
        <w:bottom w:val="none" w:sz="0" w:space="0" w:color="auto"/>
        <w:right w:val="none" w:sz="0" w:space="0" w:color="auto"/>
      </w:divBdr>
    </w:div>
    <w:div w:id="1412921753">
      <w:bodyDiv w:val="1"/>
      <w:marLeft w:val="0"/>
      <w:marRight w:val="0"/>
      <w:marTop w:val="0"/>
      <w:marBottom w:val="0"/>
      <w:divBdr>
        <w:top w:val="none" w:sz="0" w:space="0" w:color="auto"/>
        <w:left w:val="none" w:sz="0" w:space="0" w:color="auto"/>
        <w:bottom w:val="none" w:sz="0" w:space="0" w:color="auto"/>
        <w:right w:val="none" w:sz="0" w:space="0" w:color="auto"/>
      </w:divBdr>
    </w:div>
    <w:div w:id="1413166563">
      <w:bodyDiv w:val="1"/>
      <w:marLeft w:val="0"/>
      <w:marRight w:val="0"/>
      <w:marTop w:val="0"/>
      <w:marBottom w:val="0"/>
      <w:divBdr>
        <w:top w:val="none" w:sz="0" w:space="0" w:color="auto"/>
        <w:left w:val="none" w:sz="0" w:space="0" w:color="auto"/>
        <w:bottom w:val="none" w:sz="0" w:space="0" w:color="auto"/>
        <w:right w:val="none" w:sz="0" w:space="0" w:color="auto"/>
      </w:divBdr>
    </w:div>
    <w:div w:id="1413551697">
      <w:bodyDiv w:val="1"/>
      <w:marLeft w:val="0"/>
      <w:marRight w:val="0"/>
      <w:marTop w:val="0"/>
      <w:marBottom w:val="0"/>
      <w:divBdr>
        <w:top w:val="none" w:sz="0" w:space="0" w:color="auto"/>
        <w:left w:val="none" w:sz="0" w:space="0" w:color="auto"/>
        <w:bottom w:val="none" w:sz="0" w:space="0" w:color="auto"/>
        <w:right w:val="none" w:sz="0" w:space="0" w:color="auto"/>
      </w:divBdr>
    </w:div>
    <w:div w:id="1416126736">
      <w:bodyDiv w:val="1"/>
      <w:marLeft w:val="0"/>
      <w:marRight w:val="0"/>
      <w:marTop w:val="0"/>
      <w:marBottom w:val="0"/>
      <w:divBdr>
        <w:top w:val="none" w:sz="0" w:space="0" w:color="auto"/>
        <w:left w:val="none" w:sz="0" w:space="0" w:color="auto"/>
        <w:bottom w:val="none" w:sz="0" w:space="0" w:color="auto"/>
        <w:right w:val="none" w:sz="0" w:space="0" w:color="auto"/>
      </w:divBdr>
    </w:div>
    <w:div w:id="1416979916">
      <w:bodyDiv w:val="1"/>
      <w:marLeft w:val="0"/>
      <w:marRight w:val="0"/>
      <w:marTop w:val="0"/>
      <w:marBottom w:val="0"/>
      <w:divBdr>
        <w:top w:val="none" w:sz="0" w:space="0" w:color="auto"/>
        <w:left w:val="none" w:sz="0" w:space="0" w:color="auto"/>
        <w:bottom w:val="none" w:sz="0" w:space="0" w:color="auto"/>
        <w:right w:val="none" w:sz="0" w:space="0" w:color="auto"/>
      </w:divBdr>
    </w:div>
    <w:div w:id="1417359433">
      <w:bodyDiv w:val="1"/>
      <w:marLeft w:val="0"/>
      <w:marRight w:val="0"/>
      <w:marTop w:val="0"/>
      <w:marBottom w:val="0"/>
      <w:divBdr>
        <w:top w:val="none" w:sz="0" w:space="0" w:color="auto"/>
        <w:left w:val="none" w:sz="0" w:space="0" w:color="auto"/>
        <w:bottom w:val="none" w:sz="0" w:space="0" w:color="auto"/>
        <w:right w:val="none" w:sz="0" w:space="0" w:color="auto"/>
      </w:divBdr>
    </w:div>
    <w:div w:id="1417827688">
      <w:bodyDiv w:val="1"/>
      <w:marLeft w:val="0"/>
      <w:marRight w:val="0"/>
      <w:marTop w:val="0"/>
      <w:marBottom w:val="0"/>
      <w:divBdr>
        <w:top w:val="none" w:sz="0" w:space="0" w:color="auto"/>
        <w:left w:val="none" w:sz="0" w:space="0" w:color="auto"/>
        <w:bottom w:val="none" w:sz="0" w:space="0" w:color="auto"/>
        <w:right w:val="none" w:sz="0" w:space="0" w:color="auto"/>
      </w:divBdr>
    </w:div>
    <w:div w:id="1418793328">
      <w:bodyDiv w:val="1"/>
      <w:marLeft w:val="0"/>
      <w:marRight w:val="0"/>
      <w:marTop w:val="0"/>
      <w:marBottom w:val="0"/>
      <w:divBdr>
        <w:top w:val="none" w:sz="0" w:space="0" w:color="auto"/>
        <w:left w:val="none" w:sz="0" w:space="0" w:color="auto"/>
        <w:bottom w:val="none" w:sz="0" w:space="0" w:color="auto"/>
        <w:right w:val="none" w:sz="0" w:space="0" w:color="auto"/>
      </w:divBdr>
    </w:div>
    <w:div w:id="1422678390">
      <w:bodyDiv w:val="1"/>
      <w:marLeft w:val="0"/>
      <w:marRight w:val="0"/>
      <w:marTop w:val="0"/>
      <w:marBottom w:val="0"/>
      <w:divBdr>
        <w:top w:val="none" w:sz="0" w:space="0" w:color="auto"/>
        <w:left w:val="none" w:sz="0" w:space="0" w:color="auto"/>
        <w:bottom w:val="none" w:sz="0" w:space="0" w:color="auto"/>
        <w:right w:val="none" w:sz="0" w:space="0" w:color="auto"/>
      </w:divBdr>
    </w:div>
    <w:div w:id="1424181989">
      <w:bodyDiv w:val="1"/>
      <w:marLeft w:val="0"/>
      <w:marRight w:val="0"/>
      <w:marTop w:val="0"/>
      <w:marBottom w:val="0"/>
      <w:divBdr>
        <w:top w:val="none" w:sz="0" w:space="0" w:color="auto"/>
        <w:left w:val="none" w:sz="0" w:space="0" w:color="auto"/>
        <w:bottom w:val="none" w:sz="0" w:space="0" w:color="auto"/>
        <w:right w:val="none" w:sz="0" w:space="0" w:color="auto"/>
      </w:divBdr>
    </w:div>
    <w:div w:id="1424961014">
      <w:bodyDiv w:val="1"/>
      <w:marLeft w:val="0"/>
      <w:marRight w:val="0"/>
      <w:marTop w:val="0"/>
      <w:marBottom w:val="0"/>
      <w:divBdr>
        <w:top w:val="none" w:sz="0" w:space="0" w:color="auto"/>
        <w:left w:val="none" w:sz="0" w:space="0" w:color="auto"/>
        <w:bottom w:val="none" w:sz="0" w:space="0" w:color="auto"/>
        <w:right w:val="none" w:sz="0" w:space="0" w:color="auto"/>
      </w:divBdr>
    </w:div>
    <w:div w:id="1425801600">
      <w:bodyDiv w:val="1"/>
      <w:marLeft w:val="0"/>
      <w:marRight w:val="0"/>
      <w:marTop w:val="0"/>
      <w:marBottom w:val="0"/>
      <w:divBdr>
        <w:top w:val="none" w:sz="0" w:space="0" w:color="auto"/>
        <w:left w:val="none" w:sz="0" w:space="0" w:color="auto"/>
        <w:bottom w:val="none" w:sz="0" w:space="0" w:color="auto"/>
        <w:right w:val="none" w:sz="0" w:space="0" w:color="auto"/>
      </w:divBdr>
    </w:div>
    <w:div w:id="1426268134">
      <w:bodyDiv w:val="1"/>
      <w:marLeft w:val="0"/>
      <w:marRight w:val="0"/>
      <w:marTop w:val="0"/>
      <w:marBottom w:val="0"/>
      <w:divBdr>
        <w:top w:val="none" w:sz="0" w:space="0" w:color="auto"/>
        <w:left w:val="none" w:sz="0" w:space="0" w:color="auto"/>
        <w:bottom w:val="none" w:sz="0" w:space="0" w:color="auto"/>
        <w:right w:val="none" w:sz="0" w:space="0" w:color="auto"/>
      </w:divBdr>
    </w:div>
    <w:div w:id="1426606694">
      <w:bodyDiv w:val="1"/>
      <w:marLeft w:val="0"/>
      <w:marRight w:val="0"/>
      <w:marTop w:val="0"/>
      <w:marBottom w:val="0"/>
      <w:divBdr>
        <w:top w:val="none" w:sz="0" w:space="0" w:color="auto"/>
        <w:left w:val="none" w:sz="0" w:space="0" w:color="auto"/>
        <w:bottom w:val="none" w:sz="0" w:space="0" w:color="auto"/>
        <w:right w:val="none" w:sz="0" w:space="0" w:color="auto"/>
      </w:divBdr>
    </w:div>
    <w:div w:id="1426729187">
      <w:bodyDiv w:val="1"/>
      <w:marLeft w:val="0"/>
      <w:marRight w:val="0"/>
      <w:marTop w:val="0"/>
      <w:marBottom w:val="0"/>
      <w:divBdr>
        <w:top w:val="none" w:sz="0" w:space="0" w:color="auto"/>
        <w:left w:val="none" w:sz="0" w:space="0" w:color="auto"/>
        <w:bottom w:val="none" w:sz="0" w:space="0" w:color="auto"/>
        <w:right w:val="none" w:sz="0" w:space="0" w:color="auto"/>
      </w:divBdr>
    </w:div>
    <w:div w:id="1427921643">
      <w:bodyDiv w:val="1"/>
      <w:marLeft w:val="0"/>
      <w:marRight w:val="0"/>
      <w:marTop w:val="0"/>
      <w:marBottom w:val="0"/>
      <w:divBdr>
        <w:top w:val="none" w:sz="0" w:space="0" w:color="auto"/>
        <w:left w:val="none" w:sz="0" w:space="0" w:color="auto"/>
        <w:bottom w:val="none" w:sz="0" w:space="0" w:color="auto"/>
        <w:right w:val="none" w:sz="0" w:space="0" w:color="auto"/>
      </w:divBdr>
    </w:div>
    <w:div w:id="1427922214">
      <w:bodyDiv w:val="1"/>
      <w:marLeft w:val="0"/>
      <w:marRight w:val="0"/>
      <w:marTop w:val="0"/>
      <w:marBottom w:val="0"/>
      <w:divBdr>
        <w:top w:val="none" w:sz="0" w:space="0" w:color="auto"/>
        <w:left w:val="none" w:sz="0" w:space="0" w:color="auto"/>
        <w:bottom w:val="none" w:sz="0" w:space="0" w:color="auto"/>
        <w:right w:val="none" w:sz="0" w:space="0" w:color="auto"/>
      </w:divBdr>
    </w:div>
    <w:div w:id="1427924940">
      <w:bodyDiv w:val="1"/>
      <w:marLeft w:val="0"/>
      <w:marRight w:val="0"/>
      <w:marTop w:val="0"/>
      <w:marBottom w:val="0"/>
      <w:divBdr>
        <w:top w:val="none" w:sz="0" w:space="0" w:color="auto"/>
        <w:left w:val="none" w:sz="0" w:space="0" w:color="auto"/>
        <w:bottom w:val="none" w:sz="0" w:space="0" w:color="auto"/>
        <w:right w:val="none" w:sz="0" w:space="0" w:color="auto"/>
      </w:divBdr>
    </w:div>
    <w:div w:id="1428651328">
      <w:bodyDiv w:val="1"/>
      <w:marLeft w:val="0"/>
      <w:marRight w:val="0"/>
      <w:marTop w:val="0"/>
      <w:marBottom w:val="0"/>
      <w:divBdr>
        <w:top w:val="none" w:sz="0" w:space="0" w:color="auto"/>
        <w:left w:val="none" w:sz="0" w:space="0" w:color="auto"/>
        <w:bottom w:val="none" w:sz="0" w:space="0" w:color="auto"/>
        <w:right w:val="none" w:sz="0" w:space="0" w:color="auto"/>
      </w:divBdr>
    </w:div>
    <w:div w:id="1428699582">
      <w:bodyDiv w:val="1"/>
      <w:marLeft w:val="0"/>
      <w:marRight w:val="0"/>
      <w:marTop w:val="0"/>
      <w:marBottom w:val="0"/>
      <w:divBdr>
        <w:top w:val="none" w:sz="0" w:space="0" w:color="auto"/>
        <w:left w:val="none" w:sz="0" w:space="0" w:color="auto"/>
        <w:bottom w:val="none" w:sz="0" w:space="0" w:color="auto"/>
        <w:right w:val="none" w:sz="0" w:space="0" w:color="auto"/>
      </w:divBdr>
    </w:div>
    <w:div w:id="1431388304">
      <w:bodyDiv w:val="1"/>
      <w:marLeft w:val="0"/>
      <w:marRight w:val="0"/>
      <w:marTop w:val="0"/>
      <w:marBottom w:val="0"/>
      <w:divBdr>
        <w:top w:val="none" w:sz="0" w:space="0" w:color="auto"/>
        <w:left w:val="none" w:sz="0" w:space="0" w:color="auto"/>
        <w:bottom w:val="none" w:sz="0" w:space="0" w:color="auto"/>
        <w:right w:val="none" w:sz="0" w:space="0" w:color="auto"/>
      </w:divBdr>
    </w:div>
    <w:div w:id="1432166667">
      <w:bodyDiv w:val="1"/>
      <w:marLeft w:val="0"/>
      <w:marRight w:val="0"/>
      <w:marTop w:val="0"/>
      <w:marBottom w:val="0"/>
      <w:divBdr>
        <w:top w:val="none" w:sz="0" w:space="0" w:color="auto"/>
        <w:left w:val="none" w:sz="0" w:space="0" w:color="auto"/>
        <w:bottom w:val="none" w:sz="0" w:space="0" w:color="auto"/>
        <w:right w:val="none" w:sz="0" w:space="0" w:color="auto"/>
      </w:divBdr>
    </w:div>
    <w:div w:id="1432433088">
      <w:bodyDiv w:val="1"/>
      <w:marLeft w:val="0"/>
      <w:marRight w:val="0"/>
      <w:marTop w:val="0"/>
      <w:marBottom w:val="0"/>
      <w:divBdr>
        <w:top w:val="none" w:sz="0" w:space="0" w:color="auto"/>
        <w:left w:val="none" w:sz="0" w:space="0" w:color="auto"/>
        <w:bottom w:val="none" w:sz="0" w:space="0" w:color="auto"/>
        <w:right w:val="none" w:sz="0" w:space="0" w:color="auto"/>
      </w:divBdr>
    </w:div>
    <w:div w:id="1432437052">
      <w:bodyDiv w:val="1"/>
      <w:marLeft w:val="0"/>
      <w:marRight w:val="0"/>
      <w:marTop w:val="0"/>
      <w:marBottom w:val="0"/>
      <w:divBdr>
        <w:top w:val="none" w:sz="0" w:space="0" w:color="auto"/>
        <w:left w:val="none" w:sz="0" w:space="0" w:color="auto"/>
        <w:bottom w:val="none" w:sz="0" w:space="0" w:color="auto"/>
        <w:right w:val="none" w:sz="0" w:space="0" w:color="auto"/>
      </w:divBdr>
    </w:div>
    <w:div w:id="1435051663">
      <w:bodyDiv w:val="1"/>
      <w:marLeft w:val="0"/>
      <w:marRight w:val="0"/>
      <w:marTop w:val="0"/>
      <w:marBottom w:val="0"/>
      <w:divBdr>
        <w:top w:val="none" w:sz="0" w:space="0" w:color="auto"/>
        <w:left w:val="none" w:sz="0" w:space="0" w:color="auto"/>
        <w:bottom w:val="none" w:sz="0" w:space="0" w:color="auto"/>
        <w:right w:val="none" w:sz="0" w:space="0" w:color="auto"/>
      </w:divBdr>
    </w:div>
    <w:div w:id="1435174549">
      <w:bodyDiv w:val="1"/>
      <w:marLeft w:val="0"/>
      <w:marRight w:val="0"/>
      <w:marTop w:val="0"/>
      <w:marBottom w:val="0"/>
      <w:divBdr>
        <w:top w:val="none" w:sz="0" w:space="0" w:color="auto"/>
        <w:left w:val="none" w:sz="0" w:space="0" w:color="auto"/>
        <w:bottom w:val="none" w:sz="0" w:space="0" w:color="auto"/>
        <w:right w:val="none" w:sz="0" w:space="0" w:color="auto"/>
      </w:divBdr>
    </w:div>
    <w:div w:id="1440487041">
      <w:bodyDiv w:val="1"/>
      <w:marLeft w:val="0"/>
      <w:marRight w:val="0"/>
      <w:marTop w:val="0"/>
      <w:marBottom w:val="0"/>
      <w:divBdr>
        <w:top w:val="none" w:sz="0" w:space="0" w:color="auto"/>
        <w:left w:val="none" w:sz="0" w:space="0" w:color="auto"/>
        <w:bottom w:val="none" w:sz="0" w:space="0" w:color="auto"/>
        <w:right w:val="none" w:sz="0" w:space="0" w:color="auto"/>
      </w:divBdr>
    </w:div>
    <w:div w:id="1440828896">
      <w:bodyDiv w:val="1"/>
      <w:marLeft w:val="0"/>
      <w:marRight w:val="0"/>
      <w:marTop w:val="0"/>
      <w:marBottom w:val="0"/>
      <w:divBdr>
        <w:top w:val="none" w:sz="0" w:space="0" w:color="auto"/>
        <w:left w:val="none" w:sz="0" w:space="0" w:color="auto"/>
        <w:bottom w:val="none" w:sz="0" w:space="0" w:color="auto"/>
        <w:right w:val="none" w:sz="0" w:space="0" w:color="auto"/>
      </w:divBdr>
    </w:div>
    <w:div w:id="1441074400">
      <w:bodyDiv w:val="1"/>
      <w:marLeft w:val="0"/>
      <w:marRight w:val="0"/>
      <w:marTop w:val="0"/>
      <w:marBottom w:val="0"/>
      <w:divBdr>
        <w:top w:val="none" w:sz="0" w:space="0" w:color="auto"/>
        <w:left w:val="none" w:sz="0" w:space="0" w:color="auto"/>
        <w:bottom w:val="none" w:sz="0" w:space="0" w:color="auto"/>
        <w:right w:val="none" w:sz="0" w:space="0" w:color="auto"/>
      </w:divBdr>
    </w:div>
    <w:div w:id="1443382661">
      <w:bodyDiv w:val="1"/>
      <w:marLeft w:val="0"/>
      <w:marRight w:val="0"/>
      <w:marTop w:val="0"/>
      <w:marBottom w:val="0"/>
      <w:divBdr>
        <w:top w:val="none" w:sz="0" w:space="0" w:color="auto"/>
        <w:left w:val="none" w:sz="0" w:space="0" w:color="auto"/>
        <w:bottom w:val="none" w:sz="0" w:space="0" w:color="auto"/>
        <w:right w:val="none" w:sz="0" w:space="0" w:color="auto"/>
      </w:divBdr>
    </w:div>
    <w:div w:id="1443644653">
      <w:bodyDiv w:val="1"/>
      <w:marLeft w:val="0"/>
      <w:marRight w:val="0"/>
      <w:marTop w:val="0"/>
      <w:marBottom w:val="0"/>
      <w:divBdr>
        <w:top w:val="none" w:sz="0" w:space="0" w:color="auto"/>
        <w:left w:val="none" w:sz="0" w:space="0" w:color="auto"/>
        <w:bottom w:val="none" w:sz="0" w:space="0" w:color="auto"/>
        <w:right w:val="none" w:sz="0" w:space="0" w:color="auto"/>
      </w:divBdr>
    </w:div>
    <w:div w:id="1443649026">
      <w:bodyDiv w:val="1"/>
      <w:marLeft w:val="0"/>
      <w:marRight w:val="0"/>
      <w:marTop w:val="0"/>
      <w:marBottom w:val="0"/>
      <w:divBdr>
        <w:top w:val="none" w:sz="0" w:space="0" w:color="auto"/>
        <w:left w:val="none" w:sz="0" w:space="0" w:color="auto"/>
        <w:bottom w:val="none" w:sz="0" w:space="0" w:color="auto"/>
        <w:right w:val="none" w:sz="0" w:space="0" w:color="auto"/>
      </w:divBdr>
    </w:div>
    <w:div w:id="1443649473">
      <w:bodyDiv w:val="1"/>
      <w:marLeft w:val="0"/>
      <w:marRight w:val="0"/>
      <w:marTop w:val="0"/>
      <w:marBottom w:val="0"/>
      <w:divBdr>
        <w:top w:val="none" w:sz="0" w:space="0" w:color="auto"/>
        <w:left w:val="none" w:sz="0" w:space="0" w:color="auto"/>
        <w:bottom w:val="none" w:sz="0" w:space="0" w:color="auto"/>
        <w:right w:val="none" w:sz="0" w:space="0" w:color="auto"/>
      </w:divBdr>
    </w:div>
    <w:div w:id="1443694874">
      <w:bodyDiv w:val="1"/>
      <w:marLeft w:val="0"/>
      <w:marRight w:val="0"/>
      <w:marTop w:val="0"/>
      <w:marBottom w:val="0"/>
      <w:divBdr>
        <w:top w:val="none" w:sz="0" w:space="0" w:color="auto"/>
        <w:left w:val="none" w:sz="0" w:space="0" w:color="auto"/>
        <w:bottom w:val="none" w:sz="0" w:space="0" w:color="auto"/>
        <w:right w:val="none" w:sz="0" w:space="0" w:color="auto"/>
      </w:divBdr>
    </w:div>
    <w:div w:id="1443721137">
      <w:bodyDiv w:val="1"/>
      <w:marLeft w:val="0"/>
      <w:marRight w:val="0"/>
      <w:marTop w:val="0"/>
      <w:marBottom w:val="0"/>
      <w:divBdr>
        <w:top w:val="none" w:sz="0" w:space="0" w:color="auto"/>
        <w:left w:val="none" w:sz="0" w:space="0" w:color="auto"/>
        <w:bottom w:val="none" w:sz="0" w:space="0" w:color="auto"/>
        <w:right w:val="none" w:sz="0" w:space="0" w:color="auto"/>
      </w:divBdr>
    </w:div>
    <w:div w:id="1444808700">
      <w:bodyDiv w:val="1"/>
      <w:marLeft w:val="0"/>
      <w:marRight w:val="0"/>
      <w:marTop w:val="0"/>
      <w:marBottom w:val="0"/>
      <w:divBdr>
        <w:top w:val="none" w:sz="0" w:space="0" w:color="auto"/>
        <w:left w:val="none" w:sz="0" w:space="0" w:color="auto"/>
        <w:bottom w:val="none" w:sz="0" w:space="0" w:color="auto"/>
        <w:right w:val="none" w:sz="0" w:space="0" w:color="auto"/>
      </w:divBdr>
    </w:div>
    <w:div w:id="1449356559">
      <w:bodyDiv w:val="1"/>
      <w:marLeft w:val="0"/>
      <w:marRight w:val="0"/>
      <w:marTop w:val="0"/>
      <w:marBottom w:val="0"/>
      <w:divBdr>
        <w:top w:val="none" w:sz="0" w:space="0" w:color="auto"/>
        <w:left w:val="none" w:sz="0" w:space="0" w:color="auto"/>
        <w:bottom w:val="none" w:sz="0" w:space="0" w:color="auto"/>
        <w:right w:val="none" w:sz="0" w:space="0" w:color="auto"/>
      </w:divBdr>
    </w:div>
    <w:div w:id="1449547082">
      <w:bodyDiv w:val="1"/>
      <w:marLeft w:val="0"/>
      <w:marRight w:val="0"/>
      <w:marTop w:val="0"/>
      <w:marBottom w:val="0"/>
      <w:divBdr>
        <w:top w:val="none" w:sz="0" w:space="0" w:color="auto"/>
        <w:left w:val="none" w:sz="0" w:space="0" w:color="auto"/>
        <w:bottom w:val="none" w:sz="0" w:space="0" w:color="auto"/>
        <w:right w:val="none" w:sz="0" w:space="0" w:color="auto"/>
      </w:divBdr>
    </w:div>
    <w:div w:id="1449619507">
      <w:bodyDiv w:val="1"/>
      <w:marLeft w:val="0"/>
      <w:marRight w:val="0"/>
      <w:marTop w:val="0"/>
      <w:marBottom w:val="0"/>
      <w:divBdr>
        <w:top w:val="none" w:sz="0" w:space="0" w:color="auto"/>
        <w:left w:val="none" w:sz="0" w:space="0" w:color="auto"/>
        <w:bottom w:val="none" w:sz="0" w:space="0" w:color="auto"/>
        <w:right w:val="none" w:sz="0" w:space="0" w:color="auto"/>
      </w:divBdr>
    </w:div>
    <w:div w:id="1450660249">
      <w:bodyDiv w:val="1"/>
      <w:marLeft w:val="0"/>
      <w:marRight w:val="0"/>
      <w:marTop w:val="0"/>
      <w:marBottom w:val="0"/>
      <w:divBdr>
        <w:top w:val="none" w:sz="0" w:space="0" w:color="auto"/>
        <w:left w:val="none" w:sz="0" w:space="0" w:color="auto"/>
        <w:bottom w:val="none" w:sz="0" w:space="0" w:color="auto"/>
        <w:right w:val="none" w:sz="0" w:space="0" w:color="auto"/>
      </w:divBdr>
    </w:div>
    <w:div w:id="1451969037">
      <w:bodyDiv w:val="1"/>
      <w:marLeft w:val="0"/>
      <w:marRight w:val="0"/>
      <w:marTop w:val="0"/>
      <w:marBottom w:val="0"/>
      <w:divBdr>
        <w:top w:val="none" w:sz="0" w:space="0" w:color="auto"/>
        <w:left w:val="none" w:sz="0" w:space="0" w:color="auto"/>
        <w:bottom w:val="none" w:sz="0" w:space="0" w:color="auto"/>
        <w:right w:val="none" w:sz="0" w:space="0" w:color="auto"/>
      </w:divBdr>
    </w:div>
    <w:div w:id="1452238005">
      <w:bodyDiv w:val="1"/>
      <w:marLeft w:val="0"/>
      <w:marRight w:val="0"/>
      <w:marTop w:val="0"/>
      <w:marBottom w:val="0"/>
      <w:divBdr>
        <w:top w:val="none" w:sz="0" w:space="0" w:color="auto"/>
        <w:left w:val="none" w:sz="0" w:space="0" w:color="auto"/>
        <w:bottom w:val="none" w:sz="0" w:space="0" w:color="auto"/>
        <w:right w:val="none" w:sz="0" w:space="0" w:color="auto"/>
      </w:divBdr>
    </w:div>
    <w:div w:id="1452361310">
      <w:bodyDiv w:val="1"/>
      <w:marLeft w:val="0"/>
      <w:marRight w:val="0"/>
      <w:marTop w:val="0"/>
      <w:marBottom w:val="0"/>
      <w:divBdr>
        <w:top w:val="none" w:sz="0" w:space="0" w:color="auto"/>
        <w:left w:val="none" w:sz="0" w:space="0" w:color="auto"/>
        <w:bottom w:val="none" w:sz="0" w:space="0" w:color="auto"/>
        <w:right w:val="none" w:sz="0" w:space="0" w:color="auto"/>
      </w:divBdr>
    </w:div>
    <w:div w:id="1452699860">
      <w:bodyDiv w:val="1"/>
      <w:marLeft w:val="0"/>
      <w:marRight w:val="0"/>
      <w:marTop w:val="0"/>
      <w:marBottom w:val="0"/>
      <w:divBdr>
        <w:top w:val="none" w:sz="0" w:space="0" w:color="auto"/>
        <w:left w:val="none" w:sz="0" w:space="0" w:color="auto"/>
        <w:bottom w:val="none" w:sz="0" w:space="0" w:color="auto"/>
        <w:right w:val="none" w:sz="0" w:space="0" w:color="auto"/>
      </w:divBdr>
    </w:div>
    <w:div w:id="1453398337">
      <w:bodyDiv w:val="1"/>
      <w:marLeft w:val="0"/>
      <w:marRight w:val="0"/>
      <w:marTop w:val="0"/>
      <w:marBottom w:val="0"/>
      <w:divBdr>
        <w:top w:val="none" w:sz="0" w:space="0" w:color="auto"/>
        <w:left w:val="none" w:sz="0" w:space="0" w:color="auto"/>
        <w:bottom w:val="none" w:sz="0" w:space="0" w:color="auto"/>
        <w:right w:val="none" w:sz="0" w:space="0" w:color="auto"/>
      </w:divBdr>
    </w:div>
    <w:div w:id="1454178408">
      <w:bodyDiv w:val="1"/>
      <w:marLeft w:val="0"/>
      <w:marRight w:val="0"/>
      <w:marTop w:val="0"/>
      <w:marBottom w:val="0"/>
      <w:divBdr>
        <w:top w:val="none" w:sz="0" w:space="0" w:color="auto"/>
        <w:left w:val="none" w:sz="0" w:space="0" w:color="auto"/>
        <w:bottom w:val="none" w:sz="0" w:space="0" w:color="auto"/>
        <w:right w:val="none" w:sz="0" w:space="0" w:color="auto"/>
      </w:divBdr>
    </w:div>
    <w:div w:id="1454328429">
      <w:bodyDiv w:val="1"/>
      <w:marLeft w:val="0"/>
      <w:marRight w:val="0"/>
      <w:marTop w:val="0"/>
      <w:marBottom w:val="0"/>
      <w:divBdr>
        <w:top w:val="none" w:sz="0" w:space="0" w:color="auto"/>
        <w:left w:val="none" w:sz="0" w:space="0" w:color="auto"/>
        <w:bottom w:val="none" w:sz="0" w:space="0" w:color="auto"/>
        <w:right w:val="none" w:sz="0" w:space="0" w:color="auto"/>
      </w:divBdr>
    </w:div>
    <w:div w:id="1454597530">
      <w:bodyDiv w:val="1"/>
      <w:marLeft w:val="0"/>
      <w:marRight w:val="0"/>
      <w:marTop w:val="0"/>
      <w:marBottom w:val="0"/>
      <w:divBdr>
        <w:top w:val="none" w:sz="0" w:space="0" w:color="auto"/>
        <w:left w:val="none" w:sz="0" w:space="0" w:color="auto"/>
        <w:bottom w:val="none" w:sz="0" w:space="0" w:color="auto"/>
        <w:right w:val="none" w:sz="0" w:space="0" w:color="auto"/>
      </w:divBdr>
    </w:div>
    <w:div w:id="1456823950">
      <w:bodyDiv w:val="1"/>
      <w:marLeft w:val="0"/>
      <w:marRight w:val="0"/>
      <w:marTop w:val="0"/>
      <w:marBottom w:val="0"/>
      <w:divBdr>
        <w:top w:val="none" w:sz="0" w:space="0" w:color="auto"/>
        <w:left w:val="none" w:sz="0" w:space="0" w:color="auto"/>
        <w:bottom w:val="none" w:sz="0" w:space="0" w:color="auto"/>
        <w:right w:val="none" w:sz="0" w:space="0" w:color="auto"/>
      </w:divBdr>
    </w:div>
    <w:div w:id="1458528051">
      <w:bodyDiv w:val="1"/>
      <w:marLeft w:val="0"/>
      <w:marRight w:val="0"/>
      <w:marTop w:val="0"/>
      <w:marBottom w:val="0"/>
      <w:divBdr>
        <w:top w:val="none" w:sz="0" w:space="0" w:color="auto"/>
        <w:left w:val="none" w:sz="0" w:space="0" w:color="auto"/>
        <w:bottom w:val="none" w:sz="0" w:space="0" w:color="auto"/>
        <w:right w:val="none" w:sz="0" w:space="0" w:color="auto"/>
      </w:divBdr>
    </w:div>
    <w:div w:id="1459225364">
      <w:bodyDiv w:val="1"/>
      <w:marLeft w:val="0"/>
      <w:marRight w:val="0"/>
      <w:marTop w:val="0"/>
      <w:marBottom w:val="0"/>
      <w:divBdr>
        <w:top w:val="none" w:sz="0" w:space="0" w:color="auto"/>
        <w:left w:val="none" w:sz="0" w:space="0" w:color="auto"/>
        <w:bottom w:val="none" w:sz="0" w:space="0" w:color="auto"/>
        <w:right w:val="none" w:sz="0" w:space="0" w:color="auto"/>
      </w:divBdr>
    </w:div>
    <w:div w:id="1460995831">
      <w:bodyDiv w:val="1"/>
      <w:marLeft w:val="0"/>
      <w:marRight w:val="0"/>
      <w:marTop w:val="0"/>
      <w:marBottom w:val="0"/>
      <w:divBdr>
        <w:top w:val="none" w:sz="0" w:space="0" w:color="auto"/>
        <w:left w:val="none" w:sz="0" w:space="0" w:color="auto"/>
        <w:bottom w:val="none" w:sz="0" w:space="0" w:color="auto"/>
        <w:right w:val="none" w:sz="0" w:space="0" w:color="auto"/>
      </w:divBdr>
    </w:div>
    <w:div w:id="1461875597">
      <w:bodyDiv w:val="1"/>
      <w:marLeft w:val="0"/>
      <w:marRight w:val="0"/>
      <w:marTop w:val="0"/>
      <w:marBottom w:val="0"/>
      <w:divBdr>
        <w:top w:val="none" w:sz="0" w:space="0" w:color="auto"/>
        <w:left w:val="none" w:sz="0" w:space="0" w:color="auto"/>
        <w:bottom w:val="none" w:sz="0" w:space="0" w:color="auto"/>
        <w:right w:val="none" w:sz="0" w:space="0" w:color="auto"/>
      </w:divBdr>
    </w:div>
    <w:div w:id="1461917887">
      <w:bodyDiv w:val="1"/>
      <w:marLeft w:val="0"/>
      <w:marRight w:val="0"/>
      <w:marTop w:val="0"/>
      <w:marBottom w:val="0"/>
      <w:divBdr>
        <w:top w:val="none" w:sz="0" w:space="0" w:color="auto"/>
        <w:left w:val="none" w:sz="0" w:space="0" w:color="auto"/>
        <w:bottom w:val="none" w:sz="0" w:space="0" w:color="auto"/>
        <w:right w:val="none" w:sz="0" w:space="0" w:color="auto"/>
      </w:divBdr>
    </w:div>
    <w:div w:id="1462311665">
      <w:bodyDiv w:val="1"/>
      <w:marLeft w:val="0"/>
      <w:marRight w:val="0"/>
      <w:marTop w:val="0"/>
      <w:marBottom w:val="0"/>
      <w:divBdr>
        <w:top w:val="none" w:sz="0" w:space="0" w:color="auto"/>
        <w:left w:val="none" w:sz="0" w:space="0" w:color="auto"/>
        <w:bottom w:val="none" w:sz="0" w:space="0" w:color="auto"/>
        <w:right w:val="none" w:sz="0" w:space="0" w:color="auto"/>
      </w:divBdr>
    </w:div>
    <w:div w:id="1462649735">
      <w:bodyDiv w:val="1"/>
      <w:marLeft w:val="0"/>
      <w:marRight w:val="0"/>
      <w:marTop w:val="0"/>
      <w:marBottom w:val="0"/>
      <w:divBdr>
        <w:top w:val="none" w:sz="0" w:space="0" w:color="auto"/>
        <w:left w:val="none" w:sz="0" w:space="0" w:color="auto"/>
        <w:bottom w:val="none" w:sz="0" w:space="0" w:color="auto"/>
        <w:right w:val="none" w:sz="0" w:space="0" w:color="auto"/>
      </w:divBdr>
    </w:div>
    <w:div w:id="1463422716">
      <w:bodyDiv w:val="1"/>
      <w:marLeft w:val="0"/>
      <w:marRight w:val="0"/>
      <w:marTop w:val="0"/>
      <w:marBottom w:val="0"/>
      <w:divBdr>
        <w:top w:val="none" w:sz="0" w:space="0" w:color="auto"/>
        <w:left w:val="none" w:sz="0" w:space="0" w:color="auto"/>
        <w:bottom w:val="none" w:sz="0" w:space="0" w:color="auto"/>
        <w:right w:val="none" w:sz="0" w:space="0" w:color="auto"/>
      </w:divBdr>
    </w:div>
    <w:div w:id="1463839727">
      <w:bodyDiv w:val="1"/>
      <w:marLeft w:val="0"/>
      <w:marRight w:val="0"/>
      <w:marTop w:val="0"/>
      <w:marBottom w:val="0"/>
      <w:divBdr>
        <w:top w:val="none" w:sz="0" w:space="0" w:color="auto"/>
        <w:left w:val="none" w:sz="0" w:space="0" w:color="auto"/>
        <w:bottom w:val="none" w:sz="0" w:space="0" w:color="auto"/>
        <w:right w:val="none" w:sz="0" w:space="0" w:color="auto"/>
      </w:divBdr>
    </w:div>
    <w:div w:id="1465151667">
      <w:bodyDiv w:val="1"/>
      <w:marLeft w:val="0"/>
      <w:marRight w:val="0"/>
      <w:marTop w:val="0"/>
      <w:marBottom w:val="0"/>
      <w:divBdr>
        <w:top w:val="none" w:sz="0" w:space="0" w:color="auto"/>
        <w:left w:val="none" w:sz="0" w:space="0" w:color="auto"/>
        <w:bottom w:val="none" w:sz="0" w:space="0" w:color="auto"/>
        <w:right w:val="none" w:sz="0" w:space="0" w:color="auto"/>
      </w:divBdr>
    </w:div>
    <w:div w:id="1465394721">
      <w:bodyDiv w:val="1"/>
      <w:marLeft w:val="0"/>
      <w:marRight w:val="0"/>
      <w:marTop w:val="0"/>
      <w:marBottom w:val="0"/>
      <w:divBdr>
        <w:top w:val="none" w:sz="0" w:space="0" w:color="auto"/>
        <w:left w:val="none" w:sz="0" w:space="0" w:color="auto"/>
        <w:bottom w:val="none" w:sz="0" w:space="0" w:color="auto"/>
        <w:right w:val="none" w:sz="0" w:space="0" w:color="auto"/>
      </w:divBdr>
    </w:div>
    <w:div w:id="1465613212">
      <w:bodyDiv w:val="1"/>
      <w:marLeft w:val="0"/>
      <w:marRight w:val="0"/>
      <w:marTop w:val="0"/>
      <w:marBottom w:val="0"/>
      <w:divBdr>
        <w:top w:val="none" w:sz="0" w:space="0" w:color="auto"/>
        <w:left w:val="none" w:sz="0" w:space="0" w:color="auto"/>
        <w:bottom w:val="none" w:sz="0" w:space="0" w:color="auto"/>
        <w:right w:val="none" w:sz="0" w:space="0" w:color="auto"/>
      </w:divBdr>
    </w:div>
    <w:div w:id="1466192335">
      <w:bodyDiv w:val="1"/>
      <w:marLeft w:val="0"/>
      <w:marRight w:val="0"/>
      <w:marTop w:val="0"/>
      <w:marBottom w:val="0"/>
      <w:divBdr>
        <w:top w:val="none" w:sz="0" w:space="0" w:color="auto"/>
        <w:left w:val="none" w:sz="0" w:space="0" w:color="auto"/>
        <w:bottom w:val="none" w:sz="0" w:space="0" w:color="auto"/>
        <w:right w:val="none" w:sz="0" w:space="0" w:color="auto"/>
      </w:divBdr>
    </w:div>
    <w:div w:id="1467552143">
      <w:bodyDiv w:val="1"/>
      <w:marLeft w:val="0"/>
      <w:marRight w:val="0"/>
      <w:marTop w:val="0"/>
      <w:marBottom w:val="0"/>
      <w:divBdr>
        <w:top w:val="none" w:sz="0" w:space="0" w:color="auto"/>
        <w:left w:val="none" w:sz="0" w:space="0" w:color="auto"/>
        <w:bottom w:val="none" w:sz="0" w:space="0" w:color="auto"/>
        <w:right w:val="none" w:sz="0" w:space="0" w:color="auto"/>
      </w:divBdr>
    </w:div>
    <w:div w:id="1469321773">
      <w:bodyDiv w:val="1"/>
      <w:marLeft w:val="0"/>
      <w:marRight w:val="0"/>
      <w:marTop w:val="0"/>
      <w:marBottom w:val="0"/>
      <w:divBdr>
        <w:top w:val="none" w:sz="0" w:space="0" w:color="auto"/>
        <w:left w:val="none" w:sz="0" w:space="0" w:color="auto"/>
        <w:bottom w:val="none" w:sz="0" w:space="0" w:color="auto"/>
        <w:right w:val="none" w:sz="0" w:space="0" w:color="auto"/>
      </w:divBdr>
    </w:div>
    <w:div w:id="1470590929">
      <w:bodyDiv w:val="1"/>
      <w:marLeft w:val="0"/>
      <w:marRight w:val="0"/>
      <w:marTop w:val="0"/>
      <w:marBottom w:val="0"/>
      <w:divBdr>
        <w:top w:val="none" w:sz="0" w:space="0" w:color="auto"/>
        <w:left w:val="none" w:sz="0" w:space="0" w:color="auto"/>
        <w:bottom w:val="none" w:sz="0" w:space="0" w:color="auto"/>
        <w:right w:val="none" w:sz="0" w:space="0" w:color="auto"/>
      </w:divBdr>
    </w:div>
    <w:div w:id="1471677911">
      <w:bodyDiv w:val="1"/>
      <w:marLeft w:val="0"/>
      <w:marRight w:val="0"/>
      <w:marTop w:val="0"/>
      <w:marBottom w:val="0"/>
      <w:divBdr>
        <w:top w:val="none" w:sz="0" w:space="0" w:color="auto"/>
        <w:left w:val="none" w:sz="0" w:space="0" w:color="auto"/>
        <w:bottom w:val="none" w:sz="0" w:space="0" w:color="auto"/>
        <w:right w:val="none" w:sz="0" w:space="0" w:color="auto"/>
      </w:divBdr>
    </w:div>
    <w:div w:id="1473253284">
      <w:bodyDiv w:val="1"/>
      <w:marLeft w:val="0"/>
      <w:marRight w:val="0"/>
      <w:marTop w:val="0"/>
      <w:marBottom w:val="0"/>
      <w:divBdr>
        <w:top w:val="none" w:sz="0" w:space="0" w:color="auto"/>
        <w:left w:val="none" w:sz="0" w:space="0" w:color="auto"/>
        <w:bottom w:val="none" w:sz="0" w:space="0" w:color="auto"/>
        <w:right w:val="none" w:sz="0" w:space="0" w:color="auto"/>
      </w:divBdr>
    </w:div>
    <w:div w:id="1475025650">
      <w:bodyDiv w:val="1"/>
      <w:marLeft w:val="0"/>
      <w:marRight w:val="0"/>
      <w:marTop w:val="0"/>
      <w:marBottom w:val="0"/>
      <w:divBdr>
        <w:top w:val="none" w:sz="0" w:space="0" w:color="auto"/>
        <w:left w:val="none" w:sz="0" w:space="0" w:color="auto"/>
        <w:bottom w:val="none" w:sz="0" w:space="0" w:color="auto"/>
        <w:right w:val="none" w:sz="0" w:space="0" w:color="auto"/>
      </w:divBdr>
    </w:div>
    <w:div w:id="1475026195">
      <w:bodyDiv w:val="1"/>
      <w:marLeft w:val="0"/>
      <w:marRight w:val="0"/>
      <w:marTop w:val="0"/>
      <w:marBottom w:val="0"/>
      <w:divBdr>
        <w:top w:val="none" w:sz="0" w:space="0" w:color="auto"/>
        <w:left w:val="none" w:sz="0" w:space="0" w:color="auto"/>
        <w:bottom w:val="none" w:sz="0" w:space="0" w:color="auto"/>
        <w:right w:val="none" w:sz="0" w:space="0" w:color="auto"/>
      </w:divBdr>
    </w:div>
    <w:div w:id="1475680524">
      <w:bodyDiv w:val="1"/>
      <w:marLeft w:val="0"/>
      <w:marRight w:val="0"/>
      <w:marTop w:val="0"/>
      <w:marBottom w:val="0"/>
      <w:divBdr>
        <w:top w:val="none" w:sz="0" w:space="0" w:color="auto"/>
        <w:left w:val="none" w:sz="0" w:space="0" w:color="auto"/>
        <w:bottom w:val="none" w:sz="0" w:space="0" w:color="auto"/>
        <w:right w:val="none" w:sz="0" w:space="0" w:color="auto"/>
      </w:divBdr>
    </w:div>
    <w:div w:id="1476142867">
      <w:bodyDiv w:val="1"/>
      <w:marLeft w:val="0"/>
      <w:marRight w:val="0"/>
      <w:marTop w:val="0"/>
      <w:marBottom w:val="0"/>
      <w:divBdr>
        <w:top w:val="none" w:sz="0" w:space="0" w:color="auto"/>
        <w:left w:val="none" w:sz="0" w:space="0" w:color="auto"/>
        <w:bottom w:val="none" w:sz="0" w:space="0" w:color="auto"/>
        <w:right w:val="none" w:sz="0" w:space="0" w:color="auto"/>
      </w:divBdr>
    </w:div>
    <w:div w:id="1477213775">
      <w:bodyDiv w:val="1"/>
      <w:marLeft w:val="0"/>
      <w:marRight w:val="0"/>
      <w:marTop w:val="0"/>
      <w:marBottom w:val="0"/>
      <w:divBdr>
        <w:top w:val="none" w:sz="0" w:space="0" w:color="auto"/>
        <w:left w:val="none" w:sz="0" w:space="0" w:color="auto"/>
        <w:bottom w:val="none" w:sz="0" w:space="0" w:color="auto"/>
        <w:right w:val="none" w:sz="0" w:space="0" w:color="auto"/>
      </w:divBdr>
    </w:div>
    <w:div w:id="1477455944">
      <w:bodyDiv w:val="1"/>
      <w:marLeft w:val="0"/>
      <w:marRight w:val="0"/>
      <w:marTop w:val="0"/>
      <w:marBottom w:val="0"/>
      <w:divBdr>
        <w:top w:val="none" w:sz="0" w:space="0" w:color="auto"/>
        <w:left w:val="none" w:sz="0" w:space="0" w:color="auto"/>
        <w:bottom w:val="none" w:sz="0" w:space="0" w:color="auto"/>
        <w:right w:val="none" w:sz="0" w:space="0" w:color="auto"/>
      </w:divBdr>
    </w:div>
    <w:div w:id="1477994343">
      <w:bodyDiv w:val="1"/>
      <w:marLeft w:val="0"/>
      <w:marRight w:val="0"/>
      <w:marTop w:val="0"/>
      <w:marBottom w:val="0"/>
      <w:divBdr>
        <w:top w:val="none" w:sz="0" w:space="0" w:color="auto"/>
        <w:left w:val="none" w:sz="0" w:space="0" w:color="auto"/>
        <w:bottom w:val="none" w:sz="0" w:space="0" w:color="auto"/>
        <w:right w:val="none" w:sz="0" w:space="0" w:color="auto"/>
      </w:divBdr>
    </w:div>
    <w:div w:id="1480536493">
      <w:bodyDiv w:val="1"/>
      <w:marLeft w:val="0"/>
      <w:marRight w:val="0"/>
      <w:marTop w:val="0"/>
      <w:marBottom w:val="0"/>
      <w:divBdr>
        <w:top w:val="none" w:sz="0" w:space="0" w:color="auto"/>
        <w:left w:val="none" w:sz="0" w:space="0" w:color="auto"/>
        <w:bottom w:val="none" w:sz="0" w:space="0" w:color="auto"/>
        <w:right w:val="none" w:sz="0" w:space="0" w:color="auto"/>
      </w:divBdr>
    </w:div>
    <w:div w:id="1482312243">
      <w:bodyDiv w:val="1"/>
      <w:marLeft w:val="0"/>
      <w:marRight w:val="0"/>
      <w:marTop w:val="0"/>
      <w:marBottom w:val="0"/>
      <w:divBdr>
        <w:top w:val="none" w:sz="0" w:space="0" w:color="auto"/>
        <w:left w:val="none" w:sz="0" w:space="0" w:color="auto"/>
        <w:bottom w:val="none" w:sz="0" w:space="0" w:color="auto"/>
        <w:right w:val="none" w:sz="0" w:space="0" w:color="auto"/>
      </w:divBdr>
    </w:div>
    <w:div w:id="1482387027">
      <w:bodyDiv w:val="1"/>
      <w:marLeft w:val="0"/>
      <w:marRight w:val="0"/>
      <w:marTop w:val="0"/>
      <w:marBottom w:val="0"/>
      <w:divBdr>
        <w:top w:val="none" w:sz="0" w:space="0" w:color="auto"/>
        <w:left w:val="none" w:sz="0" w:space="0" w:color="auto"/>
        <w:bottom w:val="none" w:sz="0" w:space="0" w:color="auto"/>
        <w:right w:val="none" w:sz="0" w:space="0" w:color="auto"/>
      </w:divBdr>
    </w:div>
    <w:div w:id="1482772925">
      <w:bodyDiv w:val="1"/>
      <w:marLeft w:val="0"/>
      <w:marRight w:val="0"/>
      <w:marTop w:val="0"/>
      <w:marBottom w:val="0"/>
      <w:divBdr>
        <w:top w:val="none" w:sz="0" w:space="0" w:color="auto"/>
        <w:left w:val="none" w:sz="0" w:space="0" w:color="auto"/>
        <w:bottom w:val="none" w:sz="0" w:space="0" w:color="auto"/>
        <w:right w:val="none" w:sz="0" w:space="0" w:color="auto"/>
      </w:divBdr>
    </w:div>
    <w:div w:id="1483042831">
      <w:bodyDiv w:val="1"/>
      <w:marLeft w:val="0"/>
      <w:marRight w:val="0"/>
      <w:marTop w:val="0"/>
      <w:marBottom w:val="0"/>
      <w:divBdr>
        <w:top w:val="none" w:sz="0" w:space="0" w:color="auto"/>
        <w:left w:val="none" w:sz="0" w:space="0" w:color="auto"/>
        <w:bottom w:val="none" w:sz="0" w:space="0" w:color="auto"/>
        <w:right w:val="none" w:sz="0" w:space="0" w:color="auto"/>
      </w:divBdr>
    </w:div>
    <w:div w:id="1484468142">
      <w:bodyDiv w:val="1"/>
      <w:marLeft w:val="0"/>
      <w:marRight w:val="0"/>
      <w:marTop w:val="0"/>
      <w:marBottom w:val="0"/>
      <w:divBdr>
        <w:top w:val="none" w:sz="0" w:space="0" w:color="auto"/>
        <w:left w:val="none" w:sz="0" w:space="0" w:color="auto"/>
        <w:bottom w:val="none" w:sz="0" w:space="0" w:color="auto"/>
        <w:right w:val="none" w:sz="0" w:space="0" w:color="auto"/>
      </w:divBdr>
    </w:div>
    <w:div w:id="1485272811">
      <w:bodyDiv w:val="1"/>
      <w:marLeft w:val="0"/>
      <w:marRight w:val="0"/>
      <w:marTop w:val="0"/>
      <w:marBottom w:val="0"/>
      <w:divBdr>
        <w:top w:val="none" w:sz="0" w:space="0" w:color="auto"/>
        <w:left w:val="none" w:sz="0" w:space="0" w:color="auto"/>
        <w:bottom w:val="none" w:sz="0" w:space="0" w:color="auto"/>
        <w:right w:val="none" w:sz="0" w:space="0" w:color="auto"/>
      </w:divBdr>
    </w:div>
    <w:div w:id="1485274349">
      <w:bodyDiv w:val="1"/>
      <w:marLeft w:val="0"/>
      <w:marRight w:val="0"/>
      <w:marTop w:val="0"/>
      <w:marBottom w:val="0"/>
      <w:divBdr>
        <w:top w:val="none" w:sz="0" w:space="0" w:color="auto"/>
        <w:left w:val="none" w:sz="0" w:space="0" w:color="auto"/>
        <w:bottom w:val="none" w:sz="0" w:space="0" w:color="auto"/>
        <w:right w:val="none" w:sz="0" w:space="0" w:color="auto"/>
      </w:divBdr>
    </w:div>
    <w:div w:id="1486048184">
      <w:bodyDiv w:val="1"/>
      <w:marLeft w:val="0"/>
      <w:marRight w:val="0"/>
      <w:marTop w:val="0"/>
      <w:marBottom w:val="0"/>
      <w:divBdr>
        <w:top w:val="none" w:sz="0" w:space="0" w:color="auto"/>
        <w:left w:val="none" w:sz="0" w:space="0" w:color="auto"/>
        <w:bottom w:val="none" w:sz="0" w:space="0" w:color="auto"/>
        <w:right w:val="none" w:sz="0" w:space="0" w:color="auto"/>
      </w:divBdr>
    </w:div>
    <w:div w:id="1486969300">
      <w:bodyDiv w:val="1"/>
      <w:marLeft w:val="0"/>
      <w:marRight w:val="0"/>
      <w:marTop w:val="0"/>
      <w:marBottom w:val="0"/>
      <w:divBdr>
        <w:top w:val="none" w:sz="0" w:space="0" w:color="auto"/>
        <w:left w:val="none" w:sz="0" w:space="0" w:color="auto"/>
        <w:bottom w:val="none" w:sz="0" w:space="0" w:color="auto"/>
        <w:right w:val="none" w:sz="0" w:space="0" w:color="auto"/>
      </w:divBdr>
    </w:div>
    <w:div w:id="1487471586">
      <w:bodyDiv w:val="1"/>
      <w:marLeft w:val="0"/>
      <w:marRight w:val="0"/>
      <w:marTop w:val="0"/>
      <w:marBottom w:val="0"/>
      <w:divBdr>
        <w:top w:val="none" w:sz="0" w:space="0" w:color="auto"/>
        <w:left w:val="none" w:sz="0" w:space="0" w:color="auto"/>
        <w:bottom w:val="none" w:sz="0" w:space="0" w:color="auto"/>
        <w:right w:val="none" w:sz="0" w:space="0" w:color="auto"/>
      </w:divBdr>
    </w:div>
    <w:div w:id="1487743298">
      <w:bodyDiv w:val="1"/>
      <w:marLeft w:val="0"/>
      <w:marRight w:val="0"/>
      <w:marTop w:val="0"/>
      <w:marBottom w:val="0"/>
      <w:divBdr>
        <w:top w:val="none" w:sz="0" w:space="0" w:color="auto"/>
        <w:left w:val="none" w:sz="0" w:space="0" w:color="auto"/>
        <w:bottom w:val="none" w:sz="0" w:space="0" w:color="auto"/>
        <w:right w:val="none" w:sz="0" w:space="0" w:color="auto"/>
      </w:divBdr>
    </w:div>
    <w:div w:id="1488130083">
      <w:bodyDiv w:val="1"/>
      <w:marLeft w:val="0"/>
      <w:marRight w:val="0"/>
      <w:marTop w:val="0"/>
      <w:marBottom w:val="0"/>
      <w:divBdr>
        <w:top w:val="none" w:sz="0" w:space="0" w:color="auto"/>
        <w:left w:val="none" w:sz="0" w:space="0" w:color="auto"/>
        <w:bottom w:val="none" w:sz="0" w:space="0" w:color="auto"/>
        <w:right w:val="none" w:sz="0" w:space="0" w:color="auto"/>
      </w:divBdr>
    </w:div>
    <w:div w:id="1489053624">
      <w:bodyDiv w:val="1"/>
      <w:marLeft w:val="0"/>
      <w:marRight w:val="0"/>
      <w:marTop w:val="0"/>
      <w:marBottom w:val="0"/>
      <w:divBdr>
        <w:top w:val="none" w:sz="0" w:space="0" w:color="auto"/>
        <w:left w:val="none" w:sz="0" w:space="0" w:color="auto"/>
        <w:bottom w:val="none" w:sz="0" w:space="0" w:color="auto"/>
        <w:right w:val="none" w:sz="0" w:space="0" w:color="auto"/>
      </w:divBdr>
    </w:div>
    <w:div w:id="1489174970">
      <w:bodyDiv w:val="1"/>
      <w:marLeft w:val="0"/>
      <w:marRight w:val="0"/>
      <w:marTop w:val="0"/>
      <w:marBottom w:val="0"/>
      <w:divBdr>
        <w:top w:val="none" w:sz="0" w:space="0" w:color="auto"/>
        <w:left w:val="none" w:sz="0" w:space="0" w:color="auto"/>
        <w:bottom w:val="none" w:sz="0" w:space="0" w:color="auto"/>
        <w:right w:val="none" w:sz="0" w:space="0" w:color="auto"/>
      </w:divBdr>
    </w:div>
    <w:div w:id="1489592954">
      <w:bodyDiv w:val="1"/>
      <w:marLeft w:val="0"/>
      <w:marRight w:val="0"/>
      <w:marTop w:val="0"/>
      <w:marBottom w:val="0"/>
      <w:divBdr>
        <w:top w:val="none" w:sz="0" w:space="0" w:color="auto"/>
        <w:left w:val="none" w:sz="0" w:space="0" w:color="auto"/>
        <w:bottom w:val="none" w:sz="0" w:space="0" w:color="auto"/>
        <w:right w:val="none" w:sz="0" w:space="0" w:color="auto"/>
      </w:divBdr>
    </w:div>
    <w:div w:id="1489858952">
      <w:bodyDiv w:val="1"/>
      <w:marLeft w:val="0"/>
      <w:marRight w:val="0"/>
      <w:marTop w:val="0"/>
      <w:marBottom w:val="0"/>
      <w:divBdr>
        <w:top w:val="none" w:sz="0" w:space="0" w:color="auto"/>
        <w:left w:val="none" w:sz="0" w:space="0" w:color="auto"/>
        <w:bottom w:val="none" w:sz="0" w:space="0" w:color="auto"/>
        <w:right w:val="none" w:sz="0" w:space="0" w:color="auto"/>
      </w:divBdr>
    </w:div>
    <w:div w:id="1489983568">
      <w:bodyDiv w:val="1"/>
      <w:marLeft w:val="0"/>
      <w:marRight w:val="0"/>
      <w:marTop w:val="0"/>
      <w:marBottom w:val="0"/>
      <w:divBdr>
        <w:top w:val="none" w:sz="0" w:space="0" w:color="auto"/>
        <w:left w:val="none" w:sz="0" w:space="0" w:color="auto"/>
        <w:bottom w:val="none" w:sz="0" w:space="0" w:color="auto"/>
        <w:right w:val="none" w:sz="0" w:space="0" w:color="auto"/>
      </w:divBdr>
    </w:div>
    <w:div w:id="1491169366">
      <w:bodyDiv w:val="1"/>
      <w:marLeft w:val="0"/>
      <w:marRight w:val="0"/>
      <w:marTop w:val="0"/>
      <w:marBottom w:val="0"/>
      <w:divBdr>
        <w:top w:val="none" w:sz="0" w:space="0" w:color="auto"/>
        <w:left w:val="none" w:sz="0" w:space="0" w:color="auto"/>
        <w:bottom w:val="none" w:sz="0" w:space="0" w:color="auto"/>
        <w:right w:val="none" w:sz="0" w:space="0" w:color="auto"/>
      </w:divBdr>
    </w:div>
    <w:div w:id="1491364355">
      <w:bodyDiv w:val="1"/>
      <w:marLeft w:val="0"/>
      <w:marRight w:val="0"/>
      <w:marTop w:val="0"/>
      <w:marBottom w:val="0"/>
      <w:divBdr>
        <w:top w:val="none" w:sz="0" w:space="0" w:color="auto"/>
        <w:left w:val="none" w:sz="0" w:space="0" w:color="auto"/>
        <w:bottom w:val="none" w:sz="0" w:space="0" w:color="auto"/>
        <w:right w:val="none" w:sz="0" w:space="0" w:color="auto"/>
      </w:divBdr>
    </w:div>
    <w:div w:id="1492020096">
      <w:bodyDiv w:val="1"/>
      <w:marLeft w:val="0"/>
      <w:marRight w:val="0"/>
      <w:marTop w:val="0"/>
      <w:marBottom w:val="0"/>
      <w:divBdr>
        <w:top w:val="none" w:sz="0" w:space="0" w:color="auto"/>
        <w:left w:val="none" w:sz="0" w:space="0" w:color="auto"/>
        <w:bottom w:val="none" w:sz="0" w:space="0" w:color="auto"/>
        <w:right w:val="none" w:sz="0" w:space="0" w:color="auto"/>
      </w:divBdr>
    </w:div>
    <w:div w:id="1493058336">
      <w:bodyDiv w:val="1"/>
      <w:marLeft w:val="0"/>
      <w:marRight w:val="0"/>
      <w:marTop w:val="0"/>
      <w:marBottom w:val="0"/>
      <w:divBdr>
        <w:top w:val="none" w:sz="0" w:space="0" w:color="auto"/>
        <w:left w:val="none" w:sz="0" w:space="0" w:color="auto"/>
        <w:bottom w:val="none" w:sz="0" w:space="0" w:color="auto"/>
        <w:right w:val="none" w:sz="0" w:space="0" w:color="auto"/>
      </w:divBdr>
    </w:div>
    <w:div w:id="1493914843">
      <w:bodyDiv w:val="1"/>
      <w:marLeft w:val="0"/>
      <w:marRight w:val="0"/>
      <w:marTop w:val="0"/>
      <w:marBottom w:val="0"/>
      <w:divBdr>
        <w:top w:val="none" w:sz="0" w:space="0" w:color="auto"/>
        <w:left w:val="none" w:sz="0" w:space="0" w:color="auto"/>
        <w:bottom w:val="none" w:sz="0" w:space="0" w:color="auto"/>
        <w:right w:val="none" w:sz="0" w:space="0" w:color="auto"/>
      </w:divBdr>
    </w:div>
    <w:div w:id="1494755756">
      <w:bodyDiv w:val="1"/>
      <w:marLeft w:val="0"/>
      <w:marRight w:val="0"/>
      <w:marTop w:val="0"/>
      <w:marBottom w:val="0"/>
      <w:divBdr>
        <w:top w:val="none" w:sz="0" w:space="0" w:color="auto"/>
        <w:left w:val="none" w:sz="0" w:space="0" w:color="auto"/>
        <w:bottom w:val="none" w:sz="0" w:space="0" w:color="auto"/>
        <w:right w:val="none" w:sz="0" w:space="0" w:color="auto"/>
      </w:divBdr>
    </w:div>
    <w:div w:id="1494908293">
      <w:bodyDiv w:val="1"/>
      <w:marLeft w:val="0"/>
      <w:marRight w:val="0"/>
      <w:marTop w:val="0"/>
      <w:marBottom w:val="0"/>
      <w:divBdr>
        <w:top w:val="none" w:sz="0" w:space="0" w:color="auto"/>
        <w:left w:val="none" w:sz="0" w:space="0" w:color="auto"/>
        <w:bottom w:val="none" w:sz="0" w:space="0" w:color="auto"/>
        <w:right w:val="none" w:sz="0" w:space="0" w:color="auto"/>
      </w:divBdr>
    </w:div>
    <w:div w:id="1495103430">
      <w:bodyDiv w:val="1"/>
      <w:marLeft w:val="0"/>
      <w:marRight w:val="0"/>
      <w:marTop w:val="0"/>
      <w:marBottom w:val="0"/>
      <w:divBdr>
        <w:top w:val="none" w:sz="0" w:space="0" w:color="auto"/>
        <w:left w:val="none" w:sz="0" w:space="0" w:color="auto"/>
        <w:bottom w:val="none" w:sz="0" w:space="0" w:color="auto"/>
        <w:right w:val="none" w:sz="0" w:space="0" w:color="auto"/>
      </w:divBdr>
    </w:div>
    <w:div w:id="1496265205">
      <w:bodyDiv w:val="1"/>
      <w:marLeft w:val="0"/>
      <w:marRight w:val="0"/>
      <w:marTop w:val="0"/>
      <w:marBottom w:val="0"/>
      <w:divBdr>
        <w:top w:val="none" w:sz="0" w:space="0" w:color="auto"/>
        <w:left w:val="none" w:sz="0" w:space="0" w:color="auto"/>
        <w:bottom w:val="none" w:sz="0" w:space="0" w:color="auto"/>
        <w:right w:val="none" w:sz="0" w:space="0" w:color="auto"/>
      </w:divBdr>
    </w:div>
    <w:div w:id="1497069234">
      <w:bodyDiv w:val="1"/>
      <w:marLeft w:val="0"/>
      <w:marRight w:val="0"/>
      <w:marTop w:val="0"/>
      <w:marBottom w:val="0"/>
      <w:divBdr>
        <w:top w:val="none" w:sz="0" w:space="0" w:color="auto"/>
        <w:left w:val="none" w:sz="0" w:space="0" w:color="auto"/>
        <w:bottom w:val="none" w:sz="0" w:space="0" w:color="auto"/>
        <w:right w:val="none" w:sz="0" w:space="0" w:color="auto"/>
      </w:divBdr>
    </w:div>
    <w:div w:id="1497187503">
      <w:bodyDiv w:val="1"/>
      <w:marLeft w:val="0"/>
      <w:marRight w:val="0"/>
      <w:marTop w:val="0"/>
      <w:marBottom w:val="0"/>
      <w:divBdr>
        <w:top w:val="none" w:sz="0" w:space="0" w:color="auto"/>
        <w:left w:val="none" w:sz="0" w:space="0" w:color="auto"/>
        <w:bottom w:val="none" w:sz="0" w:space="0" w:color="auto"/>
        <w:right w:val="none" w:sz="0" w:space="0" w:color="auto"/>
      </w:divBdr>
    </w:div>
    <w:div w:id="1497695877">
      <w:bodyDiv w:val="1"/>
      <w:marLeft w:val="0"/>
      <w:marRight w:val="0"/>
      <w:marTop w:val="0"/>
      <w:marBottom w:val="0"/>
      <w:divBdr>
        <w:top w:val="none" w:sz="0" w:space="0" w:color="auto"/>
        <w:left w:val="none" w:sz="0" w:space="0" w:color="auto"/>
        <w:bottom w:val="none" w:sz="0" w:space="0" w:color="auto"/>
        <w:right w:val="none" w:sz="0" w:space="0" w:color="auto"/>
      </w:divBdr>
    </w:div>
    <w:div w:id="1498882405">
      <w:bodyDiv w:val="1"/>
      <w:marLeft w:val="0"/>
      <w:marRight w:val="0"/>
      <w:marTop w:val="0"/>
      <w:marBottom w:val="0"/>
      <w:divBdr>
        <w:top w:val="none" w:sz="0" w:space="0" w:color="auto"/>
        <w:left w:val="none" w:sz="0" w:space="0" w:color="auto"/>
        <w:bottom w:val="none" w:sz="0" w:space="0" w:color="auto"/>
        <w:right w:val="none" w:sz="0" w:space="0" w:color="auto"/>
      </w:divBdr>
    </w:div>
    <w:div w:id="1499615807">
      <w:bodyDiv w:val="1"/>
      <w:marLeft w:val="0"/>
      <w:marRight w:val="0"/>
      <w:marTop w:val="0"/>
      <w:marBottom w:val="0"/>
      <w:divBdr>
        <w:top w:val="none" w:sz="0" w:space="0" w:color="auto"/>
        <w:left w:val="none" w:sz="0" w:space="0" w:color="auto"/>
        <w:bottom w:val="none" w:sz="0" w:space="0" w:color="auto"/>
        <w:right w:val="none" w:sz="0" w:space="0" w:color="auto"/>
      </w:divBdr>
    </w:div>
    <w:div w:id="1501123058">
      <w:bodyDiv w:val="1"/>
      <w:marLeft w:val="0"/>
      <w:marRight w:val="0"/>
      <w:marTop w:val="0"/>
      <w:marBottom w:val="0"/>
      <w:divBdr>
        <w:top w:val="none" w:sz="0" w:space="0" w:color="auto"/>
        <w:left w:val="none" w:sz="0" w:space="0" w:color="auto"/>
        <w:bottom w:val="none" w:sz="0" w:space="0" w:color="auto"/>
        <w:right w:val="none" w:sz="0" w:space="0" w:color="auto"/>
      </w:divBdr>
    </w:div>
    <w:div w:id="1501696819">
      <w:bodyDiv w:val="1"/>
      <w:marLeft w:val="0"/>
      <w:marRight w:val="0"/>
      <w:marTop w:val="0"/>
      <w:marBottom w:val="0"/>
      <w:divBdr>
        <w:top w:val="none" w:sz="0" w:space="0" w:color="auto"/>
        <w:left w:val="none" w:sz="0" w:space="0" w:color="auto"/>
        <w:bottom w:val="none" w:sz="0" w:space="0" w:color="auto"/>
        <w:right w:val="none" w:sz="0" w:space="0" w:color="auto"/>
      </w:divBdr>
    </w:div>
    <w:div w:id="1502965335">
      <w:bodyDiv w:val="1"/>
      <w:marLeft w:val="0"/>
      <w:marRight w:val="0"/>
      <w:marTop w:val="0"/>
      <w:marBottom w:val="0"/>
      <w:divBdr>
        <w:top w:val="none" w:sz="0" w:space="0" w:color="auto"/>
        <w:left w:val="none" w:sz="0" w:space="0" w:color="auto"/>
        <w:bottom w:val="none" w:sz="0" w:space="0" w:color="auto"/>
        <w:right w:val="none" w:sz="0" w:space="0" w:color="auto"/>
      </w:divBdr>
    </w:div>
    <w:div w:id="1503859377">
      <w:bodyDiv w:val="1"/>
      <w:marLeft w:val="0"/>
      <w:marRight w:val="0"/>
      <w:marTop w:val="0"/>
      <w:marBottom w:val="0"/>
      <w:divBdr>
        <w:top w:val="none" w:sz="0" w:space="0" w:color="auto"/>
        <w:left w:val="none" w:sz="0" w:space="0" w:color="auto"/>
        <w:bottom w:val="none" w:sz="0" w:space="0" w:color="auto"/>
        <w:right w:val="none" w:sz="0" w:space="0" w:color="auto"/>
      </w:divBdr>
    </w:div>
    <w:div w:id="1504275015">
      <w:bodyDiv w:val="1"/>
      <w:marLeft w:val="0"/>
      <w:marRight w:val="0"/>
      <w:marTop w:val="0"/>
      <w:marBottom w:val="0"/>
      <w:divBdr>
        <w:top w:val="none" w:sz="0" w:space="0" w:color="auto"/>
        <w:left w:val="none" w:sz="0" w:space="0" w:color="auto"/>
        <w:bottom w:val="none" w:sz="0" w:space="0" w:color="auto"/>
        <w:right w:val="none" w:sz="0" w:space="0" w:color="auto"/>
      </w:divBdr>
    </w:div>
    <w:div w:id="1504323106">
      <w:bodyDiv w:val="1"/>
      <w:marLeft w:val="0"/>
      <w:marRight w:val="0"/>
      <w:marTop w:val="0"/>
      <w:marBottom w:val="0"/>
      <w:divBdr>
        <w:top w:val="none" w:sz="0" w:space="0" w:color="auto"/>
        <w:left w:val="none" w:sz="0" w:space="0" w:color="auto"/>
        <w:bottom w:val="none" w:sz="0" w:space="0" w:color="auto"/>
        <w:right w:val="none" w:sz="0" w:space="0" w:color="auto"/>
      </w:divBdr>
    </w:div>
    <w:div w:id="1504928852">
      <w:bodyDiv w:val="1"/>
      <w:marLeft w:val="0"/>
      <w:marRight w:val="0"/>
      <w:marTop w:val="0"/>
      <w:marBottom w:val="0"/>
      <w:divBdr>
        <w:top w:val="none" w:sz="0" w:space="0" w:color="auto"/>
        <w:left w:val="none" w:sz="0" w:space="0" w:color="auto"/>
        <w:bottom w:val="none" w:sz="0" w:space="0" w:color="auto"/>
        <w:right w:val="none" w:sz="0" w:space="0" w:color="auto"/>
      </w:divBdr>
    </w:div>
    <w:div w:id="1506017842">
      <w:bodyDiv w:val="1"/>
      <w:marLeft w:val="0"/>
      <w:marRight w:val="0"/>
      <w:marTop w:val="0"/>
      <w:marBottom w:val="0"/>
      <w:divBdr>
        <w:top w:val="none" w:sz="0" w:space="0" w:color="auto"/>
        <w:left w:val="none" w:sz="0" w:space="0" w:color="auto"/>
        <w:bottom w:val="none" w:sz="0" w:space="0" w:color="auto"/>
        <w:right w:val="none" w:sz="0" w:space="0" w:color="auto"/>
      </w:divBdr>
    </w:div>
    <w:div w:id="1506287544">
      <w:bodyDiv w:val="1"/>
      <w:marLeft w:val="0"/>
      <w:marRight w:val="0"/>
      <w:marTop w:val="0"/>
      <w:marBottom w:val="0"/>
      <w:divBdr>
        <w:top w:val="none" w:sz="0" w:space="0" w:color="auto"/>
        <w:left w:val="none" w:sz="0" w:space="0" w:color="auto"/>
        <w:bottom w:val="none" w:sz="0" w:space="0" w:color="auto"/>
        <w:right w:val="none" w:sz="0" w:space="0" w:color="auto"/>
      </w:divBdr>
    </w:div>
    <w:div w:id="1506743231">
      <w:bodyDiv w:val="1"/>
      <w:marLeft w:val="0"/>
      <w:marRight w:val="0"/>
      <w:marTop w:val="0"/>
      <w:marBottom w:val="0"/>
      <w:divBdr>
        <w:top w:val="none" w:sz="0" w:space="0" w:color="auto"/>
        <w:left w:val="none" w:sz="0" w:space="0" w:color="auto"/>
        <w:bottom w:val="none" w:sz="0" w:space="0" w:color="auto"/>
        <w:right w:val="none" w:sz="0" w:space="0" w:color="auto"/>
      </w:divBdr>
    </w:div>
    <w:div w:id="1507288691">
      <w:bodyDiv w:val="1"/>
      <w:marLeft w:val="0"/>
      <w:marRight w:val="0"/>
      <w:marTop w:val="0"/>
      <w:marBottom w:val="0"/>
      <w:divBdr>
        <w:top w:val="none" w:sz="0" w:space="0" w:color="auto"/>
        <w:left w:val="none" w:sz="0" w:space="0" w:color="auto"/>
        <w:bottom w:val="none" w:sz="0" w:space="0" w:color="auto"/>
        <w:right w:val="none" w:sz="0" w:space="0" w:color="auto"/>
      </w:divBdr>
    </w:div>
    <w:div w:id="1510556356">
      <w:bodyDiv w:val="1"/>
      <w:marLeft w:val="0"/>
      <w:marRight w:val="0"/>
      <w:marTop w:val="0"/>
      <w:marBottom w:val="0"/>
      <w:divBdr>
        <w:top w:val="none" w:sz="0" w:space="0" w:color="auto"/>
        <w:left w:val="none" w:sz="0" w:space="0" w:color="auto"/>
        <w:bottom w:val="none" w:sz="0" w:space="0" w:color="auto"/>
        <w:right w:val="none" w:sz="0" w:space="0" w:color="auto"/>
      </w:divBdr>
    </w:div>
    <w:div w:id="1510677990">
      <w:bodyDiv w:val="1"/>
      <w:marLeft w:val="0"/>
      <w:marRight w:val="0"/>
      <w:marTop w:val="0"/>
      <w:marBottom w:val="0"/>
      <w:divBdr>
        <w:top w:val="none" w:sz="0" w:space="0" w:color="auto"/>
        <w:left w:val="none" w:sz="0" w:space="0" w:color="auto"/>
        <w:bottom w:val="none" w:sz="0" w:space="0" w:color="auto"/>
        <w:right w:val="none" w:sz="0" w:space="0" w:color="auto"/>
      </w:divBdr>
    </w:div>
    <w:div w:id="1510868771">
      <w:bodyDiv w:val="1"/>
      <w:marLeft w:val="0"/>
      <w:marRight w:val="0"/>
      <w:marTop w:val="0"/>
      <w:marBottom w:val="0"/>
      <w:divBdr>
        <w:top w:val="none" w:sz="0" w:space="0" w:color="auto"/>
        <w:left w:val="none" w:sz="0" w:space="0" w:color="auto"/>
        <w:bottom w:val="none" w:sz="0" w:space="0" w:color="auto"/>
        <w:right w:val="none" w:sz="0" w:space="0" w:color="auto"/>
      </w:divBdr>
    </w:div>
    <w:div w:id="1511407575">
      <w:bodyDiv w:val="1"/>
      <w:marLeft w:val="0"/>
      <w:marRight w:val="0"/>
      <w:marTop w:val="0"/>
      <w:marBottom w:val="0"/>
      <w:divBdr>
        <w:top w:val="none" w:sz="0" w:space="0" w:color="auto"/>
        <w:left w:val="none" w:sz="0" w:space="0" w:color="auto"/>
        <w:bottom w:val="none" w:sz="0" w:space="0" w:color="auto"/>
        <w:right w:val="none" w:sz="0" w:space="0" w:color="auto"/>
      </w:divBdr>
    </w:div>
    <w:div w:id="1511408514">
      <w:bodyDiv w:val="1"/>
      <w:marLeft w:val="0"/>
      <w:marRight w:val="0"/>
      <w:marTop w:val="0"/>
      <w:marBottom w:val="0"/>
      <w:divBdr>
        <w:top w:val="none" w:sz="0" w:space="0" w:color="auto"/>
        <w:left w:val="none" w:sz="0" w:space="0" w:color="auto"/>
        <w:bottom w:val="none" w:sz="0" w:space="0" w:color="auto"/>
        <w:right w:val="none" w:sz="0" w:space="0" w:color="auto"/>
      </w:divBdr>
    </w:div>
    <w:div w:id="1511793811">
      <w:bodyDiv w:val="1"/>
      <w:marLeft w:val="0"/>
      <w:marRight w:val="0"/>
      <w:marTop w:val="0"/>
      <w:marBottom w:val="0"/>
      <w:divBdr>
        <w:top w:val="none" w:sz="0" w:space="0" w:color="auto"/>
        <w:left w:val="none" w:sz="0" w:space="0" w:color="auto"/>
        <w:bottom w:val="none" w:sz="0" w:space="0" w:color="auto"/>
        <w:right w:val="none" w:sz="0" w:space="0" w:color="auto"/>
      </w:divBdr>
    </w:div>
    <w:div w:id="1511867349">
      <w:bodyDiv w:val="1"/>
      <w:marLeft w:val="0"/>
      <w:marRight w:val="0"/>
      <w:marTop w:val="0"/>
      <w:marBottom w:val="0"/>
      <w:divBdr>
        <w:top w:val="none" w:sz="0" w:space="0" w:color="auto"/>
        <w:left w:val="none" w:sz="0" w:space="0" w:color="auto"/>
        <w:bottom w:val="none" w:sz="0" w:space="0" w:color="auto"/>
        <w:right w:val="none" w:sz="0" w:space="0" w:color="auto"/>
      </w:divBdr>
    </w:div>
    <w:div w:id="1511871970">
      <w:bodyDiv w:val="1"/>
      <w:marLeft w:val="0"/>
      <w:marRight w:val="0"/>
      <w:marTop w:val="0"/>
      <w:marBottom w:val="0"/>
      <w:divBdr>
        <w:top w:val="none" w:sz="0" w:space="0" w:color="auto"/>
        <w:left w:val="none" w:sz="0" w:space="0" w:color="auto"/>
        <w:bottom w:val="none" w:sz="0" w:space="0" w:color="auto"/>
        <w:right w:val="none" w:sz="0" w:space="0" w:color="auto"/>
      </w:divBdr>
    </w:div>
    <w:div w:id="1513837413">
      <w:bodyDiv w:val="1"/>
      <w:marLeft w:val="0"/>
      <w:marRight w:val="0"/>
      <w:marTop w:val="0"/>
      <w:marBottom w:val="0"/>
      <w:divBdr>
        <w:top w:val="none" w:sz="0" w:space="0" w:color="auto"/>
        <w:left w:val="none" w:sz="0" w:space="0" w:color="auto"/>
        <w:bottom w:val="none" w:sz="0" w:space="0" w:color="auto"/>
        <w:right w:val="none" w:sz="0" w:space="0" w:color="auto"/>
      </w:divBdr>
    </w:div>
    <w:div w:id="1516184881">
      <w:bodyDiv w:val="1"/>
      <w:marLeft w:val="0"/>
      <w:marRight w:val="0"/>
      <w:marTop w:val="0"/>
      <w:marBottom w:val="0"/>
      <w:divBdr>
        <w:top w:val="none" w:sz="0" w:space="0" w:color="auto"/>
        <w:left w:val="none" w:sz="0" w:space="0" w:color="auto"/>
        <w:bottom w:val="none" w:sz="0" w:space="0" w:color="auto"/>
        <w:right w:val="none" w:sz="0" w:space="0" w:color="auto"/>
      </w:divBdr>
    </w:div>
    <w:div w:id="1516191729">
      <w:bodyDiv w:val="1"/>
      <w:marLeft w:val="0"/>
      <w:marRight w:val="0"/>
      <w:marTop w:val="0"/>
      <w:marBottom w:val="0"/>
      <w:divBdr>
        <w:top w:val="none" w:sz="0" w:space="0" w:color="auto"/>
        <w:left w:val="none" w:sz="0" w:space="0" w:color="auto"/>
        <w:bottom w:val="none" w:sz="0" w:space="0" w:color="auto"/>
        <w:right w:val="none" w:sz="0" w:space="0" w:color="auto"/>
      </w:divBdr>
    </w:div>
    <w:div w:id="1516918707">
      <w:bodyDiv w:val="1"/>
      <w:marLeft w:val="0"/>
      <w:marRight w:val="0"/>
      <w:marTop w:val="0"/>
      <w:marBottom w:val="0"/>
      <w:divBdr>
        <w:top w:val="none" w:sz="0" w:space="0" w:color="auto"/>
        <w:left w:val="none" w:sz="0" w:space="0" w:color="auto"/>
        <w:bottom w:val="none" w:sz="0" w:space="0" w:color="auto"/>
        <w:right w:val="none" w:sz="0" w:space="0" w:color="auto"/>
      </w:divBdr>
    </w:div>
    <w:div w:id="1518033630">
      <w:bodyDiv w:val="1"/>
      <w:marLeft w:val="0"/>
      <w:marRight w:val="0"/>
      <w:marTop w:val="0"/>
      <w:marBottom w:val="0"/>
      <w:divBdr>
        <w:top w:val="none" w:sz="0" w:space="0" w:color="auto"/>
        <w:left w:val="none" w:sz="0" w:space="0" w:color="auto"/>
        <w:bottom w:val="none" w:sz="0" w:space="0" w:color="auto"/>
        <w:right w:val="none" w:sz="0" w:space="0" w:color="auto"/>
      </w:divBdr>
    </w:div>
    <w:div w:id="1518082601">
      <w:bodyDiv w:val="1"/>
      <w:marLeft w:val="0"/>
      <w:marRight w:val="0"/>
      <w:marTop w:val="0"/>
      <w:marBottom w:val="0"/>
      <w:divBdr>
        <w:top w:val="none" w:sz="0" w:space="0" w:color="auto"/>
        <w:left w:val="none" w:sz="0" w:space="0" w:color="auto"/>
        <w:bottom w:val="none" w:sz="0" w:space="0" w:color="auto"/>
        <w:right w:val="none" w:sz="0" w:space="0" w:color="auto"/>
      </w:divBdr>
    </w:div>
    <w:div w:id="1519275747">
      <w:bodyDiv w:val="1"/>
      <w:marLeft w:val="0"/>
      <w:marRight w:val="0"/>
      <w:marTop w:val="0"/>
      <w:marBottom w:val="0"/>
      <w:divBdr>
        <w:top w:val="none" w:sz="0" w:space="0" w:color="auto"/>
        <w:left w:val="none" w:sz="0" w:space="0" w:color="auto"/>
        <w:bottom w:val="none" w:sz="0" w:space="0" w:color="auto"/>
        <w:right w:val="none" w:sz="0" w:space="0" w:color="auto"/>
      </w:divBdr>
    </w:div>
    <w:div w:id="1520467161">
      <w:bodyDiv w:val="1"/>
      <w:marLeft w:val="0"/>
      <w:marRight w:val="0"/>
      <w:marTop w:val="0"/>
      <w:marBottom w:val="0"/>
      <w:divBdr>
        <w:top w:val="none" w:sz="0" w:space="0" w:color="auto"/>
        <w:left w:val="none" w:sz="0" w:space="0" w:color="auto"/>
        <w:bottom w:val="none" w:sz="0" w:space="0" w:color="auto"/>
        <w:right w:val="none" w:sz="0" w:space="0" w:color="auto"/>
      </w:divBdr>
    </w:div>
    <w:div w:id="1520970035">
      <w:bodyDiv w:val="1"/>
      <w:marLeft w:val="0"/>
      <w:marRight w:val="0"/>
      <w:marTop w:val="0"/>
      <w:marBottom w:val="0"/>
      <w:divBdr>
        <w:top w:val="none" w:sz="0" w:space="0" w:color="auto"/>
        <w:left w:val="none" w:sz="0" w:space="0" w:color="auto"/>
        <w:bottom w:val="none" w:sz="0" w:space="0" w:color="auto"/>
        <w:right w:val="none" w:sz="0" w:space="0" w:color="auto"/>
      </w:divBdr>
    </w:div>
    <w:div w:id="1522039631">
      <w:bodyDiv w:val="1"/>
      <w:marLeft w:val="0"/>
      <w:marRight w:val="0"/>
      <w:marTop w:val="0"/>
      <w:marBottom w:val="0"/>
      <w:divBdr>
        <w:top w:val="none" w:sz="0" w:space="0" w:color="auto"/>
        <w:left w:val="none" w:sz="0" w:space="0" w:color="auto"/>
        <w:bottom w:val="none" w:sz="0" w:space="0" w:color="auto"/>
        <w:right w:val="none" w:sz="0" w:space="0" w:color="auto"/>
      </w:divBdr>
    </w:div>
    <w:div w:id="1522278530">
      <w:bodyDiv w:val="1"/>
      <w:marLeft w:val="0"/>
      <w:marRight w:val="0"/>
      <w:marTop w:val="0"/>
      <w:marBottom w:val="0"/>
      <w:divBdr>
        <w:top w:val="none" w:sz="0" w:space="0" w:color="auto"/>
        <w:left w:val="none" w:sz="0" w:space="0" w:color="auto"/>
        <w:bottom w:val="none" w:sz="0" w:space="0" w:color="auto"/>
        <w:right w:val="none" w:sz="0" w:space="0" w:color="auto"/>
      </w:divBdr>
    </w:div>
    <w:div w:id="1522356445">
      <w:bodyDiv w:val="1"/>
      <w:marLeft w:val="0"/>
      <w:marRight w:val="0"/>
      <w:marTop w:val="0"/>
      <w:marBottom w:val="0"/>
      <w:divBdr>
        <w:top w:val="none" w:sz="0" w:space="0" w:color="auto"/>
        <w:left w:val="none" w:sz="0" w:space="0" w:color="auto"/>
        <w:bottom w:val="none" w:sz="0" w:space="0" w:color="auto"/>
        <w:right w:val="none" w:sz="0" w:space="0" w:color="auto"/>
      </w:divBdr>
    </w:div>
    <w:div w:id="1523081667">
      <w:bodyDiv w:val="1"/>
      <w:marLeft w:val="0"/>
      <w:marRight w:val="0"/>
      <w:marTop w:val="0"/>
      <w:marBottom w:val="0"/>
      <w:divBdr>
        <w:top w:val="none" w:sz="0" w:space="0" w:color="auto"/>
        <w:left w:val="none" w:sz="0" w:space="0" w:color="auto"/>
        <w:bottom w:val="none" w:sz="0" w:space="0" w:color="auto"/>
        <w:right w:val="none" w:sz="0" w:space="0" w:color="auto"/>
      </w:divBdr>
    </w:div>
    <w:div w:id="1523670071">
      <w:bodyDiv w:val="1"/>
      <w:marLeft w:val="0"/>
      <w:marRight w:val="0"/>
      <w:marTop w:val="0"/>
      <w:marBottom w:val="0"/>
      <w:divBdr>
        <w:top w:val="none" w:sz="0" w:space="0" w:color="auto"/>
        <w:left w:val="none" w:sz="0" w:space="0" w:color="auto"/>
        <w:bottom w:val="none" w:sz="0" w:space="0" w:color="auto"/>
        <w:right w:val="none" w:sz="0" w:space="0" w:color="auto"/>
      </w:divBdr>
    </w:div>
    <w:div w:id="1524248706">
      <w:bodyDiv w:val="1"/>
      <w:marLeft w:val="0"/>
      <w:marRight w:val="0"/>
      <w:marTop w:val="0"/>
      <w:marBottom w:val="0"/>
      <w:divBdr>
        <w:top w:val="none" w:sz="0" w:space="0" w:color="auto"/>
        <w:left w:val="none" w:sz="0" w:space="0" w:color="auto"/>
        <w:bottom w:val="none" w:sz="0" w:space="0" w:color="auto"/>
        <w:right w:val="none" w:sz="0" w:space="0" w:color="auto"/>
      </w:divBdr>
    </w:div>
    <w:div w:id="1525165884">
      <w:bodyDiv w:val="1"/>
      <w:marLeft w:val="0"/>
      <w:marRight w:val="0"/>
      <w:marTop w:val="0"/>
      <w:marBottom w:val="0"/>
      <w:divBdr>
        <w:top w:val="none" w:sz="0" w:space="0" w:color="auto"/>
        <w:left w:val="none" w:sz="0" w:space="0" w:color="auto"/>
        <w:bottom w:val="none" w:sz="0" w:space="0" w:color="auto"/>
        <w:right w:val="none" w:sz="0" w:space="0" w:color="auto"/>
      </w:divBdr>
    </w:div>
    <w:div w:id="1525511374">
      <w:bodyDiv w:val="1"/>
      <w:marLeft w:val="0"/>
      <w:marRight w:val="0"/>
      <w:marTop w:val="0"/>
      <w:marBottom w:val="0"/>
      <w:divBdr>
        <w:top w:val="none" w:sz="0" w:space="0" w:color="auto"/>
        <w:left w:val="none" w:sz="0" w:space="0" w:color="auto"/>
        <w:bottom w:val="none" w:sz="0" w:space="0" w:color="auto"/>
        <w:right w:val="none" w:sz="0" w:space="0" w:color="auto"/>
      </w:divBdr>
    </w:div>
    <w:div w:id="1526358720">
      <w:bodyDiv w:val="1"/>
      <w:marLeft w:val="0"/>
      <w:marRight w:val="0"/>
      <w:marTop w:val="0"/>
      <w:marBottom w:val="0"/>
      <w:divBdr>
        <w:top w:val="none" w:sz="0" w:space="0" w:color="auto"/>
        <w:left w:val="none" w:sz="0" w:space="0" w:color="auto"/>
        <w:bottom w:val="none" w:sz="0" w:space="0" w:color="auto"/>
        <w:right w:val="none" w:sz="0" w:space="0" w:color="auto"/>
      </w:divBdr>
    </w:div>
    <w:div w:id="1528518912">
      <w:bodyDiv w:val="1"/>
      <w:marLeft w:val="0"/>
      <w:marRight w:val="0"/>
      <w:marTop w:val="0"/>
      <w:marBottom w:val="0"/>
      <w:divBdr>
        <w:top w:val="none" w:sz="0" w:space="0" w:color="auto"/>
        <w:left w:val="none" w:sz="0" w:space="0" w:color="auto"/>
        <w:bottom w:val="none" w:sz="0" w:space="0" w:color="auto"/>
        <w:right w:val="none" w:sz="0" w:space="0" w:color="auto"/>
      </w:divBdr>
    </w:div>
    <w:div w:id="1528564254">
      <w:bodyDiv w:val="1"/>
      <w:marLeft w:val="0"/>
      <w:marRight w:val="0"/>
      <w:marTop w:val="0"/>
      <w:marBottom w:val="0"/>
      <w:divBdr>
        <w:top w:val="none" w:sz="0" w:space="0" w:color="auto"/>
        <w:left w:val="none" w:sz="0" w:space="0" w:color="auto"/>
        <w:bottom w:val="none" w:sz="0" w:space="0" w:color="auto"/>
        <w:right w:val="none" w:sz="0" w:space="0" w:color="auto"/>
      </w:divBdr>
    </w:div>
    <w:div w:id="1529490337">
      <w:bodyDiv w:val="1"/>
      <w:marLeft w:val="0"/>
      <w:marRight w:val="0"/>
      <w:marTop w:val="0"/>
      <w:marBottom w:val="0"/>
      <w:divBdr>
        <w:top w:val="none" w:sz="0" w:space="0" w:color="auto"/>
        <w:left w:val="none" w:sz="0" w:space="0" w:color="auto"/>
        <w:bottom w:val="none" w:sz="0" w:space="0" w:color="auto"/>
        <w:right w:val="none" w:sz="0" w:space="0" w:color="auto"/>
      </w:divBdr>
    </w:div>
    <w:div w:id="1530606708">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2690530">
      <w:bodyDiv w:val="1"/>
      <w:marLeft w:val="0"/>
      <w:marRight w:val="0"/>
      <w:marTop w:val="0"/>
      <w:marBottom w:val="0"/>
      <w:divBdr>
        <w:top w:val="none" w:sz="0" w:space="0" w:color="auto"/>
        <w:left w:val="none" w:sz="0" w:space="0" w:color="auto"/>
        <w:bottom w:val="none" w:sz="0" w:space="0" w:color="auto"/>
        <w:right w:val="none" w:sz="0" w:space="0" w:color="auto"/>
      </w:divBdr>
    </w:div>
    <w:div w:id="1532693203">
      <w:bodyDiv w:val="1"/>
      <w:marLeft w:val="0"/>
      <w:marRight w:val="0"/>
      <w:marTop w:val="0"/>
      <w:marBottom w:val="0"/>
      <w:divBdr>
        <w:top w:val="none" w:sz="0" w:space="0" w:color="auto"/>
        <w:left w:val="none" w:sz="0" w:space="0" w:color="auto"/>
        <w:bottom w:val="none" w:sz="0" w:space="0" w:color="auto"/>
        <w:right w:val="none" w:sz="0" w:space="0" w:color="auto"/>
      </w:divBdr>
    </w:div>
    <w:div w:id="1533495656">
      <w:bodyDiv w:val="1"/>
      <w:marLeft w:val="0"/>
      <w:marRight w:val="0"/>
      <w:marTop w:val="0"/>
      <w:marBottom w:val="0"/>
      <w:divBdr>
        <w:top w:val="none" w:sz="0" w:space="0" w:color="auto"/>
        <w:left w:val="none" w:sz="0" w:space="0" w:color="auto"/>
        <w:bottom w:val="none" w:sz="0" w:space="0" w:color="auto"/>
        <w:right w:val="none" w:sz="0" w:space="0" w:color="auto"/>
      </w:divBdr>
    </w:div>
    <w:div w:id="1534003940">
      <w:bodyDiv w:val="1"/>
      <w:marLeft w:val="0"/>
      <w:marRight w:val="0"/>
      <w:marTop w:val="0"/>
      <w:marBottom w:val="0"/>
      <w:divBdr>
        <w:top w:val="none" w:sz="0" w:space="0" w:color="auto"/>
        <w:left w:val="none" w:sz="0" w:space="0" w:color="auto"/>
        <w:bottom w:val="none" w:sz="0" w:space="0" w:color="auto"/>
        <w:right w:val="none" w:sz="0" w:space="0" w:color="auto"/>
      </w:divBdr>
    </w:div>
    <w:div w:id="1534539631">
      <w:bodyDiv w:val="1"/>
      <w:marLeft w:val="0"/>
      <w:marRight w:val="0"/>
      <w:marTop w:val="0"/>
      <w:marBottom w:val="0"/>
      <w:divBdr>
        <w:top w:val="none" w:sz="0" w:space="0" w:color="auto"/>
        <w:left w:val="none" w:sz="0" w:space="0" w:color="auto"/>
        <w:bottom w:val="none" w:sz="0" w:space="0" w:color="auto"/>
        <w:right w:val="none" w:sz="0" w:space="0" w:color="auto"/>
      </w:divBdr>
    </w:div>
    <w:div w:id="1536236717">
      <w:bodyDiv w:val="1"/>
      <w:marLeft w:val="0"/>
      <w:marRight w:val="0"/>
      <w:marTop w:val="0"/>
      <w:marBottom w:val="0"/>
      <w:divBdr>
        <w:top w:val="none" w:sz="0" w:space="0" w:color="auto"/>
        <w:left w:val="none" w:sz="0" w:space="0" w:color="auto"/>
        <w:bottom w:val="none" w:sz="0" w:space="0" w:color="auto"/>
        <w:right w:val="none" w:sz="0" w:space="0" w:color="auto"/>
      </w:divBdr>
    </w:div>
    <w:div w:id="1536427715">
      <w:bodyDiv w:val="1"/>
      <w:marLeft w:val="0"/>
      <w:marRight w:val="0"/>
      <w:marTop w:val="0"/>
      <w:marBottom w:val="0"/>
      <w:divBdr>
        <w:top w:val="none" w:sz="0" w:space="0" w:color="auto"/>
        <w:left w:val="none" w:sz="0" w:space="0" w:color="auto"/>
        <w:bottom w:val="none" w:sz="0" w:space="0" w:color="auto"/>
        <w:right w:val="none" w:sz="0" w:space="0" w:color="auto"/>
      </w:divBdr>
    </w:div>
    <w:div w:id="1536889884">
      <w:bodyDiv w:val="1"/>
      <w:marLeft w:val="0"/>
      <w:marRight w:val="0"/>
      <w:marTop w:val="0"/>
      <w:marBottom w:val="0"/>
      <w:divBdr>
        <w:top w:val="none" w:sz="0" w:space="0" w:color="auto"/>
        <w:left w:val="none" w:sz="0" w:space="0" w:color="auto"/>
        <w:bottom w:val="none" w:sz="0" w:space="0" w:color="auto"/>
        <w:right w:val="none" w:sz="0" w:space="0" w:color="auto"/>
      </w:divBdr>
    </w:div>
    <w:div w:id="1537502588">
      <w:bodyDiv w:val="1"/>
      <w:marLeft w:val="0"/>
      <w:marRight w:val="0"/>
      <w:marTop w:val="0"/>
      <w:marBottom w:val="0"/>
      <w:divBdr>
        <w:top w:val="none" w:sz="0" w:space="0" w:color="auto"/>
        <w:left w:val="none" w:sz="0" w:space="0" w:color="auto"/>
        <w:bottom w:val="none" w:sz="0" w:space="0" w:color="auto"/>
        <w:right w:val="none" w:sz="0" w:space="0" w:color="auto"/>
      </w:divBdr>
    </w:div>
    <w:div w:id="1537624839">
      <w:bodyDiv w:val="1"/>
      <w:marLeft w:val="0"/>
      <w:marRight w:val="0"/>
      <w:marTop w:val="0"/>
      <w:marBottom w:val="0"/>
      <w:divBdr>
        <w:top w:val="none" w:sz="0" w:space="0" w:color="auto"/>
        <w:left w:val="none" w:sz="0" w:space="0" w:color="auto"/>
        <w:bottom w:val="none" w:sz="0" w:space="0" w:color="auto"/>
        <w:right w:val="none" w:sz="0" w:space="0" w:color="auto"/>
      </w:divBdr>
    </w:div>
    <w:div w:id="1538274181">
      <w:bodyDiv w:val="1"/>
      <w:marLeft w:val="0"/>
      <w:marRight w:val="0"/>
      <w:marTop w:val="0"/>
      <w:marBottom w:val="0"/>
      <w:divBdr>
        <w:top w:val="none" w:sz="0" w:space="0" w:color="auto"/>
        <w:left w:val="none" w:sz="0" w:space="0" w:color="auto"/>
        <w:bottom w:val="none" w:sz="0" w:space="0" w:color="auto"/>
        <w:right w:val="none" w:sz="0" w:space="0" w:color="auto"/>
      </w:divBdr>
    </w:div>
    <w:div w:id="1539274348">
      <w:bodyDiv w:val="1"/>
      <w:marLeft w:val="0"/>
      <w:marRight w:val="0"/>
      <w:marTop w:val="0"/>
      <w:marBottom w:val="0"/>
      <w:divBdr>
        <w:top w:val="none" w:sz="0" w:space="0" w:color="auto"/>
        <w:left w:val="none" w:sz="0" w:space="0" w:color="auto"/>
        <w:bottom w:val="none" w:sz="0" w:space="0" w:color="auto"/>
        <w:right w:val="none" w:sz="0" w:space="0" w:color="auto"/>
      </w:divBdr>
    </w:div>
    <w:div w:id="1539388996">
      <w:bodyDiv w:val="1"/>
      <w:marLeft w:val="0"/>
      <w:marRight w:val="0"/>
      <w:marTop w:val="0"/>
      <w:marBottom w:val="0"/>
      <w:divBdr>
        <w:top w:val="none" w:sz="0" w:space="0" w:color="auto"/>
        <w:left w:val="none" w:sz="0" w:space="0" w:color="auto"/>
        <w:bottom w:val="none" w:sz="0" w:space="0" w:color="auto"/>
        <w:right w:val="none" w:sz="0" w:space="0" w:color="auto"/>
      </w:divBdr>
    </w:div>
    <w:div w:id="1540050018">
      <w:bodyDiv w:val="1"/>
      <w:marLeft w:val="0"/>
      <w:marRight w:val="0"/>
      <w:marTop w:val="0"/>
      <w:marBottom w:val="0"/>
      <w:divBdr>
        <w:top w:val="none" w:sz="0" w:space="0" w:color="auto"/>
        <w:left w:val="none" w:sz="0" w:space="0" w:color="auto"/>
        <w:bottom w:val="none" w:sz="0" w:space="0" w:color="auto"/>
        <w:right w:val="none" w:sz="0" w:space="0" w:color="auto"/>
      </w:divBdr>
    </w:div>
    <w:div w:id="1540514551">
      <w:bodyDiv w:val="1"/>
      <w:marLeft w:val="0"/>
      <w:marRight w:val="0"/>
      <w:marTop w:val="0"/>
      <w:marBottom w:val="0"/>
      <w:divBdr>
        <w:top w:val="none" w:sz="0" w:space="0" w:color="auto"/>
        <w:left w:val="none" w:sz="0" w:space="0" w:color="auto"/>
        <w:bottom w:val="none" w:sz="0" w:space="0" w:color="auto"/>
        <w:right w:val="none" w:sz="0" w:space="0" w:color="auto"/>
      </w:divBdr>
    </w:div>
    <w:div w:id="1540976394">
      <w:bodyDiv w:val="1"/>
      <w:marLeft w:val="0"/>
      <w:marRight w:val="0"/>
      <w:marTop w:val="0"/>
      <w:marBottom w:val="0"/>
      <w:divBdr>
        <w:top w:val="none" w:sz="0" w:space="0" w:color="auto"/>
        <w:left w:val="none" w:sz="0" w:space="0" w:color="auto"/>
        <w:bottom w:val="none" w:sz="0" w:space="0" w:color="auto"/>
        <w:right w:val="none" w:sz="0" w:space="0" w:color="auto"/>
      </w:divBdr>
    </w:div>
    <w:div w:id="1542591115">
      <w:bodyDiv w:val="1"/>
      <w:marLeft w:val="0"/>
      <w:marRight w:val="0"/>
      <w:marTop w:val="0"/>
      <w:marBottom w:val="0"/>
      <w:divBdr>
        <w:top w:val="none" w:sz="0" w:space="0" w:color="auto"/>
        <w:left w:val="none" w:sz="0" w:space="0" w:color="auto"/>
        <w:bottom w:val="none" w:sz="0" w:space="0" w:color="auto"/>
        <w:right w:val="none" w:sz="0" w:space="0" w:color="auto"/>
      </w:divBdr>
    </w:div>
    <w:div w:id="1543059652">
      <w:bodyDiv w:val="1"/>
      <w:marLeft w:val="0"/>
      <w:marRight w:val="0"/>
      <w:marTop w:val="0"/>
      <w:marBottom w:val="0"/>
      <w:divBdr>
        <w:top w:val="none" w:sz="0" w:space="0" w:color="auto"/>
        <w:left w:val="none" w:sz="0" w:space="0" w:color="auto"/>
        <w:bottom w:val="none" w:sz="0" w:space="0" w:color="auto"/>
        <w:right w:val="none" w:sz="0" w:space="0" w:color="auto"/>
      </w:divBdr>
    </w:div>
    <w:div w:id="1543127901">
      <w:bodyDiv w:val="1"/>
      <w:marLeft w:val="0"/>
      <w:marRight w:val="0"/>
      <w:marTop w:val="0"/>
      <w:marBottom w:val="0"/>
      <w:divBdr>
        <w:top w:val="none" w:sz="0" w:space="0" w:color="auto"/>
        <w:left w:val="none" w:sz="0" w:space="0" w:color="auto"/>
        <w:bottom w:val="none" w:sz="0" w:space="0" w:color="auto"/>
        <w:right w:val="none" w:sz="0" w:space="0" w:color="auto"/>
      </w:divBdr>
    </w:div>
    <w:div w:id="1543863435">
      <w:bodyDiv w:val="1"/>
      <w:marLeft w:val="0"/>
      <w:marRight w:val="0"/>
      <w:marTop w:val="0"/>
      <w:marBottom w:val="0"/>
      <w:divBdr>
        <w:top w:val="none" w:sz="0" w:space="0" w:color="auto"/>
        <w:left w:val="none" w:sz="0" w:space="0" w:color="auto"/>
        <w:bottom w:val="none" w:sz="0" w:space="0" w:color="auto"/>
        <w:right w:val="none" w:sz="0" w:space="0" w:color="auto"/>
      </w:divBdr>
    </w:div>
    <w:div w:id="1544711003">
      <w:bodyDiv w:val="1"/>
      <w:marLeft w:val="0"/>
      <w:marRight w:val="0"/>
      <w:marTop w:val="0"/>
      <w:marBottom w:val="0"/>
      <w:divBdr>
        <w:top w:val="none" w:sz="0" w:space="0" w:color="auto"/>
        <w:left w:val="none" w:sz="0" w:space="0" w:color="auto"/>
        <w:bottom w:val="none" w:sz="0" w:space="0" w:color="auto"/>
        <w:right w:val="none" w:sz="0" w:space="0" w:color="auto"/>
      </w:divBdr>
    </w:div>
    <w:div w:id="1545412329">
      <w:bodyDiv w:val="1"/>
      <w:marLeft w:val="0"/>
      <w:marRight w:val="0"/>
      <w:marTop w:val="0"/>
      <w:marBottom w:val="0"/>
      <w:divBdr>
        <w:top w:val="none" w:sz="0" w:space="0" w:color="auto"/>
        <w:left w:val="none" w:sz="0" w:space="0" w:color="auto"/>
        <w:bottom w:val="none" w:sz="0" w:space="0" w:color="auto"/>
        <w:right w:val="none" w:sz="0" w:space="0" w:color="auto"/>
      </w:divBdr>
    </w:div>
    <w:div w:id="1545556432">
      <w:bodyDiv w:val="1"/>
      <w:marLeft w:val="0"/>
      <w:marRight w:val="0"/>
      <w:marTop w:val="0"/>
      <w:marBottom w:val="0"/>
      <w:divBdr>
        <w:top w:val="none" w:sz="0" w:space="0" w:color="auto"/>
        <w:left w:val="none" w:sz="0" w:space="0" w:color="auto"/>
        <w:bottom w:val="none" w:sz="0" w:space="0" w:color="auto"/>
        <w:right w:val="none" w:sz="0" w:space="0" w:color="auto"/>
      </w:divBdr>
    </w:div>
    <w:div w:id="1545605177">
      <w:bodyDiv w:val="1"/>
      <w:marLeft w:val="0"/>
      <w:marRight w:val="0"/>
      <w:marTop w:val="0"/>
      <w:marBottom w:val="0"/>
      <w:divBdr>
        <w:top w:val="none" w:sz="0" w:space="0" w:color="auto"/>
        <w:left w:val="none" w:sz="0" w:space="0" w:color="auto"/>
        <w:bottom w:val="none" w:sz="0" w:space="0" w:color="auto"/>
        <w:right w:val="none" w:sz="0" w:space="0" w:color="auto"/>
      </w:divBdr>
    </w:div>
    <w:div w:id="1546986382">
      <w:bodyDiv w:val="1"/>
      <w:marLeft w:val="0"/>
      <w:marRight w:val="0"/>
      <w:marTop w:val="0"/>
      <w:marBottom w:val="0"/>
      <w:divBdr>
        <w:top w:val="none" w:sz="0" w:space="0" w:color="auto"/>
        <w:left w:val="none" w:sz="0" w:space="0" w:color="auto"/>
        <w:bottom w:val="none" w:sz="0" w:space="0" w:color="auto"/>
        <w:right w:val="none" w:sz="0" w:space="0" w:color="auto"/>
      </w:divBdr>
    </w:div>
    <w:div w:id="1547522537">
      <w:bodyDiv w:val="1"/>
      <w:marLeft w:val="0"/>
      <w:marRight w:val="0"/>
      <w:marTop w:val="0"/>
      <w:marBottom w:val="0"/>
      <w:divBdr>
        <w:top w:val="none" w:sz="0" w:space="0" w:color="auto"/>
        <w:left w:val="none" w:sz="0" w:space="0" w:color="auto"/>
        <w:bottom w:val="none" w:sz="0" w:space="0" w:color="auto"/>
        <w:right w:val="none" w:sz="0" w:space="0" w:color="auto"/>
      </w:divBdr>
    </w:div>
    <w:div w:id="1547789022">
      <w:bodyDiv w:val="1"/>
      <w:marLeft w:val="0"/>
      <w:marRight w:val="0"/>
      <w:marTop w:val="0"/>
      <w:marBottom w:val="0"/>
      <w:divBdr>
        <w:top w:val="none" w:sz="0" w:space="0" w:color="auto"/>
        <w:left w:val="none" w:sz="0" w:space="0" w:color="auto"/>
        <w:bottom w:val="none" w:sz="0" w:space="0" w:color="auto"/>
        <w:right w:val="none" w:sz="0" w:space="0" w:color="auto"/>
      </w:divBdr>
    </w:div>
    <w:div w:id="1548176202">
      <w:bodyDiv w:val="1"/>
      <w:marLeft w:val="0"/>
      <w:marRight w:val="0"/>
      <w:marTop w:val="0"/>
      <w:marBottom w:val="0"/>
      <w:divBdr>
        <w:top w:val="none" w:sz="0" w:space="0" w:color="auto"/>
        <w:left w:val="none" w:sz="0" w:space="0" w:color="auto"/>
        <w:bottom w:val="none" w:sz="0" w:space="0" w:color="auto"/>
        <w:right w:val="none" w:sz="0" w:space="0" w:color="auto"/>
      </w:divBdr>
    </w:div>
    <w:div w:id="1548301817">
      <w:bodyDiv w:val="1"/>
      <w:marLeft w:val="0"/>
      <w:marRight w:val="0"/>
      <w:marTop w:val="0"/>
      <w:marBottom w:val="0"/>
      <w:divBdr>
        <w:top w:val="none" w:sz="0" w:space="0" w:color="auto"/>
        <w:left w:val="none" w:sz="0" w:space="0" w:color="auto"/>
        <w:bottom w:val="none" w:sz="0" w:space="0" w:color="auto"/>
        <w:right w:val="none" w:sz="0" w:space="0" w:color="auto"/>
      </w:divBdr>
    </w:div>
    <w:div w:id="1548644926">
      <w:bodyDiv w:val="1"/>
      <w:marLeft w:val="0"/>
      <w:marRight w:val="0"/>
      <w:marTop w:val="0"/>
      <w:marBottom w:val="0"/>
      <w:divBdr>
        <w:top w:val="none" w:sz="0" w:space="0" w:color="auto"/>
        <w:left w:val="none" w:sz="0" w:space="0" w:color="auto"/>
        <w:bottom w:val="none" w:sz="0" w:space="0" w:color="auto"/>
        <w:right w:val="none" w:sz="0" w:space="0" w:color="auto"/>
      </w:divBdr>
    </w:div>
    <w:div w:id="1548684150">
      <w:bodyDiv w:val="1"/>
      <w:marLeft w:val="0"/>
      <w:marRight w:val="0"/>
      <w:marTop w:val="0"/>
      <w:marBottom w:val="0"/>
      <w:divBdr>
        <w:top w:val="none" w:sz="0" w:space="0" w:color="auto"/>
        <w:left w:val="none" w:sz="0" w:space="0" w:color="auto"/>
        <w:bottom w:val="none" w:sz="0" w:space="0" w:color="auto"/>
        <w:right w:val="none" w:sz="0" w:space="0" w:color="auto"/>
      </w:divBdr>
    </w:div>
    <w:div w:id="1549145504">
      <w:bodyDiv w:val="1"/>
      <w:marLeft w:val="0"/>
      <w:marRight w:val="0"/>
      <w:marTop w:val="0"/>
      <w:marBottom w:val="0"/>
      <w:divBdr>
        <w:top w:val="none" w:sz="0" w:space="0" w:color="auto"/>
        <w:left w:val="none" w:sz="0" w:space="0" w:color="auto"/>
        <w:bottom w:val="none" w:sz="0" w:space="0" w:color="auto"/>
        <w:right w:val="none" w:sz="0" w:space="0" w:color="auto"/>
      </w:divBdr>
    </w:div>
    <w:div w:id="1549605118">
      <w:bodyDiv w:val="1"/>
      <w:marLeft w:val="0"/>
      <w:marRight w:val="0"/>
      <w:marTop w:val="0"/>
      <w:marBottom w:val="0"/>
      <w:divBdr>
        <w:top w:val="none" w:sz="0" w:space="0" w:color="auto"/>
        <w:left w:val="none" w:sz="0" w:space="0" w:color="auto"/>
        <w:bottom w:val="none" w:sz="0" w:space="0" w:color="auto"/>
        <w:right w:val="none" w:sz="0" w:space="0" w:color="auto"/>
      </w:divBdr>
    </w:div>
    <w:div w:id="1550409768">
      <w:bodyDiv w:val="1"/>
      <w:marLeft w:val="0"/>
      <w:marRight w:val="0"/>
      <w:marTop w:val="0"/>
      <w:marBottom w:val="0"/>
      <w:divBdr>
        <w:top w:val="none" w:sz="0" w:space="0" w:color="auto"/>
        <w:left w:val="none" w:sz="0" w:space="0" w:color="auto"/>
        <w:bottom w:val="none" w:sz="0" w:space="0" w:color="auto"/>
        <w:right w:val="none" w:sz="0" w:space="0" w:color="auto"/>
      </w:divBdr>
    </w:div>
    <w:div w:id="1550607648">
      <w:bodyDiv w:val="1"/>
      <w:marLeft w:val="0"/>
      <w:marRight w:val="0"/>
      <w:marTop w:val="0"/>
      <w:marBottom w:val="0"/>
      <w:divBdr>
        <w:top w:val="none" w:sz="0" w:space="0" w:color="auto"/>
        <w:left w:val="none" w:sz="0" w:space="0" w:color="auto"/>
        <w:bottom w:val="none" w:sz="0" w:space="0" w:color="auto"/>
        <w:right w:val="none" w:sz="0" w:space="0" w:color="auto"/>
      </w:divBdr>
    </w:div>
    <w:div w:id="1551111177">
      <w:bodyDiv w:val="1"/>
      <w:marLeft w:val="0"/>
      <w:marRight w:val="0"/>
      <w:marTop w:val="0"/>
      <w:marBottom w:val="0"/>
      <w:divBdr>
        <w:top w:val="none" w:sz="0" w:space="0" w:color="auto"/>
        <w:left w:val="none" w:sz="0" w:space="0" w:color="auto"/>
        <w:bottom w:val="none" w:sz="0" w:space="0" w:color="auto"/>
        <w:right w:val="none" w:sz="0" w:space="0" w:color="auto"/>
      </w:divBdr>
    </w:div>
    <w:div w:id="1551184352">
      <w:bodyDiv w:val="1"/>
      <w:marLeft w:val="0"/>
      <w:marRight w:val="0"/>
      <w:marTop w:val="0"/>
      <w:marBottom w:val="0"/>
      <w:divBdr>
        <w:top w:val="none" w:sz="0" w:space="0" w:color="auto"/>
        <w:left w:val="none" w:sz="0" w:space="0" w:color="auto"/>
        <w:bottom w:val="none" w:sz="0" w:space="0" w:color="auto"/>
        <w:right w:val="none" w:sz="0" w:space="0" w:color="auto"/>
      </w:divBdr>
    </w:div>
    <w:div w:id="1551264848">
      <w:bodyDiv w:val="1"/>
      <w:marLeft w:val="0"/>
      <w:marRight w:val="0"/>
      <w:marTop w:val="0"/>
      <w:marBottom w:val="0"/>
      <w:divBdr>
        <w:top w:val="none" w:sz="0" w:space="0" w:color="auto"/>
        <w:left w:val="none" w:sz="0" w:space="0" w:color="auto"/>
        <w:bottom w:val="none" w:sz="0" w:space="0" w:color="auto"/>
        <w:right w:val="none" w:sz="0" w:space="0" w:color="auto"/>
      </w:divBdr>
    </w:div>
    <w:div w:id="1551574097">
      <w:bodyDiv w:val="1"/>
      <w:marLeft w:val="0"/>
      <w:marRight w:val="0"/>
      <w:marTop w:val="0"/>
      <w:marBottom w:val="0"/>
      <w:divBdr>
        <w:top w:val="none" w:sz="0" w:space="0" w:color="auto"/>
        <w:left w:val="none" w:sz="0" w:space="0" w:color="auto"/>
        <w:bottom w:val="none" w:sz="0" w:space="0" w:color="auto"/>
        <w:right w:val="none" w:sz="0" w:space="0" w:color="auto"/>
      </w:divBdr>
    </w:div>
    <w:div w:id="1551651795">
      <w:bodyDiv w:val="1"/>
      <w:marLeft w:val="0"/>
      <w:marRight w:val="0"/>
      <w:marTop w:val="0"/>
      <w:marBottom w:val="0"/>
      <w:divBdr>
        <w:top w:val="none" w:sz="0" w:space="0" w:color="auto"/>
        <w:left w:val="none" w:sz="0" w:space="0" w:color="auto"/>
        <w:bottom w:val="none" w:sz="0" w:space="0" w:color="auto"/>
        <w:right w:val="none" w:sz="0" w:space="0" w:color="auto"/>
      </w:divBdr>
    </w:div>
    <w:div w:id="1551696610">
      <w:bodyDiv w:val="1"/>
      <w:marLeft w:val="0"/>
      <w:marRight w:val="0"/>
      <w:marTop w:val="0"/>
      <w:marBottom w:val="0"/>
      <w:divBdr>
        <w:top w:val="none" w:sz="0" w:space="0" w:color="auto"/>
        <w:left w:val="none" w:sz="0" w:space="0" w:color="auto"/>
        <w:bottom w:val="none" w:sz="0" w:space="0" w:color="auto"/>
        <w:right w:val="none" w:sz="0" w:space="0" w:color="auto"/>
      </w:divBdr>
    </w:div>
    <w:div w:id="1551843443">
      <w:bodyDiv w:val="1"/>
      <w:marLeft w:val="0"/>
      <w:marRight w:val="0"/>
      <w:marTop w:val="0"/>
      <w:marBottom w:val="0"/>
      <w:divBdr>
        <w:top w:val="none" w:sz="0" w:space="0" w:color="auto"/>
        <w:left w:val="none" w:sz="0" w:space="0" w:color="auto"/>
        <w:bottom w:val="none" w:sz="0" w:space="0" w:color="auto"/>
        <w:right w:val="none" w:sz="0" w:space="0" w:color="auto"/>
      </w:divBdr>
    </w:div>
    <w:div w:id="1552570133">
      <w:bodyDiv w:val="1"/>
      <w:marLeft w:val="0"/>
      <w:marRight w:val="0"/>
      <w:marTop w:val="0"/>
      <w:marBottom w:val="0"/>
      <w:divBdr>
        <w:top w:val="none" w:sz="0" w:space="0" w:color="auto"/>
        <w:left w:val="none" w:sz="0" w:space="0" w:color="auto"/>
        <w:bottom w:val="none" w:sz="0" w:space="0" w:color="auto"/>
        <w:right w:val="none" w:sz="0" w:space="0" w:color="auto"/>
      </w:divBdr>
    </w:div>
    <w:div w:id="1553734896">
      <w:bodyDiv w:val="1"/>
      <w:marLeft w:val="0"/>
      <w:marRight w:val="0"/>
      <w:marTop w:val="0"/>
      <w:marBottom w:val="0"/>
      <w:divBdr>
        <w:top w:val="none" w:sz="0" w:space="0" w:color="auto"/>
        <w:left w:val="none" w:sz="0" w:space="0" w:color="auto"/>
        <w:bottom w:val="none" w:sz="0" w:space="0" w:color="auto"/>
        <w:right w:val="none" w:sz="0" w:space="0" w:color="auto"/>
      </w:divBdr>
    </w:div>
    <w:div w:id="1553930606">
      <w:bodyDiv w:val="1"/>
      <w:marLeft w:val="0"/>
      <w:marRight w:val="0"/>
      <w:marTop w:val="0"/>
      <w:marBottom w:val="0"/>
      <w:divBdr>
        <w:top w:val="none" w:sz="0" w:space="0" w:color="auto"/>
        <w:left w:val="none" w:sz="0" w:space="0" w:color="auto"/>
        <w:bottom w:val="none" w:sz="0" w:space="0" w:color="auto"/>
        <w:right w:val="none" w:sz="0" w:space="0" w:color="auto"/>
      </w:divBdr>
    </w:div>
    <w:div w:id="1554542110">
      <w:bodyDiv w:val="1"/>
      <w:marLeft w:val="0"/>
      <w:marRight w:val="0"/>
      <w:marTop w:val="0"/>
      <w:marBottom w:val="0"/>
      <w:divBdr>
        <w:top w:val="none" w:sz="0" w:space="0" w:color="auto"/>
        <w:left w:val="none" w:sz="0" w:space="0" w:color="auto"/>
        <w:bottom w:val="none" w:sz="0" w:space="0" w:color="auto"/>
        <w:right w:val="none" w:sz="0" w:space="0" w:color="auto"/>
      </w:divBdr>
    </w:div>
    <w:div w:id="1556894239">
      <w:bodyDiv w:val="1"/>
      <w:marLeft w:val="0"/>
      <w:marRight w:val="0"/>
      <w:marTop w:val="0"/>
      <w:marBottom w:val="0"/>
      <w:divBdr>
        <w:top w:val="none" w:sz="0" w:space="0" w:color="auto"/>
        <w:left w:val="none" w:sz="0" w:space="0" w:color="auto"/>
        <w:bottom w:val="none" w:sz="0" w:space="0" w:color="auto"/>
        <w:right w:val="none" w:sz="0" w:space="0" w:color="auto"/>
      </w:divBdr>
    </w:div>
    <w:div w:id="1558201362">
      <w:bodyDiv w:val="1"/>
      <w:marLeft w:val="0"/>
      <w:marRight w:val="0"/>
      <w:marTop w:val="0"/>
      <w:marBottom w:val="0"/>
      <w:divBdr>
        <w:top w:val="none" w:sz="0" w:space="0" w:color="auto"/>
        <w:left w:val="none" w:sz="0" w:space="0" w:color="auto"/>
        <w:bottom w:val="none" w:sz="0" w:space="0" w:color="auto"/>
        <w:right w:val="none" w:sz="0" w:space="0" w:color="auto"/>
      </w:divBdr>
    </w:div>
    <w:div w:id="1559785924">
      <w:bodyDiv w:val="1"/>
      <w:marLeft w:val="0"/>
      <w:marRight w:val="0"/>
      <w:marTop w:val="0"/>
      <w:marBottom w:val="0"/>
      <w:divBdr>
        <w:top w:val="none" w:sz="0" w:space="0" w:color="auto"/>
        <w:left w:val="none" w:sz="0" w:space="0" w:color="auto"/>
        <w:bottom w:val="none" w:sz="0" w:space="0" w:color="auto"/>
        <w:right w:val="none" w:sz="0" w:space="0" w:color="auto"/>
      </w:divBdr>
    </w:div>
    <w:div w:id="1560240602">
      <w:bodyDiv w:val="1"/>
      <w:marLeft w:val="0"/>
      <w:marRight w:val="0"/>
      <w:marTop w:val="0"/>
      <w:marBottom w:val="0"/>
      <w:divBdr>
        <w:top w:val="none" w:sz="0" w:space="0" w:color="auto"/>
        <w:left w:val="none" w:sz="0" w:space="0" w:color="auto"/>
        <w:bottom w:val="none" w:sz="0" w:space="0" w:color="auto"/>
        <w:right w:val="none" w:sz="0" w:space="0" w:color="auto"/>
      </w:divBdr>
    </w:div>
    <w:div w:id="1560288213">
      <w:bodyDiv w:val="1"/>
      <w:marLeft w:val="0"/>
      <w:marRight w:val="0"/>
      <w:marTop w:val="0"/>
      <w:marBottom w:val="0"/>
      <w:divBdr>
        <w:top w:val="none" w:sz="0" w:space="0" w:color="auto"/>
        <w:left w:val="none" w:sz="0" w:space="0" w:color="auto"/>
        <w:bottom w:val="none" w:sz="0" w:space="0" w:color="auto"/>
        <w:right w:val="none" w:sz="0" w:space="0" w:color="auto"/>
      </w:divBdr>
    </w:div>
    <w:div w:id="1560481367">
      <w:bodyDiv w:val="1"/>
      <w:marLeft w:val="0"/>
      <w:marRight w:val="0"/>
      <w:marTop w:val="0"/>
      <w:marBottom w:val="0"/>
      <w:divBdr>
        <w:top w:val="none" w:sz="0" w:space="0" w:color="auto"/>
        <w:left w:val="none" w:sz="0" w:space="0" w:color="auto"/>
        <w:bottom w:val="none" w:sz="0" w:space="0" w:color="auto"/>
        <w:right w:val="none" w:sz="0" w:space="0" w:color="auto"/>
      </w:divBdr>
    </w:div>
    <w:div w:id="1561360845">
      <w:bodyDiv w:val="1"/>
      <w:marLeft w:val="0"/>
      <w:marRight w:val="0"/>
      <w:marTop w:val="0"/>
      <w:marBottom w:val="0"/>
      <w:divBdr>
        <w:top w:val="none" w:sz="0" w:space="0" w:color="auto"/>
        <w:left w:val="none" w:sz="0" w:space="0" w:color="auto"/>
        <w:bottom w:val="none" w:sz="0" w:space="0" w:color="auto"/>
        <w:right w:val="none" w:sz="0" w:space="0" w:color="auto"/>
      </w:divBdr>
    </w:div>
    <w:div w:id="1562138532">
      <w:bodyDiv w:val="1"/>
      <w:marLeft w:val="0"/>
      <w:marRight w:val="0"/>
      <w:marTop w:val="0"/>
      <w:marBottom w:val="0"/>
      <w:divBdr>
        <w:top w:val="none" w:sz="0" w:space="0" w:color="auto"/>
        <w:left w:val="none" w:sz="0" w:space="0" w:color="auto"/>
        <w:bottom w:val="none" w:sz="0" w:space="0" w:color="auto"/>
        <w:right w:val="none" w:sz="0" w:space="0" w:color="auto"/>
      </w:divBdr>
    </w:div>
    <w:div w:id="1562909286">
      <w:bodyDiv w:val="1"/>
      <w:marLeft w:val="0"/>
      <w:marRight w:val="0"/>
      <w:marTop w:val="0"/>
      <w:marBottom w:val="0"/>
      <w:divBdr>
        <w:top w:val="none" w:sz="0" w:space="0" w:color="auto"/>
        <w:left w:val="none" w:sz="0" w:space="0" w:color="auto"/>
        <w:bottom w:val="none" w:sz="0" w:space="0" w:color="auto"/>
        <w:right w:val="none" w:sz="0" w:space="0" w:color="auto"/>
      </w:divBdr>
    </w:div>
    <w:div w:id="1563255935">
      <w:bodyDiv w:val="1"/>
      <w:marLeft w:val="0"/>
      <w:marRight w:val="0"/>
      <w:marTop w:val="0"/>
      <w:marBottom w:val="0"/>
      <w:divBdr>
        <w:top w:val="none" w:sz="0" w:space="0" w:color="auto"/>
        <w:left w:val="none" w:sz="0" w:space="0" w:color="auto"/>
        <w:bottom w:val="none" w:sz="0" w:space="0" w:color="auto"/>
        <w:right w:val="none" w:sz="0" w:space="0" w:color="auto"/>
      </w:divBdr>
    </w:div>
    <w:div w:id="1563520505">
      <w:bodyDiv w:val="1"/>
      <w:marLeft w:val="0"/>
      <w:marRight w:val="0"/>
      <w:marTop w:val="0"/>
      <w:marBottom w:val="0"/>
      <w:divBdr>
        <w:top w:val="none" w:sz="0" w:space="0" w:color="auto"/>
        <w:left w:val="none" w:sz="0" w:space="0" w:color="auto"/>
        <w:bottom w:val="none" w:sz="0" w:space="0" w:color="auto"/>
        <w:right w:val="none" w:sz="0" w:space="0" w:color="auto"/>
      </w:divBdr>
    </w:div>
    <w:div w:id="1564098484">
      <w:bodyDiv w:val="1"/>
      <w:marLeft w:val="0"/>
      <w:marRight w:val="0"/>
      <w:marTop w:val="0"/>
      <w:marBottom w:val="0"/>
      <w:divBdr>
        <w:top w:val="none" w:sz="0" w:space="0" w:color="auto"/>
        <w:left w:val="none" w:sz="0" w:space="0" w:color="auto"/>
        <w:bottom w:val="none" w:sz="0" w:space="0" w:color="auto"/>
        <w:right w:val="none" w:sz="0" w:space="0" w:color="auto"/>
      </w:divBdr>
    </w:div>
    <w:div w:id="1564414804">
      <w:bodyDiv w:val="1"/>
      <w:marLeft w:val="0"/>
      <w:marRight w:val="0"/>
      <w:marTop w:val="0"/>
      <w:marBottom w:val="0"/>
      <w:divBdr>
        <w:top w:val="none" w:sz="0" w:space="0" w:color="auto"/>
        <w:left w:val="none" w:sz="0" w:space="0" w:color="auto"/>
        <w:bottom w:val="none" w:sz="0" w:space="0" w:color="auto"/>
        <w:right w:val="none" w:sz="0" w:space="0" w:color="auto"/>
      </w:divBdr>
    </w:div>
    <w:div w:id="1566912295">
      <w:bodyDiv w:val="1"/>
      <w:marLeft w:val="0"/>
      <w:marRight w:val="0"/>
      <w:marTop w:val="0"/>
      <w:marBottom w:val="0"/>
      <w:divBdr>
        <w:top w:val="none" w:sz="0" w:space="0" w:color="auto"/>
        <w:left w:val="none" w:sz="0" w:space="0" w:color="auto"/>
        <w:bottom w:val="none" w:sz="0" w:space="0" w:color="auto"/>
        <w:right w:val="none" w:sz="0" w:space="0" w:color="auto"/>
      </w:divBdr>
    </w:div>
    <w:div w:id="1567646643">
      <w:bodyDiv w:val="1"/>
      <w:marLeft w:val="0"/>
      <w:marRight w:val="0"/>
      <w:marTop w:val="0"/>
      <w:marBottom w:val="0"/>
      <w:divBdr>
        <w:top w:val="none" w:sz="0" w:space="0" w:color="auto"/>
        <w:left w:val="none" w:sz="0" w:space="0" w:color="auto"/>
        <w:bottom w:val="none" w:sz="0" w:space="0" w:color="auto"/>
        <w:right w:val="none" w:sz="0" w:space="0" w:color="auto"/>
      </w:divBdr>
    </w:div>
    <w:div w:id="1568420805">
      <w:bodyDiv w:val="1"/>
      <w:marLeft w:val="0"/>
      <w:marRight w:val="0"/>
      <w:marTop w:val="0"/>
      <w:marBottom w:val="0"/>
      <w:divBdr>
        <w:top w:val="none" w:sz="0" w:space="0" w:color="auto"/>
        <w:left w:val="none" w:sz="0" w:space="0" w:color="auto"/>
        <w:bottom w:val="none" w:sz="0" w:space="0" w:color="auto"/>
        <w:right w:val="none" w:sz="0" w:space="0" w:color="auto"/>
      </w:divBdr>
    </w:div>
    <w:div w:id="1568765624">
      <w:bodyDiv w:val="1"/>
      <w:marLeft w:val="0"/>
      <w:marRight w:val="0"/>
      <w:marTop w:val="0"/>
      <w:marBottom w:val="0"/>
      <w:divBdr>
        <w:top w:val="none" w:sz="0" w:space="0" w:color="auto"/>
        <w:left w:val="none" w:sz="0" w:space="0" w:color="auto"/>
        <w:bottom w:val="none" w:sz="0" w:space="0" w:color="auto"/>
        <w:right w:val="none" w:sz="0" w:space="0" w:color="auto"/>
      </w:divBdr>
    </w:div>
    <w:div w:id="1571235594">
      <w:bodyDiv w:val="1"/>
      <w:marLeft w:val="0"/>
      <w:marRight w:val="0"/>
      <w:marTop w:val="0"/>
      <w:marBottom w:val="0"/>
      <w:divBdr>
        <w:top w:val="none" w:sz="0" w:space="0" w:color="auto"/>
        <w:left w:val="none" w:sz="0" w:space="0" w:color="auto"/>
        <w:bottom w:val="none" w:sz="0" w:space="0" w:color="auto"/>
        <w:right w:val="none" w:sz="0" w:space="0" w:color="auto"/>
      </w:divBdr>
    </w:div>
    <w:div w:id="1572158448">
      <w:bodyDiv w:val="1"/>
      <w:marLeft w:val="0"/>
      <w:marRight w:val="0"/>
      <w:marTop w:val="0"/>
      <w:marBottom w:val="0"/>
      <w:divBdr>
        <w:top w:val="none" w:sz="0" w:space="0" w:color="auto"/>
        <w:left w:val="none" w:sz="0" w:space="0" w:color="auto"/>
        <w:bottom w:val="none" w:sz="0" w:space="0" w:color="auto"/>
        <w:right w:val="none" w:sz="0" w:space="0" w:color="auto"/>
      </w:divBdr>
    </w:div>
    <w:div w:id="1574966204">
      <w:bodyDiv w:val="1"/>
      <w:marLeft w:val="0"/>
      <w:marRight w:val="0"/>
      <w:marTop w:val="0"/>
      <w:marBottom w:val="0"/>
      <w:divBdr>
        <w:top w:val="none" w:sz="0" w:space="0" w:color="auto"/>
        <w:left w:val="none" w:sz="0" w:space="0" w:color="auto"/>
        <w:bottom w:val="none" w:sz="0" w:space="0" w:color="auto"/>
        <w:right w:val="none" w:sz="0" w:space="0" w:color="auto"/>
      </w:divBdr>
    </w:div>
    <w:div w:id="1575503888">
      <w:bodyDiv w:val="1"/>
      <w:marLeft w:val="0"/>
      <w:marRight w:val="0"/>
      <w:marTop w:val="0"/>
      <w:marBottom w:val="0"/>
      <w:divBdr>
        <w:top w:val="none" w:sz="0" w:space="0" w:color="auto"/>
        <w:left w:val="none" w:sz="0" w:space="0" w:color="auto"/>
        <w:bottom w:val="none" w:sz="0" w:space="0" w:color="auto"/>
        <w:right w:val="none" w:sz="0" w:space="0" w:color="auto"/>
      </w:divBdr>
    </w:div>
    <w:div w:id="1576665548">
      <w:bodyDiv w:val="1"/>
      <w:marLeft w:val="0"/>
      <w:marRight w:val="0"/>
      <w:marTop w:val="0"/>
      <w:marBottom w:val="0"/>
      <w:divBdr>
        <w:top w:val="none" w:sz="0" w:space="0" w:color="auto"/>
        <w:left w:val="none" w:sz="0" w:space="0" w:color="auto"/>
        <w:bottom w:val="none" w:sz="0" w:space="0" w:color="auto"/>
        <w:right w:val="none" w:sz="0" w:space="0" w:color="auto"/>
      </w:divBdr>
    </w:div>
    <w:div w:id="1576865257">
      <w:bodyDiv w:val="1"/>
      <w:marLeft w:val="0"/>
      <w:marRight w:val="0"/>
      <w:marTop w:val="0"/>
      <w:marBottom w:val="0"/>
      <w:divBdr>
        <w:top w:val="none" w:sz="0" w:space="0" w:color="auto"/>
        <w:left w:val="none" w:sz="0" w:space="0" w:color="auto"/>
        <w:bottom w:val="none" w:sz="0" w:space="0" w:color="auto"/>
        <w:right w:val="none" w:sz="0" w:space="0" w:color="auto"/>
      </w:divBdr>
    </w:div>
    <w:div w:id="1577090530">
      <w:bodyDiv w:val="1"/>
      <w:marLeft w:val="0"/>
      <w:marRight w:val="0"/>
      <w:marTop w:val="0"/>
      <w:marBottom w:val="0"/>
      <w:divBdr>
        <w:top w:val="none" w:sz="0" w:space="0" w:color="auto"/>
        <w:left w:val="none" w:sz="0" w:space="0" w:color="auto"/>
        <w:bottom w:val="none" w:sz="0" w:space="0" w:color="auto"/>
        <w:right w:val="none" w:sz="0" w:space="0" w:color="auto"/>
      </w:divBdr>
    </w:div>
    <w:div w:id="1577130139">
      <w:bodyDiv w:val="1"/>
      <w:marLeft w:val="0"/>
      <w:marRight w:val="0"/>
      <w:marTop w:val="0"/>
      <w:marBottom w:val="0"/>
      <w:divBdr>
        <w:top w:val="none" w:sz="0" w:space="0" w:color="auto"/>
        <w:left w:val="none" w:sz="0" w:space="0" w:color="auto"/>
        <w:bottom w:val="none" w:sz="0" w:space="0" w:color="auto"/>
        <w:right w:val="none" w:sz="0" w:space="0" w:color="auto"/>
      </w:divBdr>
    </w:div>
    <w:div w:id="1578591270">
      <w:bodyDiv w:val="1"/>
      <w:marLeft w:val="0"/>
      <w:marRight w:val="0"/>
      <w:marTop w:val="0"/>
      <w:marBottom w:val="0"/>
      <w:divBdr>
        <w:top w:val="none" w:sz="0" w:space="0" w:color="auto"/>
        <w:left w:val="none" w:sz="0" w:space="0" w:color="auto"/>
        <w:bottom w:val="none" w:sz="0" w:space="0" w:color="auto"/>
        <w:right w:val="none" w:sz="0" w:space="0" w:color="auto"/>
      </w:divBdr>
    </w:div>
    <w:div w:id="1578713295">
      <w:bodyDiv w:val="1"/>
      <w:marLeft w:val="0"/>
      <w:marRight w:val="0"/>
      <w:marTop w:val="0"/>
      <w:marBottom w:val="0"/>
      <w:divBdr>
        <w:top w:val="none" w:sz="0" w:space="0" w:color="auto"/>
        <w:left w:val="none" w:sz="0" w:space="0" w:color="auto"/>
        <w:bottom w:val="none" w:sz="0" w:space="0" w:color="auto"/>
        <w:right w:val="none" w:sz="0" w:space="0" w:color="auto"/>
      </w:divBdr>
    </w:div>
    <w:div w:id="1579166936">
      <w:bodyDiv w:val="1"/>
      <w:marLeft w:val="0"/>
      <w:marRight w:val="0"/>
      <w:marTop w:val="0"/>
      <w:marBottom w:val="0"/>
      <w:divBdr>
        <w:top w:val="none" w:sz="0" w:space="0" w:color="auto"/>
        <w:left w:val="none" w:sz="0" w:space="0" w:color="auto"/>
        <w:bottom w:val="none" w:sz="0" w:space="0" w:color="auto"/>
        <w:right w:val="none" w:sz="0" w:space="0" w:color="auto"/>
      </w:divBdr>
    </w:div>
    <w:div w:id="1579366348">
      <w:bodyDiv w:val="1"/>
      <w:marLeft w:val="0"/>
      <w:marRight w:val="0"/>
      <w:marTop w:val="0"/>
      <w:marBottom w:val="0"/>
      <w:divBdr>
        <w:top w:val="none" w:sz="0" w:space="0" w:color="auto"/>
        <w:left w:val="none" w:sz="0" w:space="0" w:color="auto"/>
        <w:bottom w:val="none" w:sz="0" w:space="0" w:color="auto"/>
        <w:right w:val="none" w:sz="0" w:space="0" w:color="auto"/>
      </w:divBdr>
    </w:div>
    <w:div w:id="1579749737">
      <w:bodyDiv w:val="1"/>
      <w:marLeft w:val="0"/>
      <w:marRight w:val="0"/>
      <w:marTop w:val="0"/>
      <w:marBottom w:val="0"/>
      <w:divBdr>
        <w:top w:val="none" w:sz="0" w:space="0" w:color="auto"/>
        <w:left w:val="none" w:sz="0" w:space="0" w:color="auto"/>
        <w:bottom w:val="none" w:sz="0" w:space="0" w:color="auto"/>
        <w:right w:val="none" w:sz="0" w:space="0" w:color="auto"/>
      </w:divBdr>
    </w:div>
    <w:div w:id="1580166196">
      <w:bodyDiv w:val="1"/>
      <w:marLeft w:val="0"/>
      <w:marRight w:val="0"/>
      <w:marTop w:val="0"/>
      <w:marBottom w:val="0"/>
      <w:divBdr>
        <w:top w:val="none" w:sz="0" w:space="0" w:color="auto"/>
        <w:left w:val="none" w:sz="0" w:space="0" w:color="auto"/>
        <w:bottom w:val="none" w:sz="0" w:space="0" w:color="auto"/>
        <w:right w:val="none" w:sz="0" w:space="0" w:color="auto"/>
      </w:divBdr>
    </w:div>
    <w:div w:id="1580678050">
      <w:bodyDiv w:val="1"/>
      <w:marLeft w:val="0"/>
      <w:marRight w:val="0"/>
      <w:marTop w:val="0"/>
      <w:marBottom w:val="0"/>
      <w:divBdr>
        <w:top w:val="none" w:sz="0" w:space="0" w:color="auto"/>
        <w:left w:val="none" w:sz="0" w:space="0" w:color="auto"/>
        <w:bottom w:val="none" w:sz="0" w:space="0" w:color="auto"/>
        <w:right w:val="none" w:sz="0" w:space="0" w:color="auto"/>
      </w:divBdr>
    </w:div>
    <w:div w:id="1581022409">
      <w:bodyDiv w:val="1"/>
      <w:marLeft w:val="0"/>
      <w:marRight w:val="0"/>
      <w:marTop w:val="0"/>
      <w:marBottom w:val="0"/>
      <w:divBdr>
        <w:top w:val="none" w:sz="0" w:space="0" w:color="auto"/>
        <w:left w:val="none" w:sz="0" w:space="0" w:color="auto"/>
        <w:bottom w:val="none" w:sz="0" w:space="0" w:color="auto"/>
        <w:right w:val="none" w:sz="0" w:space="0" w:color="auto"/>
      </w:divBdr>
    </w:div>
    <w:div w:id="1581257405">
      <w:bodyDiv w:val="1"/>
      <w:marLeft w:val="0"/>
      <w:marRight w:val="0"/>
      <w:marTop w:val="0"/>
      <w:marBottom w:val="0"/>
      <w:divBdr>
        <w:top w:val="none" w:sz="0" w:space="0" w:color="auto"/>
        <w:left w:val="none" w:sz="0" w:space="0" w:color="auto"/>
        <w:bottom w:val="none" w:sz="0" w:space="0" w:color="auto"/>
        <w:right w:val="none" w:sz="0" w:space="0" w:color="auto"/>
      </w:divBdr>
    </w:div>
    <w:div w:id="1582644849">
      <w:bodyDiv w:val="1"/>
      <w:marLeft w:val="0"/>
      <w:marRight w:val="0"/>
      <w:marTop w:val="0"/>
      <w:marBottom w:val="0"/>
      <w:divBdr>
        <w:top w:val="none" w:sz="0" w:space="0" w:color="auto"/>
        <w:left w:val="none" w:sz="0" w:space="0" w:color="auto"/>
        <w:bottom w:val="none" w:sz="0" w:space="0" w:color="auto"/>
        <w:right w:val="none" w:sz="0" w:space="0" w:color="auto"/>
      </w:divBdr>
    </w:div>
    <w:div w:id="1583101889">
      <w:bodyDiv w:val="1"/>
      <w:marLeft w:val="0"/>
      <w:marRight w:val="0"/>
      <w:marTop w:val="0"/>
      <w:marBottom w:val="0"/>
      <w:divBdr>
        <w:top w:val="none" w:sz="0" w:space="0" w:color="auto"/>
        <w:left w:val="none" w:sz="0" w:space="0" w:color="auto"/>
        <w:bottom w:val="none" w:sz="0" w:space="0" w:color="auto"/>
        <w:right w:val="none" w:sz="0" w:space="0" w:color="auto"/>
      </w:divBdr>
    </w:div>
    <w:div w:id="1583219445">
      <w:bodyDiv w:val="1"/>
      <w:marLeft w:val="0"/>
      <w:marRight w:val="0"/>
      <w:marTop w:val="0"/>
      <w:marBottom w:val="0"/>
      <w:divBdr>
        <w:top w:val="none" w:sz="0" w:space="0" w:color="auto"/>
        <w:left w:val="none" w:sz="0" w:space="0" w:color="auto"/>
        <w:bottom w:val="none" w:sz="0" w:space="0" w:color="auto"/>
        <w:right w:val="none" w:sz="0" w:space="0" w:color="auto"/>
      </w:divBdr>
    </w:div>
    <w:div w:id="1583224305">
      <w:bodyDiv w:val="1"/>
      <w:marLeft w:val="0"/>
      <w:marRight w:val="0"/>
      <w:marTop w:val="0"/>
      <w:marBottom w:val="0"/>
      <w:divBdr>
        <w:top w:val="none" w:sz="0" w:space="0" w:color="auto"/>
        <w:left w:val="none" w:sz="0" w:space="0" w:color="auto"/>
        <w:bottom w:val="none" w:sz="0" w:space="0" w:color="auto"/>
        <w:right w:val="none" w:sz="0" w:space="0" w:color="auto"/>
      </w:divBdr>
    </w:div>
    <w:div w:id="1584875618">
      <w:bodyDiv w:val="1"/>
      <w:marLeft w:val="0"/>
      <w:marRight w:val="0"/>
      <w:marTop w:val="0"/>
      <w:marBottom w:val="0"/>
      <w:divBdr>
        <w:top w:val="none" w:sz="0" w:space="0" w:color="auto"/>
        <w:left w:val="none" w:sz="0" w:space="0" w:color="auto"/>
        <w:bottom w:val="none" w:sz="0" w:space="0" w:color="auto"/>
        <w:right w:val="none" w:sz="0" w:space="0" w:color="auto"/>
      </w:divBdr>
    </w:div>
    <w:div w:id="1585527845">
      <w:bodyDiv w:val="1"/>
      <w:marLeft w:val="0"/>
      <w:marRight w:val="0"/>
      <w:marTop w:val="0"/>
      <w:marBottom w:val="0"/>
      <w:divBdr>
        <w:top w:val="none" w:sz="0" w:space="0" w:color="auto"/>
        <w:left w:val="none" w:sz="0" w:space="0" w:color="auto"/>
        <w:bottom w:val="none" w:sz="0" w:space="0" w:color="auto"/>
        <w:right w:val="none" w:sz="0" w:space="0" w:color="auto"/>
      </w:divBdr>
    </w:div>
    <w:div w:id="1586452894">
      <w:bodyDiv w:val="1"/>
      <w:marLeft w:val="0"/>
      <w:marRight w:val="0"/>
      <w:marTop w:val="0"/>
      <w:marBottom w:val="0"/>
      <w:divBdr>
        <w:top w:val="none" w:sz="0" w:space="0" w:color="auto"/>
        <w:left w:val="none" w:sz="0" w:space="0" w:color="auto"/>
        <w:bottom w:val="none" w:sz="0" w:space="0" w:color="auto"/>
        <w:right w:val="none" w:sz="0" w:space="0" w:color="auto"/>
      </w:divBdr>
    </w:div>
    <w:div w:id="1587693406">
      <w:bodyDiv w:val="1"/>
      <w:marLeft w:val="0"/>
      <w:marRight w:val="0"/>
      <w:marTop w:val="0"/>
      <w:marBottom w:val="0"/>
      <w:divBdr>
        <w:top w:val="none" w:sz="0" w:space="0" w:color="auto"/>
        <w:left w:val="none" w:sz="0" w:space="0" w:color="auto"/>
        <w:bottom w:val="none" w:sz="0" w:space="0" w:color="auto"/>
        <w:right w:val="none" w:sz="0" w:space="0" w:color="auto"/>
      </w:divBdr>
    </w:div>
    <w:div w:id="1588034376">
      <w:bodyDiv w:val="1"/>
      <w:marLeft w:val="0"/>
      <w:marRight w:val="0"/>
      <w:marTop w:val="0"/>
      <w:marBottom w:val="0"/>
      <w:divBdr>
        <w:top w:val="none" w:sz="0" w:space="0" w:color="auto"/>
        <w:left w:val="none" w:sz="0" w:space="0" w:color="auto"/>
        <w:bottom w:val="none" w:sz="0" w:space="0" w:color="auto"/>
        <w:right w:val="none" w:sz="0" w:space="0" w:color="auto"/>
      </w:divBdr>
    </w:div>
    <w:div w:id="1589077595">
      <w:bodyDiv w:val="1"/>
      <w:marLeft w:val="0"/>
      <w:marRight w:val="0"/>
      <w:marTop w:val="0"/>
      <w:marBottom w:val="0"/>
      <w:divBdr>
        <w:top w:val="none" w:sz="0" w:space="0" w:color="auto"/>
        <w:left w:val="none" w:sz="0" w:space="0" w:color="auto"/>
        <w:bottom w:val="none" w:sz="0" w:space="0" w:color="auto"/>
        <w:right w:val="none" w:sz="0" w:space="0" w:color="auto"/>
      </w:divBdr>
    </w:div>
    <w:div w:id="1590041293">
      <w:bodyDiv w:val="1"/>
      <w:marLeft w:val="0"/>
      <w:marRight w:val="0"/>
      <w:marTop w:val="0"/>
      <w:marBottom w:val="0"/>
      <w:divBdr>
        <w:top w:val="none" w:sz="0" w:space="0" w:color="auto"/>
        <w:left w:val="none" w:sz="0" w:space="0" w:color="auto"/>
        <w:bottom w:val="none" w:sz="0" w:space="0" w:color="auto"/>
        <w:right w:val="none" w:sz="0" w:space="0" w:color="auto"/>
      </w:divBdr>
    </w:div>
    <w:div w:id="1590232294">
      <w:bodyDiv w:val="1"/>
      <w:marLeft w:val="0"/>
      <w:marRight w:val="0"/>
      <w:marTop w:val="0"/>
      <w:marBottom w:val="0"/>
      <w:divBdr>
        <w:top w:val="none" w:sz="0" w:space="0" w:color="auto"/>
        <w:left w:val="none" w:sz="0" w:space="0" w:color="auto"/>
        <w:bottom w:val="none" w:sz="0" w:space="0" w:color="auto"/>
        <w:right w:val="none" w:sz="0" w:space="0" w:color="auto"/>
      </w:divBdr>
    </w:div>
    <w:div w:id="1591769305">
      <w:bodyDiv w:val="1"/>
      <w:marLeft w:val="0"/>
      <w:marRight w:val="0"/>
      <w:marTop w:val="0"/>
      <w:marBottom w:val="0"/>
      <w:divBdr>
        <w:top w:val="none" w:sz="0" w:space="0" w:color="auto"/>
        <w:left w:val="none" w:sz="0" w:space="0" w:color="auto"/>
        <w:bottom w:val="none" w:sz="0" w:space="0" w:color="auto"/>
        <w:right w:val="none" w:sz="0" w:space="0" w:color="auto"/>
      </w:divBdr>
    </w:div>
    <w:div w:id="1592468015">
      <w:bodyDiv w:val="1"/>
      <w:marLeft w:val="0"/>
      <w:marRight w:val="0"/>
      <w:marTop w:val="0"/>
      <w:marBottom w:val="0"/>
      <w:divBdr>
        <w:top w:val="none" w:sz="0" w:space="0" w:color="auto"/>
        <w:left w:val="none" w:sz="0" w:space="0" w:color="auto"/>
        <w:bottom w:val="none" w:sz="0" w:space="0" w:color="auto"/>
        <w:right w:val="none" w:sz="0" w:space="0" w:color="auto"/>
      </w:divBdr>
    </w:div>
    <w:div w:id="1592473221">
      <w:bodyDiv w:val="1"/>
      <w:marLeft w:val="0"/>
      <w:marRight w:val="0"/>
      <w:marTop w:val="0"/>
      <w:marBottom w:val="0"/>
      <w:divBdr>
        <w:top w:val="none" w:sz="0" w:space="0" w:color="auto"/>
        <w:left w:val="none" w:sz="0" w:space="0" w:color="auto"/>
        <w:bottom w:val="none" w:sz="0" w:space="0" w:color="auto"/>
        <w:right w:val="none" w:sz="0" w:space="0" w:color="auto"/>
      </w:divBdr>
    </w:div>
    <w:div w:id="1593665137">
      <w:bodyDiv w:val="1"/>
      <w:marLeft w:val="0"/>
      <w:marRight w:val="0"/>
      <w:marTop w:val="0"/>
      <w:marBottom w:val="0"/>
      <w:divBdr>
        <w:top w:val="none" w:sz="0" w:space="0" w:color="auto"/>
        <w:left w:val="none" w:sz="0" w:space="0" w:color="auto"/>
        <w:bottom w:val="none" w:sz="0" w:space="0" w:color="auto"/>
        <w:right w:val="none" w:sz="0" w:space="0" w:color="auto"/>
      </w:divBdr>
    </w:div>
    <w:div w:id="1594316192">
      <w:bodyDiv w:val="1"/>
      <w:marLeft w:val="0"/>
      <w:marRight w:val="0"/>
      <w:marTop w:val="0"/>
      <w:marBottom w:val="0"/>
      <w:divBdr>
        <w:top w:val="none" w:sz="0" w:space="0" w:color="auto"/>
        <w:left w:val="none" w:sz="0" w:space="0" w:color="auto"/>
        <w:bottom w:val="none" w:sz="0" w:space="0" w:color="auto"/>
        <w:right w:val="none" w:sz="0" w:space="0" w:color="auto"/>
      </w:divBdr>
    </w:div>
    <w:div w:id="1595092596">
      <w:bodyDiv w:val="1"/>
      <w:marLeft w:val="0"/>
      <w:marRight w:val="0"/>
      <w:marTop w:val="0"/>
      <w:marBottom w:val="0"/>
      <w:divBdr>
        <w:top w:val="none" w:sz="0" w:space="0" w:color="auto"/>
        <w:left w:val="none" w:sz="0" w:space="0" w:color="auto"/>
        <w:bottom w:val="none" w:sz="0" w:space="0" w:color="auto"/>
        <w:right w:val="none" w:sz="0" w:space="0" w:color="auto"/>
      </w:divBdr>
    </w:div>
    <w:div w:id="1595741344">
      <w:bodyDiv w:val="1"/>
      <w:marLeft w:val="0"/>
      <w:marRight w:val="0"/>
      <w:marTop w:val="0"/>
      <w:marBottom w:val="0"/>
      <w:divBdr>
        <w:top w:val="none" w:sz="0" w:space="0" w:color="auto"/>
        <w:left w:val="none" w:sz="0" w:space="0" w:color="auto"/>
        <w:bottom w:val="none" w:sz="0" w:space="0" w:color="auto"/>
        <w:right w:val="none" w:sz="0" w:space="0" w:color="auto"/>
      </w:divBdr>
    </w:div>
    <w:div w:id="1595940942">
      <w:bodyDiv w:val="1"/>
      <w:marLeft w:val="0"/>
      <w:marRight w:val="0"/>
      <w:marTop w:val="0"/>
      <w:marBottom w:val="0"/>
      <w:divBdr>
        <w:top w:val="none" w:sz="0" w:space="0" w:color="auto"/>
        <w:left w:val="none" w:sz="0" w:space="0" w:color="auto"/>
        <w:bottom w:val="none" w:sz="0" w:space="0" w:color="auto"/>
        <w:right w:val="none" w:sz="0" w:space="0" w:color="auto"/>
      </w:divBdr>
    </w:div>
    <w:div w:id="1596132022">
      <w:bodyDiv w:val="1"/>
      <w:marLeft w:val="0"/>
      <w:marRight w:val="0"/>
      <w:marTop w:val="0"/>
      <w:marBottom w:val="0"/>
      <w:divBdr>
        <w:top w:val="none" w:sz="0" w:space="0" w:color="auto"/>
        <w:left w:val="none" w:sz="0" w:space="0" w:color="auto"/>
        <w:bottom w:val="none" w:sz="0" w:space="0" w:color="auto"/>
        <w:right w:val="none" w:sz="0" w:space="0" w:color="auto"/>
      </w:divBdr>
    </w:div>
    <w:div w:id="1597515252">
      <w:bodyDiv w:val="1"/>
      <w:marLeft w:val="0"/>
      <w:marRight w:val="0"/>
      <w:marTop w:val="0"/>
      <w:marBottom w:val="0"/>
      <w:divBdr>
        <w:top w:val="none" w:sz="0" w:space="0" w:color="auto"/>
        <w:left w:val="none" w:sz="0" w:space="0" w:color="auto"/>
        <w:bottom w:val="none" w:sz="0" w:space="0" w:color="auto"/>
        <w:right w:val="none" w:sz="0" w:space="0" w:color="auto"/>
      </w:divBdr>
    </w:div>
    <w:div w:id="1597666610">
      <w:bodyDiv w:val="1"/>
      <w:marLeft w:val="0"/>
      <w:marRight w:val="0"/>
      <w:marTop w:val="0"/>
      <w:marBottom w:val="0"/>
      <w:divBdr>
        <w:top w:val="none" w:sz="0" w:space="0" w:color="auto"/>
        <w:left w:val="none" w:sz="0" w:space="0" w:color="auto"/>
        <w:bottom w:val="none" w:sz="0" w:space="0" w:color="auto"/>
        <w:right w:val="none" w:sz="0" w:space="0" w:color="auto"/>
      </w:divBdr>
    </w:div>
    <w:div w:id="1598319725">
      <w:bodyDiv w:val="1"/>
      <w:marLeft w:val="0"/>
      <w:marRight w:val="0"/>
      <w:marTop w:val="0"/>
      <w:marBottom w:val="0"/>
      <w:divBdr>
        <w:top w:val="none" w:sz="0" w:space="0" w:color="auto"/>
        <w:left w:val="none" w:sz="0" w:space="0" w:color="auto"/>
        <w:bottom w:val="none" w:sz="0" w:space="0" w:color="auto"/>
        <w:right w:val="none" w:sz="0" w:space="0" w:color="auto"/>
      </w:divBdr>
    </w:div>
    <w:div w:id="1599872531">
      <w:bodyDiv w:val="1"/>
      <w:marLeft w:val="0"/>
      <w:marRight w:val="0"/>
      <w:marTop w:val="0"/>
      <w:marBottom w:val="0"/>
      <w:divBdr>
        <w:top w:val="none" w:sz="0" w:space="0" w:color="auto"/>
        <w:left w:val="none" w:sz="0" w:space="0" w:color="auto"/>
        <w:bottom w:val="none" w:sz="0" w:space="0" w:color="auto"/>
        <w:right w:val="none" w:sz="0" w:space="0" w:color="auto"/>
      </w:divBdr>
    </w:div>
    <w:div w:id="1599948380">
      <w:bodyDiv w:val="1"/>
      <w:marLeft w:val="0"/>
      <w:marRight w:val="0"/>
      <w:marTop w:val="0"/>
      <w:marBottom w:val="0"/>
      <w:divBdr>
        <w:top w:val="none" w:sz="0" w:space="0" w:color="auto"/>
        <w:left w:val="none" w:sz="0" w:space="0" w:color="auto"/>
        <w:bottom w:val="none" w:sz="0" w:space="0" w:color="auto"/>
        <w:right w:val="none" w:sz="0" w:space="0" w:color="auto"/>
      </w:divBdr>
    </w:div>
    <w:div w:id="1600671996">
      <w:bodyDiv w:val="1"/>
      <w:marLeft w:val="0"/>
      <w:marRight w:val="0"/>
      <w:marTop w:val="0"/>
      <w:marBottom w:val="0"/>
      <w:divBdr>
        <w:top w:val="none" w:sz="0" w:space="0" w:color="auto"/>
        <w:left w:val="none" w:sz="0" w:space="0" w:color="auto"/>
        <w:bottom w:val="none" w:sz="0" w:space="0" w:color="auto"/>
        <w:right w:val="none" w:sz="0" w:space="0" w:color="auto"/>
      </w:divBdr>
    </w:div>
    <w:div w:id="1602033022">
      <w:bodyDiv w:val="1"/>
      <w:marLeft w:val="0"/>
      <w:marRight w:val="0"/>
      <w:marTop w:val="0"/>
      <w:marBottom w:val="0"/>
      <w:divBdr>
        <w:top w:val="none" w:sz="0" w:space="0" w:color="auto"/>
        <w:left w:val="none" w:sz="0" w:space="0" w:color="auto"/>
        <w:bottom w:val="none" w:sz="0" w:space="0" w:color="auto"/>
        <w:right w:val="none" w:sz="0" w:space="0" w:color="auto"/>
      </w:divBdr>
    </w:div>
    <w:div w:id="1602302560">
      <w:bodyDiv w:val="1"/>
      <w:marLeft w:val="0"/>
      <w:marRight w:val="0"/>
      <w:marTop w:val="0"/>
      <w:marBottom w:val="0"/>
      <w:divBdr>
        <w:top w:val="none" w:sz="0" w:space="0" w:color="auto"/>
        <w:left w:val="none" w:sz="0" w:space="0" w:color="auto"/>
        <w:bottom w:val="none" w:sz="0" w:space="0" w:color="auto"/>
        <w:right w:val="none" w:sz="0" w:space="0" w:color="auto"/>
      </w:divBdr>
    </w:div>
    <w:div w:id="1602688975">
      <w:bodyDiv w:val="1"/>
      <w:marLeft w:val="0"/>
      <w:marRight w:val="0"/>
      <w:marTop w:val="0"/>
      <w:marBottom w:val="0"/>
      <w:divBdr>
        <w:top w:val="none" w:sz="0" w:space="0" w:color="auto"/>
        <w:left w:val="none" w:sz="0" w:space="0" w:color="auto"/>
        <w:bottom w:val="none" w:sz="0" w:space="0" w:color="auto"/>
        <w:right w:val="none" w:sz="0" w:space="0" w:color="auto"/>
      </w:divBdr>
    </w:div>
    <w:div w:id="1603605079">
      <w:bodyDiv w:val="1"/>
      <w:marLeft w:val="0"/>
      <w:marRight w:val="0"/>
      <w:marTop w:val="0"/>
      <w:marBottom w:val="0"/>
      <w:divBdr>
        <w:top w:val="none" w:sz="0" w:space="0" w:color="auto"/>
        <w:left w:val="none" w:sz="0" w:space="0" w:color="auto"/>
        <w:bottom w:val="none" w:sz="0" w:space="0" w:color="auto"/>
        <w:right w:val="none" w:sz="0" w:space="0" w:color="auto"/>
      </w:divBdr>
    </w:div>
    <w:div w:id="1603875937">
      <w:bodyDiv w:val="1"/>
      <w:marLeft w:val="0"/>
      <w:marRight w:val="0"/>
      <w:marTop w:val="0"/>
      <w:marBottom w:val="0"/>
      <w:divBdr>
        <w:top w:val="none" w:sz="0" w:space="0" w:color="auto"/>
        <w:left w:val="none" w:sz="0" w:space="0" w:color="auto"/>
        <w:bottom w:val="none" w:sz="0" w:space="0" w:color="auto"/>
        <w:right w:val="none" w:sz="0" w:space="0" w:color="auto"/>
      </w:divBdr>
    </w:div>
    <w:div w:id="1604998253">
      <w:bodyDiv w:val="1"/>
      <w:marLeft w:val="0"/>
      <w:marRight w:val="0"/>
      <w:marTop w:val="0"/>
      <w:marBottom w:val="0"/>
      <w:divBdr>
        <w:top w:val="none" w:sz="0" w:space="0" w:color="auto"/>
        <w:left w:val="none" w:sz="0" w:space="0" w:color="auto"/>
        <w:bottom w:val="none" w:sz="0" w:space="0" w:color="auto"/>
        <w:right w:val="none" w:sz="0" w:space="0" w:color="auto"/>
      </w:divBdr>
    </w:div>
    <w:div w:id="1604999677">
      <w:bodyDiv w:val="1"/>
      <w:marLeft w:val="0"/>
      <w:marRight w:val="0"/>
      <w:marTop w:val="0"/>
      <w:marBottom w:val="0"/>
      <w:divBdr>
        <w:top w:val="none" w:sz="0" w:space="0" w:color="auto"/>
        <w:left w:val="none" w:sz="0" w:space="0" w:color="auto"/>
        <w:bottom w:val="none" w:sz="0" w:space="0" w:color="auto"/>
        <w:right w:val="none" w:sz="0" w:space="0" w:color="auto"/>
      </w:divBdr>
    </w:div>
    <w:div w:id="1605650136">
      <w:bodyDiv w:val="1"/>
      <w:marLeft w:val="0"/>
      <w:marRight w:val="0"/>
      <w:marTop w:val="0"/>
      <w:marBottom w:val="0"/>
      <w:divBdr>
        <w:top w:val="none" w:sz="0" w:space="0" w:color="auto"/>
        <w:left w:val="none" w:sz="0" w:space="0" w:color="auto"/>
        <w:bottom w:val="none" w:sz="0" w:space="0" w:color="auto"/>
        <w:right w:val="none" w:sz="0" w:space="0" w:color="auto"/>
      </w:divBdr>
    </w:div>
    <w:div w:id="1605916852">
      <w:bodyDiv w:val="1"/>
      <w:marLeft w:val="0"/>
      <w:marRight w:val="0"/>
      <w:marTop w:val="0"/>
      <w:marBottom w:val="0"/>
      <w:divBdr>
        <w:top w:val="none" w:sz="0" w:space="0" w:color="auto"/>
        <w:left w:val="none" w:sz="0" w:space="0" w:color="auto"/>
        <w:bottom w:val="none" w:sz="0" w:space="0" w:color="auto"/>
        <w:right w:val="none" w:sz="0" w:space="0" w:color="auto"/>
      </w:divBdr>
    </w:div>
    <w:div w:id="1606812516">
      <w:bodyDiv w:val="1"/>
      <w:marLeft w:val="0"/>
      <w:marRight w:val="0"/>
      <w:marTop w:val="0"/>
      <w:marBottom w:val="0"/>
      <w:divBdr>
        <w:top w:val="none" w:sz="0" w:space="0" w:color="auto"/>
        <w:left w:val="none" w:sz="0" w:space="0" w:color="auto"/>
        <w:bottom w:val="none" w:sz="0" w:space="0" w:color="auto"/>
        <w:right w:val="none" w:sz="0" w:space="0" w:color="auto"/>
      </w:divBdr>
    </w:div>
    <w:div w:id="1606964368">
      <w:bodyDiv w:val="1"/>
      <w:marLeft w:val="0"/>
      <w:marRight w:val="0"/>
      <w:marTop w:val="0"/>
      <w:marBottom w:val="0"/>
      <w:divBdr>
        <w:top w:val="none" w:sz="0" w:space="0" w:color="auto"/>
        <w:left w:val="none" w:sz="0" w:space="0" w:color="auto"/>
        <w:bottom w:val="none" w:sz="0" w:space="0" w:color="auto"/>
        <w:right w:val="none" w:sz="0" w:space="0" w:color="auto"/>
      </w:divBdr>
    </w:div>
    <w:div w:id="1607151866">
      <w:bodyDiv w:val="1"/>
      <w:marLeft w:val="0"/>
      <w:marRight w:val="0"/>
      <w:marTop w:val="0"/>
      <w:marBottom w:val="0"/>
      <w:divBdr>
        <w:top w:val="none" w:sz="0" w:space="0" w:color="auto"/>
        <w:left w:val="none" w:sz="0" w:space="0" w:color="auto"/>
        <w:bottom w:val="none" w:sz="0" w:space="0" w:color="auto"/>
        <w:right w:val="none" w:sz="0" w:space="0" w:color="auto"/>
      </w:divBdr>
    </w:div>
    <w:div w:id="1607690745">
      <w:bodyDiv w:val="1"/>
      <w:marLeft w:val="0"/>
      <w:marRight w:val="0"/>
      <w:marTop w:val="0"/>
      <w:marBottom w:val="0"/>
      <w:divBdr>
        <w:top w:val="none" w:sz="0" w:space="0" w:color="auto"/>
        <w:left w:val="none" w:sz="0" w:space="0" w:color="auto"/>
        <w:bottom w:val="none" w:sz="0" w:space="0" w:color="auto"/>
        <w:right w:val="none" w:sz="0" w:space="0" w:color="auto"/>
      </w:divBdr>
    </w:div>
    <w:div w:id="1608392232">
      <w:bodyDiv w:val="1"/>
      <w:marLeft w:val="0"/>
      <w:marRight w:val="0"/>
      <w:marTop w:val="0"/>
      <w:marBottom w:val="0"/>
      <w:divBdr>
        <w:top w:val="none" w:sz="0" w:space="0" w:color="auto"/>
        <w:left w:val="none" w:sz="0" w:space="0" w:color="auto"/>
        <w:bottom w:val="none" w:sz="0" w:space="0" w:color="auto"/>
        <w:right w:val="none" w:sz="0" w:space="0" w:color="auto"/>
      </w:divBdr>
    </w:div>
    <w:div w:id="1609317662">
      <w:bodyDiv w:val="1"/>
      <w:marLeft w:val="0"/>
      <w:marRight w:val="0"/>
      <w:marTop w:val="0"/>
      <w:marBottom w:val="0"/>
      <w:divBdr>
        <w:top w:val="none" w:sz="0" w:space="0" w:color="auto"/>
        <w:left w:val="none" w:sz="0" w:space="0" w:color="auto"/>
        <w:bottom w:val="none" w:sz="0" w:space="0" w:color="auto"/>
        <w:right w:val="none" w:sz="0" w:space="0" w:color="auto"/>
      </w:divBdr>
    </w:div>
    <w:div w:id="1609462540">
      <w:bodyDiv w:val="1"/>
      <w:marLeft w:val="0"/>
      <w:marRight w:val="0"/>
      <w:marTop w:val="0"/>
      <w:marBottom w:val="0"/>
      <w:divBdr>
        <w:top w:val="none" w:sz="0" w:space="0" w:color="auto"/>
        <w:left w:val="none" w:sz="0" w:space="0" w:color="auto"/>
        <w:bottom w:val="none" w:sz="0" w:space="0" w:color="auto"/>
        <w:right w:val="none" w:sz="0" w:space="0" w:color="auto"/>
      </w:divBdr>
    </w:div>
    <w:div w:id="1609695646">
      <w:bodyDiv w:val="1"/>
      <w:marLeft w:val="0"/>
      <w:marRight w:val="0"/>
      <w:marTop w:val="0"/>
      <w:marBottom w:val="0"/>
      <w:divBdr>
        <w:top w:val="none" w:sz="0" w:space="0" w:color="auto"/>
        <w:left w:val="none" w:sz="0" w:space="0" w:color="auto"/>
        <w:bottom w:val="none" w:sz="0" w:space="0" w:color="auto"/>
        <w:right w:val="none" w:sz="0" w:space="0" w:color="auto"/>
      </w:divBdr>
    </w:div>
    <w:div w:id="1609697271">
      <w:bodyDiv w:val="1"/>
      <w:marLeft w:val="0"/>
      <w:marRight w:val="0"/>
      <w:marTop w:val="0"/>
      <w:marBottom w:val="0"/>
      <w:divBdr>
        <w:top w:val="none" w:sz="0" w:space="0" w:color="auto"/>
        <w:left w:val="none" w:sz="0" w:space="0" w:color="auto"/>
        <w:bottom w:val="none" w:sz="0" w:space="0" w:color="auto"/>
        <w:right w:val="none" w:sz="0" w:space="0" w:color="auto"/>
      </w:divBdr>
    </w:div>
    <w:div w:id="1612205595">
      <w:bodyDiv w:val="1"/>
      <w:marLeft w:val="0"/>
      <w:marRight w:val="0"/>
      <w:marTop w:val="0"/>
      <w:marBottom w:val="0"/>
      <w:divBdr>
        <w:top w:val="none" w:sz="0" w:space="0" w:color="auto"/>
        <w:left w:val="none" w:sz="0" w:space="0" w:color="auto"/>
        <w:bottom w:val="none" w:sz="0" w:space="0" w:color="auto"/>
        <w:right w:val="none" w:sz="0" w:space="0" w:color="auto"/>
      </w:divBdr>
    </w:div>
    <w:div w:id="1612348887">
      <w:bodyDiv w:val="1"/>
      <w:marLeft w:val="0"/>
      <w:marRight w:val="0"/>
      <w:marTop w:val="0"/>
      <w:marBottom w:val="0"/>
      <w:divBdr>
        <w:top w:val="none" w:sz="0" w:space="0" w:color="auto"/>
        <w:left w:val="none" w:sz="0" w:space="0" w:color="auto"/>
        <w:bottom w:val="none" w:sz="0" w:space="0" w:color="auto"/>
        <w:right w:val="none" w:sz="0" w:space="0" w:color="auto"/>
      </w:divBdr>
    </w:div>
    <w:div w:id="1612470655">
      <w:bodyDiv w:val="1"/>
      <w:marLeft w:val="0"/>
      <w:marRight w:val="0"/>
      <w:marTop w:val="0"/>
      <w:marBottom w:val="0"/>
      <w:divBdr>
        <w:top w:val="none" w:sz="0" w:space="0" w:color="auto"/>
        <w:left w:val="none" w:sz="0" w:space="0" w:color="auto"/>
        <w:bottom w:val="none" w:sz="0" w:space="0" w:color="auto"/>
        <w:right w:val="none" w:sz="0" w:space="0" w:color="auto"/>
      </w:divBdr>
    </w:div>
    <w:div w:id="1613315938">
      <w:bodyDiv w:val="1"/>
      <w:marLeft w:val="0"/>
      <w:marRight w:val="0"/>
      <w:marTop w:val="0"/>
      <w:marBottom w:val="0"/>
      <w:divBdr>
        <w:top w:val="none" w:sz="0" w:space="0" w:color="auto"/>
        <w:left w:val="none" w:sz="0" w:space="0" w:color="auto"/>
        <w:bottom w:val="none" w:sz="0" w:space="0" w:color="auto"/>
        <w:right w:val="none" w:sz="0" w:space="0" w:color="auto"/>
      </w:divBdr>
    </w:div>
    <w:div w:id="1613516023">
      <w:bodyDiv w:val="1"/>
      <w:marLeft w:val="0"/>
      <w:marRight w:val="0"/>
      <w:marTop w:val="0"/>
      <w:marBottom w:val="0"/>
      <w:divBdr>
        <w:top w:val="none" w:sz="0" w:space="0" w:color="auto"/>
        <w:left w:val="none" w:sz="0" w:space="0" w:color="auto"/>
        <w:bottom w:val="none" w:sz="0" w:space="0" w:color="auto"/>
        <w:right w:val="none" w:sz="0" w:space="0" w:color="auto"/>
      </w:divBdr>
    </w:div>
    <w:div w:id="1614359840">
      <w:bodyDiv w:val="1"/>
      <w:marLeft w:val="0"/>
      <w:marRight w:val="0"/>
      <w:marTop w:val="0"/>
      <w:marBottom w:val="0"/>
      <w:divBdr>
        <w:top w:val="none" w:sz="0" w:space="0" w:color="auto"/>
        <w:left w:val="none" w:sz="0" w:space="0" w:color="auto"/>
        <w:bottom w:val="none" w:sz="0" w:space="0" w:color="auto"/>
        <w:right w:val="none" w:sz="0" w:space="0" w:color="auto"/>
      </w:divBdr>
    </w:div>
    <w:div w:id="1614361464">
      <w:bodyDiv w:val="1"/>
      <w:marLeft w:val="0"/>
      <w:marRight w:val="0"/>
      <w:marTop w:val="0"/>
      <w:marBottom w:val="0"/>
      <w:divBdr>
        <w:top w:val="none" w:sz="0" w:space="0" w:color="auto"/>
        <w:left w:val="none" w:sz="0" w:space="0" w:color="auto"/>
        <w:bottom w:val="none" w:sz="0" w:space="0" w:color="auto"/>
        <w:right w:val="none" w:sz="0" w:space="0" w:color="auto"/>
      </w:divBdr>
    </w:div>
    <w:div w:id="1616600036">
      <w:bodyDiv w:val="1"/>
      <w:marLeft w:val="0"/>
      <w:marRight w:val="0"/>
      <w:marTop w:val="0"/>
      <w:marBottom w:val="0"/>
      <w:divBdr>
        <w:top w:val="none" w:sz="0" w:space="0" w:color="auto"/>
        <w:left w:val="none" w:sz="0" w:space="0" w:color="auto"/>
        <w:bottom w:val="none" w:sz="0" w:space="0" w:color="auto"/>
        <w:right w:val="none" w:sz="0" w:space="0" w:color="auto"/>
      </w:divBdr>
    </w:div>
    <w:div w:id="1616601336">
      <w:bodyDiv w:val="1"/>
      <w:marLeft w:val="0"/>
      <w:marRight w:val="0"/>
      <w:marTop w:val="0"/>
      <w:marBottom w:val="0"/>
      <w:divBdr>
        <w:top w:val="none" w:sz="0" w:space="0" w:color="auto"/>
        <w:left w:val="none" w:sz="0" w:space="0" w:color="auto"/>
        <w:bottom w:val="none" w:sz="0" w:space="0" w:color="auto"/>
        <w:right w:val="none" w:sz="0" w:space="0" w:color="auto"/>
      </w:divBdr>
    </w:div>
    <w:div w:id="1617903008">
      <w:bodyDiv w:val="1"/>
      <w:marLeft w:val="0"/>
      <w:marRight w:val="0"/>
      <w:marTop w:val="0"/>
      <w:marBottom w:val="0"/>
      <w:divBdr>
        <w:top w:val="none" w:sz="0" w:space="0" w:color="auto"/>
        <w:left w:val="none" w:sz="0" w:space="0" w:color="auto"/>
        <w:bottom w:val="none" w:sz="0" w:space="0" w:color="auto"/>
        <w:right w:val="none" w:sz="0" w:space="0" w:color="auto"/>
      </w:divBdr>
    </w:div>
    <w:div w:id="1618752310">
      <w:bodyDiv w:val="1"/>
      <w:marLeft w:val="0"/>
      <w:marRight w:val="0"/>
      <w:marTop w:val="0"/>
      <w:marBottom w:val="0"/>
      <w:divBdr>
        <w:top w:val="none" w:sz="0" w:space="0" w:color="auto"/>
        <w:left w:val="none" w:sz="0" w:space="0" w:color="auto"/>
        <w:bottom w:val="none" w:sz="0" w:space="0" w:color="auto"/>
        <w:right w:val="none" w:sz="0" w:space="0" w:color="auto"/>
      </w:divBdr>
    </w:div>
    <w:div w:id="1619406642">
      <w:bodyDiv w:val="1"/>
      <w:marLeft w:val="0"/>
      <w:marRight w:val="0"/>
      <w:marTop w:val="0"/>
      <w:marBottom w:val="0"/>
      <w:divBdr>
        <w:top w:val="none" w:sz="0" w:space="0" w:color="auto"/>
        <w:left w:val="none" w:sz="0" w:space="0" w:color="auto"/>
        <w:bottom w:val="none" w:sz="0" w:space="0" w:color="auto"/>
        <w:right w:val="none" w:sz="0" w:space="0" w:color="auto"/>
      </w:divBdr>
    </w:div>
    <w:div w:id="1620379488">
      <w:bodyDiv w:val="1"/>
      <w:marLeft w:val="0"/>
      <w:marRight w:val="0"/>
      <w:marTop w:val="0"/>
      <w:marBottom w:val="0"/>
      <w:divBdr>
        <w:top w:val="none" w:sz="0" w:space="0" w:color="auto"/>
        <w:left w:val="none" w:sz="0" w:space="0" w:color="auto"/>
        <w:bottom w:val="none" w:sz="0" w:space="0" w:color="auto"/>
        <w:right w:val="none" w:sz="0" w:space="0" w:color="auto"/>
      </w:divBdr>
    </w:div>
    <w:div w:id="1620843541">
      <w:bodyDiv w:val="1"/>
      <w:marLeft w:val="0"/>
      <w:marRight w:val="0"/>
      <w:marTop w:val="0"/>
      <w:marBottom w:val="0"/>
      <w:divBdr>
        <w:top w:val="none" w:sz="0" w:space="0" w:color="auto"/>
        <w:left w:val="none" w:sz="0" w:space="0" w:color="auto"/>
        <w:bottom w:val="none" w:sz="0" w:space="0" w:color="auto"/>
        <w:right w:val="none" w:sz="0" w:space="0" w:color="auto"/>
      </w:divBdr>
    </w:div>
    <w:div w:id="1621230308">
      <w:bodyDiv w:val="1"/>
      <w:marLeft w:val="0"/>
      <w:marRight w:val="0"/>
      <w:marTop w:val="0"/>
      <w:marBottom w:val="0"/>
      <w:divBdr>
        <w:top w:val="none" w:sz="0" w:space="0" w:color="auto"/>
        <w:left w:val="none" w:sz="0" w:space="0" w:color="auto"/>
        <w:bottom w:val="none" w:sz="0" w:space="0" w:color="auto"/>
        <w:right w:val="none" w:sz="0" w:space="0" w:color="auto"/>
      </w:divBdr>
    </w:div>
    <w:div w:id="1621838808">
      <w:bodyDiv w:val="1"/>
      <w:marLeft w:val="0"/>
      <w:marRight w:val="0"/>
      <w:marTop w:val="0"/>
      <w:marBottom w:val="0"/>
      <w:divBdr>
        <w:top w:val="none" w:sz="0" w:space="0" w:color="auto"/>
        <w:left w:val="none" w:sz="0" w:space="0" w:color="auto"/>
        <w:bottom w:val="none" w:sz="0" w:space="0" w:color="auto"/>
        <w:right w:val="none" w:sz="0" w:space="0" w:color="auto"/>
      </w:divBdr>
    </w:div>
    <w:div w:id="1622106571">
      <w:bodyDiv w:val="1"/>
      <w:marLeft w:val="0"/>
      <w:marRight w:val="0"/>
      <w:marTop w:val="0"/>
      <w:marBottom w:val="0"/>
      <w:divBdr>
        <w:top w:val="none" w:sz="0" w:space="0" w:color="auto"/>
        <w:left w:val="none" w:sz="0" w:space="0" w:color="auto"/>
        <w:bottom w:val="none" w:sz="0" w:space="0" w:color="auto"/>
        <w:right w:val="none" w:sz="0" w:space="0" w:color="auto"/>
      </w:divBdr>
    </w:div>
    <w:div w:id="1622345515">
      <w:bodyDiv w:val="1"/>
      <w:marLeft w:val="0"/>
      <w:marRight w:val="0"/>
      <w:marTop w:val="0"/>
      <w:marBottom w:val="0"/>
      <w:divBdr>
        <w:top w:val="none" w:sz="0" w:space="0" w:color="auto"/>
        <w:left w:val="none" w:sz="0" w:space="0" w:color="auto"/>
        <w:bottom w:val="none" w:sz="0" w:space="0" w:color="auto"/>
        <w:right w:val="none" w:sz="0" w:space="0" w:color="auto"/>
      </w:divBdr>
    </w:div>
    <w:div w:id="1622374262">
      <w:bodyDiv w:val="1"/>
      <w:marLeft w:val="0"/>
      <w:marRight w:val="0"/>
      <w:marTop w:val="0"/>
      <w:marBottom w:val="0"/>
      <w:divBdr>
        <w:top w:val="none" w:sz="0" w:space="0" w:color="auto"/>
        <w:left w:val="none" w:sz="0" w:space="0" w:color="auto"/>
        <w:bottom w:val="none" w:sz="0" w:space="0" w:color="auto"/>
        <w:right w:val="none" w:sz="0" w:space="0" w:color="auto"/>
      </w:divBdr>
    </w:div>
    <w:div w:id="1624117132">
      <w:bodyDiv w:val="1"/>
      <w:marLeft w:val="0"/>
      <w:marRight w:val="0"/>
      <w:marTop w:val="0"/>
      <w:marBottom w:val="0"/>
      <w:divBdr>
        <w:top w:val="none" w:sz="0" w:space="0" w:color="auto"/>
        <w:left w:val="none" w:sz="0" w:space="0" w:color="auto"/>
        <w:bottom w:val="none" w:sz="0" w:space="0" w:color="auto"/>
        <w:right w:val="none" w:sz="0" w:space="0" w:color="auto"/>
      </w:divBdr>
    </w:div>
    <w:div w:id="1625771097">
      <w:bodyDiv w:val="1"/>
      <w:marLeft w:val="0"/>
      <w:marRight w:val="0"/>
      <w:marTop w:val="0"/>
      <w:marBottom w:val="0"/>
      <w:divBdr>
        <w:top w:val="none" w:sz="0" w:space="0" w:color="auto"/>
        <w:left w:val="none" w:sz="0" w:space="0" w:color="auto"/>
        <w:bottom w:val="none" w:sz="0" w:space="0" w:color="auto"/>
        <w:right w:val="none" w:sz="0" w:space="0" w:color="auto"/>
      </w:divBdr>
    </w:div>
    <w:div w:id="1626085328">
      <w:bodyDiv w:val="1"/>
      <w:marLeft w:val="0"/>
      <w:marRight w:val="0"/>
      <w:marTop w:val="0"/>
      <w:marBottom w:val="0"/>
      <w:divBdr>
        <w:top w:val="none" w:sz="0" w:space="0" w:color="auto"/>
        <w:left w:val="none" w:sz="0" w:space="0" w:color="auto"/>
        <w:bottom w:val="none" w:sz="0" w:space="0" w:color="auto"/>
        <w:right w:val="none" w:sz="0" w:space="0" w:color="auto"/>
      </w:divBdr>
    </w:div>
    <w:div w:id="1626960854">
      <w:bodyDiv w:val="1"/>
      <w:marLeft w:val="0"/>
      <w:marRight w:val="0"/>
      <w:marTop w:val="0"/>
      <w:marBottom w:val="0"/>
      <w:divBdr>
        <w:top w:val="none" w:sz="0" w:space="0" w:color="auto"/>
        <w:left w:val="none" w:sz="0" w:space="0" w:color="auto"/>
        <w:bottom w:val="none" w:sz="0" w:space="0" w:color="auto"/>
        <w:right w:val="none" w:sz="0" w:space="0" w:color="auto"/>
      </w:divBdr>
    </w:div>
    <w:div w:id="1627616755">
      <w:bodyDiv w:val="1"/>
      <w:marLeft w:val="0"/>
      <w:marRight w:val="0"/>
      <w:marTop w:val="0"/>
      <w:marBottom w:val="0"/>
      <w:divBdr>
        <w:top w:val="none" w:sz="0" w:space="0" w:color="auto"/>
        <w:left w:val="none" w:sz="0" w:space="0" w:color="auto"/>
        <w:bottom w:val="none" w:sz="0" w:space="0" w:color="auto"/>
        <w:right w:val="none" w:sz="0" w:space="0" w:color="auto"/>
      </w:divBdr>
    </w:div>
    <w:div w:id="1627659078">
      <w:bodyDiv w:val="1"/>
      <w:marLeft w:val="0"/>
      <w:marRight w:val="0"/>
      <w:marTop w:val="0"/>
      <w:marBottom w:val="0"/>
      <w:divBdr>
        <w:top w:val="none" w:sz="0" w:space="0" w:color="auto"/>
        <w:left w:val="none" w:sz="0" w:space="0" w:color="auto"/>
        <w:bottom w:val="none" w:sz="0" w:space="0" w:color="auto"/>
        <w:right w:val="none" w:sz="0" w:space="0" w:color="auto"/>
      </w:divBdr>
    </w:div>
    <w:div w:id="1628274151">
      <w:bodyDiv w:val="1"/>
      <w:marLeft w:val="0"/>
      <w:marRight w:val="0"/>
      <w:marTop w:val="0"/>
      <w:marBottom w:val="0"/>
      <w:divBdr>
        <w:top w:val="none" w:sz="0" w:space="0" w:color="auto"/>
        <w:left w:val="none" w:sz="0" w:space="0" w:color="auto"/>
        <w:bottom w:val="none" w:sz="0" w:space="0" w:color="auto"/>
        <w:right w:val="none" w:sz="0" w:space="0" w:color="auto"/>
      </w:divBdr>
    </w:div>
    <w:div w:id="1629121305">
      <w:bodyDiv w:val="1"/>
      <w:marLeft w:val="0"/>
      <w:marRight w:val="0"/>
      <w:marTop w:val="0"/>
      <w:marBottom w:val="0"/>
      <w:divBdr>
        <w:top w:val="none" w:sz="0" w:space="0" w:color="auto"/>
        <w:left w:val="none" w:sz="0" w:space="0" w:color="auto"/>
        <w:bottom w:val="none" w:sz="0" w:space="0" w:color="auto"/>
        <w:right w:val="none" w:sz="0" w:space="0" w:color="auto"/>
      </w:divBdr>
    </w:div>
    <w:div w:id="1629698031">
      <w:bodyDiv w:val="1"/>
      <w:marLeft w:val="0"/>
      <w:marRight w:val="0"/>
      <w:marTop w:val="0"/>
      <w:marBottom w:val="0"/>
      <w:divBdr>
        <w:top w:val="none" w:sz="0" w:space="0" w:color="auto"/>
        <w:left w:val="none" w:sz="0" w:space="0" w:color="auto"/>
        <w:bottom w:val="none" w:sz="0" w:space="0" w:color="auto"/>
        <w:right w:val="none" w:sz="0" w:space="0" w:color="auto"/>
      </w:divBdr>
    </w:div>
    <w:div w:id="1630044141">
      <w:bodyDiv w:val="1"/>
      <w:marLeft w:val="0"/>
      <w:marRight w:val="0"/>
      <w:marTop w:val="0"/>
      <w:marBottom w:val="0"/>
      <w:divBdr>
        <w:top w:val="none" w:sz="0" w:space="0" w:color="auto"/>
        <w:left w:val="none" w:sz="0" w:space="0" w:color="auto"/>
        <w:bottom w:val="none" w:sz="0" w:space="0" w:color="auto"/>
        <w:right w:val="none" w:sz="0" w:space="0" w:color="auto"/>
      </w:divBdr>
    </w:div>
    <w:div w:id="1630472973">
      <w:bodyDiv w:val="1"/>
      <w:marLeft w:val="0"/>
      <w:marRight w:val="0"/>
      <w:marTop w:val="0"/>
      <w:marBottom w:val="0"/>
      <w:divBdr>
        <w:top w:val="none" w:sz="0" w:space="0" w:color="auto"/>
        <w:left w:val="none" w:sz="0" w:space="0" w:color="auto"/>
        <w:bottom w:val="none" w:sz="0" w:space="0" w:color="auto"/>
        <w:right w:val="none" w:sz="0" w:space="0" w:color="auto"/>
      </w:divBdr>
    </w:div>
    <w:div w:id="1632900294">
      <w:bodyDiv w:val="1"/>
      <w:marLeft w:val="0"/>
      <w:marRight w:val="0"/>
      <w:marTop w:val="0"/>
      <w:marBottom w:val="0"/>
      <w:divBdr>
        <w:top w:val="none" w:sz="0" w:space="0" w:color="auto"/>
        <w:left w:val="none" w:sz="0" w:space="0" w:color="auto"/>
        <w:bottom w:val="none" w:sz="0" w:space="0" w:color="auto"/>
        <w:right w:val="none" w:sz="0" w:space="0" w:color="auto"/>
      </w:divBdr>
    </w:div>
    <w:div w:id="1633056773">
      <w:bodyDiv w:val="1"/>
      <w:marLeft w:val="0"/>
      <w:marRight w:val="0"/>
      <w:marTop w:val="0"/>
      <w:marBottom w:val="0"/>
      <w:divBdr>
        <w:top w:val="none" w:sz="0" w:space="0" w:color="auto"/>
        <w:left w:val="none" w:sz="0" w:space="0" w:color="auto"/>
        <w:bottom w:val="none" w:sz="0" w:space="0" w:color="auto"/>
        <w:right w:val="none" w:sz="0" w:space="0" w:color="auto"/>
      </w:divBdr>
    </w:div>
    <w:div w:id="1633748695">
      <w:bodyDiv w:val="1"/>
      <w:marLeft w:val="0"/>
      <w:marRight w:val="0"/>
      <w:marTop w:val="0"/>
      <w:marBottom w:val="0"/>
      <w:divBdr>
        <w:top w:val="none" w:sz="0" w:space="0" w:color="auto"/>
        <w:left w:val="none" w:sz="0" w:space="0" w:color="auto"/>
        <w:bottom w:val="none" w:sz="0" w:space="0" w:color="auto"/>
        <w:right w:val="none" w:sz="0" w:space="0" w:color="auto"/>
      </w:divBdr>
    </w:div>
    <w:div w:id="1634141386">
      <w:bodyDiv w:val="1"/>
      <w:marLeft w:val="0"/>
      <w:marRight w:val="0"/>
      <w:marTop w:val="0"/>
      <w:marBottom w:val="0"/>
      <w:divBdr>
        <w:top w:val="none" w:sz="0" w:space="0" w:color="auto"/>
        <w:left w:val="none" w:sz="0" w:space="0" w:color="auto"/>
        <w:bottom w:val="none" w:sz="0" w:space="0" w:color="auto"/>
        <w:right w:val="none" w:sz="0" w:space="0" w:color="auto"/>
      </w:divBdr>
    </w:div>
    <w:div w:id="1634406390">
      <w:bodyDiv w:val="1"/>
      <w:marLeft w:val="0"/>
      <w:marRight w:val="0"/>
      <w:marTop w:val="0"/>
      <w:marBottom w:val="0"/>
      <w:divBdr>
        <w:top w:val="none" w:sz="0" w:space="0" w:color="auto"/>
        <w:left w:val="none" w:sz="0" w:space="0" w:color="auto"/>
        <w:bottom w:val="none" w:sz="0" w:space="0" w:color="auto"/>
        <w:right w:val="none" w:sz="0" w:space="0" w:color="auto"/>
      </w:divBdr>
    </w:div>
    <w:div w:id="1634558992">
      <w:bodyDiv w:val="1"/>
      <w:marLeft w:val="0"/>
      <w:marRight w:val="0"/>
      <w:marTop w:val="0"/>
      <w:marBottom w:val="0"/>
      <w:divBdr>
        <w:top w:val="none" w:sz="0" w:space="0" w:color="auto"/>
        <w:left w:val="none" w:sz="0" w:space="0" w:color="auto"/>
        <w:bottom w:val="none" w:sz="0" w:space="0" w:color="auto"/>
        <w:right w:val="none" w:sz="0" w:space="0" w:color="auto"/>
      </w:divBdr>
    </w:div>
    <w:div w:id="1635597738">
      <w:bodyDiv w:val="1"/>
      <w:marLeft w:val="0"/>
      <w:marRight w:val="0"/>
      <w:marTop w:val="0"/>
      <w:marBottom w:val="0"/>
      <w:divBdr>
        <w:top w:val="none" w:sz="0" w:space="0" w:color="auto"/>
        <w:left w:val="none" w:sz="0" w:space="0" w:color="auto"/>
        <w:bottom w:val="none" w:sz="0" w:space="0" w:color="auto"/>
        <w:right w:val="none" w:sz="0" w:space="0" w:color="auto"/>
      </w:divBdr>
    </w:div>
    <w:div w:id="1635793432">
      <w:bodyDiv w:val="1"/>
      <w:marLeft w:val="0"/>
      <w:marRight w:val="0"/>
      <w:marTop w:val="0"/>
      <w:marBottom w:val="0"/>
      <w:divBdr>
        <w:top w:val="none" w:sz="0" w:space="0" w:color="auto"/>
        <w:left w:val="none" w:sz="0" w:space="0" w:color="auto"/>
        <w:bottom w:val="none" w:sz="0" w:space="0" w:color="auto"/>
        <w:right w:val="none" w:sz="0" w:space="0" w:color="auto"/>
      </w:divBdr>
    </w:div>
    <w:div w:id="1636837177">
      <w:bodyDiv w:val="1"/>
      <w:marLeft w:val="0"/>
      <w:marRight w:val="0"/>
      <w:marTop w:val="0"/>
      <w:marBottom w:val="0"/>
      <w:divBdr>
        <w:top w:val="none" w:sz="0" w:space="0" w:color="auto"/>
        <w:left w:val="none" w:sz="0" w:space="0" w:color="auto"/>
        <w:bottom w:val="none" w:sz="0" w:space="0" w:color="auto"/>
        <w:right w:val="none" w:sz="0" w:space="0" w:color="auto"/>
      </w:divBdr>
    </w:div>
    <w:div w:id="1637877841">
      <w:bodyDiv w:val="1"/>
      <w:marLeft w:val="0"/>
      <w:marRight w:val="0"/>
      <w:marTop w:val="0"/>
      <w:marBottom w:val="0"/>
      <w:divBdr>
        <w:top w:val="none" w:sz="0" w:space="0" w:color="auto"/>
        <w:left w:val="none" w:sz="0" w:space="0" w:color="auto"/>
        <w:bottom w:val="none" w:sz="0" w:space="0" w:color="auto"/>
        <w:right w:val="none" w:sz="0" w:space="0" w:color="auto"/>
      </w:divBdr>
    </w:div>
    <w:div w:id="1638487174">
      <w:bodyDiv w:val="1"/>
      <w:marLeft w:val="0"/>
      <w:marRight w:val="0"/>
      <w:marTop w:val="0"/>
      <w:marBottom w:val="0"/>
      <w:divBdr>
        <w:top w:val="none" w:sz="0" w:space="0" w:color="auto"/>
        <w:left w:val="none" w:sz="0" w:space="0" w:color="auto"/>
        <w:bottom w:val="none" w:sz="0" w:space="0" w:color="auto"/>
        <w:right w:val="none" w:sz="0" w:space="0" w:color="auto"/>
      </w:divBdr>
    </w:div>
    <w:div w:id="1638608684">
      <w:bodyDiv w:val="1"/>
      <w:marLeft w:val="0"/>
      <w:marRight w:val="0"/>
      <w:marTop w:val="0"/>
      <w:marBottom w:val="0"/>
      <w:divBdr>
        <w:top w:val="none" w:sz="0" w:space="0" w:color="auto"/>
        <w:left w:val="none" w:sz="0" w:space="0" w:color="auto"/>
        <w:bottom w:val="none" w:sz="0" w:space="0" w:color="auto"/>
        <w:right w:val="none" w:sz="0" w:space="0" w:color="auto"/>
      </w:divBdr>
    </w:div>
    <w:div w:id="1638683470">
      <w:bodyDiv w:val="1"/>
      <w:marLeft w:val="0"/>
      <w:marRight w:val="0"/>
      <w:marTop w:val="0"/>
      <w:marBottom w:val="0"/>
      <w:divBdr>
        <w:top w:val="none" w:sz="0" w:space="0" w:color="auto"/>
        <w:left w:val="none" w:sz="0" w:space="0" w:color="auto"/>
        <w:bottom w:val="none" w:sz="0" w:space="0" w:color="auto"/>
        <w:right w:val="none" w:sz="0" w:space="0" w:color="auto"/>
      </w:divBdr>
    </w:div>
    <w:div w:id="1638729250">
      <w:bodyDiv w:val="1"/>
      <w:marLeft w:val="0"/>
      <w:marRight w:val="0"/>
      <w:marTop w:val="0"/>
      <w:marBottom w:val="0"/>
      <w:divBdr>
        <w:top w:val="none" w:sz="0" w:space="0" w:color="auto"/>
        <w:left w:val="none" w:sz="0" w:space="0" w:color="auto"/>
        <w:bottom w:val="none" w:sz="0" w:space="0" w:color="auto"/>
        <w:right w:val="none" w:sz="0" w:space="0" w:color="auto"/>
      </w:divBdr>
    </w:div>
    <w:div w:id="1639609078">
      <w:bodyDiv w:val="1"/>
      <w:marLeft w:val="0"/>
      <w:marRight w:val="0"/>
      <w:marTop w:val="0"/>
      <w:marBottom w:val="0"/>
      <w:divBdr>
        <w:top w:val="none" w:sz="0" w:space="0" w:color="auto"/>
        <w:left w:val="none" w:sz="0" w:space="0" w:color="auto"/>
        <w:bottom w:val="none" w:sz="0" w:space="0" w:color="auto"/>
        <w:right w:val="none" w:sz="0" w:space="0" w:color="auto"/>
      </w:divBdr>
    </w:div>
    <w:div w:id="1641153163">
      <w:bodyDiv w:val="1"/>
      <w:marLeft w:val="0"/>
      <w:marRight w:val="0"/>
      <w:marTop w:val="0"/>
      <w:marBottom w:val="0"/>
      <w:divBdr>
        <w:top w:val="none" w:sz="0" w:space="0" w:color="auto"/>
        <w:left w:val="none" w:sz="0" w:space="0" w:color="auto"/>
        <w:bottom w:val="none" w:sz="0" w:space="0" w:color="auto"/>
        <w:right w:val="none" w:sz="0" w:space="0" w:color="auto"/>
      </w:divBdr>
    </w:div>
    <w:div w:id="1641575988">
      <w:bodyDiv w:val="1"/>
      <w:marLeft w:val="0"/>
      <w:marRight w:val="0"/>
      <w:marTop w:val="0"/>
      <w:marBottom w:val="0"/>
      <w:divBdr>
        <w:top w:val="none" w:sz="0" w:space="0" w:color="auto"/>
        <w:left w:val="none" w:sz="0" w:space="0" w:color="auto"/>
        <w:bottom w:val="none" w:sz="0" w:space="0" w:color="auto"/>
        <w:right w:val="none" w:sz="0" w:space="0" w:color="auto"/>
      </w:divBdr>
    </w:div>
    <w:div w:id="1641691987">
      <w:bodyDiv w:val="1"/>
      <w:marLeft w:val="0"/>
      <w:marRight w:val="0"/>
      <w:marTop w:val="0"/>
      <w:marBottom w:val="0"/>
      <w:divBdr>
        <w:top w:val="none" w:sz="0" w:space="0" w:color="auto"/>
        <w:left w:val="none" w:sz="0" w:space="0" w:color="auto"/>
        <w:bottom w:val="none" w:sz="0" w:space="0" w:color="auto"/>
        <w:right w:val="none" w:sz="0" w:space="0" w:color="auto"/>
      </w:divBdr>
    </w:div>
    <w:div w:id="1641838353">
      <w:bodyDiv w:val="1"/>
      <w:marLeft w:val="0"/>
      <w:marRight w:val="0"/>
      <w:marTop w:val="0"/>
      <w:marBottom w:val="0"/>
      <w:divBdr>
        <w:top w:val="none" w:sz="0" w:space="0" w:color="auto"/>
        <w:left w:val="none" w:sz="0" w:space="0" w:color="auto"/>
        <w:bottom w:val="none" w:sz="0" w:space="0" w:color="auto"/>
        <w:right w:val="none" w:sz="0" w:space="0" w:color="auto"/>
      </w:divBdr>
    </w:div>
    <w:div w:id="1641884171">
      <w:bodyDiv w:val="1"/>
      <w:marLeft w:val="0"/>
      <w:marRight w:val="0"/>
      <w:marTop w:val="0"/>
      <w:marBottom w:val="0"/>
      <w:divBdr>
        <w:top w:val="none" w:sz="0" w:space="0" w:color="auto"/>
        <w:left w:val="none" w:sz="0" w:space="0" w:color="auto"/>
        <w:bottom w:val="none" w:sz="0" w:space="0" w:color="auto"/>
        <w:right w:val="none" w:sz="0" w:space="0" w:color="auto"/>
      </w:divBdr>
    </w:div>
    <w:div w:id="1642880252">
      <w:bodyDiv w:val="1"/>
      <w:marLeft w:val="0"/>
      <w:marRight w:val="0"/>
      <w:marTop w:val="0"/>
      <w:marBottom w:val="0"/>
      <w:divBdr>
        <w:top w:val="none" w:sz="0" w:space="0" w:color="auto"/>
        <w:left w:val="none" w:sz="0" w:space="0" w:color="auto"/>
        <w:bottom w:val="none" w:sz="0" w:space="0" w:color="auto"/>
        <w:right w:val="none" w:sz="0" w:space="0" w:color="auto"/>
      </w:divBdr>
    </w:div>
    <w:div w:id="1643198480">
      <w:bodyDiv w:val="1"/>
      <w:marLeft w:val="0"/>
      <w:marRight w:val="0"/>
      <w:marTop w:val="0"/>
      <w:marBottom w:val="0"/>
      <w:divBdr>
        <w:top w:val="none" w:sz="0" w:space="0" w:color="auto"/>
        <w:left w:val="none" w:sz="0" w:space="0" w:color="auto"/>
        <w:bottom w:val="none" w:sz="0" w:space="0" w:color="auto"/>
        <w:right w:val="none" w:sz="0" w:space="0" w:color="auto"/>
      </w:divBdr>
    </w:div>
    <w:div w:id="1643996619">
      <w:bodyDiv w:val="1"/>
      <w:marLeft w:val="0"/>
      <w:marRight w:val="0"/>
      <w:marTop w:val="0"/>
      <w:marBottom w:val="0"/>
      <w:divBdr>
        <w:top w:val="none" w:sz="0" w:space="0" w:color="auto"/>
        <w:left w:val="none" w:sz="0" w:space="0" w:color="auto"/>
        <w:bottom w:val="none" w:sz="0" w:space="0" w:color="auto"/>
        <w:right w:val="none" w:sz="0" w:space="0" w:color="auto"/>
      </w:divBdr>
    </w:div>
    <w:div w:id="1644234703">
      <w:bodyDiv w:val="1"/>
      <w:marLeft w:val="0"/>
      <w:marRight w:val="0"/>
      <w:marTop w:val="0"/>
      <w:marBottom w:val="0"/>
      <w:divBdr>
        <w:top w:val="none" w:sz="0" w:space="0" w:color="auto"/>
        <w:left w:val="none" w:sz="0" w:space="0" w:color="auto"/>
        <w:bottom w:val="none" w:sz="0" w:space="0" w:color="auto"/>
        <w:right w:val="none" w:sz="0" w:space="0" w:color="auto"/>
      </w:divBdr>
    </w:div>
    <w:div w:id="1645114341">
      <w:bodyDiv w:val="1"/>
      <w:marLeft w:val="0"/>
      <w:marRight w:val="0"/>
      <w:marTop w:val="0"/>
      <w:marBottom w:val="0"/>
      <w:divBdr>
        <w:top w:val="none" w:sz="0" w:space="0" w:color="auto"/>
        <w:left w:val="none" w:sz="0" w:space="0" w:color="auto"/>
        <w:bottom w:val="none" w:sz="0" w:space="0" w:color="auto"/>
        <w:right w:val="none" w:sz="0" w:space="0" w:color="auto"/>
      </w:divBdr>
    </w:div>
    <w:div w:id="1645626354">
      <w:bodyDiv w:val="1"/>
      <w:marLeft w:val="0"/>
      <w:marRight w:val="0"/>
      <w:marTop w:val="0"/>
      <w:marBottom w:val="0"/>
      <w:divBdr>
        <w:top w:val="none" w:sz="0" w:space="0" w:color="auto"/>
        <w:left w:val="none" w:sz="0" w:space="0" w:color="auto"/>
        <w:bottom w:val="none" w:sz="0" w:space="0" w:color="auto"/>
        <w:right w:val="none" w:sz="0" w:space="0" w:color="auto"/>
      </w:divBdr>
    </w:div>
    <w:div w:id="1645936801">
      <w:bodyDiv w:val="1"/>
      <w:marLeft w:val="0"/>
      <w:marRight w:val="0"/>
      <w:marTop w:val="0"/>
      <w:marBottom w:val="0"/>
      <w:divBdr>
        <w:top w:val="none" w:sz="0" w:space="0" w:color="auto"/>
        <w:left w:val="none" w:sz="0" w:space="0" w:color="auto"/>
        <w:bottom w:val="none" w:sz="0" w:space="0" w:color="auto"/>
        <w:right w:val="none" w:sz="0" w:space="0" w:color="auto"/>
      </w:divBdr>
    </w:div>
    <w:div w:id="1646741410">
      <w:bodyDiv w:val="1"/>
      <w:marLeft w:val="0"/>
      <w:marRight w:val="0"/>
      <w:marTop w:val="0"/>
      <w:marBottom w:val="0"/>
      <w:divBdr>
        <w:top w:val="none" w:sz="0" w:space="0" w:color="auto"/>
        <w:left w:val="none" w:sz="0" w:space="0" w:color="auto"/>
        <w:bottom w:val="none" w:sz="0" w:space="0" w:color="auto"/>
        <w:right w:val="none" w:sz="0" w:space="0" w:color="auto"/>
      </w:divBdr>
    </w:div>
    <w:div w:id="1647398985">
      <w:bodyDiv w:val="1"/>
      <w:marLeft w:val="0"/>
      <w:marRight w:val="0"/>
      <w:marTop w:val="0"/>
      <w:marBottom w:val="0"/>
      <w:divBdr>
        <w:top w:val="none" w:sz="0" w:space="0" w:color="auto"/>
        <w:left w:val="none" w:sz="0" w:space="0" w:color="auto"/>
        <w:bottom w:val="none" w:sz="0" w:space="0" w:color="auto"/>
        <w:right w:val="none" w:sz="0" w:space="0" w:color="auto"/>
      </w:divBdr>
    </w:div>
    <w:div w:id="1647592244">
      <w:bodyDiv w:val="1"/>
      <w:marLeft w:val="0"/>
      <w:marRight w:val="0"/>
      <w:marTop w:val="0"/>
      <w:marBottom w:val="0"/>
      <w:divBdr>
        <w:top w:val="none" w:sz="0" w:space="0" w:color="auto"/>
        <w:left w:val="none" w:sz="0" w:space="0" w:color="auto"/>
        <w:bottom w:val="none" w:sz="0" w:space="0" w:color="auto"/>
        <w:right w:val="none" w:sz="0" w:space="0" w:color="auto"/>
      </w:divBdr>
    </w:div>
    <w:div w:id="1647781524">
      <w:bodyDiv w:val="1"/>
      <w:marLeft w:val="0"/>
      <w:marRight w:val="0"/>
      <w:marTop w:val="0"/>
      <w:marBottom w:val="0"/>
      <w:divBdr>
        <w:top w:val="none" w:sz="0" w:space="0" w:color="auto"/>
        <w:left w:val="none" w:sz="0" w:space="0" w:color="auto"/>
        <w:bottom w:val="none" w:sz="0" w:space="0" w:color="auto"/>
        <w:right w:val="none" w:sz="0" w:space="0" w:color="auto"/>
      </w:divBdr>
    </w:div>
    <w:div w:id="1649240288">
      <w:bodyDiv w:val="1"/>
      <w:marLeft w:val="0"/>
      <w:marRight w:val="0"/>
      <w:marTop w:val="0"/>
      <w:marBottom w:val="0"/>
      <w:divBdr>
        <w:top w:val="none" w:sz="0" w:space="0" w:color="auto"/>
        <w:left w:val="none" w:sz="0" w:space="0" w:color="auto"/>
        <w:bottom w:val="none" w:sz="0" w:space="0" w:color="auto"/>
        <w:right w:val="none" w:sz="0" w:space="0" w:color="auto"/>
      </w:divBdr>
    </w:div>
    <w:div w:id="1650014856">
      <w:bodyDiv w:val="1"/>
      <w:marLeft w:val="0"/>
      <w:marRight w:val="0"/>
      <w:marTop w:val="0"/>
      <w:marBottom w:val="0"/>
      <w:divBdr>
        <w:top w:val="none" w:sz="0" w:space="0" w:color="auto"/>
        <w:left w:val="none" w:sz="0" w:space="0" w:color="auto"/>
        <w:bottom w:val="none" w:sz="0" w:space="0" w:color="auto"/>
        <w:right w:val="none" w:sz="0" w:space="0" w:color="auto"/>
      </w:divBdr>
    </w:div>
    <w:div w:id="1650018259">
      <w:bodyDiv w:val="1"/>
      <w:marLeft w:val="0"/>
      <w:marRight w:val="0"/>
      <w:marTop w:val="0"/>
      <w:marBottom w:val="0"/>
      <w:divBdr>
        <w:top w:val="none" w:sz="0" w:space="0" w:color="auto"/>
        <w:left w:val="none" w:sz="0" w:space="0" w:color="auto"/>
        <w:bottom w:val="none" w:sz="0" w:space="0" w:color="auto"/>
        <w:right w:val="none" w:sz="0" w:space="0" w:color="auto"/>
      </w:divBdr>
    </w:div>
    <w:div w:id="1650478878">
      <w:bodyDiv w:val="1"/>
      <w:marLeft w:val="0"/>
      <w:marRight w:val="0"/>
      <w:marTop w:val="0"/>
      <w:marBottom w:val="0"/>
      <w:divBdr>
        <w:top w:val="none" w:sz="0" w:space="0" w:color="auto"/>
        <w:left w:val="none" w:sz="0" w:space="0" w:color="auto"/>
        <w:bottom w:val="none" w:sz="0" w:space="0" w:color="auto"/>
        <w:right w:val="none" w:sz="0" w:space="0" w:color="auto"/>
      </w:divBdr>
    </w:div>
    <w:div w:id="1650590925">
      <w:bodyDiv w:val="1"/>
      <w:marLeft w:val="0"/>
      <w:marRight w:val="0"/>
      <w:marTop w:val="0"/>
      <w:marBottom w:val="0"/>
      <w:divBdr>
        <w:top w:val="none" w:sz="0" w:space="0" w:color="auto"/>
        <w:left w:val="none" w:sz="0" w:space="0" w:color="auto"/>
        <w:bottom w:val="none" w:sz="0" w:space="0" w:color="auto"/>
        <w:right w:val="none" w:sz="0" w:space="0" w:color="auto"/>
      </w:divBdr>
    </w:div>
    <w:div w:id="1651060704">
      <w:bodyDiv w:val="1"/>
      <w:marLeft w:val="0"/>
      <w:marRight w:val="0"/>
      <w:marTop w:val="0"/>
      <w:marBottom w:val="0"/>
      <w:divBdr>
        <w:top w:val="none" w:sz="0" w:space="0" w:color="auto"/>
        <w:left w:val="none" w:sz="0" w:space="0" w:color="auto"/>
        <w:bottom w:val="none" w:sz="0" w:space="0" w:color="auto"/>
        <w:right w:val="none" w:sz="0" w:space="0" w:color="auto"/>
      </w:divBdr>
    </w:div>
    <w:div w:id="1651061760">
      <w:bodyDiv w:val="1"/>
      <w:marLeft w:val="0"/>
      <w:marRight w:val="0"/>
      <w:marTop w:val="0"/>
      <w:marBottom w:val="0"/>
      <w:divBdr>
        <w:top w:val="none" w:sz="0" w:space="0" w:color="auto"/>
        <w:left w:val="none" w:sz="0" w:space="0" w:color="auto"/>
        <w:bottom w:val="none" w:sz="0" w:space="0" w:color="auto"/>
        <w:right w:val="none" w:sz="0" w:space="0" w:color="auto"/>
      </w:divBdr>
    </w:div>
    <w:div w:id="1652099603">
      <w:bodyDiv w:val="1"/>
      <w:marLeft w:val="0"/>
      <w:marRight w:val="0"/>
      <w:marTop w:val="0"/>
      <w:marBottom w:val="0"/>
      <w:divBdr>
        <w:top w:val="none" w:sz="0" w:space="0" w:color="auto"/>
        <w:left w:val="none" w:sz="0" w:space="0" w:color="auto"/>
        <w:bottom w:val="none" w:sz="0" w:space="0" w:color="auto"/>
        <w:right w:val="none" w:sz="0" w:space="0" w:color="auto"/>
      </w:divBdr>
    </w:div>
    <w:div w:id="1656446315">
      <w:bodyDiv w:val="1"/>
      <w:marLeft w:val="0"/>
      <w:marRight w:val="0"/>
      <w:marTop w:val="0"/>
      <w:marBottom w:val="0"/>
      <w:divBdr>
        <w:top w:val="none" w:sz="0" w:space="0" w:color="auto"/>
        <w:left w:val="none" w:sz="0" w:space="0" w:color="auto"/>
        <w:bottom w:val="none" w:sz="0" w:space="0" w:color="auto"/>
        <w:right w:val="none" w:sz="0" w:space="0" w:color="auto"/>
      </w:divBdr>
    </w:div>
    <w:div w:id="1656495593">
      <w:bodyDiv w:val="1"/>
      <w:marLeft w:val="0"/>
      <w:marRight w:val="0"/>
      <w:marTop w:val="0"/>
      <w:marBottom w:val="0"/>
      <w:divBdr>
        <w:top w:val="none" w:sz="0" w:space="0" w:color="auto"/>
        <w:left w:val="none" w:sz="0" w:space="0" w:color="auto"/>
        <w:bottom w:val="none" w:sz="0" w:space="0" w:color="auto"/>
        <w:right w:val="none" w:sz="0" w:space="0" w:color="auto"/>
      </w:divBdr>
    </w:div>
    <w:div w:id="1657294164">
      <w:bodyDiv w:val="1"/>
      <w:marLeft w:val="0"/>
      <w:marRight w:val="0"/>
      <w:marTop w:val="0"/>
      <w:marBottom w:val="0"/>
      <w:divBdr>
        <w:top w:val="none" w:sz="0" w:space="0" w:color="auto"/>
        <w:left w:val="none" w:sz="0" w:space="0" w:color="auto"/>
        <w:bottom w:val="none" w:sz="0" w:space="0" w:color="auto"/>
        <w:right w:val="none" w:sz="0" w:space="0" w:color="auto"/>
      </w:divBdr>
    </w:div>
    <w:div w:id="1657687976">
      <w:bodyDiv w:val="1"/>
      <w:marLeft w:val="0"/>
      <w:marRight w:val="0"/>
      <w:marTop w:val="0"/>
      <w:marBottom w:val="0"/>
      <w:divBdr>
        <w:top w:val="none" w:sz="0" w:space="0" w:color="auto"/>
        <w:left w:val="none" w:sz="0" w:space="0" w:color="auto"/>
        <w:bottom w:val="none" w:sz="0" w:space="0" w:color="auto"/>
        <w:right w:val="none" w:sz="0" w:space="0" w:color="auto"/>
      </w:divBdr>
    </w:div>
    <w:div w:id="1657954350">
      <w:bodyDiv w:val="1"/>
      <w:marLeft w:val="0"/>
      <w:marRight w:val="0"/>
      <w:marTop w:val="0"/>
      <w:marBottom w:val="0"/>
      <w:divBdr>
        <w:top w:val="none" w:sz="0" w:space="0" w:color="auto"/>
        <w:left w:val="none" w:sz="0" w:space="0" w:color="auto"/>
        <w:bottom w:val="none" w:sz="0" w:space="0" w:color="auto"/>
        <w:right w:val="none" w:sz="0" w:space="0" w:color="auto"/>
      </w:divBdr>
    </w:div>
    <w:div w:id="1658999682">
      <w:bodyDiv w:val="1"/>
      <w:marLeft w:val="0"/>
      <w:marRight w:val="0"/>
      <w:marTop w:val="0"/>
      <w:marBottom w:val="0"/>
      <w:divBdr>
        <w:top w:val="none" w:sz="0" w:space="0" w:color="auto"/>
        <w:left w:val="none" w:sz="0" w:space="0" w:color="auto"/>
        <w:bottom w:val="none" w:sz="0" w:space="0" w:color="auto"/>
        <w:right w:val="none" w:sz="0" w:space="0" w:color="auto"/>
      </w:divBdr>
    </w:div>
    <w:div w:id="1660117469">
      <w:bodyDiv w:val="1"/>
      <w:marLeft w:val="0"/>
      <w:marRight w:val="0"/>
      <w:marTop w:val="0"/>
      <w:marBottom w:val="0"/>
      <w:divBdr>
        <w:top w:val="none" w:sz="0" w:space="0" w:color="auto"/>
        <w:left w:val="none" w:sz="0" w:space="0" w:color="auto"/>
        <w:bottom w:val="none" w:sz="0" w:space="0" w:color="auto"/>
        <w:right w:val="none" w:sz="0" w:space="0" w:color="auto"/>
      </w:divBdr>
    </w:div>
    <w:div w:id="1661890270">
      <w:bodyDiv w:val="1"/>
      <w:marLeft w:val="0"/>
      <w:marRight w:val="0"/>
      <w:marTop w:val="0"/>
      <w:marBottom w:val="0"/>
      <w:divBdr>
        <w:top w:val="none" w:sz="0" w:space="0" w:color="auto"/>
        <w:left w:val="none" w:sz="0" w:space="0" w:color="auto"/>
        <w:bottom w:val="none" w:sz="0" w:space="0" w:color="auto"/>
        <w:right w:val="none" w:sz="0" w:space="0" w:color="auto"/>
      </w:divBdr>
    </w:div>
    <w:div w:id="1662269786">
      <w:bodyDiv w:val="1"/>
      <w:marLeft w:val="0"/>
      <w:marRight w:val="0"/>
      <w:marTop w:val="0"/>
      <w:marBottom w:val="0"/>
      <w:divBdr>
        <w:top w:val="none" w:sz="0" w:space="0" w:color="auto"/>
        <w:left w:val="none" w:sz="0" w:space="0" w:color="auto"/>
        <w:bottom w:val="none" w:sz="0" w:space="0" w:color="auto"/>
        <w:right w:val="none" w:sz="0" w:space="0" w:color="auto"/>
      </w:divBdr>
    </w:div>
    <w:div w:id="1663199074">
      <w:bodyDiv w:val="1"/>
      <w:marLeft w:val="0"/>
      <w:marRight w:val="0"/>
      <w:marTop w:val="0"/>
      <w:marBottom w:val="0"/>
      <w:divBdr>
        <w:top w:val="none" w:sz="0" w:space="0" w:color="auto"/>
        <w:left w:val="none" w:sz="0" w:space="0" w:color="auto"/>
        <w:bottom w:val="none" w:sz="0" w:space="0" w:color="auto"/>
        <w:right w:val="none" w:sz="0" w:space="0" w:color="auto"/>
      </w:divBdr>
    </w:div>
    <w:div w:id="1663436009">
      <w:bodyDiv w:val="1"/>
      <w:marLeft w:val="0"/>
      <w:marRight w:val="0"/>
      <w:marTop w:val="0"/>
      <w:marBottom w:val="0"/>
      <w:divBdr>
        <w:top w:val="none" w:sz="0" w:space="0" w:color="auto"/>
        <w:left w:val="none" w:sz="0" w:space="0" w:color="auto"/>
        <w:bottom w:val="none" w:sz="0" w:space="0" w:color="auto"/>
        <w:right w:val="none" w:sz="0" w:space="0" w:color="auto"/>
      </w:divBdr>
    </w:div>
    <w:div w:id="1664119132">
      <w:bodyDiv w:val="1"/>
      <w:marLeft w:val="0"/>
      <w:marRight w:val="0"/>
      <w:marTop w:val="0"/>
      <w:marBottom w:val="0"/>
      <w:divBdr>
        <w:top w:val="none" w:sz="0" w:space="0" w:color="auto"/>
        <w:left w:val="none" w:sz="0" w:space="0" w:color="auto"/>
        <w:bottom w:val="none" w:sz="0" w:space="0" w:color="auto"/>
        <w:right w:val="none" w:sz="0" w:space="0" w:color="auto"/>
      </w:divBdr>
    </w:div>
    <w:div w:id="1664771788">
      <w:bodyDiv w:val="1"/>
      <w:marLeft w:val="0"/>
      <w:marRight w:val="0"/>
      <w:marTop w:val="0"/>
      <w:marBottom w:val="0"/>
      <w:divBdr>
        <w:top w:val="none" w:sz="0" w:space="0" w:color="auto"/>
        <w:left w:val="none" w:sz="0" w:space="0" w:color="auto"/>
        <w:bottom w:val="none" w:sz="0" w:space="0" w:color="auto"/>
        <w:right w:val="none" w:sz="0" w:space="0" w:color="auto"/>
      </w:divBdr>
    </w:div>
    <w:div w:id="1665086620">
      <w:bodyDiv w:val="1"/>
      <w:marLeft w:val="0"/>
      <w:marRight w:val="0"/>
      <w:marTop w:val="0"/>
      <w:marBottom w:val="0"/>
      <w:divBdr>
        <w:top w:val="none" w:sz="0" w:space="0" w:color="auto"/>
        <w:left w:val="none" w:sz="0" w:space="0" w:color="auto"/>
        <w:bottom w:val="none" w:sz="0" w:space="0" w:color="auto"/>
        <w:right w:val="none" w:sz="0" w:space="0" w:color="auto"/>
      </w:divBdr>
    </w:div>
    <w:div w:id="1665551882">
      <w:bodyDiv w:val="1"/>
      <w:marLeft w:val="0"/>
      <w:marRight w:val="0"/>
      <w:marTop w:val="0"/>
      <w:marBottom w:val="0"/>
      <w:divBdr>
        <w:top w:val="none" w:sz="0" w:space="0" w:color="auto"/>
        <w:left w:val="none" w:sz="0" w:space="0" w:color="auto"/>
        <w:bottom w:val="none" w:sz="0" w:space="0" w:color="auto"/>
        <w:right w:val="none" w:sz="0" w:space="0" w:color="auto"/>
      </w:divBdr>
    </w:div>
    <w:div w:id="1665821245">
      <w:bodyDiv w:val="1"/>
      <w:marLeft w:val="0"/>
      <w:marRight w:val="0"/>
      <w:marTop w:val="0"/>
      <w:marBottom w:val="0"/>
      <w:divBdr>
        <w:top w:val="none" w:sz="0" w:space="0" w:color="auto"/>
        <w:left w:val="none" w:sz="0" w:space="0" w:color="auto"/>
        <w:bottom w:val="none" w:sz="0" w:space="0" w:color="auto"/>
        <w:right w:val="none" w:sz="0" w:space="0" w:color="auto"/>
      </w:divBdr>
    </w:div>
    <w:div w:id="1666667482">
      <w:bodyDiv w:val="1"/>
      <w:marLeft w:val="0"/>
      <w:marRight w:val="0"/>
      <w:marTop w:val="0"/>
      <w:marBottom w:val="0"/>
      <w:divBdr>
        <w:top w:val="none" w:sz="0" w:space="0" w:color="auto"/>
        <w:left w:val="none" w:sz="0" w:space="0" w:color="auto"/>
        <w:bottom w:val="none" w:sz="0" w:space="0" w:color="auto"/>
        <w:right w:val="none" w:sz="0" w:space="0" w:color="auto"/>
      </w:divBdr>
    </w:div>
    <w:div w:id="1670982983">
      <w:bodyDiv w:val="1"/>
      <w:marLeft w:val="0"/>
      <w:marRight w:val="0"/>
      <w:marTop w:val="0"/>
      <w:marBottom w:val="0"/>
      <w:divBdr>
        <w:top w:val="none" w:sz="0" w:space="0" w:color="auto"/>
        <w:left w:val="none" w:sz="0" w:space="0" w:color="auto"/>
        <w:bottom w:val="none" w:sz="0" w:space="0" w:color="auto"/>
        <w:right w:val="none" w:sz="0" w:space="0" w:color="auto"/>
      </w:divBdr>
    </w:div>
    <w:div w:id="1671176116">
      <w:bodyDiv w:val="1"/>
      <w:marLeft w:val="0"/>
      <w:marRight w:val="0"/>
      <w:marTop w:val="0"/>
      <w:marBottom w:val="0"/>
      <w:divBdr>
        <w:top w:val="none" w:sz="0" w:space="0" w:color="auto"/>
        <w:left w:val="none" w:sz="0" w:space="0" w:color="auto"/>
        <w:bottom w:val="none" w:sz="0" w:space="0" w:color="auto"/>
        <w:right w:val="none" w:sz="0" w:space="0" w:color="auto"/>
      </w:divBdr>
    </w:div>
    <w:div w:id="1671634748">
      <w:bodyDiv w:val="1"/>
      <w:marLeft w:val="0"/>
      <w:marRight w:val="0"/>
      <w:marTop w:val="0"/>
      <w:marBottom w:val="0"/>
      <w:divBdr>
        <w:top w:val="none" w:sz="0" w:space="0" w:color="auto"/>
        <w:left w:val="none" w:sz="0" w:space="0" w:color="auto"/>
        <w:bottom w:val="none" w:sz="0" w:space="0" w:color="auto"/>
        <w:right w:val="none" w:sz="0" w:space="0" w:color="auto"/>
      </w:divBdr>
    </w:div>
    <w:div w:id="1671759373">
      <w:bodyDiv w:val="1"/>
      <w:marLeft w:val="0"/>
      <w:marRight w:val="0"/>
      <w:marTop w:val="0"/>
      <w:marBottom w:val="0"/>
      <w:divBdr>
        <w:top w:val="none" w:sz="0" w:space="0" w:color="auto"/>
        <w:left w:val="none" w:sz="0" w:space="0" w:color="auto"/>
        <w:bottom w:val="none" w:sz="0" w:space="0" w:color="auto"/>
        <w:right w:val="none" w:sz="0" w:space="0" w:color="auto"/>
      </w:divBdr>
    </w:div>
    <w:div w:id="1672754170">
      <w:bodyDiv w:val="1"/>
      <w:marLeft w:val="0"/>
      <w:marRight w:val="0"/>
      <w:marTop w:val="0"/>
      <w:marBottom w:val="0"/>
      <w:divBdr>
        <w:top w:val="none" w:sz="0" w:space="0" w:color="auto"/>
        <w:left w:val="none" w:sz="0" w:space="0" w:color="auto"/>
        <w:bottom w:val="none" w:sz="0" w:space="0" w:color="auto"/>
        <w:right w:val="none" w:sz="0" w:space="0" w:color="auto"/>
      </w:divBdr>
    </w:div>
    <w:div w:id="1673221949">
      <w:bodyDiv w:val="1"/>
      <w:marLeft w:val="0"/>
      <w:marRight w:val="0"/>
      <w:marTop w:val="0"/>
      <w:marBottom w:val="0"/>
      <w:divBdr>
        <w:top w:val="none" w:sz="0" w:space="0" w:color="auto"/>
        <w:left w:val="none" w:sz="0" w:space="0" w:color="auto"/>
        <w:bottom w:val="none" w:sz="0" w:space="0" w:color="auto"/>
        <w:right w:val="none" w:sz="0" w:space="0" w:color="auto"/>
      </w:divBdr>
    </w:div>
    <w:div w:id="1673339942">
      <w:bodyDiv w:val="1"/>
      <w:marLeft w:val="0"/>
      <w:marRight w:val="0"/>
      <w:marTop w:val="0"/>
      <w:marBottom w:val="0"/>
      <w:divBdr>
        <w:top w:val="none" w:sz="0" w:space="0" w:color="auto"/>
        <w:left w:val="none" w:sz="0" w:space="0" w:color="auto"/>
        <w:bottom w:val="none" w:sz="0" w:space="0" w:color="auto"/>
        <w:right w:val="none" w:sz="0" w:space="0" w:color="auto"/>
      </w:divBdr>
    </w:div>
    <w:div w:id="1673413788">
      <w:bodyDiv w:val="1"/>
      <w:marLeft w:val="0"/>
      <w:marRight w:val="0"/>
      <w:marTop w:val="0"/>
      <w:marBottom w:val="0"/>
      <w:divBdr>
        <w:top w:val="none" w:sz="0" w:space="0" w:color="auto"/>
        <w:left w:val="none" w:sz="0" w:space="0" w:color="auto"/>
        <w:bottom w:val="none" w:sz="0" w:space="0" w:color="auto"/>
        <w:right w:val="none" w:sz="0" w:space="0" w:color="auto"/>
      </w:divBdr>
    </w:div>
    <w:div w:id="1674183170">
      <w:bodyDiv w:val="1"/>
      <w:marLeft w:val="0"/>
      <w:marRight w:val="0"/>
      <w:marTop w:val="0"/>
      <w:marBottom w:val="0"/>
      <w:divBdr>
        <w:top w:val="none" w:sz="0" w:space="0" w:color="auto"/>
        <w:left w:val="none" w:sz="0" w:space="0" w:color="auto"/>
        <w:bottom w:val="none" w:sz="0" w:space="0" w:color="auto"/>
        <w:right w:val="none" w:sz="0" w:space="0" w:color="auto"/>
      </w:divBdr>
    </w:div>
    <w:div w:id="1674410297">
      <w:bodyDiv w:val="1"/>
      <w:marLeft w:val="0"/>
      <w:marRight w:val="0"/>
      <w:marTop w:val="0"/>
      <w:marBottom w:val="0"/>
      <w:divBdr>
        <w:top w:val="none" w:sz="0" w:space="0" w:color="auto"/>
        <w:left w:val="none" w:sz="0" w:space="0" w:color="auto"/>
        <w:bottom w:val="none" w:sz="0" w:space="0" w:color="auto"/>
        <w:right w:val="none" w:sz="0" w:space="0" w:color="auto"/>
      </w:divBdr>
    </w:div>
    <w:div w:id="1674911563">
      <w:bodyDiv w:val="1"/>
      <w:marLeft w:val="0"/>
      <w:marRight w:val="0"/>
      <w:marTop w:val="0"/>
      <w:marBottom w:val="0"/>
      <w:divBdr>
        <w:top w:val="none" w:sz="0" w:space="0" w:color="auto"/>
        <w:left w:val="none" w:sz="0" w:space="0" w:color="auto"/>
        <w:bottom w:val="none" w:sz="0" w:space="0" w:color="auto"/>
        <w:right w:val="none" w:sz="0" w:space="0" w:color="auto"/>
      </w:divBdr>
    </w:div>
    <w:div w:id="1675835738">
      <w:bodyDiv w:val="1"/>
      <w:marLeft w:val="0"/>
      <w:marRight w:val="0"/>
      <w:marTop w:val="0"/>
      <w:marBottom w:val="0"/>
      <w:divBdr>
        <w:top w:val="none" w:sz="0" w:space="0" w:color="auto"/>
        <w:left w:val="none" w:sz="0" w:space="0" w:color="auto"/>
        <w:bottom w:val="none" w:sz="0" w:space="0" w:color="auto"/>
        <w:right w:val="none" w:sz="0" w:space="0" w:color="auto"/>
      </w:divBdr>
    </w:div>
    <w:div w:id="1675912854">
      <w:bodyDiv w:val="1"/>
      <w:marLeft w:val="0"/>
      <w:marRight w:val="0"/>
      <w:marTop w:val="0"/>
      <w:marBottom w:val="0"/>
      <w:divBdr>
        <w:top w:val="none" w:sz="0" w:space="0" w:color="auto"/>
        <w:left w:val="none" w:sz="0" w:space="0" w:color="auto"/>
        <w:bottom w:val="none" w:sz="0" w:space="0" w:color="auto"/>
        <w:right w:val="none" w:sz="0" w:space="0" w:color="auto"/>
      </w:divBdr>
    </w:div>
    <w:div w:id="1676759798">
      <w:bodyDiv w:val="1"/>
      <w:marLeft w:val="0"/>
      <w:marRight w:val="0"/>
      <w:marTop w:val="0"/>
      <w:marBottom w:val="0"/>
      <w:divBdr>
        <w:top w:val="none" w:sz="0" w:space="0" w:color="auto"/>
        <w:left w:val="none" w:sz="0" w:space="0" w:color="auto"/>
        <w:bottom w:val="none" w:sz="0" w:space="0" w:color="auto"/>
        <w:right w:val="none" w:sz="0" w:space="0" w:color="auto"/>
      </w:divBdr>
    </w:div>
    <w:div w:id="1676882022">
      <w:bodyDiv w:val="1"/>
      <w:marLeft w:val="0"/>
      <w:marRight w:val="0"/>
      <w:marTop w:val="0"/>
      <w:marBottom w:val="0"/>
      <w:divBdr>
        <w:top w:val="none" w:sz="0" w:space="0" w:color="auto"/>
        <w:left w:val="none" w:sz="0" w:space="0" w:color="auto"/>
        <w:bottom w:val="none" w:sz="0" w:space="0" w:color="auto"/>
        <w:right w:val="none" w:sz="0" w:space="0" w:color="auto"/>
      </w:divBdr>
    </w:div>
    <w:div w:id="1677000944">
      <w:bodyDiv w:val="1"/>
      <w:marLeft w:val="0"/>
      <w:marRight w:val="0"/>
      <w:marTop w:val="0"/>
      <w:marBottom w:val="0"/>
      <w:divBdr>
        <w:top w:val="none" w:sz="0" w:space="0" w:color="auto"/>
        <w:left w:val="none" w:sz="0" w:space="0" w:color="auto"/>
        <w:bottom w:val="none" w:sz="0" w:space="0" w:color="auto"/>
        <w:right w:val="none" w:sz="0" w:space="0" w:color="auto"/>
      </w:divBdr>
    </w:div>
    <w:div w:id="1677885344">
      <w:bodyDiv w:val="1"/>
      <w:marLeft w:val="0"/>
      <w:marRight w:val="0"/>
      <w:marTop w:val="0"/>
      <w:marBottom w:val="0"/>
      <w:divBdr>
        <w:top w:val="none" w:sz="0" w:space="0" w:color="auto"/>
        <w:left w:val="none" w:sz="0" w:space="0" w:color="auto"/>
        <w:bottom w:val="none" w:sz="0" w:space="0" w:color="auto"/>
        <w:right w:val="none" w:sz="0" w:space="0" w:color="auto"/>
      </w:divBdr>
    </w:div>
    <w:div w:id="1678116670">
      <w:bodyDiv w:val="1"/>
      <w:marLeft w:val="0"/>
      <w:marRight w:val="0"/>
      <w:marTop w:val="0"/>
      <w:marBottom w:val="0"/>
      <w:divBdr>
        <w:top w:val="none" w:sz="0" w:space="0" w:color="auto"/>
        <w:left w:val="none" w:sz="0" w:space="0" w:color="auto"/>
        <w:bottom w:val="none" w:sz="0" w:space="0" w:color="auto"/>
        <w:right w:val="none" w:sz="0" w:space="0" w:color="auto"/>
      </w:divBdr>
    </w:div>
    <w:div w:id="1679037747">
      <w:bodyDiv w:val="1"/>
      <w:marLeft w:val="0"/>
      <w:marRight w:val="0"/>
      <w:marTop w:val="0"/>
      <w:marBottom w:val="0"/>
      <w:divBdr>
        <w:top w:val="none" w:sz="0" w:space="0" w:color="auto"/>
        <w:left w:val="none" w:sz="0" w:space="0" w:color="auto"/>
        <w:bottom w:val="none" w:sz="0" w:space="0" w:color="auto"/>
        <w:right w:val="none" w:sz="0" w:space="0" w:color="auto"/>
      </w:divBdr>
    </w:div>
    <w:div w:id="1679237422">
      <w:bodyDiv w:val="1"/>
      <w:marLeft w:val="0"/>
      <w:marRight w:val="0"/>
      <w:marTop w:val="0"/>
      <w:marBottom w:val="0"/>
      <w:divBdr>
        <w:top w:val="none" w:sz="0" w:space="0" w:color="auto"/>
        <w:left w:val="none" w:sz="0" w:space="0" w:color="auto"/>
        <w:bottom w:val="none" w:sz="0" w:space="0" w:color="auto"/>
        <w:right w:val="none" w:sz="0" w:space="0" w:color="auto"/>
      </w:divBdr>
    </w:div>
    <w:div w:id="1682586962">
      <w:bodyDiv w:val="1"/>
      <w:marLeft w:val="0"/>
      <w:marRight w:val="0"/>
      <w:marTop w:val="0"/>
      <w:marBottom w:val="0"/>
      <w:divBdr>
        <w:top w:val="none" w:sz="0" w:space="0" w:color="auto"/>
        <w:left w:val="none" w:sz="0" w:space="0" w:color="auto"/>
        <w:bottom w:val="none" w:sz="0" w:space="0" w:color="auto"/>
        <w:right w:val="none" w:sz="0" w:space="0" w:color="auto"/>
      </w:divBdr>
    </w:div>
    <w:div w:id="1683585580">
      <w:bodyDiv w:val="1"/>
      <w:marLeft w:val="0"/>
      <w:marRight w:val="0"/>
      <w:marTop w:val="0"/>
      <w:marBottom w:val="0"/>
      <w:divBdr>
        <w:top w:val="none" w:sz="0" w:space="0" w:color="auto"/>
        <w:left w:val="none" w:sz="0" w:space="0" w:color="auto"/>
        <w:bottom w:val="none" w:sz="0" w:space="0" w:color="auto"/>
        <w:right w:val="none" w:sz="0" w:space="0" w:color="auto"/>
      </w:divBdr>
    </w:div>
    <w:div w:id="1684088101">
      <w:bodyDiv w:val="1"/>
      <w:marLeft w:val="0"/>
      <w:marRight w:val="0"/>
      <w:marTop w:val="0"/>
      <w:marBottom w:val="0"/>
      <w:divBdr>
        <w:top w:val="none" w:sz="0" w:space="0" w:color="auto"/>
        <w:left w:val="none" w:sz="0" w:space="0" w:color="auto"/>
        <w:bottom w:val="none" w:sz="0" w:space="0" w:color="auto"/>
        <w:right w:val="none" w:sz="0" w:space="0" w:color="auto"/>
      </w:divBdr>
    </w:div>
    <w:div w:id="1684091938">
      <w:bodyDiv w:val="1"/>
      <w:marLeft w:val="0"/>
      <w:marRight w:val="0"/>
      <w:marTop w:val="0"/>
      <w:marBottom w:val="0"/>
      <w:divBdr>
        <w:top w:val="none" w:sz="0" w:space="0" w:color="auto"/>
        <w:left w:val="none" w:sz="0" w:space="0" w:color="auto"/>
        <w:bottom w:val="none" w:sz="0" w:space="0" w:color="auto"/>
        <w:right w:val="none" w:sz="0" w:space="0" w:color="auto"/>
      </w:divBdr>
    </w:div>
    <w:div w:id="1684238136">
      <w:bodyDiv w:val="1"/>
      <w:marLeft w:val="0"/>
      <w:marRight w:val="0"/>
      <w:marTop w:val="0"/>
      <w:marBottom w:val="0"/>
      <w:divBdr>
        <w:top w:val="none" w:sz="0" w:space="0" w:color="auto"/>
        <w:left w:val="none" w:sz="0" w:space="0" w:color="auto"/>
        <w:bottom w:val="none" w:sz="0" w:space="0" w:color="auto"/>
        <w:right w:val="none" w:sz="0" w:space="0" w:color="auto"/>
      </w:divBdr>
    </w:div>
    <w:div w:id="1684357434">
      <w:bodyDiv w:val="1"/>
      <w:marLeft w:val="0"/>
      <w:marRight w:val="0"/>
      <w:marTop w:val="0"/>
      <w:marBottom w:val="0"/>
      <w:divBdr>
        <w:top w:val="none" w:sz="0" w:space="0" w:color="auto"/>
        <w:left w:val="none" w:sz="0" w:space="0" w:color="auto"/>
        <w:bottom w:val="none" w:sz="0" w:space="0" w:color="auto"/>
        <w:right w:val="none" w:sz="0" w:space="0" w:color="auto"/>
      </w:divBdr>
    </w:div>
    <w:div w:id="1685783843">
      <w:bodyDiv w:val="1"/>
      <w:marLeft w:val="0"/>
      <w:marRight w:val="0"/>
      <w:marTop w:val="0"/>
      <w:marBottom w:val="0"/>
      <w:divBdr>
        <w:top w:val="none" w:sz="0" w:space="0" w:color="auto"/>
        <w:left w:val="none" w:sz="0" w:space="0" w:color="auto"/>
        <w:bottom w:val="none" w:sz="0" w:space="0" w:color="auto"/>
        <w:right w:val="none" w:sz="0" w:space="0" w:color="auto"/>
      </w:divBdr>
    </w:div>
    <w:div w:id="1686514326">
      <w:bodyDiv w:val="1"/>
      <w:marLeft w:val="0"/>
      <w:marRight w:val="0"/>
      <w:marTop w:val="0"/>
      <w:marBottom w:val="0"/>
      <w:divBdr>
        <w:top w:val="none" w:sz="0" w:space="0" w:color="auto"/>
        <w:left w:val="none" w:sz="0" w:space="0" w:color="auto"/>
        <w:bottom w:val="none" w:sz="0" w:space="0" w:color="auto"/>
        <w:right w:val="none" w:sz="0" w:space="0" w:color="auto"/>
      </w:divBdr>
    </w:div>
    <w:div w:id="1686518882">
      <w:bodyDiv w:val="1"/>
      <w:marLeft w:val="0"/>
      <w:marRight w:val="0"/>
      <w:marTop w:val="0"/>
      <w:marBottom w:val="0"/>
      <w:divBdr>
        <w:top w:val="none" w:sz="0" w:space="0" w:color="auto"/>
        <w:left w:val="none" w:sz="0" w:space="0" w:color="auto"/>
        <w:bottom w:val="none" w:sz="0" w:space="0" w:color="auto"/>
        <w:right w:val="none" w:sz="0" w:space="0" w:color="auto"/>
      </w:divBdr>
    </w:div>
    <w:div w:id="1686786615">
      <w:bodyDiv w:val="1"/>
      <w:marLeft w:val="0"/>
      <w:marRight w:val="0"/>
      <w:marTop w:val="0"/>
      <w:marBottom w:val="0"/>
      <w:divBdr>
        <w:top w:val="none" w:sz="0" w:space="0" w:color="auto"/>
        <w:left w:val="none" w:sz="0" w:space="0" w:color="auto"/>
        <w:bottom w:val="none" w:sz="0" w:space="0" w:color="auto"/>
        <w:right w:val="none" w:sz="0" w:space="0" w:color="auto"/>
      </w:divBdr>
    </w:div>
    <w:div w:id="1687635782">
      <w:bodyDiv w:val="1"/>
      <w:marLeft w:val="0"/>
      <w:marRight w:val="0"/>
      <w:marTop w:val="0"/>
      <w:marBottom w:val="0"/>
      <w:divBdr>
        <w:top w:val="none" w:sz="0" w:space="0" w:color="auto"/>
        <w:left w:val="none" w:sz="0" w:space="0" w:color="auto"/>
        <w:bottom w:val="none" w:sz="0" w:space="0" w:color="auto"/>
        <w:right w:val="none" w:sz="0" w:space="0" w:color="auto"/>
      </w:divBdr>
    </w:div>
    <w:div w:id="1687750214">
      <w:bodyDiv w:val="1"/>
      <w:marLeft w:val="0"/>
      <w:marRight w:val="0"/>
      <w:marTop w:val="0"/>
      <w:marBottom w:val="0"/>
      <w:divBdr>
        <w:top w:val="none" w:sz="0" w:space="0" w:color="auto"/>
        <w:left w:val="none" w:sz="0" w:space="0" w:color="auto"/>
        <w:bottom w:val="none" w:sz="0" w:space="0" w:color="auto"/>
        <w:right w:val="none" w:sz="0" w:space="0" w:color="auto"/>
      </w:divBdr>
    </w:div>
    <w:div w:id="1688365133">
      <w:bodyDiv w:val="1"/>
      <w:marLeft w:val="0"/>
      <w:marRight w:val="0"/>
      <w:marTop w:val="0"/>
      <w:marBottom w:val="0"/>
      <w:divBdr>
        <w:top w:val="none" w:sz="0" w:space="0" w:color="auto"/>
        <w:left w:val="none" w:sz="0" w:space="0" w:color="auto"/>
        <w:bottom w:val="none" w:sz="0" w:space="0" w:color="auto"/>
        <w:right w:val="none" w:sz="0" w:space="0" w:color="auto"/>
      </w:divBdr>
    </w:div>
    <w:div w:id="1689677300">
      <w:bodyDiv w:val="1"/>
      <w:marLeft w:val="0"/>
      <w:marRight w:val="0"/>
      <w:marTop w:val="0"/>
      <w:marBottom w:val="0"/>
      <w:divBdr>
        <w:top w:val="none" w:sz="0" w:space="0" w:color="auto"/>
        <w:left w:val="none" w:sz="0" w:space="0" w:color="auto"/>
        <w:bottom w:val="none" w:sz="0" w:space="0" w:color="auto"/>
        <w:right w:val="none" w:sz="0" w:space="0" w:color="auto"/>
      </w:divBdr>
    </w:div>
    <w:div w:id="1691222562">
      <w:bodyDiv w:val="1"/>
      <w:marLeft w:val="0"/>
      <w:marRight w:val="0"/>
      <w:marTop w:val="0"/>
      <w:marBottom w:val="0"/>
      <w:divBdr>
        <w:top w:val="none" w:sz="0" w:space="0" w:color="auto"/>
        <w:left w:val="none" w:sz="0" w:space="0" w:color="auto"/>
        <w:bottom w:val="none" w:sz="0" w:space="0" w:color="auto"/>
        <w:right w:val="none" w:sz="0" w:space="0" w:color="auto"/>
      </w:divBdr>
    </w:div>
    <w:div w:id="1692099034">
      <w:bodyDiv w:val="1"/>
      <w:marLeft w:val="0"/>
      <w:marRight w:val="0"/>
      <w:marTop w:val="0"/>
      <w:marBottom w:val="0"/>
      <w:divBdr>
        <w:top w:val="none" w:sz="0" w:space="0" w:color="auto"/>
        <w:left w:val="none" w:sz="0" w:space="0" w:color="auto"/>
        <w:bottom w:val="none" w:sz="0" w:space="0" w:color="auto"/>
        <w:right w:val="none" w:sz="0" w:space="0" w:color="auto"/>
      </w:divBdr>
    </w:div>
    <w:div w:id="1692293253">
      <w:bodyDiv w:val="1"/>
      <w:marLeft w:val="0"/>
      <w:marRight w:val="0"/>
      <w:marTop w:val="0"/>
      <w:marBottom w:val="0"/>
      <w:divBdr>
        <w:top w:val="none" w:sz="0" w:space="0" w:color="auto"/>
        <w:left w:val="none" w:sz="0" w:space="0" w:color="auto"/>
        <w:bottom w:val="none" w:sz="0" w:space="0" w:color="auto"/>
        <w:right w:val="none" w:sz="0" w:space="0" w:color="auto"/>
      </w:divBdr>
    </w:div>
    <w:div w:id="1694182449">
      <w:bodyDiv w:val="1"/>
      <w:marLeft w:val="0"/>
      <w:marRight w:val="0"/>
      <w:marTop w:val="0"/>
      <w:marBottom w:val="0"/>
      <w:divBdr>
        <w:top w:val="none" w:sz="0" w:space="0" w:color="auto"/>
        <w:left w:val="none" w:sz="0" w:space="0" w:color="auto"/>
        <w:bottom w:val="none" w:sz="0" w:space="0" w:color="auto"/>
        <w:right w:val="none" w:sz="0" w:space="0" w:color="auto"/>
      </w:divBdr>
    </w:div>
    <w:div w:id="1694502357">
      <w:bodyDiv w:val="1"/>
      <w:marLeft w:val="0"/>
      <w:marRight w:val="0"/>
      <w:marTop w:val="0"/>
      <w:marBottom w:val="0"/>
      <w:divBdr>
        <w:top w:val="none" w:sz="0" w:space="0" w:color="auto"/>
        <w:left w:val="none" w:sz="0" w:space="0" w:color="auto"/>
        <w:bottom w:val="none" w:sz="0" w:space="0" w:color="auto"/>
        <w:right w:val="none" w:sz="0" w:space="0" w:color="auto"/>
      </w:divBdr>
    </w:div>
    <w:div w:id="1695687225">
      <w:bodyDiv w:val="1"/>
      <w:marLeft w:val="0"/>
      <w:marRight w:val="0"/>
      <w:marTop w:val="0"/>
      <w:marBottom w:val="0"/>
      <w:divBdr>
        <w:top w:val="none" w:sz="0" w:space="0" w:color="auto"/>
        <w:left w:val="none" w:sz="0" w:space="0" w:color="auto"/>
        <w:bottom w:val="none" w:sz="0" w:space="0" w:color="auto"/>
        <w:right w:val="none" w:sz="0" w:space="0" w:color="auto"/>
      </w:divBdr>
    </w:div>
    <w:div w:id="1697002536">
      <w:bodyDiv w:val="1"/>
      <w:marLeft w:val="0"/>
      <w:marRight w:val="0"/>
      <w:marTop w:val="0"/>
      <w:marBottom w:val="0"/>
      <w:divBdr>
        <w:top w:val="none" w:sz="0" w:space="0" w:color="auto"/>
        <w:left w:val="none" w:sz="0" w:space="0" w:color="auto"/>
        <w:bottom w:val="none" w:sz="0" w:space="0" w:color="auto"/>
        <w:right w:val="none" w:sz="0" w:space="0" w:color="auto"/>
      </w:divBdr>
    </w:div>
    <w:div w:id="1698434062">
      <w:bodyDiv w:val="1"/>
      <w:marLeft w:val="0"/>
      <w:marRight w:val="0"/>
      <w:marTop w:val="0"/>
      <w:marBottom w:val="0"/>
      <w:divBdr>
        <w:top w:val="none" w:sz="0" w:space="0" w:color="auto"/>
        <w:left w:val="none" w:sz="0" w:space="0" w:color="auto"/>
        <w:bottom w:val="none" w:sz="0" w:space="0" w:color="auto"/>
        <w:right w:val="none" w:sz="0" w:space="0" w:color="auto"/>
      </w:divBdr>
    </w:div>
    <w:div w:id="1699886562">
      <w:bodyDiv w:val="1"/>
      <w:marLeft w:val="0"/>
      <w:marRight w:val="0"/>
      <w:marTop w:val="0"/>
      <w:marBottom w:val="0"/>
      <w:divBdr>
        <w:top w:val="none" w:sz="0" w:space="0" w:color="auto"/>
        <w:left w:val="none" w:sz="0" w:space="0" w:color="auto"/>
        <w:bottom w:val="none" w:sz="0" w:space="0" w:color="auto"/>
        <w:right w:val="none" w:sz="0" w:space="0" w:color="auto"/>
      </w:divBdr>
    </w:div>
    <w:div w:id="1700466970">
      <w:bodyDiv w:val="1"/>
      <w:marLeft w:val="0"/>
      <w:marRight w:val="0"/>
      <w:marTop w:val="0"/>
      <w:marBottom w:val="0"/>
      <w:divBdr>
        <w:top w:val="none" w:sz="0" w:space="0" w:color="auto"/>
        <w:left w:val="none" w:sz="0" w:space="0" w:color="auto"/>
        <w:bottom w:val="none" w:sz="0" w:space="0" w:color="auto"/>
        <w:right w:val="none" w:sz="0" w:space="0" w:color="auto"/>
      </w:divBdr>
    </w:div>
    <w:div w:id="1701199034">
      <w:bodyDiv w:val="1"/>
      <w:marLeft w:val="0"/>
      <w:marRight w:val="0"/>
      <w:marTop w:val="0"/>
      <w:marBottom w:val="0"/>
      <w:divBdr>
        <w:top w:val="none" w:sz="0" w:space="0" w:color="auto"/>
        <w:left w:val="none" w:sz="0" w:space="0" w:color="auto"/>
        <w:bottom w:val="none" w:sz="0" w:space="0" w:color="auto"/>
        <w:right w:val="none" w:sz="0" w:space="0" w:color="auto"/>
      </w:divBdr>
    </w:div>
    <w:div w:id="1702589839">
      <w:bodyDiv w:val="1"/>
      <w:marLeft w:val="0"/>
      <w:marRight w:val="0"/>
      <w:marTop w:val="0"/>
      <w:marBottom w:val="0"/>
      <w:divBdr>
        <w:top w:val="none" w:sz="0" w:space="0" w:color="auto"/>
        <w:left w:val="none" w:sz="0" w:space="0" w:color="auto"/>
        <w:bottom w:val="none" w:sz="0" w:space="0" w:color="auto"/>
        <w:right w:val="none" w:sz="0" w:space="0" w:color="auto"/>
      </w:divBdr>
    </w:div>
    <w:div w:id="1702895442">
      <w:bodyDiv w:val="1"/>
      <w:marLeft w:val="0"/>
      <w:marRight w:val="0"/>
      <w:marTop w:val="0"/>
      <w:marBottom w:val="0"/>
      <w:divBdr>
        <w:top w:val="none" w:sz="0" w:space="0" w:color="auto"/>
        <w:left w:val="none" w:sz="0" w:space="0" w:color="auto"/>
        <w:bottom w:val="none" w:sz="0" w:space="0" w:color="auto"/>
        <w:right w:val="none" w:sz="0" w:space="0" w:color="auto"/>
      </w:divBdr>
    </w:div>
    <w:div w:id="1703167297">
      <w:bodyDiv w:val="1"/>
      <w:marLeft w:val="0"/>
      <w:marRight w:val="0"/>
      <w:marTop w:val="0"/>
      <w:marBottom w:val="0"/>
      <w:divBdr>
        <w:top w:val="none" w:sz="0" w:space="0" w:color="auto"/>
        <w:left w:val="none" w:sz="0" w:space="0" w:color="auto"/>
        <w:bottom w:val="none" w:sz="0" w:space="0" w:color="auto"/>
        <w:right w:val="none" w:sz="0" w:space="0" w:color="auto"/>
      </w:divBdr>
    </w:div>
    <w:div w:id="1704088380">
      <w:bodyDiv w:val="1"/>
      <w:marLeft w:val="0"/>
      <w:marRight w:val="0"/>
      <w:marTop w:val="0"/>
      <w:marBottom w:val="0"/>
      <w:divBdr>
        <w:top w:val="none" w:sz="0" w:space="0" w:color="auto"/>
        <w:left w:val="none" w:sz="0" w:space="0" w:color="auto"/>
        <w:bottom w:val="none" w:sz="0" w:space="0" w:color="auto"/>
        <w:right w:val="none" w:sz="0" w:space="0" w:color="auto"/>
      </w:divBdr>
    </w:div>
    <w:div w:id="1704133341">
      <w:bodyDiv w:val="1"/>
      <w:marLeft w:val="0"/>
      <w:marRight w:val="0"/>
      <w:marTop w:val="0"/>
      <w:marBottom w:val="0"/>
      <w:divBdr>
        <w:top w:val="none" w:sz="0" w:space="0" w:color="auto"/>
        <w:left w:val="none" w:sz="0" w:space="0" w:color="auto"/>
        <w:bottom w:val="none" w:sz="0" w:space="0" w:color="auto"/>
        <w:right w:val="none" w:sz="0" w:space="0" w:color="auto"/>
      </w:divBdr>
    </w:div>
    <w:div w:id="1704361714">
      <w:bodyDiv w:val="1"/>
      <w:marLeft w:val="0"/>
      <w:marRight w:val="0"/>
      <w:marTop w:val="0"/>
      <w:marBottom w:val="0"/>
      <w:divBdr>
        <w:top w:val="none" w:sz="0" w:space="0" w:color="auto"/>
        <w:left w:val="none" w:sz="0" w:space="0" w:color="auto"/>
        <w:bottom w:val="none" w:sz="0" w:space="0" w:color="auto"/>
        <w:right w:val="none" w:sz="0" w:space="0" w:color="auto"/>
      </w:divBdr>
    </w:div>
    <w:div w:id="1705863877">
      <w:bodyDiv w:val="1"/>
      <w:marLeft w:val="0"/>
      <w:marRight w:val="0"/>
      <w:marTop w:val="0"/>
      <w:marBottom w:val="0"/>
      <w:divBdr>
        <w:top w:val="none" w:sz="0" w:space="0" w:color="auto"/>
        <w:left w:val="none" w:sz="0" w:space="0" w:color="auto"/>
        <w:bottom w:val="none" w:sz="0" w:space="0" w:color="auto"/>
        <w:right w:val="none" w:sz="0" w:space="0" w:color="auto"/>
      </w:divBdr>
    </w:div>
    <w:div w:id="1707369527">
      <w:bodyDiv w:val="1"/>
      <w:marLeft w:val="0"/>
      <w:marRight w:val="0"/>
      <w:marTop w:val="0"/>
      <w:marBottom w:val="0"/>
      <w:divBdr>
        <w:top w:val="none" w:sz="0" w:space="0" w:color="auto"/>
        <w:left w:val="none" w:sz="0" w:space="0" w:color="auto"/>
        <w:bottom w:val="none" w:sz="0" w:space="0" w:color="auto"/>
        <w:right w:val="none" w:sz="0" w:space="0" w:color="auto"/>
      </w:divBdr>
    </w:div>
    <w:div w:id="1707369744">
      <w:bodyDiv w:val="1"/>
      <w:marLeft w:val="0"/>
      <w:marRight w:val="0"/>
      <w:marTop w:val="0"/>
      <w:marBottom w:val="0"/>
      <w:divBdr>
        <w:top w:val="none" w:sz="0" w:space="0" w:color="auto"/>
        <w:left w:val="none" w:sz="0" w:space="0" w:color="auto"/>
        <w:bottom w:val="none" w:sz="0" w:space="0" w:color="auto"/>
        <w:right w:val="none" w:sz="0" w:space="0" w:color="auto"/>
      </w:divBdr>
    </w:div>
    <w:div w:id="1708527938">
      <w:bodyDiv w:val="1"/>
      <w:marLeft w:val="0"/>
      <w:marRight w:val="0"/>
      <w:marTop w:val="0"/>
      <w:marBottom w:val="0"/>
      <w:divBdr>
        <w:top w:val="none" w:sz="0" w:space="0" w:color="auto"/>
        <w:left w:val="none" w:sz="0" w:space="0" w:color="auto"/>
        <w:bottom w:val="none" w:sz="0" w:space="0" w:color="auto"/>
        <w:right w:val="none" w:sz="0" w:space="0" w:color="auto"/>
      </w:divBdr>
    </w:div>
    <w:div w:id="1709335975">
      <w:bodyDiv w:val="1"/>
      <w:marLeft w:val="0"/>
      <w:marRight w:val="0"/>
      <w:marTop w:val="0"/>
      <w:marBottom w:val="0"/>
      <w:divBdr>
        <w:top w:val="none" w:sz="0" w:space="0" w:color="auto"/>
        <w:left w:val="none" w:sz="0" w:space="0" w:color="auto"/>
        <w:bottom w:val="none" w:sz="0" w:space="0" w:color="auto"/>
        <w:right w:val="none" w:sz="0" w:space="0" w:color="auto"/>
      </w:divBdr>
    </w:div>
    <w:div w:id="1709337979">
      <w:bodyDiv w:val="1"/>
      <w:marLeft w:val="0"/>
      <w:marRight w:val="0"/>
      <w:marTop w:val="0"/>
      <w:marBottom w:val="0"/>
      <w:divBdr>
        <w:top w:val="none" w:sz="0" w:space="0" w:color="auto"/>
        <w:left w:val="none" w:sz="0" w:space="0" w:color="auto"/>
        <w:bottom w:val="none" w:sz="0" w:space="0" w:color="auto"/>
        <w:right w:val="none" w:sz="0" w:space="0" w:color="auto"/>
      </w:divBdr>
    </w:div>
    <w:div w:id="1710180004">
      <w:bodyDiv w:val="1"/>
      <w:marLeft w:val="0"/>
      <w:marRight w:val="0"/>
      <w:marTop w:val="0"/>
      <w:marBottom w:val="0"/>
      <w:divBdr>
        <w:top w:val="none" w:sz="0" w:space="0" w:color="auto"/>
        <w:left w:val="none" w:sz="0" w:space="0" w:color="auto"/>
        <w:bottom w:val="none" w:sz="0" w:space="0" w:color="auto"/>
        <w:right w:val="none" w:sz="0" w:space="0" w:color="auto"/>
      </w:divBdr>
    </w:div>
    <w:div w:id="1711303470">
      <w:bodyDiv w:val="1"/>
      <w:marLeft w:val="0"/>
      <w:marRight w:val="0"/>
      <w:marTop w:val="0"/>
      <w:marBottom w:val="0"/>
      <w:divBdr>
        <w:top w:val="none" w:sz="0" w:space="0" w:color="auto"/>
        <w:left w:val="none" w:sz="0" w:space="0" w:color="auto"/>
        <w:bottom w:val="none" w:sz="0" w:space="0" w:color="auto"/>
        <w:right w:val="none" w:sz="0" w:space="0" w:color="auto"/>
      </w:divBdr>
    </w:div>
    <w:div w:id="1711346414">
      <w:bodyDiv w:val="1"/>
      <w:marLeft w:val="0"/>
      <w:marRight w:val="0"/>
      <w:marTop w:val="0"/>
      <w:marBottom w:val="0"/>
      <w:divBdr>
        <w:top w:val="none" w:sz="0" w:space="0" w:color="auto"/>
        <w:left w:val="none" w:sz="0" w:space="0" w:color="auto"/>
        <w:bottom w:val="none" w:sz="0" w:space="0" w:color="auto"/>
        <w:right w:val="none" w:sz="0" w:space="0" w:color="auto"/>
      </w:divBdr>
    </w:div>
    <w:div w:id="1711413696">
      <w:bodyDiv w:val="1"/>
      <w:marLeft w:val="0"/>
      <w:marRight w:val="0"/>
      <w:marTop w:val="0"/>
      <w:marBottom w:val="0"/>
      <w:divBdr>
        <w:top w:val="none" w:sz="0" w:space="0" w:color="auto"/>
        <w:left w:val="none" w:sz="0" w:space="0" w:color="auto"/>
        <w:bottom w:val="none" w:sz="0" w:space="0" w:color="auto"/>
        <w:right w:val="none" w:sz="0" w:space="0" w:color="auto"/>
      </w:divBdr>
    </w:div>
    <w:div w:id="1711567728">
      <w:bodyDiv w:val="1"/>
      <w:marLeft w:val="0"/>
      <w:marRight w:val="0"/>
      <w:marTop w:val="0"/>
      <w:marBottom w:val="0"/>
      <w:divBdr>
        <w:top w:val="none" w:sz="0" w:space="0" w:color="auto"/>
        <w:left w:val="none" w:sz="0" w:space="0" w:color="auto"/>
        <w:bottom w:val="none" w:sz="0" w:space="0" w:color="auto"/>
        <w:right w:val="none" w:sz="0" w:space="0" w:color="auto"/>
      </w:divBdr>
    </w:div>
    <w:div w:id="1712224612">
      <w:bodyDiv w:val="1"/>
      <w:marLeft w:val="0"/>
      <w:marRight w:val="0"/>
      <w:marTop w:val="0"/>
      <w:marBottom w:val="0"/>
      <w:divBdr>
        <w:top w:val="none" w:sz="0" w:space="0" w:color="auto"/>
        <w:left w:val="none" w:sz="0" w:space="0" w:color="auto"/>
        <w:bottom w:val="none" w:sz="0" w:space="0" w:color="auto"/>
        <w:right w:val="none" w:sz="0" w:space="0" w:color="auto"/>
      </w:divBdr>
    </w:div>
    <w:div w:id="1713075444">
      <w:bodyDiv w:val="1"/>
      <w:marLeft w:val="0"/>
      <w:marRight w:val="0"/>
      <w:marTop w:val="0"/>
      <w:marBottom w:val="0"/>
      <w:divBdr>
        <w:top w:val="none" w:sz="0" w:space="0" w:color="auto"/>
        <w:left w:val="none" w:sz="0" w:space="0" w:color="auto"/>
        <w:bottom w:val="none" w:sz="0" w:space="0" w:color="auto"/>
        <w:right w:val="none" w:sz="0" w:space="0" w:color="auto"/>
      </w:divBdr>
    </w:div>
    <w:div w:id="1713917479">
      <w:bodyDiv w:val="1"/>
      <w:marLeft w:val="0"/>
      <w:marRight w:val="0"/>
      <w:marTop w:val="0"/>
      <w:marBottom w:val="0"/>
      <w:divBdr>
        <w:top w:val="none" w:sz="0" w:space="0" w:color="auto"/>
        <w:left w:val="none" w:sz="0" w:space="0" w:color="auto"/>
        <w:bottom w:val="none" w:sz="0" w:space="0" w:color="auto"/>
        <w:right w:val="none" w:sz="0" w:space="0" w:color="auto"/>
      </w:divBdr>
    </w:div>
    <w:div w:id="1717587032">
      <w:bodyDiv w:val="1"/>
      <w:marLeft w:val="0"/>
      <w:marRight w:val="0"/>
      <w:marTop w:val="0"/>
      <w:marBottom w:val="0"/>
      <w:divBdr>
        <w:top w:val="none" w:sz="0" w:space="0" w:color="auto"/>
        <w:left w:val="none" w:sz="0" w:space="0" w:color="auto"/>
        <w:bottom w:val="none" w:sz="0" w:space="0" w:color="auto"/>
        <w:right w:val="none" w:sz="0" w:space="0" w:color="auto"/>
      </w:divBdr>
    </w:div>
    <w:div w:id="1718553355">
      <w:bodyDiv w:val="1"/>
      <w:marLeft w:val="0"/>
      <w:marRight w:val="0"/>
      <w:marTop w:val="0"/>
      <w:marBottom w:val="0"/>
      <w:divBdr>
        <w:top w:val="none" w:sz="0" w:space="0" w:color="auto"/>
        <w:left w:val="none" w:sz="0" w:space="0" w:color="auto"/>
        <w:bottom w:val="none" w:sz="0" w:space="0" w:color="auto"/>
        <w:right w:val="none" w:sz="0" w:space="0" w:color="auto"/>
      </w:divBdr>
    </w:div>
    <w:div w:id="1720200771">
      <w:bodyDiv w:val="1"/>
      <w:marLeft w:val="0"/>
      <w:marRight w:val="0"/>
      <w:marTop w:val="0"/>
      <w:marBottom w:val="0"/>
      <w:divBdr>
        <w:top w:val="none" w:sz="0" w:space="0" w:color="auto"/>
        <w:left w:val="none" w:sz="0" w:space="0" w:color="auto"/>
        <w:bottom w:val="none" w:sz="0" w:space="0" w:color="auto"/>
        <w:right w:val="none" w:sz="0" w:space="0" w:color="auto"/>
      </w:divBdr>
    </w:div>
    <w:div w:id="1720203209">
      <w:bodyDiv w:val="1"/>
      <w:marLeft w:val="0"/>
      <w:marRight w:val="0"/>
      <w:marTop w:val="0"/>
      <w:marBottom w:val="0"/>
      <w:divBdr>
        <w:top w:val="none" w:sz="0" w:space="0" w:color="auto"/>
        <w:left w:val="none" w:sz="0" w:space="0" w:color="auto"/>
        <w:bottom w:val="none" w:sz="0" w:space="0" w:color="auto"/>
        <w:right w:val="none" w:sz="0" w:space="0" w:color="auto"/>
      </w:divBdr>
    </w:div>
    <w:div w:id="1720977878">
      <w:bodyDiv w:val="1"/>
      <w:marLeft w:val="0"/>
      <w:marRight w:val="0"/>
      <w:marTop w:val="0"/>
      <w:marBottom w:val="0"/>
      <w:divBdr>
        <w:top w:val="none" w:sz="0" w:space="0" w:color="auto"/>
        <w:left w:val="none" w:sz="0" w:space="0" w:color="auto"/>
        <w:bottom w:val="none" w:sz="0" w:space="0" w:color="auto"/>
        <w:right w:val="none" w:sz="0" w:space="0" w:color="auto"/>
      </w:divBdr>
    </w:div>
    <w:div w:id="1722049200">
      <w:bodyDiv w:val="1"/>
      <w:marLeft w:val="0"/>
      <w:marRight w:val="0"/>
      <w:marTop w:val="0"/>
      <w:marBottom w:val="0"/>
      <w:divBdr>
        <w:top w:val="none" w:sz="0" w:space="0" w:color="auto"/>
        <w:left w:val="none" w:sz="0" w:space="0" w:color="auto"/>
        <w:bottom w:val="none" w:sz="0" w:space="0" w:color="auto"/>
        <w:right w:val="none" w:sz="0" w:space="0" w:color="auto"/>
      </w:divBdr>
    </w:div>
    <w:div w:id="1722290395">
      <w:bodyDiv w:val="1"/>
      <w:marLeft w:val="0"/>
      <w:marRight w:val="0"/>
      <w:marTop w:val="0"/>
      <w:marBottom w:val="0"/>
      <w:divBdr>
        <w:top w:val="none" w:sz="0" w:space="0" w:color="auto"/>
        <w:left w:val="none" w:sz="0" w:space="0" w:color="auto"/>
        <w:bottom w:val="none" w:sz="0" w:space="0" w:color="auto"/>
        <w:right w:val="none" w:sz="0" w:space="0" w:color="auto"/>
      </w:divBdr>
    </w:div>
    <w:div w:id="1722512911">
      <w:bodyDiv w:val="1"/>
      <w:marLeft w:val="0"/>
      <w:marRight w:val="0"/>
      <w:marTop w:val="0"/>
      <w:marBottom w:val="0"/>
      <w:divBdr>
        <w:top w:val="none" w:sz="0" w:space="0" w:color="auto"/>
        <w:left w:val="none" w:sz="0" w:space="0" w:color="auto"/>
        <w:bottom w:val="none" w:sz="0" w:space="0" w:color="auto"/>
        <w:right w:val="none" w:sz="0" w:space="0" w:color="auto"/>
      </w:divBdr>
    </w:div>
    <w:div w:id="1722706160">
      <w:bodyDiv w:val="1"/>
      <w:marLeft w:val="0"/>
      <w:marRight w:val="0"/>
      <w:marTop w:val="0"/>
      <w:marBottom w:val="0"/>
      <w:divBdr>
        <w:top w:val="none" w:sz="0" w:space="0" w:color="auto"/>
        <w:left w:val="none" w:sz="0" w:space="0" w:color="auto"/>
        <w:bottom w:val="none" w:sz="0" w:space="0" w:color="auto"/>
        <w:right w:val="none" w:sz="0" w:space="0" w:color="auto"/>
      </w:divBdr>
    </w:div>
    <w:div w:id="1723478079">
      <w:bodyDiv w:val="1"/>
      <w:marLeft w:val="0"/>
      <w:marRight w:val="0"/>
      <w:marTop w:val="0"/>
      <w:marBottom w:val="0"/>
      <w:divBdr>
        <w:top w:val="none" w:sz="0" w:space="0" w:color="auto"/>
        <w:left w:val="none" w:sz="0" w:space="0" w:color="auto"/>
        <w:bottom w:val="none" w:sz="0" w:space="0" w:color="auto"/>
        <w:right w:val="none" w:sz="0" w:space="0" w:color="auto"/>
      </w:divBdr>
    </w:div>
    <w:div w:id="1724868614">
      <w:bodyDiv w:val="1"/>
      <w:marLeft w:val="0"/>
      <w:marRight w:val="0"/>
      <w:marTop w:val="0"/>
      <w:marBottom w:val="0"/>
      <w:divBdr>
        <w:top w:val="none" w:sz="0" w:space="0" w:color="auto"/>
        <w:left w:val="none" w:sz="0" w:space="0" w:color="auto"/>
        <w:bottom w:val="none" w:sz="0" w:space="0" w:color="auto"/>
        <w:right w:val="none" w:sz="0" w:space="0" w:color="auto"/>
      </w:divBdr>
    </w:div>
    <w:div w:id="1725251447">
      <w:bodyDiv w:val="1"/>
      <w:marLeft w:val="0"/>
      <w:marRight w:val="0"/>
      <w:marTop w:val="0"/>
      <w:marBottom w:val="0"/>
      <w:divBdr>
        <w:top w:val="none" w:sz="0" w:space="0" w:color="auto"/>
        <w:left w:val="none" w:sz="0" w:space="0" w:color="auto"/>
        <w:bottom w:val="none" w:sz="0" w:space="0" w:color="auto"/>
        <w:right w:val="none" w:sz="0" w:space="0" w:color="auto"/>
      </w:divBdr>
    </w:div>
    <w:div w:id="1726444607">
      <w:bodyDiv w:val="1"/>
      <w:marLeft w:val="0"/>
      <w:marRight w:val="0"/>
      <w:marTop w:val="0"/>
      <w:marBottom w:val="0"/>
      <w:divBdr>
        <w:top w:val="none" w:sz="0" w:space="0" w:color="auto"/>
        <w:left w:val="none" w:sz="0" w:space="0" w:color="auto"/>
        <w:bottom w:val="none" w:sz="0" w:space="0" w:color="auto"/>
        <w:right w:val="none" w:sz="0" w:space="0" w:color="auto"/>
      </w:divBdr>
    </w:div>
    <w:div w:id="1726635809">
      <w:bodyDiv w:val="1"/>
      <w:marLeft w:val="0"/>
      <w:marRight w:val="0"/>
      <w:marTop w:val="0"/>
      <w:marBottom w:val="0"/>
      <w:divBdr>
        <w:top w:val="none" w:sz="0" w:space="0" w:color="auto"/>
        <w:left w:val="none" w:sz="0" w:space="0" w:color="auto"/>
        <w:bottom w:val="none" w:sz="0" w:space="0" w:color="auto"/>
        <w:right w:val="none" w:sz="0" w:space="0" w:color="auto"/>
      </w:divBdr>
    </w:div>
    <w:div w:id="1727488270">
      <w:bodyDiv w:val="1"/>
      <w:marLeft w:val="0"/>
      <w:marRight w:val="0"/>
      <w:marTop w:val="0"/>
      <w:marBottom w:val="0"/>
      <w:divBdr>
        <w:top w:val="none" w:sz="0" w:space="0" w:color="auto"/>
        <w:left w:val="none" w:sz="0" w:space="0" w:color="auto"/>
        <w:bottom w:val="none" w:sz="0" w:space="0" w:color="auto"/>
        <w:right w:val="none" w:sz="0" w:space="0" w:color="auto"/>
      </w:divBdr>
    </w:div>
    <w:div w:id="1728213808">
      <w:bodyDiv w:val="1"/>
      <w:marLeft w:val="0"/>
      <w:marRight w:val="0"/>
      <w:marTop w:val="0"/>
      <w:marBottom w:val="0"/>
      <w:divBdr>
        <w:top w:val="none" w:sz="0" w:space="0" w:color="auto"/>
        <w:left w:val="none" w:sz="0" w:space="0" w:color="auto"/>
        <w:bottom w:val="none" w:sz="0" w:space="0" w:color="auto"/>
        <w:right w:val="none" w:sz="0" w:space="0" w:color="auto"/>
      </w:divBdr>
    </w:div>
    <w:div w:id="1729263485">
      <w:bodyDiv w:val="1"/>
      <w:marLeft w:val="0"/>
      <w:marRight w:val="0"/>
      <w:marTop w:val="0"/>
      <w:marBottom w:val="0"/>
      <w:divBdr>
        <w:top w:val="none" w:sz="0" w:space="0" w:color="auto"/>
        <w:left w:val="none" w:sz="0" w:space="0" w:color="auto"/>
        <w:bottom w:val="none" w:sz="0" w:space="0" w:color="auto"/>
        <w:right w:val="none" w:sz="0" w:space="0" w:color="auto"/>
      </w:divBdr>
    </w:div>
    <w:div w:id="1730223120">
      <w:bodyDiv w:val="1"/>
      <w:marLeft w:val="0"/>
      <w:marRight w:val="0"/>
      <w:marTop w:val="0"/>
      <w:marBottom w:val="0"/>
      <w:divBdr>
        <w:top w:val="none" w:sz="0" w:space="0" w:color="auto"/>
        <w:left w:val="none" w:sz="0" w:space="0" w:color="auto"/>
        <w:bottom w:val="none" w:sz="0" w:space="0" w:color="auto"/>
        <w:right w:val="none" w:sz="0" w:space="0" w:color="auto"/>
      </w:divBdr>
    </w:div>
    <w:div w:id="1730305586">
      <w:bodyDiv w:val="1"/>
      <w:marLeft w:val="0"/>
      <w:marRight w:val="0"/>
      <w:marTop w:val="0"/>
      <w:marBottom w:val="0"/>
      <w:divBdr>
        <w:top w:val="none" w:sz="0" w:space="0" w:color="auto"/>
        <w:left w:val="none" w:sz="0" w:space="0" w:color="auto"/>
        <w:bottom w:val="none" w:sz="0" w:space="0" w:color="auto"/>
        <w:right w:val="none" w:sz="0" w:space="0" w:color="auto"/>
      </w:divBdr>
    </w:div>
    <w:div w:id="1730421645">
      <w:bodyDiv w:val="1"/>
      <w:marLeft w:val="0"/>
      <w:marRight w:val="0"/>
      <w:marTop w:val="0"/>
      <w:marBottom w:val="0"/>
      <w:divBdr>
        <w:top w:val="none" w:sz="0" w:space="0" w:color="auto"/>
        <w:left w:val="none" w:sz="0" w:space="0" w:color="auto"/>
        <w:bottom w:val="none" w:sz="0" w:space="0" w:color="auto"/>
        <w:right w:val="none" w:sz="0" w:space="0" w:color="auto"/>
      </w:divBdr>
    </w:div>
    <w:div w:id="1731075276">
      <w:bodyDiv w:val="1"/>
      <w:marLeft w:val="0"/>
      <w:marRight w:val="0"/>
      <w:marTop w:val="0"/>
      <w:marBottom w:val="0"/>
      <w:divBdr>
        <w:top w:val="none" w:sz="0" w:space="0" w:color="auto"/>
        <w:left w:val="none" w:sz="0" w:space="0" w:color="auto"/>
        <w:bottom w:val="none" w:sz="0" w:space="0" w:color="auto"/>
        <w:right w:val="none" w:sz="0" w:space="0" w:color="auto"/>
      </w:divBdr>
    </w:div>
    <w:div w:id="1731229914">
      <w:bodyDiv w:val="1"/>
      <w:marLeft w:val="0"/>
      <w:marRight w:val="0"/>
      <w:marTop w:val="0"/>
      <w:marBottom w:val="0"/>
      <w:divBdr>
        <w:top w:val="none" w:sz="0" w:space="0" w:color="auto"/>
        <w:left w:val="none" w:sz="0" w:space="0" w:color="auto"/>
        <w:bottom w:val="none" w:sz="0" w:space="0" w:color="auto"/>
        <w:right w:val="none" w:sz="0" w:space="0" w:color="auto"/>
      </w:divBdr>
    </w:div>
    <w:div w:id="1731801640">
      <w:bodyDiv w:val="1"/>
      <w:marLeft w:val="0"/>
      <w:marRight w:val="0"/>
      <w:marTop w:val="0"/>
      <w:marBottom w:val="0"/>
      <w:divBdr>
        <w:top w:val="none" w:sz="0" w:space="0" w:color="auto"/>
        <w:left w:val="none" w:sz="0" w:space="0" w:color="auto"/>
        <w:bottom w:val="none" w:sz="0" w:space="0" w:color="auto"/>
        <w:right w:val="none" w:sz="0" w:space="0" w:color="auto"/>
      </w:divBdr>
    </w:div>
    <w:div w:id="1733193064">
      <w:bodyDiv w:val="1"/>
      <w:marLeft w:val="0"/>
      <w:marRight w:val="0"/>
      <w:marTop w:val="0"/>
      <w:marBottom w:val="0"/>
      <w:divBdr>
        <w:top w:val="none" w:sz="0" w:space="0" w:color="auto"/>
        <w:left w:val="none" w:sz="0" w:space="0" w:color="auto"/>
        <w:bottom w:val="none" w:sz="0" w:space="0" w:color="auto"/>
        <w:right w:val="none" w:sz="0" w:space="0" w:color="auto"/>
      </w:divBdr>
    </w:div>
    <w:div w:id="1733775380">
      <w:bodyDiv w:val="1"/>
      <w:marLeft w:val="0"/>
      <w:marRight w:val="0"/>
      <w:marTop w:val="0"/>
      <w:marBottom w:val="0"/>
      <w:divBdr>
        <w:top w:val="none" w:sz="0" w:space="0" w:color="auto"/>
        <w:left w:val="none" w:sz="0" w:space="0" w:color="auto"/>
        <w:bottom w:val="none" w:sz="0" w:space="0" w:color="auto"/>
        <w:right w:val="none" w:sz="0" w:space="0" w:color="auto"/>
      </w:divBdr>
    </w:div>
    <w:div w:id="1735857898">
      <w:bodyDiv w:val="1"/>
      <w:marLeft w:val="0"/>
      <w:marRight w:val="0"/>
      <w:marTop w:val="0"/>
      <w:marBottom w:val="0"/>
      <w:divBdr>
        <w:top w:val="none" w:sz="0" w:space="0" w:color="auto"/>
        <w:left w:val="none" w:sz="0" w:space="0" w:color="auto"/>
        <w:bottom w:val="none" w:sz="0" w:space="0" w:color="auto"/>
        <w:right w:val="none" w:sz="0" w:space="0" w:color="auto"/>
      </w:divBdr>
    </w:div>
    <w:div w:id="1736270769">
      <w:bodyDiv w:val="1"/>
      <w:marLeft w:val="0"/>
      <w:marRight w:val="0"/>
      <w:marTop w:val="0"/>
      <w:marBottom w:val="0"/>
      <w:divBdr>
        <w:top w:val="none" w:sz="0" w:space="0" w:color="auto"/>
        <w:left w:val="none" w:sz="0" w:space="0" w:color="auto"/>
        <w:bottom w:val="none" w:sz="0" w:space="0" w:color="auto"/>
        <w:right w:val="none" w:sz="0" w:space="0" w:color="auto"/>
      </w:divBdr>
    </w:div>
    <w:div w:id="1736775018">
      <w:bodyDiv w:val="1"/>
      <w:marLeft w:val="0"/>
      <w:marRight w:val="0"/>
      <w:marTop w:val="0"/>
      <w:marBottom w:val="0"/>
      <w:divBdr>
        <w:top w:val="none" w:sz="0" w:space="0" w:color="auto"/>
        <w:left w:val="none" w:sz="0" w:space="0" w:color="auto"/>
        <w:bottom w:val="none" w:sz="0" w:space="0" w:color="auto"/>
        <w:right w:val="none" w:sz="0" w:space="0" w:color="auto"/>
      </w:divBdr>
    </w:div>
    <w:div w:id="1737167729">
      <w:bodyDiv w:val="1"/>
      <w:marLeft w:val="0"/>
      <w:marRight w:val="0"/>
      <w:marTop w:val="0"/>
      <w:marBottom w:val="0"/>
      <w:divBdr>
        <w:top w:val="none" w:sz="0" w:space="0" w:color="auto"/>
        <w:left w:val="none" w:sz="0" w:space="0" w:color="auto"/>
        <w:bottom w:val="none" w:sz="0" w:space="0" w:color="auto"/>
        <w:right w:val="none" w:sz="0" w:space="0" w:color="auto"/>
      </w:divBdr>
    </w:div>
    <w:div w:id="1738282648">
      <w:bodyDiv w:val="1"/>
      <w:marLeft w:val="0"/>
      <w:marRight w:val="0"/>
      <w:marTop w:val="0"/>
      <w:marBottom w:val="0"/>
      <w:divBdr>
        <w:top w:val="none" w:sz="0" w:space="0" w:color="auto"/>
        <w:left w:val="none" w:sz="0" w:space="0" w:color="auto"/>
        <w:bottom w:val="none" w:sz="0" w:space="0" w:color="auto"/>
        <w:right w:val="none" w:sz="0" w:space="0" w:color="auto"/>
      </w:divBdr>
    </w:div>
    <w:div w:id="1738430929">
      <w:bodyDiv w:val="1"/>
      <w:marLeft w:val="0"/>
      <w:marRight w:val="0"/>
      <w:marTop w:val="0"/>
      <w:marBottom w:val="0"/>
      <w:divBdr>
        <w:top w:val="none" w:sz="0" w:space="0" w:color="auto"/>
        <w:left w:val="none" w:sz="0" w:space="0" w:color="auto"/>
        <w:bottom w:val="none" w:sz="0" w:space="0" w:color="auto"/>
        <w:right w:val="none" w:sz="0" w:space="0" w:color="auto"/>
      </w:divBdr>
    </w:div>
    <w:div w:id="1739743378">
      <w:bodyDiv w:val="1"/>
      <w:marLeft w:val="0"/>
      <w:marRight w:val="0"/>
      <w:marTop w:val="0"/>
      <w:marBottom w:val="0"/>
      <w:divBdr>
        <w:top w:val="none" w:sz="0" w:space="0" w:color="auto"/>
        <w:left w:val="none" w:sz="0" w:space="0" w:color="auto"/>
        <w:bottom w:val="none" w:sz="0" w:space="0" w:color="auto"/>
        <w:right w:val="none" w:sz="0" w:space="0" w:color="auto"/>
      </w:divBdr>
    </w:div>
    <w:div w:id="1740666530">
      <w:bodyDiv w:val="1"/>
      <w:marLeft w:val="0"/>
      <w:marRight w:val="0"/>
      <w:marTop w:val="0"/>
      <w:marBottom w:val="0"/>
      <w:divBdr>
        <w:top w:val="none" w:sz="0" w:space="0" w:color="auto"/>
        <w:left w:val="none" w:sz="0" w:space="0" w:color="auto"/>
        <w:bottom w:val="none" w:sz="0" w:space="0" w:color="auto"/>
        <w:right w:val="none" w:sz="0" w:space="0" w:color="auto"/>
      </w:divBdr>
    </w:div>
    <w:div w:id="1740714800">
      <w:bodyDiv w:val="1"/>
      <w:marLeft w:val="0"/>
      <w:marRight w:val="0"/>
      <w:marTop w:val="0"/>
      <w:marBottom w:val="0"/>
      <w:divBdr>
        <w:top w:val="none" w:sz="0" w:space="0" w:color="auto"/>
        <w:left w:val="none" w:sz="0" w:space="0" w:color="auto"/>
        <w:bottom w:val="none" w:sz="0" w:space="0" w:color="auto"/>
        <w:right w:val="none" w:sz="0" w:space="0" w:color="auto"/>
      </w:divBdr>
    </w:div>
    <w:div w:id="1741058581">
      <w:bodyDiv w:val="1"/>
      <w:marLeft w:val="0"/>
      <w:marRight w:val="0"/>
      <w:marTop w:val="0"/>
      <w:marBottom w:val="0"/>
      <w:divBdr>
        <w:top w:val="none" w:sz="0" w:space="0" w:color="auto"/>
        <w:left w:val="none" w:sz="0" w:space="0" w:color="auto"/>
        <w:bottom w:val="none" w:sz="0" w:space="0" w:color="auto"/>
        <w:right w:val="none" w:sz="0" w:space="0" w:color="auto"/>
      </w:divBdr>
    </w:div>
    <w:div w:id="1742482708">
      <w:bodyDiv w:val="1"/>
      <w:marLeft w:val="0"/>
      <w:marRight w:val="0"/>
      <w:marTop w:val="0"/>
      <w:marBottom w:val="0"/>
      <w:divBdr>
        <w:top w:val="none" w:sz="0" w:space="0" w:color="auto"/>
        <w:left w:val="none" w:sz="0" w:space="0" w:color="auto"/>
        <w:bottom w:val="none" w:sz="0" w:space="0" w:color="auto"/>
        <w:right w:val="none" w:sz="0" w:space="0" w:color="auto"/>
      </w:divBdr>
    </w:div>
    <w:div w:id="1743483287">
      <w:bodyDiv w:val="1"/>
      <w:marLeft w:val="0"/>
      <w:marRight w:val="0"/>
      <w:marTop w:val="0"/>
      <w:marBottom w:val="0"/>
      <w:divBdr>
        <w:top w:val="none" w:sz="0" w:space="0" w:color="auto"/>
        <w:left w:val="none" w:sz="0" w:space="0" w:color="auto"/>
        <w:bottom w:val="none" w:sz="0" w:space="0" w:color="auto"/>
        <w:right w:val="none" w:sz="0" w:space="0" w:color="auto"/>
      </w:divBdr>
    </w:div>
    <w:div w:id="1744135575">
      <w:bodyDiv w:val="1"/>
      <w:marLeft w:val="0"/>
      <w:marRight w:val="0"/>
      <w:marTop w:val="0"/>
      <w:marBottom w:val="0"/>
      <w:divBdr>
        <w:top w:val="none" w:sz="0" w:space="0" w:color="auto"/>
        <w:left w:val="none" w:sz="0" w:space="0" w:color="auto"/>
        <w:bottom w:val="none" w:sz="0" w:space="0" w:color="auto"/>
        <w:right w:val="none" w:sz="0" w:space="0" w:color="auto"/>
      </w:divBdr>
    </w:div>
    <w:div w:id="1744327533">
      <w:bodyDiv w:val="1"/>
      <w:marLeft w:val="0"/>
      <w:marRight w:val="0"/>
      <w:marTop w:val="0"/>
      <w:marBottom w:val="0"/>
      <w:divBdr>
        <w:top w:val="none" w:sz="0" w:space="0" w:color="auto"/>
        <w:left w:val="none" w:sz="0" w:space="0" w:color="auto"/>
        <w:bottom w:val="none" w:sz="0" w:space="0" w:color="auto"/>
        <w:right w:val="none" w:sz="0" w:space="0" w:color="auto"/>
      </w:divBdr>
    </w:div>
    <w:div w:id="1745028484">
      <w:bodyDiv w:val="1"/>
      <w:marLeft w:val="0"/>
      <w:marRight w:val="0"/>
      <w:marTop w:val="0"/>
      <w:marBottom w:val="0"/>
      <w:divBdr>
        <w:top w:val="none" w:sz="0" w:space="0" w:color="auto"/>
        <w:left w:val="none" w:sz="0" w:space="0" w:color="auto"/>
        <w:bottom w:val="none" w:sz="0" w:space="0" w:color="auto"/>
        <w:right w:val="none" w:sz="0" w:space="0" w:color="auto"/>
      </w:divBdr>
    </w:div>
    <w:div w:id="1745225207">
      <w:bodyDiv w:val="1"/>
      <w:marLeft w:val="0"/>
      <w:marRight w:val="0"/>
      <w:marTop w:val="0"/>
      <w:marBottom w:val="0"/>
      <w:divBdr>
        <w:top w:val="none" w:sz="0" w:space="0" w:color="auto"/>
        <w:left w:val="none" w:sz="0" w:space="0" w:color="auto"/>
        <w:bottom w:val="none" w:sz="0" w:space="0" w:color="auto"/>
        <w:right w:val="none" w:sz="0" w:space="0" w:color="auto"/>
      </w:divBdr>
    </w:div>
    <w:div w:id="1747411506">
      <w:bodyDiv w:val="1"/>
      <w:marLeft w:val="0"/>
      <w:marRight w:val="0"/>
      <w:marTop w:val="0"/>
      <w:marBottom w:val="0"/>
      <w:divBdr>
        <w:top w:val="none" w:sz="0" w:space="0" w:color="auto"/>
        <w:left w:val="none" w:sz="0" w:space="0" w:color="auto"/>
        <w:bottom w:val="none" w:sz="0" w:space="0" w:color="auto"/>
        <w:right w:val="none" w:sz="0" w:space="0" w:color="auto"/>
      </w:divBdr>
    </w:div>
    <w:div w:id="1748185289">
      <w:bodyDiv w:val="1"/>
      <w:marLeft w:val="0"/>
      <w:marRight w:val="0"/>
      <w:marTop w:val="0"/>
      <w:marBottom w:val="0"/>
      <w:divBdr>
        <w:top w:val="none" w:sz="0" w:space="0" w:color="auto"/>
        <w:left w:val="none" w:sz="0" w:space="0" w:color="auto"/>
        <w:bottom w:val="none" w:sz="0" w:space="0" w:color="auto"/>
        <w:right w:val="none" w:sz="0" w:space="0" w:color="auto"/>
      </w:divBdr>
    </w:div>
    <w:div w:id="1749576867">
      <w:bodyDiv w:val="1"/>
      <w:marLeft w:val="0"/>
      <w:marRight w:val="0"/>
      <w:marTop w:val="0"/>
      <w:marBottom w:val="0"/>
      <w:divBdr>
        <w:top w:val="none" w:sz="0" w:space="0" w:color="auto"/>
        <w:left w:val="none" w:sz="0" w:space="0" w:color="auto"/>
        <w:bottom w:val="none" w:sz="0" w:space="0" w:color="auto"/>
        <w:right w:val="none" w:sz="0" w:space="0" w:color="auto"/>
      </w:divBdr>
    </w:div>
    <w:div w:id="1751468163">
      <w:bodyDiv w:val="1"/>
      <w:marLeft w:val="0"/>
      <w:marRight w:val="0"/>
      <w:marTop w:val="0"/>
      <w:marBottom w:val="0"/>
      <w:divBdr>
        <w:top w:val="none" w:sz="0" w:space="0" w:color="auto"/>
        <w:left w:val="none" w:sz="0" w:space="0" w:color="auto"/>
        <w:bottom w:val="none" w:sz="0" w:space="0" w:color="auto"/>
        <w:right w:val="none" w:sz="0" w:space="0" w:color="auto"/>
      </w:divBdr>
    </w:div>
    <w:div w:id="1752040542">
      <w:bodyDiv w:val="1"/>
      <w:marLeft w:val="0"/>
      <w:marRight w:val="0"/>
      <w:marTop w:val="0"/>
      <w:marBottom w:val="0"/>
      <w:divBdr>
        <w:top w:val="none" w:sz="0" w:space="0" w:color="auto"/>
        <w:left w:val="none" w:sz="0" w:space="0" w:color="auto"/>
        <w:bottom w:val="none" w:sz="0" w:space="0" w:color="auto"/>
        <w:right w:val="none" w:sz="0" w:space="0" w:color="auto"/>
      </w:divBdr>
    </w:div>
    <w:div w:id="1752387298">
      <w:bodyDiv w:val="1"/>
      <w:marLeft w:val="0"/>
      <w:marRight w:val="0"/>
      <w:marTop w:val="0"/>
      <w:marBottom w:val="0"/>
      <w:divBdr>
        <w:top w:val="none" w:sz="0" w:space="0" w:color="auto"/>
        <w:left w:val="none" w:sz="0" w:space="0" w:color="auto"/>
        <w:bottom w:val="none" w:sz="0" w:space="0" w:color="auto"/>
        <w:right w:val="none" w:sz="0" w:space="0" w:color="auto"/>
      </w:divBdr>
    </w:div>
    <w:div w:id="1753551561">
      <w:bodyDiv w:val="1"/>
      <w:marLeft w:val="0"/>
      <w:marRight w:val="0"/>
      <w:marTop w:val="0"/>
      <w:marBottom w:val="0"/>
      <w:divBdr>
        <w:top w:val="none" w:sz="0" w:space="0" w:color="auto"/>
        <w:left w:val="none" w:sz="0" w:space="0" w:color="auto"/>
        <w:bottom w:val="none" w:sz="0" w:space="0" w:color="auto"/>
        <w:right w:val="none" w:sz="0" w:space="0" w:color="auto"/>
      </w:divBdr>
    </w:div>
    <w:div w:id="1754083827">
      <w:bodyDiv w:val="1"/>
      <w:marLeft w:val="0"/>
      <w:marRight w:val="0"/>
      <w:marTop w:val="0"/>
      <w:marBottom w:val="0"/>
      <w:divBdr>
        <w:top w:val="none" w:sz="0" w:space="0" w:color="auto"/>
        <w:left w:val="none" w:sz="0" w:space="0" w:color="auto"/>
        <w:bottom w:val="none" w:sz="0" w:space="0" w:color="auto"/>
        <w:right w:val="none" w:sz="0" w:space="0" w:color="auto"/>
      </w:divBdr>
    </w:div>
    <w:div w:id="1754622454">
      <w:bodyDiv w:val="1"/>
      <w:marLeft w:val="0"/>
      <w:marRight w:val="0"/>
      <w:marTop w:val="0"/>
      <w:marBottom w:val="0"/>
      <w:divBdr>
        <w:top w:val="none" w:sz="0" w:space="0" w:color="auto"/>
        <w:left w:val="none" w:sz="0" w:space="0" w:color="auto"/>
        <w:bottom w:val="none" w:sz="0" w:space="0" w:color="auto"/>
        <w:right w:val="none" w:sz="0" w:space="0" w:color="auto"/>
      </w:divBdr>
    </w:div>
    <w:div w:id="1754739437">
      <w:bodyDiv w:val="1"/>
      <w:marLeft w:val="0"/>
      <w:marRight w:val="0"/>
      <w:marTop w:val="0"/>
      <w:marBottom w:val="0"/>
      <w:divBdr>
        <w:top w:val="none" w:sz="0" w:space="0" w:color="auto"/>
        <w:left w:val="none" w:sz="0" w:space="0" w:color="auto"/>
        <w:bottom w:val="none" w:sz="0" w:space="0" w:color="auto"/>
        <w:right w:val="none" w:sz="0" w:space="0" w:color="auto"/>
      </w:divBdr>
    </w:div>
    <w:div w:id="1755587873">
      <w:bodyDiv w:val="1"/>
      <w:marLeft w:val="0"/>
      <w:marRight w:val="0"/>
      <w:marTop w:val="0"/>
      <w:marBottom w:val="0"/>
      <w:divBdr>
        <w:top w:val="none" w:sz="0" w:space="0" w:color="auto"/>
        <w:left w:val="none" w:sz="0" w:space="0" w:color="auto"/>
        <w:bottom w:val="none" w:sz="0" w:space="0" w:color="auto"/>
        <w:right w:val="none" w:sz="0" w:space="0" w:color="auto"/>
      </w:divBdr>
    </w:div>
    <w:div w:id="1756396247">
      <w:bodyDiv w:val="1"/>
      <w:marLeft w:val="0"/>
      <w:marRight w:val="0"/>
      <w:marTop w:val="0"/>
      <w:marBottom w:val="0"/>
      <w:divBdr>
        <w:top w:val="none" w:sz="0" w:space="0" w:color="auto"/>
        <w:left w:val="none" w:sz="0" w:space="0" w:color="auto"/>
        <w:bottom w:val="none" w:sz="0" w:space="0" w:color="auto"/>
        <w:right w:val="none" w:sz="0" w:space="0" w:color="auto"/>
      </w:divBdr>
    </w:div>
    <w:div w:id="1757358157">
      <w:bodyDiv w:val="1"/>
      <w:marLeft w:val="0"/>
      <w:marRight w:val="0"/>
      <w:marTop w:val="0"/>
      <w:marBottom w:val="0"/>
      <w:divBdr>
        <w:top w:val="none" w:sz="0" w:space="0" w:color="auto"/>
        <w:left w:val="none" w:sz="0" w:space="0" w:color="auto"/>
        <w:bottom w:val="none" w:sz="0" w:space="0" w:color="auto"/>
        <w:right w:val="none" w:sz="0" w:space="0" w:color="auto"/>
      </w:divBdr>
    </w:div>
    <w:div w:id="1757482947">
      <w:bodyDiv w:val="1"/>
      <w:marLeft w:val="0"/>
      <w:marRight w:val="0"/>
      <w:marTop w:val="0"/>
      <w:marBottom w:val="0"/>
      <w:divBdr>
        <w:top w:val="none" w:sz="0" w:space="0" w:color="auto"/>
        <w:left w:val="none" w:sz="0" w:space="0" w:color="auto"/>
        <w:bottom w:val="none" w:sz="0" w:space="0" w:color="auto"/>
        <w:right w:val="none" w:sz="0" w:space="0" w:color="auto"/>
      </w:divBdr>
    </w:div>
    <w:div w:id="1757894047">
      <w:bodyDiv w:val="1"/>
      <w:marLeft w:val="0"/>
      <w:marRight w:val="0"/>
      <w:marTop w:val="0"/>
      <w:marBottom w:val="0"/>
      <w:divBdr>
        <w:top w:val="none" w:sz="0" w:space="0" w:color="auto"/>
        <w:left w:val="none" w:sz="0" w:space="0" w:color="auto"/>
        <w:bottom w:val="none" w:sz="0" w:space="0" w:color="auto"/>
        <w:right w:val="none" w:sz="0" w:space="0" w:color="auto"/>
      </w:divBdr>
    </w:div>
    <w:div w:id="1757943169">
      <w:bodyDiv w:val="1"/>
      <w:marLeft w:val="0"/>
      <w:marRight w:val="0"/>
      <w:marTop w:val="0"/>
      <w:marBottom w:val="0"/>
      <w:divBdr>
        <w:top w:val="none" w:sz="0" w:space="0" w:color="auto"/>
        <w:left w:val="none" w:sz="0" w:space="0" w:color="auto"/>
        <w:bottom w:val="none" w:sz="0" w:space="0" w:color="auto"/>
        <w:right w:val="none" w:sz="0" w:space="0" w:color="auto"/>
      </w:divBdr>
    </w:div>
    <w:div w:id="1758087853">
      <w:bodyDiv w:val="1"/>
      <w:marLeft w:val="0"/>
      <w:marRight w:val="0"/>
      <w:marTop w:val="0"/>
      <w:marBottom w:val="0"/>
      <w:divBdr>
        <w:top w:val="none" w:sz="0" w:space="0" w:color="auto"/>
        <w:left w:val="none" w:sz="0" w:space="0" w:color="auto"/>
        <w:bottom w:val="none" w:sz="0" w:space="0" w:color="auto"/>
        <w:right w:val="none" w:sz="0" w:space="0" w:color="auto"/>
      </w:divBdr>
    </w:div>
    <w:div w:id="1758208866">
      <w:bodyDiv w:val="1"/>
      <w:marLeft w:val="0"/>
      <w:marRight w:val="0"/>
      <w:marTop w:val="0"/>
      <w:marBottom w:val="0"/>
      <w:divBdr>
        <w:top w:val="none" w:sz="0" w:space="0" w:color="auto"/>
        <w:left w:val="none" w:sz="0" w:space="0" w:color="auto"/>
        <w:bottom w:val="none" w:sz="0" w:space="0" w:color="auto"/>
        <w:right w:val="none" w:sz="0" w:space="0" w:color="auto"/>
      </w:divBdr>
    </w:div>
    <w:div w:id="1758556347">
      <w:bodyDiv w:val="1"/>
      <w:marLeft w:val="0"/>
      <w:marRight w:val="0"/>
      <w:marTop w:val="0"/>
      <w:marBottom w:val="0"/>
      <w:divBdr>
        <w:top w:val="none" w:sz="0" w:space="0" w:color="auto"/>
        <w:left w:val="none" w:sz="0" w:space="0" w:color="auto"/>
        <w:bottom w:val="none" w:sz="0" w:space="0" w:color="auto"/>
        <w:right w:val="none" w:sz="0" w:space="0" w:color="auto"/>
      </w:divBdr>
    </w:div>
    <w:div w:id="1758791038">
      <w:bodyDiv w:val="1"/>
      <w:marLeft w:val="0"/>
      <w:marRight w:val="0"/>
      <w:marTop w:val="0"/>
      <w:marBottom w:val="0"/>
      <w:divBdr>
        <w:top w:val="none" w:sz="0" w:space="0" w:color="auto"/>
        <w:left w:val="none" w:sz="0" w:space="0" w:color="auto"/>
        <w:bottom w:val="none" w:sz="0" w:space="0" w:color="auto"/>
        <w:right w:val="none" w:sz="0" w:space="0" w:color="auto"/>
      </w:divBdr>
    </w:div>
    <w:div w:id="1759981390">
      <w:bodyDiv w:val="1"/>
      <w:marLeft w:val="0"/>
      <w:marRight w:val="0"/>
      <w:marTop w:val="0"/>
      <w:marBottom w:val="0"/>
      <w:divBdr>
        <w:top w:val="none" w:sz="0" w:space="0" w:color="auto"/>
        <w:left w:val="none" w:sz="0" w:space="0" w:color="auto"/>
        <w:bottom w:val="none" w:sz="0" w:space="0" w:color="auto"/>
        <w:right w:val="none" w:sz="0" w:space="0" w:color="auto"/>
      </w:divBdr>
    </w:div>
    <w:div w:id="1762608419">
      <w:bodyDiv w:val="1"/>
      <w:marLeft w:val="0"/>
      <w:marRight w:val="0"/>
      <w:marTop w:val="0"/>
      <w:marBottom w:val="0"/>
      <w:divBdr>
        <w:top w:val="none" w:sz="0" w:space="0" w:color="auto"/>
        <w:left w:val="none" w:sz="0" w:space="0" w:color="auto"/>
        <w:bottom w:val="none" w:sz="0" w:space="0" w:color="auto"/>
        <w:right w:val="none" w:sz="0" w:space="0" w:color="auto"/>
      </w:divBdr>
    </w:div>
    <w:div w:id="1765035647">
      <w:bodyDiv w:val="1"/>
      <w:marLeft w:val="0"/>
      <w:marRight w:val="0"/>
      <w:marTop w:val="0"/>
      <w:marBottom w:val="0"/>
      <w:divBdr>
        <w:top w:val="none" w:sz="0" w:space="0" w:color="auto"/>
        <w:left w:val="none" w:sz="0" w:space="0" w:color="auto"/>
        <w:bottom w:val="none" w:sz="0" w:space="0" w:color="auto"/>
        <w:right w:val="none" w:sz="0" w:space="0" w:color="auto"/>
      </w:divBdr>
    </w:div>
    <w:div w:id="1765343545">
      <w:bodyDiv w:val="1"/>
      <w:marLeft w:val="0"/>
      <w:marRight w:val="0"/>
      <w:marTop w:val="0"/>
      <w:marBottom w:val="0"/>
      <w:divBdr>
        <w:top w:val="none" w:sz="0" w:space="0" w:color="auto"/>
        <w:left w:val="none" w:sz="0" w:space="0" w:color="auto"/>
        <w:bottom w:val="none" w:sz="0" w:space="0" w:color="auto"/>
        <w:right w:val="none" w:sz="0" w:space="0" w:color="auto"/>
      </w:divBdr>
    </w:div>
    <w:div w:id="1765880346">
      <w:bodyDiv w:val="1"/>
      <w:marLeft w:val="0"/>
      <w:marRight w:val="0"/>
      <w:marTop w:val="0"/>
      <w:marBottom w:val="0"/>
      <w:divBdr>
        <w:top w:val="none" w:sz="0" w:space="0" w:color="auto"/>
        <w:left w:val="none" w:sz="0" w:space="0" w:color="auto"/>
        <w:bottom w:val="none" w:sz="0" w:space="0" w:color="auto"/>
        <w:right w:val="none" w:sz="0" w:space="0" w:color="auto"/>
      </w:divBdr>
    </w:div>
    <w:div w:id="1766271072">
      <w:bodyDiv w:val="1"/>
      <w:marLeft w:val="0"/>
      <w:marRight w:val="0"/>
      <w:marTop w:val="0"/>
      <w:marBottom w:val="0"/>
      <w:divBdr>
        <w:top w:val="none" w:sz="0" w:space="0" w:color="auto"/>
        <w:left w:val="none" w:sz="0" w:space="0" w:color="auto"/>
        <w:bottom w:val="none" w:sz="0" w:space="0" w:color="auto"/>
        <w:right w:val="none" w:sz="0" w:space="0" w:color="auto"/>
      </w:divBdr>
    </w:div>
    <w:div w:id="1767311446">
      <w:bodyDiv w:val="1"/>
      <w:marLeft w:val="0"/>
      <w:marRight w:val="0"/>
      <w:marTop w:val="0"/>
      <w:marBottom w:val="0"/>
      <w:divBdr>
        <w:top w:val="none" w:sz="0" w:space="0" w:color="auto"/>
        <w:left w:val="none" w:sz="0" w:space="0" w:color="auto"/>
        <w:bottom w:val="none" w:sz="0" w:space="0" w:color="auto"/>
        <w:right w:val="none" w:sz="0" w:space="0" w:color="auto"/>
      </w:divBdr>
    </w:div>
    <w:div w:id="1768501072">
      <w:bodyDiv w:val="1"/>
      <w:marLeft w:val="0"/>
      <w:marRight w:val="0"/>
      <w:marTop w:val="0"/>
      <w:marBottom w:val="0"/>
      <w:divBdr>
        <w:top w:val="none" w:sz="0" w:space="0" w:color="auto"/>
        <w:left w:val="none" w:sz="0" w:space="0" w:color="auto"/>
        <w:bottom w:val="none" w:sz="0" w:space="0" w:color="auto"/>
        <w:right w:val="none" w:sz="0" w:space="0" w:color="auto"/>
      </w:divBdr>
    </w:div>
    <w:div w:id="1768698865">
      <w:bodyDiv w:val="1"/>
      <w:marLeft w:val="0"/>
      <w:marRight w:val="0"/>
      <w:marTop w:val="0"/>
      <w:marBottom w:val="0"/>
      <w:divBdr>
        <w:top w:val="none" w:sz="0" w:space="0" w:color="auto"/>
        <w:left w:val="none" w:sz="0" w:space="0" w:color="auto"/>
        <w:bottom w:val="none" w:sz="0" w:space="0" w:color="auto"/>
        <w:right w:val="none" w:sz="0" w:space="0" w:color="auto"/>
      </w:divBdr>
    </w:div>
    <w:div w:id="1768772784">
      <w:bodyDiv w:val="1"/>
      <w:marLeft w:val="0"/>
      <w:marRight w:val="0"/>
      <w:marTop w:val="0"/>
      <w:marBottom w:val="0"/>
      <w:divBdr>
        <w:top w:val="none" w:sz="0" w:space="0" w:color="auto"/>
        <w:left w:val="none" w:sz="0" w:space="0" w:color="auto"/>
        <w:bottom w:val="none" w:sz="0" w:space="0" w:color="auto"/>
        <w:right w:val="none" w:sz="0" w:space="0" w:color="auto"/>
      </w:divBdr>
    </w:div>
    <w:div w:id="1769084143">
      <w:bodyDiv w:val="1"/>
      <w:marLeft w:val="0"/>
      <w:marRight w:val="0"/>
      <w:marTop w:val="0"/>
      <w:marBottom w:val="0"/>
      <w:divBdr>
        <w:top w:val="none" w:sz="0" w:space="0" w:color="auto"/>
        <w:left w:val="none" w:sz="0" w:space="0" w:color="auto"/>
        <w:bottom w:val="none" w:sz="0" w:space="0" w:color="auto"/>
        <w:right w:val="none" w:sz="0" w:space="0" w:color="auto"/>
      </w:divBdr>
    </w:div>
    <w:div w:id="1769232106">
      <w:bodyDiv w:val="1"/>
      <w:marLeft w:val="0"/>
      <w:marRight w:val="0"/>
      <w:marTop w:val="0"/>
      <w:marBottom w:val="0"/>
      <w:divBdr>
        <w:top w:val="none" w:sz="0" w:space="0" w:color="auto"/>
        <w:left w:val="none" w:sz="0" w:space="0" w:color="auto"/>
        <w:bottom w:val="none" w:sz="0" w:space="0" w:color="auto"/>
        <w:right w:val="none" w:sz="0" w:space="0" w:color="auto"/>
      </w:divBdr>
    </w:div>
    <w:div w:id="1770201792">
      <w:bodyDiv w:val="1"/>
      <w:marLeft w:val="0"/>
      <w:marRight w:val="0"/>
      <w:marTop w:val="0"/>
      <w:marBottom w:val="0"/>
      <w:divBdr>
        <w:top w:val="none" w:sz="0" w:space="0" w:color="auto"/>
        <w:left w:val="none" w:sz="0" w:space="0" w:color="auto"/>
        <w:bottom w:val="none" w:sz="0" w:space="0" w:color="auto"/>
        <w:right w:val="none" w:sz="0" w:space="0" w:color="auto"/>
      </w:divBdr>
    </w:div>
    <w:div w:id="1770272294">
      <w:bodyDiv w:val="1"/>
      <w:marLeft w:val="0"/>
      <w:marRight w:val="0"/>
      <w:marTop w:val="0"/>
      <w:marBottom w:val="0"/>
      <w:divBdr>
        <w:top w:val="none" w:sz="0" w:space="0" w:color="auto"/>
        <w:left w:val="none" w:sz="0" w:space="0" w:color="auto"/>
        <w:bottom w:val="none" w:sz="0" w:space="0" w:color="auto"/>
        <w:right w:val="none" w:sz="0" w:space="0" w:color="auto"/>
      </w:divBdr>
    </w:div>
    <w:div w:id="1770851404">
      <w:bodyDiv w:val="1"/>
      <w:marLeft w:val="0"/>
      <w:marRight w:val="0"/>
      <w:marTop w:val="0"/>
      <w:marBottom w:val="0"/>
      <w:divBdr>
        <w:top w:val="none" w:sz="0" w:space="0" w:color="auto"/>
        <w:left w:val="none" w:sz="0" w:space="0" w:color="auto"/>
        <w:bottom w:val="none" w:sz="0" w:space="0" w:color="auto"/>
        <w:right w:val="none" w:sz="0" w:space="0" w:color="auto"/>
      </w:divBdr>
    </w:div>
    <w:div w:id="1772361017">
      <w:bodyDiv w:val="1"/>
      <w:marLeft w:val="0"/>
      <w:marRight w:val="0"/>
      <w:marTop w:val="0"/>
      <w:marBottom w:val="0"/>
      <w:divBdr>
        <w:top w:val="none" w:sz="0" w:space="0" w:color="auto"/>
        <w:left w:val="none" w:sz="0" w:space="0" w:color="auto"/>
        <w:bottom w:val="none" w:sz="0" w:space="0" w:color="auto"/>
        <w:right w:val="none" w:sz="0" w:space="0" w:color="auto"/>
      </w:divBdr>
    </w:div>
    <w:div w:id="1772778381">
      <w:bodyDiv w:val="1"/>
      <w:marLeft w:val="0"/>
      <w:marRight w:val="0"/>
      <w:marTop w:val="0"/>
      <w:marBottom w:val="0"/>
      <w:divBdr>
        <w:top w:val="none" w:sz="0" w:space="0" w:color="auto"/>
        <w:left w:val="none" w:sz="0" w:space="0" w:color="auto"/>
        <w:bottom w:val="none" w:sz="0" w:space="0" w:color="auto"/>
        <w:right w:val="none" w:sz="0" w:space="0" w:color="auto"/>
      </w:divBdr>
    </w:div>
    <w:div w:id="1772894216">
      <w:bodyDiv w:val="1"/>
      <w:marLeft w:val="0"/>
      <w:marRight w:val="0"/>
      <w:marTop w:val="0"/>
      <w:marBottom w:val="0"/>
      <w:divBdr>
        <w:top w:val="none" w:sz="0" w:space="0" w:color="auto"/>
        <w:left w:val="none" w:sz="0" w:space="0" w:color="auto"/>
        <w:bottom w:val="none" w:sz="0" w:space="0" w:color="auto"/>
        <w:right w:val="none" w:sz="0" w:space="0" w:color="auto"/>
      </w:divBdr>
    </w:div>
    <w:div w:id="1773672233">
      <w:bodyDiv w:val="1"/>
      <w:marLeft w:val="0"/>
      <w:marRight w:val="0"/>
      <w:marTop w:val="0"/>
      <w:marBottom w:val="0"/>
      <w:divBdr>
        <w:top w:val="none" w:sz="0" w:space="0" w:color="auto"/>
        <w:left w:val="none" w:sz="0" w:space="0" w:color="auto"/>
        <w:bottom w:val="none" w:sz="0" w:space="0" w:color="auto"/>
        <w:right w:val="none" w:sz="0" w:space="0" w:color="auto"/>
      </w:divBdr>
    </w:div>
    <w:div w:id="1774008015">
      <w:bodyDiv w:val="1"/>
      <w:marLeft w:val="0"/>
      <w:marRight w:val="0"/>
      <w:marTop w:val="0"/>
      <w:marBottom w:val="0"/>
      <w:divBdr>
        <w:top w:val="none" w:sz="0" w:space="0" w:color="auto"/>
        <w:left w:val="none" w:sz="0" w:space="0" w:color="auto"/>
        <w:bottom w:val="none" w:sz="0" w:space="0" w:color="auto"/>
        <w:right w:val="none" w:sz="0" w:space="0" w:color="auto"/>
      </w:divBdr>
    </w:div>
    <w:div w:id="1774086256">
      <w:bodyDiv w:val="1"/>
      <w:marLeft w:val="0"/>
      <w:marRight w:val="0"/>
      <w:marTop w:val="0"/>
      <w:marBottom w:val="0"/>
      <w:divBdr>
        <w:top w:val="none" w:sz="0" w:space="0" w:color="auto"/>
        <w:left w:val="none" w:sz="0" w:space="0" w:color="auto"/>
        <w:bottom w:val="none" w:sz="0" w:space="0" w:color="auto"/>
        <w:right w:val="none" w:sz="0" w:space="0" w:color="auto"/>
      </w:divBdr>
    </w:div>
    <w:div w:id="1774781786">
      <w:bodyDiv w:val="1"/>
      <w:marLeft w:val="0"/>
      <w:marRight w:val="0"/>
      <w:marTop w:val="0"/>
      <w:marBottom w:val="0"/>
      <w:divBdr>
        <w:top w:val="none" w:sz="0" w:space="0" w:color="auto"/>
        <w:left w:val="none" w:sz="0" w:space="0" w:color="auto"/>
        <w:bottom w:val="none" w:sz="0" w:space="0" w:color="auto"/>
        <w:right w:val="none" w:sz="0" w:space="0" w:color="auto"/>
      </w:divBdr>
    </w:div>
    <w:div w:id="1774931476">
      <w:bodyDiv w:val="1"/>
      <w:marLeft w:val="0"/>
      <w:marRight w:val="0"/>
      <w:marTop w:val="0"/>
      <w:marBottom w:val="0"/>
      <w:divBdr>
        <w:top w:val="none" w:sz="0" w:space="0" w:color="auto"/>
        <w:left w:val="none" w:sz="0" w:space="0" w:color="auto"/>
        <w:bottom w:val="none" w:sz="0" w:space="0" w:color="auto"/>
        <w:right w:val="none" w:sz="0" w:space="0" w:color="auto"/>
      </w:divBdr>
    </w:div>
    <w:div w:id="1775520303">
      <w:bodyDiv w:val="1"/>
      <w:marLeft w:val="0"/>
      <w:marRight w:val="0"/>
      <w:marTop w:val="0"/>
      <w:marBottom w:val="0"/>
      <w:divBdr>
        <w:top w:val="none" w:sz="0" w:space="0" w:color="auto"/>
        <w:left w:val="none" w:sz="0" w:space="0" w:color="auto"/>
        <w:bottom w:val="none" w:sz="0" w:space="0" w:color="auto"/>
        <w:right w:val="none" w:sz="0" w:space="0" w:color="auto"/>
      </w:divBdr>
    </w:div>
    <w:div w:id="1776367133">
      <w:bodyDiv w:val="1"/>
      <w:marLeft w:val="0"/>
      <w:marRight w:val="0"/>
      <w:marTop w:val="0"/>
      <w:marBottom w:val="0"/>
      <w:divBdr>
        <w:top w:val="none" w:sz="0" w:space="0" w:color="auto"/>
        <w:left w:val="none" w:sz="0" w:space="0" w:color="auto"/>
        <w:bottom w:val="none" w:sz="0" w:space="0" w:color="auto"/>
        <w:right w:val="none" w:sz="0" w:space="0" w:color="auto"/>
      </w:divBdr>
    </w:div>
    <w:div w:id="1776903778">
      <w:bodyDiv w:val="1"/>
      <w:marLeft w:val="0"/>
      <w:marRight w:val="0"/>
      <w:marTop w:val="0"/>
      <w:marBottom w:val="0"/>
      <w:divBdr>
        <w:top w:val="none" w:sz="0" w:space="0" w:color="auto"/>
        <w:left w:val="none" w:sz="0" w:space="0" w:color="auto"/>
        <w:bottom w:val="none" w:sz="0" w:space="0" w:color="auto"/>
        <w:right w:val="none" w:sz="0" w:space="0" w:color="auto"/>
      </w:divBdr>
    </w:div>
    <w:div w:id="1777215028">
      <w:bodyDiv w:val="1"/>
      <w:marLeft w:val="0"/>
      <w:marRight w:val="0"/>
      <w:marTop w:val="0"/>
      <w:marBottom w:val="0"/>
      <w:divBdr>
        <w:top w:val="none" w:sz="0" w:space="0" w:color="auto"/>
        <w:left w:val="none" w:sz="0" w:space="0" w:color="auto"/>
        <w:bottom w:val="none" w:sz="0" w:space="0" w:color="auto"/>
        <w:right w:val="none" w:sz="0" w:space="0" w:color="auto"/>
      </w:divBdr>
    </w:div>
    <w:div w:id="1777365923">
      <w:bodyDiv w:val="1"/>
      <w:marLeft w:val="0"/>
      <w:marRight w:val="0"/>
      <w:marTop w:val="0"/>
      <w:marBottom w:val="0"/>
      <w:divBdr>
        <w:top w:val="none" w:sz="0" w:space="0" w:color="auto"/>
        <w:left w:val="none" w:sz="0" w:space="0" w:color="auto"/>
        <w:bottom w:val="none" w:sz="0" w:space="0" w:color="auto"/>
        <w:right w:val="none" w:sz="0" w:space="0" w:color="auto"/>
      </w:divBdr>
    </w:div>
    <w:div w:id="1778015630">
      <w:bodyDiv w:val="1"/>
      <w:marLeft w:val="0"/>
      <w:marRight w:val="0"/>
      <w:marTop w:val="0"/>
      <w:marBottom w:val="0"/>
      <w:divBdr>
        <w:top w:val="none" w:sz="0" w:space="0" w:color="auto"/>
        <w:left w:val="none" w:sz="0" w:space="0" w:color="auto"/>
        <w:bottom w:val="none" w:sz="0" w:space="0" w:color="auto"/>
        <w:right w:val="none" w:sz="0" w:space="0" w:color="auto"/>
      </w:divBdr>
    </w:div>
    <w:div w:id="1778015812">
      <w:bodyDiv w:val="1"/>
      <w:marLeft w:val="0"/>
      <w:marRight w:val="0"/>
      <w:marTop w:val="0"/>
      <w:marBottom w:val="0"/>
      <w:divBdr>
        <w:top w:val="none" w:sz="0" w:space="0" w:color="auto"/>
        <w:left w:val="none" w:sz="0" w:space="0" w:color="auto"/>
        <w:bottom w:val="none" w:sz="0" w:space="0" w:color="auto"/>
        <w:right w:val="none" w:sz="0" w:space="0" w:color="auto"/>
      </w:divBdr>
    </w:div>
    <w:div w:id="1778211300">
      <w:bodyDiv w:val="1"/>
      <w:marLeft w:val="0"/>
      <w:marRight w:val="0"/>
      <w:marTop w:val="0"/>
      <w:marBottom w:val="0"/>
      <w:divBdr>
        <w:top w:val="none" w:sz="0" w:space="0" w:color="auto"/>
        <w:left w:val="none" w:sz="0" w:space="0" w:color="auto"/>
        <w:bottom w:val="none" w:sz="0" w:space="0" w:color="auto"/>
        <w:right w:val="none" w:sz="0" w:space="0" w:color="auto"/>
      </w:divBdr>
    </w:div>
    <w:div w:id="1778670750">
      <w:bodyDiv w:val="1"/>
      <w:marLeft w:val="0"/>
      <w:marRight w:val="0"/>
      <w:marTop w:val="0"/>
      <w:marBottom w:val="0"/>
      <w:divBdr>
        <w:top w:val="none" w:sz="0" w:space="0" w:color="auto"/>
        <w:left w:val="none" w:sz="0" w:space="0" w:color="auto"/>
        <w:bottom w:val="none" w:sz="0" w:space="0" w:color="auto"/>
        <w:right w:val="none" w:sz="0" w:space="0" w:color="auto"/>
      </w:divBdr>
    </w:div>
    <w:div w:id="1779987672">
      <w:bodyDiv w:val="1"/>
      <w:marLeft w:val="0"/>
      <w:marRight w:val="0"/>
      <w:marTop w:val="0"/>
      <w:marBottom w:val="0"/>
      <w:divBdr>
        <w:top w:val="none" w:sz="0" w:space="0" w:color="auto"/>
        <w:left w:val="none" w:sz="0" w:space="0" w:color="auto"/>
        <w:bottom w:val="none" w:sz="0" w:space="0" w:color="auto"/>
        <w:right w:val="none" w:sz="0" w:space="0" w:color="auto"/>
      </w:divBdr>
    </w:div>
    <w:div w:id="1780223153">
      <w:bodyDiv w:val="1"/>
      <w:marLeft w:val="0"/>
      <w:marRight w:val="0"/>
      <w:marTop w:val="0"/>
      <w:marBottom w:val="0"/>
      <w:divBdr>
        <w:top w:val="none" w:sz="0" w:space="0" w:color="auto"/>
        <w:left w:val="none" w:sz="0" w:space="0" w:color="auto"/>
        <w:bottom w:val="none" w:sz="0" w:space="0" w:color="auto"/>
        <w:right w:val="none" w:sz="0" w:space="0" w:color="auto"/>
      </w:divBdr>
    </w:div>
    <w:div w:id="1780251400">
      <w:bodyDiv w:val="1"/>
      <w:marLeft w:val="0"/>
      <w:marRight w:val="0"/>
      <w:marTop w:val="0"/>
      <w:marBottom w:val="0"/>
      <w:divBdr>
        <w:top w:val="none" w:sz="0" w:space="0" w:color="auto"/>
        <w:left w:val="none" w:sz="0" w:space="0" w:color="auto"/>
        <w:bottom w:val="none" w:sz="0" w:space="0" w:color="auto"/>
        <w:right w:val="none" w:sz="0" w:space="0" w:color="auto"/>
      </w:divBdr>
    </w:div>
    <w:div w:id="1782067389">
      <w:bodyDiv w:val="1"/>
      <w:marLeft w:val="0"/>
      <w:marRight w:val="0"/>
      <w:marTop w:val="0"/>
      <w:marBottom w:val="0"/>
      <w:divBdr>
        <w:top w:val="none" w:sz="0" w:space="0" w:color="auto"/>
        <w:left w:val="none" w:sz="0" w:space="0" w:color="auto"/>
        <w:bottom w:val="none" w:sz="0" w:space="0" w:color="auto"/>
        <w:right w:val="none" w:sz="0" w:space="0" w:color="auto"/>
      </w:divBdr>
    </w:div>
    <w:div w:id="1783256976">
      <w:bodyDiv w:val="1"/>
      <w:marLeft w:val="0"/>
      <w:marRight w:val="0"/>
      <w:marTop w:val="0"/>
      <w:marBottom w:val="0"/>
      <w:divBdr>
        <w:top w:val="none" w:sz="0" w:space="0" w:color="auto"/>
        <w:left w:val="none" w:sz="0" w:space="0" w:color="auto"/>
        <w:bottom w:val="none" w:sz="0" w:space="0" w:color="auto"/>
        <w:right w:val="none" w:sz="0" w:space="0" w:color="auto"/>
      </w:divBdr>
    </w:div>
    <w:div w:id="1783919950">
      <w:bodyDiv w:val="1"/>
      <w:marLeft w:val="0"/>
      <w:marRight w:val="0"/>
      <w:marTop w:val="0"/>
      <w:marBottom w:val="0"/>
      <w:divBdr>
        <w:top w:val="none" w:sz="0" w:space="0" w:color="auto"/>
        <w:left w:val="none" w:sz="0" w:space="0" w:color="auto"/>
        <w:bottom w:val="none" w:sz="0" w:space="0" w:color="auto"/>
        <w:right w:val="none" w:sz="0" w:space="0" w:color="auto"/>
      </w:divBdr>
    </w:div>
    <w:div w:id="1784037512">
      <w:bodyDiv w:val="1"/>
      <w:marLeft w:val="0"/>
      <w:marRight w:val="0"/>
      <w:marTop w:val="0"/>
      <w:marBottom w:val="0"/>
      <w:divBdr>
        <w:top w:val="none" w:sz="0" w:space="0" w:color="auto"/>
        <w:left w:val="none" w:sz="0" w:space="0" w:color="auto"/>
        <w:bottom w:val="none" w:sz="0" w:space="0" w:color="auto"/>
        <w:right w:val="none" w:sz="0" w:space="0" w:color="auto"/>
      </w:divBdr>
    </w:div>
    <w:div w:id="1784226149">
      <w:bodyDiv w:val="1"/>
      <w:marLeft w:val="0"/>
      <w:marRight w:val="0"/>
      <w:marTop w:val="0"/>
      <w:marBottom w:val="0"/>
      <w:divBdr>
        <w:top w:val="none" w:sz="0" w:space="0" w:color="auto"/>
        <w:left w:val="none" w:sz="0" w:space="0" w:color="auto"/>
        <w:bottom w:val="none" w:sz="0" w:space="0" w:color="auto"/>
        <w:right w:val="none" w:sz="0" w:space="0" w:color="auto"/>
      </w:divBdr>
    </w:div>
    <w:div w:id="1785464124">
      <w:bodyDiv w:val="1"/>
      <w:marLeft w:val="0"/>
      <w:marRight w:val="0"/>
      <w:marTop w:val="0"/>
      <w:marBottom w:val="0"/>
      <w:divBdr>
        <w:top w:val="none" w:sz="0" w:space="0" w:color="auto"/>
        <w:left w:val="none" w:sz="0" w:space="0" w:color="auto"/>
        <w:bottom w:val="none" w:sz="0" w:space="0" w:color="auto"/>
        <w:right w:val="none" w:sz="0" w:space="0" w:color="auto"/>
      </w:divBdr>
    </w:div>
    <w:div w:id="1786346939">
      <w:bodyDiv w:val="1"/>
      <w:marLeft w:val="0"/>
      <w:marRight w:val="0"/>
      <w:marTop w:val="0"/>
      <w:marBottom w:val="0"/>
      <w:divBdr>
        <w:top w:val="none" w:sz="0" w:space="0" w:color="auto"/>
        <w:left w:val="none" w:sz="0" w:space="0" w:color="auto"/>
        <w:bottom w:val="none" w:sz="0" w:space="0" w:color="auto"/>
        <w:right w:val="none" w:sz="0" w:space="0" w:color="auto"/>
      </w:divBdr>
    </w:div>
    <w:div w:id="1787194027">
      <w:bodyDiv w:val="1"/>
      <w:marLeft w:val="0"/>
      <w:marRight w:val="0"/>
      <w:marTop w:val="0"/>
      <w:marBottom w:val="0"/>
      <w:divBdr>
        <w:top w:val="none" w:sz="0" w:space="0" w:color="auto"/>
        <w:left w:val="none" w:sz="0" w:space="0" w:color="auto"/>
        <w:bottom w:val="none" w:sz="0" w:space="0" w:color="auto"/>
        <w:right w:val="none" w:sz="0" w:space="0" w:color="auto"/>
      </w:divBdr>
    </w:div>
    <w:div w:id="1787502506">
      <w:bodyDiv w:val="1"/>
      <w:marLeft w:val="0"/>
      <w:marRight w:val="0"/>
      <w:marTop w:val="0"/>
      <w:marBottom w:val="0"/>
      <w:divBdr>
        <w:top w:val="none" w:sz="0" w:space="0" w:color="auto"/>
        <w:left w:val="none" w:sz="0" w:space="0" w:color="auto"/>
        <w:bottom w:val="none" w:sz="0" w:space="0" w:color="auto"/>
        <w:right w:val="none" w:sz="0" w:space="0" w:color="auto"/>
      </w:divBdr>
    </w:div>
    <w:div w:id="1787695164">
      <w:bodyDiv w:val="1"/>
      <w:marLeft w:val="0"/>
      <w:marRight w:val="0"/>
      <w:marTop w:val="0"/>
      <w:marBottom w:val="0"/>
      <w:divBdr>
        <w:top w:val="none" w:sz="0" w:space="0" w:color="auto"/>
        <w:left w:val="none" w:sz="0" w:space="0" w:color="auto"/>
        <w:bottom w:val="none" w:sz="0" w:space="0" w:color="auto"/>
        <w:right w:val="none" w:sz="0" w:space="0" w:color="auto"/>
      </w:divBdr>
    </w:div>
    <w:div w:id="1788501864">
      <w:bodyDiv w:val="1"/>
      <w:marLeft w:val="0"/>
      <w:marRight w:val="0"/>
      <w:marTop w:val="0"/>
      <w:marBottom w:val="0"/>
      <w:divBdr>
        <w:top w:val="none" w:sz="0" w:space="0" w:color="auto"/>
        <w:left w:val="none" w:sz="0" w:space="0" w:color="auto"/>
        <w:bottom w:val="none" w:sz="0" w:space="0" w:color="auto"/>
        <w:right w:val="none" w:sz="0" w:space="0" w:color="auto"/>
      </w:divBdr>
    </w:div>
    <w:div w:id="1789659776">
      <w:bodyDiv w:val="1"/>
      <w:marLeft w:val="0"/>
      <w:marRight w:val="0"/>
      <w:marTop w:val="0"/>
      <w:marBottom w:val="0"/>
      <w:divBdr>
        <w:top w:val="none" w:sz="0" w:space="0" w:color="auto"/>
        <w:left w:val="none" w:sz="0" w:space="0" w:color="auto"/>
        <w:bottom w:val="none" w:sz="0" w:space="0" w:color="auto"/>
        <w:right w:val="none" w:sz="0" w:space="0" w:color="auto"/>
      </w:divBdr>
    </w:div>
    <w:div w:id="1790010690">
      <w:bodyDiv w:val="1"/>
      <w:marLeft w:val="0"/>
      <w:marRight w:val="0"/>
      <w:marTop w:val="0"/>
      <w:marBottom w:val="0"/>
      <w:divBdr>
        <w:top w:val="none" w:sz="0" w:space="0" w:color="auto"/>
        <w:left w:val="none" w:sz="0" w:space="0" w:color="auto"/>
        <w:bottom w:val="none" w:sz="0" w:space="0" w:color="auto"/>
        <w:right w:val="none" w:sz="0" w:space="0" w:color="auto"/>
      </w:divBdr>
    </w:div>
    <w:div w:id="1792506673">
      <w:bodyDiv w:val="1"/>
      <w:marLeft w:val="0"/>
      <w:marRight w:val="0"/>
      <w:marTop w:val="0"/>
      <w:marBottom w:val="0"/>
      <w:divBdr>
        <w:top w:val="none" w:sz="0" w:space="0" w:color="auto"/>
        <w:left w:val="none" w:sz="0" w:space="0" w:color="auto"/>
        <w:bottom w:val="none" w:sz="0" w:space="0" w:color="auto"/>
        <w:right w:val="none" w:sz="0" w:space="0" w:color="auto"/>
      </w:divBdr>
    </w:div>
    <w:div w:id="1792552626">
      <w:bodyDiv w:val="1"/>
      <w:marLeft w:val="0"/>
      <w:marRight w:val="0"/>
      <w:marTop w:val="0"/>
      <w:marBottom w:val="0"/>
      <w:divBdr>
        <w:top w:val="none" w:sz="0" w:space="0" w:color="auto"/>
        <w:left w:val="none" w:sz="0" w:space="0" w:color="auto"/>
        <w:bottom w:val="none" w:sz="0" w:space="0" w:color="auto"/>
        <w:right w:val="none" w:sz="0" w:space="0" w:color="auto"/>
      </w:divBdr>
    </w:div>
    <w:div w:id="1792898439">
      <w:bodyDiv w:val="1"/>
      <w:marLeft w:val="0"/>
      <w:marRight w:val="0"/>
      <w:marTop w:val="0"/>
      <w:marBottom w:val="0"/>
      <w:divBdr>
        <w:top w:val="none" w:sz="0" w:space="0" w:color="auto"/>
        <w:left w:val="none" w:sz="0" w:space="0" w:color="auto"/>
        <w:bottom w:val="none" w:sz="0" w:space="0" w:color="auto"/>
        <w:right w:val="none" w:sz="0" w:space="0" w:color="auto"/>
      </w:divBdr>
    </w:div>
    <w:div w:id="1796097991">
      <w:bodyDiv w:val="1"/>
      <w:marLeft w:val="0"/>
      <w:marRight w:val="0"/>
      <w:marTop w:val="0"/>
      <w:marBottom w:val="0"/>
      <w:divBdr>
        <w:top w:val="none" w:sz="0" w:space="0" w:color="auto"/>
        <w:left w:val="none" w:sz="0" w:space="0" w:color="auto"/>
        <w:bottom w:val="none" w:sz="0" w:space="0" w:color="auto"/>
        <w:right w:val="none" w:sz="0" w:space="0" w:color="auto"/>
      </w:divBdr>
    </w:div>
    <w:div w:id="1796294167">
      <w:bodyDiv w:val="1"/>
      <w:marLeft w:val="0"/>
      <w:marRight w:val="0"/>
      <w:marTop w:val="0"/>
      <w:marBottom w:val="0"/>
      <w:divBdr>
        <w:top w:val="none" w:sz="0" w:space="0" w:color="auto"/>
        <w:left w:val="none" w:sz="0" w:space="0" w:color="auto"/>
        <w:bottom w:val="none" w:sz="0" w:space="0" w:color="auto"/>
        <w:right w:val="none" w:sz="0" w:space="0" w:color="auto"/>
      </w:divBdr>
    </w:div>
    <w:div w:id="1796750544">
      <w:bodyDiv w:val="1"/>
      <w:marLeft w:val="0"/>
      <w:marRight w:val="0"/>
      <w:marTop w:val="0"/>
      <w:marBottom w:val="0"/>
      <w:divBdr>
        <w:top w:val="none" w:sz="0" w:space="0" w:color="auto"/>
        <w:left w:val="none" w:sz="0" w:space="0" w:color="auto"/>
        <w:bottom w:val="none" w:sz="0" w:space="0" w:color="auto"/>
        <w:right w:val="none" w:sz="0" w:space="0" w:color="auto"/>
      </w:divBdr>
    </w:div>
    <w:div w:id="1797529760">
      <w:bodyDiv w:val="1"/>
      <w:marLeft w:val="0"/>
      <w:marRight w:val="0"/>
      <w:marTop w:val="0"/>
      <w:marBottom w:val="0"/>
      <w:divBdr>
        <w:top w:val="none" w:sz="0" w:space="0" w:color="auto"/>
        <w:left w:val="none" w:sz="0" w:space="0" w:color="auto"/>
        <w:bottom w:val="none" w:sz="0" w:space="0" w:color="auto"/>
        <w:right w:val="none" w:sz="0" w:space="0" w:color="auto"/>
      </w:divBdr>
    </w:div>
    <w:div w:id="1798521901">
      <w:bodyDiv w:val="1"/>
      <w:marLeft w:val="0"/>
      <w:marRight w:val="0"/>
      <w:marTop w:val="0"/>
      <w:marBottom w:val="0"/>
      <w:divBdr>
        <w:top w:val="none" w:sz="0" w:space="0" w:color="auto"/>
        <w:left w:val="none" w:sz="0" w:space="0" w:color="auto"/>
        <w:bottom w:val="none" w:sz="0" w:space="0" w:color="auto"/>
        <w:right w:val="none" w:sz="0" w:space="0" w:color="auto"/>
      </w:divBdr>
    </w:div>
    <w:div w:id="1798599197">
      <w:bodyDiv w:val="1"/>
      <w:marLeft w:val="0"/>
      <w:marRight w:val="0"/>
      <w:marTop w:val="0"/>
      <w:marBottom w:val="0"/>
      <w:divBdr>
        <w:top w:val="none" w:sz="0" w:space="0" w:color="auto"/>
        <w:left w:val="none" w:sz="0" w:space="0" w:color="auto"/>
        <w:bottom w:val="none" w:sz="0" w:space="0" w:color="auto"/>
        <w:right w:val="none" w:sz="0" w:space="0" w:color="auto"/>
      </w:divBdr>
    </w:div>
    <w:div w:id="1799297602">
      <w:bodyDiv w:val="1"/>
      <w:marLeft w:val="0"/>
      <w:marRight w:val="0"/>
      <w:marTop w:val="0"/>
      <w:marBottom w:val="0"/>
      <w:divBdr>
        <w:top w:val="none" w:sz="0" w:space="0" w:color="auto"/>
        <w:left w:val="none" w:sz="0" w:space="0" w:color="auto"/>
        <w:bottom w:val="none" w:sz="0" w:space="0" w:color="auto"/>
        <w:right w:val="none" w:sz="0" w:space="0" w:color="auto"/>
      </w:divBdr>
    </w:div>
    <w:div w:id="1799564380">
      <w:bodyDiv w:val="1"/>
      <w:marLeft w:val="0"/>
      <w:marRight w:val="0"/>
      <w:marTop w:val="0"/>
      <w:marBottom w:val="0"/>
      <w:divBdr>
        <w:top w:val="none" w:sz="0" w:space="0" w:color="auto"/>
        <w:left w:val="none" w:sz="0" w:space="0" w:color="auto"/>
        <w:bottom w:val="none" w:sz="0" w:space="0" w:color="auto"/>
        <w:right w:val="none" w:sz="0" w:space="0" w:color="auto"/>
      </w:divBdr>
    </w:div>
    <w:div w:id="1799647041">
      <w:bodyDiv w:val="1"/>
      <w:marLeft w:val="0"/>
      <w:marRight w:val="0"/>
      <w:marTop w:val="0"/>
      <w:marBottom w:val="0"/>
      <w:divBdr>
        <w:top w:val="none" w:sz="0" w:space="0" w:color="auto"/>
        <w:left w:val="none" w:sz="0" w:space="0" w:color="auto"/>
        <w:bottom w:val="none" w:sz="0" w:space="0" w:color="auto"/>
        <w:right w:val="none" w:sz="0" w:space="0" w:color="auto"/>
      </w:divBdr>
    </w:div>
    <w:div w:id="1799755795">
      <w:bodyDiv w:val="1"/>
      <w:marLeft w:val="0"/>
      <w:marRight w:val="0"/>
      <w:marTop w:val="0"/>
      <w:marBottom w:val="0"/>
      <w:divBdr>
        <w:top w:val="none" w:sz="0" w:space="0" w:color="auto"/>
        <w:left w:val="none" w:sz="0" w:space="0" w:color="auto"/>
        <w:bottom w:val="none" w:sz="0" w:space="0" w:color="auto"/>
        <w:right w:val="none" w:sz="0" w:space="0" w:color="auto"/>
      </w:divBdr>
    </w:div>
    <w:div w:id="1799952107">
      <w:bodyDiv w:val="1"/>
      <w:marLeft w:val="0"/>
      <w:marRight w:val="0"/>
      <w:marTop w:val="0"/>
      <w:marBottom w:val="0"/>
      <w:divBdr>
        <w:top w:val="none" w:sz="0" w:space="0" w:color="auto"/>
        <w:left w:val="none" w:sz="0" w:space="0" w:color="auto"/>
        <w:bottom w:val="none" w:sz="0" w:space="0" w:color="auto"/>
        <w:right w:val="none" w:sz="0" w:space="0" w:color="auto"/>
      </w:divBdr>
    </w:div>
    <w:div w:id="1802188503">
      <w:bodyDiv w:val="1"/>
      <w:marLeft w:val="0"/>
      <w:marRight w:val="0"/>
      <w:marTop w:val="0"/>
      <w:marBottom w:val="0"/>
      <w:divBdr>
        <w:top w:val="none" w:sz="0" w:space="0" w:color="auto"/>
        <w:left w:val="none" w:sz="0" w:space="0" w:color="auto"/>
        <w:bottom w:val="none" w:sz="0" w:space="0" w:color="auto"/>
        <w:right w:val="none" w:sz="0" w:space="0" w:color="auto"/>
      </w:divBdr>
    </w:div>
    <w:div w:id="1803309552">
      <w:bodyDiv w:val="1"/>
      <w:marLeft w:val="0"/>
      <w:marRight w:val="0"/>
      <w:marTop w:val="0"/>
      <w:marBottom w:val="0"/>
      <w:divBdr>
        <w:top w:val="none" w:sz="0" w:space="0" w:color="auto"/>
        <w:left w:val="none" w:sz="0" w:space="0" w:color="auto"/>
        <w:bottom w:val="none" w:sz="0" w:space="0" w:color="auto"/>
        <w:right w:val="none" w:sz="0" w:space="0" w:color="auto"/>
      </w:divBdr>
    </w:div>
    <w:div w:id="1804807577">
      <w:bodyDiv w:val="1"/>
      <w:marLeft w:val="0"/>
      <w:marRight w:val="0"/>
      <w:marTop w:val="0"/>
      <w:marBottom w:val="0"/>
      <w:divBdr>
        <w:top w:val="none" w:sz="0" w:space="0" w:color="auto"/>
        <w:left w:val="none" w:sz="0" w:space="0" w:color="auto"/>
        <w:bottom w:val="none" w:sz="0" w:space="0" w:color="auto"/>
        <w:right w:val="none" w:sz="0" w:space="0" w:color="auto"/>
      </w:divBdr>
    </w:div>
    <w:div w:id="1805389435">
      <w:bodyDiv w:val="1"/>
      <w:marLeft w:val="0"/>
      <w:marRight w:val="0"/>
      <w:marTop w:val="0"/>
      <w:marBottom w:val="0"/>
      <w:divBdr>
        <w:top w:val="none" w:sz="0" w:space="0" w:color="auto"/>
        <w:left w:val="none" w:sz="0" w:space="0" w:color="auto"/>
        <w:bottom w:val="none" w:sz="0" w:space="0" w:color="auto"/>
        <w:right w:val="none" w:sz="0" w:space="0" w:color="auto"/>
      </w:divBdr>
    </w:div>
    <w:div w:id="1805657714">
      <w:bodyDiv w:val="1"/>
      <w:marLeft w:val="0"/>
      <w:marRight w:val="0"/>
      <w:marTop w:val="0"/>
      <w:marBottom w:val="0"/>
      <w:divBdr>
        <w:top w:val="none" w:sz="0" w:space="0" w:color="auto"/>
        <w:left w:val="none" w:sz="0" w:space="0" w:color="auto"/>
        <w:bottom w:val="none" w:sz="0" w:space="0" w:color="auto"/>
        <w:right w:val="none" w:sz="0" w:space="0" w:color="auto"/>
      </w:divBdr>
    </w:div>
    <w:div w:id="1805735373">
      <w:bodyDiv w:val="1"/>
      <w:marLeft w:val="0"/>
      <w:marRight w:val="0"/>
      <w:marTop w:val="0"/>
      <w:marBottom w:val="0"/>
      <w:divBdr>
        <w:top w:val="none" w:sz="0" w:space="0" w:color="auto"/>
        <w:left w:val="none" w:sz="0" w:space="0" w:color="auto"/>
        <w:bottom w:val="none" w:sz="0" w:space="0" w:color="auto"/>
        <w:right w:val="none" w:sz="0" w:space="0" w:color="auto"/>
      </w:divBdr>
    </w:div>
    <w:div w:id="1806391470">
      <w:bodyDiv w:val="1"/>
      <w:marLeft w:val="0"/>
      <w:marRight w:val="0"/>
      <w:marTop w:val="0"/>
      <w:marBottom w:val="0"/>
      <w:divBdr>
        <w:top w:val="none" w:sz="0" w:space="0" w:color="auto"/>
        <w:left w:val="none" w:sz="0" w:space="0" w:color="auto"/>
        <w:bottom w:val="none" w:sz="0" w:space="0" w:color="auto"/>
        <w:right w:val="none" w:sz="0" w:space="0" w:color="auto"/>
      </w:divBdr>
    </w:div>
    <w:div w:id="1806586784">
      <w:bodyDiv w:val="1"/>
      <w:marLeft w:val="0"/>
      <w:marRight w:val="0"/>
      <w:marTop w:val="0"/>
      <w:marBottom w:val="0"/>
      <w:divBdr>
        <w:top w:val="none" w:sz="0" w:space="0" w:color="auto"/>
        <w:left w:val="none" w:sz="0" w:space="0" w:color="auto"/>
        <w:bottom w:val="none" w:sz="0" w:space="0" w:color="auto"/>
        <w:right w:val="none" w:sz="0" w:space="0" w:color="auto"/>
      </w:divBdr>
    </w:div>
    <w:div w:id="1806655760">
      <w:bodyDiv w:val="1"/>
      <w:marLeft w:val="0"/>
      <w:marRight w:val="0"/>
      <w:marTop w:val="0"/>
      <w:marBottom w:val="0"/>
      <w:divBdr>
        <w:top w:val="none" w:sz="0" w:space="0" w:color="auto"/>
        <w:left w:val="none" w:sz="0" w:space="0" w:color="auto"/>
        <w:bottom w:val="none" w:sz="0" w:space="0" w:color="auto"/>
        <w:right w:val="none" w:sz="0" w:space="0" w:color="auto"/>
      </w:divBdr>
    </w:div>
    <w:div w:id="1806897049">
      <w:bodyDiv w:val="1"/>
      <w:marLeft w:val="0"/>
      <w:marRight w:val="0"/>
      <w:marTop w:val="0"/>
      <w:marBottom w:val="0"/>
      <w:divBdr>
        <w:top w:val="none" w:sz="0" w:space="0" w:color="auto"/>
        <w:left w:val="none" w:sz="0" w:space="0" w:color="auto"/>
        <w:bottom w:val="none" w:sz="0" w:space="0" w:color="auto"/>
        <w:right w:val="none" w:sz="0" w:space="0" w:color="auto"/>
      </w:divBdr>
    </w:div>
    <w:div w:id="1807701793">
      <w:bodyDiv w:val="1"/>
      <w:marLeft w:val="0"/>
      <w:marRight w:val="0"/>
      <w:marTop w:val="0"/>
      <w:marBottom w:val="0"/>
      <w:divBdr>
        <w:top w:val="none" w:sz="0" w:space="0" w:color="auto"/>
        <w:left w:val="none" w:sz="0" w:space="0" w:color="auto"/>
        <w:bottom w:val="none" w:sz="0" w:space="0" w:color="auto"/>
        <w:right w:val="none" w:sz="0" w:space="0" w:color="auto"/>
      </w:divBdr>
    </w:div>
    <w:div w:id="1807890313">
      <w:bodyDiv w:val="1"/>
      <w:marLeft w:val="0"/>
      <w:marRight w:val="0"/>
      <w:marTop w:val="0"/>
      <w:marBottom w:val="0"/>
      <w:divBdr>
        <w:top w:val="none" w:sz="0" w:space="0" w:color="auto"/>
        <w:left w:val="none" w:sz="0" w:space="0" w:color="auto"/>
        <w:bottom w:val="none" w:sz="0" w:space="0" w:color="auto"/>
        <w:right w:val="none" w:sz="0" w:space="0" w:color="auto"/>
      </w:divBdr>
    </w:div>
    <w:div w:id="1809007723">
      <w:bodyDiv w:val="1"/>
      <w:marLeft w:val="0"/>
      <w:marRight w:val="0"/>
      <w:marTop w:val="0"/>
      <w:marBottom w:val="0"/>
      <w:divBdr>
        <w:top w:val="none" w:sz="0" w:space="0" w:color="auto"/>
        <w:left w:val="none" w:sz="0" w:space="0" w:color="auto"/>
        <w:bottom w:val="none" w:sz="0" w:space="0" w:color="auto"/>
        <w:right w:val="none" w:sz="0" w:space="0" w:color="auto"/>
      </w:divBdr>
    </w:div>
    <w:div w:id="1809476511">
      <w:bodyDiv w:val="1"/>
      <w:marLeft w:val="0"/>
      <w:marRight w:val="0"/>
      <w:marTop w:val="0"/>
      <w:marBottom w:val="0"/>
      <w:divBdr>
        <w:top w:val="none" w:sz="0" w:space="0" w:color="auto"/>
        <w:left w:val="none" w:sz="0" w:space="0" w:color="auto"/>
        <w:bottom w:val="none" w:sz="0" w:space="0" w:color="auto"/>
        <w:right w:val="none" w:sz="0" w:space="0" w:color="auto"/>
      </w:divBdr>
    </w:div>
    <w:div w:id="1810124015">
      <w:bodyDiv w:val="1"/>
      <w:marLeft w:val="0"/>
      <w:marRight w:val="0"/>
      <w:marTop w:val="0"/>
      <w:marBottom w:val="0"/>
      <w:divBdr>
        <w:top w:val="none" w:sz="0" w:space="0" w:color="auto"/>
        <w:left w:val="none" w:sz="0" w:space="0" w:color="auto"/>
        <w:bottom w:val="none" w:sz="0" w:space="0" w:color="auto"/>
        <w:right w:val="none" w:sz="0" w:space="0" w:color="auto"/>
      </w:divBdr>
    </w:div>
    <w:div w:id="1810129989">
      <w:bodyDiv w:val="1"/>
      <w:marLeft w:val="0"/>
      <w:marRight w:val="0"/>
      <w:marTop w:val="0"/>
      <w:marBottom w:val="0"/>
      <w:divBdr>
        <w:top w:val="none" w:sz="0" w:space="0" w:color="auto"/>
        <w:left w:val="none" w:sz="0" w:space="0" w:color="auto"/>
        <w:bottom w:val="none" w:sz="0" w:space="0" w:color="auto"/>
        <w:right w:val="none" w:sz="0" w:space="0" w:color="auto"/>
      </w:divBdr>
    </w:div>
    <w:div w:id="1810825304">
      <w:bodyDiv w:val="1"/>
      <w:marLeft w:val="0"/>
      <w:marRight w:val="0"/>
      <w:marTop w:val="0"/>
      <w:marBottom w:val="0"/>
      <w:divBdr>
        <w:top w:val="none" w:sz="0" w:space="0" w:color="auto"/>
        <w:left w:val="none" w:sz="0" w:space="0" w:color="auto"/>
        <w:bottom w:val="none" w:sz="0" w:space="0" w:color="auto"/>
        <w:right w:val="none" w:sz="0" w:space="0" w:color="auto"/>
      </w:divBdr>
    </w:div>
    <w:div w:id="1811433090">
      <w:bodyDiv w:val="1"/>
      <w:marLeft w:val="0"/>
      <w:marRight w:val="0"/>
      <w:marTop w:val="0"/>
      <w:marBottom w:val="0"/>
      <w:divBdr>
        <w:top w:val="none" w:sz="0" w:space="0" w:color="auto"/>
        <w:left w:val="none" w:sz="0" w:space="0" w:color="auto"/>
        <w:bottom w:val="none" w:sz="0" w:space="0" w:color="auto"/>
        <w:right w:val="none" w:sz="0" w:space="0" w:color="auto"/>
      </w:divBdr>
    </w:div>
    <w:div w:id="1813205853">
      <w:bodyDiv w:val="1"/>
      <w:marLeft w:val="0"/>
      <w:marRight w:val="0"/>
      <w:marTop w:val="0"/>
      <w:marBottom w:val="0"/>
      <w:divBdr>
        <w:top w:val="none" w:sz="0" w:space="0" w:color="auto"/>
        <w:left w:val="none" w:sz="0" w:space="0" w:color="auto"/>
        <w:bottom w:val="none" w:sz="0" w:space="0" w:color="auto"/>
        <w:right w:val="none" w:sz="0" w:space="0" w:color="auto"/>
      </w:divBdr>
    </w:div>
    <w:div w:id="1813328449">
      <w:bodyDiv w:val="1"/>
      <w:marLeft w:val="0"/>
      <w:marRight w:val="0"/>
      <w:marTop w:val="0"/>
      <w:marBottom w:val="0"/>
      <w:divBdr>
        <w:top w:val="none" w:sz="0" w:space="0" w:color="auto"/>
        <w:left w:val="none" w:sz="0" w:space="0" w:color="auto"/>
        <w:bottom w:val="none" w:sz="0" w:space="0" w:color="auto"/>
        <w:right w:val="none" w:sz="0" w:space="0" w:color="auto"/>
      </w:divBdr>
    </w:div>
    <w:div w:id="1813598594">
      <w:bodyDiv w:val="1"/>
      <w:marLeft w:val="0"/>
      <w:marRight w:val="0"/>
      <w:marTop w:val="0"/>
      <w:marBottom w:val="0"/>
      <w:divBdr>
        <w:top w:val="none" w:sz="0" w:space="0" w:color="auto"/>
        <w:left w:val="none" w:sz="0" w:space="0" w:color="auto"/>
        <w:bottom w:val="none" w:sz="0" w:space="0" w:color="auto"/>
        <w:right w:val="none" w:sz="0" w:space="0" w:color="auto"/>
      </w:divBdr>
    </w:div>
    <w:div w:id="1814059837">
      <w:bodyDiv w:val="1"/>
      <w:marLeft w:val="0"/>
      <w:marRight w:val="0"/>
      <w:marTop w:val="0"/>
      <w:marBottom w:val="0"/>
      <w:divBdr>
        <w:top w:val="none" w:sz="0" w:space="0" w:color="auto"/>
        <w:left w:val="none" w:sz="0" w:space="0" w:color="auto"/>
        <w:bottom w:val="none" w:sz="0" w:space="0" w:color="auto"/>
        <w:right w:val="none" w:sz="0" w:space="0" w:color="auto"/>
      </w:divBdr>
    </w:div>
    <w:div w:id="1814567968">
      <w:bodyDiv w:val="1"/>
      <w:marLeft w:val="0"/>
      <w:marRight w:val="0"/>
      <w:marTop w:val="0"/>
      <w:marBottom w:val="0"/>
      <w:divBdr>
        <w:top w:val="none" w:sz="0" w:space="0" w:color="auto"/>
        <w:left w:val="none" w:sz="0" w:space="0" w:color="auto"/>
        <w:bottom w:val="none" w:sz="0" w:space="0" w:color="auto"/>
        <w:right w:val="none" w:sz="0" w:space="0" w:color="auto"/>
      </w:divBdr>
    </w:div>
    <w:div w:id="1815172262">
      <w:bodyDiv w:val="1"/>
      <w:marLeft w:val="0"/>
      <w:marRight w:val="0"/>
      <w:marTop w:val="0"/>
      <w:marBottom w:val="0"/>
      <w:divBdr>
        <w:top w:val="none" w:sz="0" w:space="0" w:color="auto"/>
        <w:left w:val="none" w:sz="0" w:space="0" w:color="auto"/>
        <w:bottom w:val="none" w:sz="0" w:space="0" w:color="auto"/>
        <w:right w:val="none" w:sz="0" w:space="0" w:color="auto"/>
      </w:divBdr>
    </w:div>
    <w:div w:id="1816143509">
      <w:bodyDiv w:val="1"/>
      <w:marLeft w:val="0"/>
      <w:marRight w:val="0"/>
      <w:marTop w:val="0"/>
      <w:marBottom w:val="0"/>
      <w:divBdr>
        <w:top w:val="none" w:sz="0" w:space="0" w:color="auto"/>
        <w:left w:val="none" w:sz="0" w:space="0" w:color="auto"/>
        <w:bottom w:val="none" w:sz="0" w:space="0" w:color="auto"/>
        <w:right w:val="none" w:sz="0" w:space="0" w:color="auto"/>
      </w:divBdr>
    </w:div>
    <w:div w:id="1817140300">
      <w:bodyDiv w:val="1"/>
      <w:marLeft w:val="0"/>
      <w:marRight w:val="0"/>
      <w:marTop w:val="0"/>
      <w:marBottom w:val="0"/>
      <w:divBdr>
        <w:top w:val="none" w:sz="0" w:space="0" w:color="auto"/>
        <w:left w:val="none" w:sz="0" w:space="0" w:color="auto"/>
        <w:bottom w:val="none" w:sz="0" w:space="0" w:color="auto"/>
        <w:right w:val="none" w:sz="0" w:space="0" w:color="auto"/>
      </w:divBdr>
    </w:div>
    <w:div w:id="1817919431">
      <w:bodyDiv w:val="1"/>
      <w:marLeft w:val="0"/>
      <w:marRight w:val="0"/>
      <w:marTop w:val="0"/>
      <w:marBottom w:val="0"/>
      <w:divBdr>
        <w:top w:val="none" w:sz="0" w:space="0" w:color="auto"/>
        <w:left w:val="none" w:sz="0" w:space="0" w:color="auto"/>
        <w:bottom w:val="none" w:sz="0" w:space="0" w:color="auto"/>
        <w:right w:val="none" w:sz="0" w:space="0" w:color="auto"/>
      </w:divBdr>
    </w:div>
    <w:div w:id="1818567039">
      <w:bodyDiv w:val="1"/>
      <w:marLeft w:val="0"/>
      <w:marRight w:val="0"/>
      <w:marTop w:val="0"/>
      <w:marBottom w:val="0"/>
      <w:divBdr>
        <w:top w:val="none" w:sz="0" w:space="0" w:color="auto"/>
        <w:left w:val="none" w:sz="0" w:space="0" w:color="auto"/>
        <w:bottom w:val="none" w:sz="0" w:space="0" w:color="auto"/>
        <w:right w:val="none" w:sz="0" w:space="0" w:color="auto"/>
      </w:divBdr>
    </w:div>
    <w:div w:id="1821925796">
      <w:bodyDiv w:val="1"/>
      <w:marLeft w:val="0"/>
      <w:marRight w:val="0"/>
      <w:marTop w:val="0"/>
      <w:marBottom w:val="0"/>
      <w:divBdr>
        <w:top w:val="none" w:sz="0" w:space="0" w:color="auto"/>
        <w:left w:val="none" w:sz="0" w:space="0" w:color="auto"/>
        <w:bottom w:val="none" w:sz="0" w:space="0" w:color="auto"/>
        <w:right w:val="none" w:sz="0" w:space="0" w:color="auto"/>
      </w:divBdr>
    </w:div>
    <w:div w:id="1821996153">
      <w:bodyDiv w:val="1"/>
      <w:marLeft w:val="0"/>
      <w:marRight w:val="0"/>
      <w:marTop w:val="0"/>
      <w:marBottom w:val="0"/>
      <w:divBdr>
        <w:top w:val="none" w:sz="0" w:space="0" w:color="auto"/>
        <w:left w:val="none" w:sz="0" w:space="0" w:color="auto"/>
        <w:bottom w:val="none" w:sz="0" w:space="0" w:color="auto"/>
        <w:right w:val="none" w:sz="0" w:space="0" w:color="auto"/>
      </w:divBdr>
    </w:div>
    <w:div w:id="1824349466">
      <w:bodyDiv w:val="1"/>
      <w:marLeft w:val="0"/>
      <w:marRight w:val="0"/>
      <w:marTop w:val="0"/>
      <w:marBottom w:val="0"/>
      <w:divBdr>
        <w:top w:val="none" w:sz="0" w:space="0" w:color="auto"/>
        <w:left w:val="none" w:sz="0" w:space="0" w:color="auto"/>
        <w:bottom w:val="none" w:sz="0" w:space="0" w:color="auto"/>
        <w:right w:val="none" w:sz="0" w:space="0" w:color="auto"/>
      </w:divBdr>
    </w:div>
    <w:div w:id="1824732900">
      <w:bodyDiv w:val="1"/>
      <w:marLeft w:val="0"/>
      <w:marRight w:val="0"/>
      <w:marTop w:val="0"/>
      <w:marBottom w:val="0"/>
      <w:divBdr>
        <w:top w:val="none" w:sz="0" w:space="0" w:color="auto"/>
        <w:left w:val="none" w:sz="0" w:space="0" w:color="auto"/>
        <w:bottom w:val="none" w:sz="0" w:space="0" w:color="auto"/>
        <w:right w:val="none" w:sz="0" w:space="0" w:color="auto"/>
      </w:divBdr>
    </w:div>
    <w:div w:id="1824738549">
      <w:bodyDiv w:val="1"/>
      <w:marLeft w:val="0"/>
      <w:marRight w:val="0"/>
      <w:marTop w:val="0"/>
      <w:marBottom w:val="0"/>
      <w:divBdr>
        <w:top w:val="none" w:sz="0" w:space="0" w:color="auto"/>
        <w:left w:val="none" w:sz="0" w:space="0" w:color="auto"/>
        <w:bottom w:val="none" w:sz="0" w:space="0" w:color="auto"/>
        <w:right w:val="none" w:sz="0" w:space="0" w:color="auto"/>
      </w:divBdr>
    </w:div>
    <w:div w:id="1825312233">
      <w:bodyDiv w:val="1"/>
      <w:marLeft w:val="0"/>
      <w:marRight w:val="0"/>
      <w:marTop w:val="0"/>
      <w:marBottom w:val="0"/>
      <w:divBdr>
        <w:top w:val="none" w:sz="0" w:space="0" w:color="auto"/>
        <w:left w:val="none" w:sz="0" w:space="0" w:color="auto"/>
        <w:bottom w:val="none" w:sz="0" w:space="0" w:color="auto"/>
        <w:right w:val="none" w:sz="0" w:space="0" w:color="auto"/>
      </w:divBdr>
    </w:div>
    <w:div w:id="1825318748">
      <w:bodyDiv w:val="1"/>
      <w:marLeft w:val="0"/>
      <w:marRight w:val="0"/>
      <w:marTop w:val="0"/>
      <w:marBottom w:val="0"/>
      <w:divBdr>
        <w:top w:val="none" w:sz="0" w:space="0" w:color="auto"/>
        <w:left w:val="none" w:sz="0" w:space="0" w:color="auto"/>
        <w:bottom w:val="none" w:sz="0" w:space="0" w:color="auto"/>
        <w:right w:val="none" w:sz="0" w:space="0" w:color="auto"/>
      </w:divBdr>
    </w:div>
    <w:div w:id="1825513417">
      <w:bodyDiv w:val="1"/>
      <w:marLeft w:val="0"/>
      <w:marRight w:val="0"/>
      <w:marTop w:val="0"/>
      <w:marBottom w:val="0"/>
      <w:divBdr>
        <w:top w:val="none" w:sz="0" w:space="0" w:color="auto"/>
        <w:left w:val="none" w:sz="0" w:space="0" w:color="auto"/>
        <w:bottom w:val="none" w:sz="0" w:space="0" w:color="auto"/>
        <w:right w:val="none" w:sz="0" w:space="0" w:color="auto"/>
      </w:divBdr>
    </w:div>
    <w:div w:id="1825781012">
      <w:bodyDiv w:val="1"/>
      <w:marLeft w:val="0"/>
      <w:marRight w:val="0"/>
      <w:marTop w:val="0"/>
      <w:marBottom w:val="0"/>
      <w:divBdr>
        <w:top w:val="none" w:sz="0" w:space="0" w:color="auto"/>
        <w:left w:val="none" w:sz="0" w:space="0" w:color="auto"/>
        <w:bottom w:val="none" w:sz="0" w:space="0" w:color="auto"/>
        <w:right w:val="none" w:sz="0" w:space="0" w:color="auto"/>
      </w:divBdr>
    </w:div>
    <w:div w:id="1825971298">
      <w:bodyDiv w:val="1"/>
      <w:marLeft w:val="0"/>
      <w:marRight w:val="0"/>
      <w:marTop w:val="0"/>
      <w:marBottom w:val="0"/>
      <w:divBdr>
        <w:top w:val="none" w:sz="0" w:space="0" w:color="auto"/>
        <w:left w:val="none" w:sz="0" w:space="0" w:color="auto"/>
        <w:bottom w:val="none" w:sz="0" w:space="0" w:color="auto"/>
        <w:right w:val="none" w:sz="0" w:space="0" w:color="auto"/>
      </w:divBdr>
    </w:div>
    <w:div w:id="1826241635">
      <w:bodyDiv w:val="1"/>
      <w:marLeft w:val="0"/>
      <w:marRight w:val="0"/>
      <w:marTop w:val="0"/>
      <w:marBottom w:val="0"/>
      <w:divBdr>
        <w:top w:val="none" w:sz="0" w:space="0" w:color="auto"/>
        <w:left w:val="none" w:sz="0" w:space="0" w:color="auto"/>
        <w:bottom w:val="none" w:sz="0" w:space="0" w:color="auto"/>
        <w:right w:val="none" w:sz="0" w:space="0" w:color="auto"/>
      </w:divBdr>
    </w:div>
    <w:div w:id="1828133058">
      <w:bodyDiv w:val="1"/>
      <w:marLeft w:val="0"/>
      <w:marRight w:val="0"/>
      <w:marTop w:val="0"/>
      <w:marBottom w:val="0"/>
      <w:divBdr>
        <w:top w:val="none" w:sz="0" w:space="0" w:color="auto"/>
        <w:left w:val="none" w:sz="0" w:space="0" w:color="auto"/>
        <w:bottom w:val="none" w:sz="0" w:space="0" w:color="auto"/>
        <w:right w:val="none" w:sz="0" w:space="0" w:color="auto"/>
      </w:divBdr>
    </w:div>
    <w:div w:id="1829323702">
      <w:bodyDiv w:val="1"/>
      <w:marLeft w:val="0"/>
      <w:marRight w:val="0"/>
      <w:marTop w:val="0"/>
      <w:marBottom w:val="0"/>
      <w:divBdr>
        <w:top w:val="none" w:sz="0" w:space="0" w:color="auto"/>
        <w:left w:val="none" w:sz="0" w:space="0" w:color="auto"/>
        <w:bottom w:val="none" w:sz="0" w:space="0" w:color="auto"/>
        <w:right w:val="none" w:sz="0" w:space="0" w:color="auto"/>
      </w:divBdr>
    </w:div>
    <w:div w:id="1829782458">
      <w:bodyDiv w:val="1"/>
      <w:marLeft w:val="0"/>
      <w:marRight w:val="0"/>
      <w:marTop w:val="0"/>
      <w:marBottom w:val="0"/>
      <w:divBdr>
        <w:top w:val="none" w:sz="0" w:space="0" w:color="auto"/>
        <w:left w:val="none" w:sz="0" w:space="0" w:color="auto"/>
        <w:bottom w:val="none" w:sz="0" w:space="0" w:color="auto"/>
        <w:right w:val="none" w:sz="0" w:space="0" w:color="auto"/>
      </w:divBdr>
    </w:div>
    <w:div w:id="1829981404">
      <w:bodyDiv w:val="1"/>
      <w:marLeft w:val="0"/>
      <w:marRight w:val="0"/>
      <w:marTop w:val="0"/>
      <w:marBottom w:val="0"/>
      <w:divBdr>
        <w:top w:val="none" w:sz="0" w:space="0" w:color="auto"/>
        <w:left w:val="none" w:sz="0" w:space="0" w:color="auto"/>
        <w:bottom w:val="none" w:sz="0" w:space="0" w:color="auto"/>
        <w:right w:val="none" w:sz="0" w:space="0" w:color="auto"/>
      </w:divBdr>
    </w:div>
    <w:div w:id="1830905780">
      <w:bodyDiv w:val="1"/>
      <w:marLeft w:val="0"/>
      <w:marRight w:val="0"/>
      <w:marTop w:val="0"/>
      <w:marBottom w:val="0"/>
      <w:divBdr>
        <w:top w:val="none" w:sz="0" w:space="0" w:color="auto"/>
        <w:left w:val="none" w:sz="0" w:space="0" w:color="auto"/>
        <w:bottom w:val="none" w:sz="0" w:space="0" w:color="auto"/>
        <w:right w:val="none" w:sz="0" w:space="0" w:color="auto"/>
      </w:divBdr>
    </w:div>
    <w:div w:id="1832327748">
      <w:bodyDiv w:val="1"/>
      <w:marLeft w:val="0"/>
      <w:marRight w:val="0"/>
      <w:marTop w:val="0"/>
      <w:marBottom w:val="0"/>
      <w:divBdr>
        <w:top w:val="none" w:sz="0" w:space="0" w:color="auto"/>
        <w:left w:val="none" w:sz="0" w:space="0" w:color="auto"/>
        <w:bottom w:val="none" w:sz="0" w:space="0" w:color="auto"/>
        <w:right w:val="none" w:sz="0" w:space="0" w:color="auto"/>
      </w:divBdr>
    </w:div>
    <w:div w:id="1832401803">
      <w:bodyDiv w:val="1"/>
      <w:marLeft w:val="0"/>
      <w:marRight w:val="0"/>
      <w:marTop w:val="0"/>
      <w:marBottom w:val="0"/>
      <w:divBdr>
        <w:top w:val="none" w:sz="0" w:space="0" w:color="auto"/>
        <w:left w:val="none" w:sz="0" w:space="0" w:color="auto"/>
        <w:bottom w:val="none" w:sz="0" w:space="0" w:color="auto"/>
        <w:right w:val="none" w:sz="0" w:space="0" w:color="auto"/>
      </w:divBdr>
    </w:div>
    <w:div w:id="1833523951">
      <w:bodyDiv w:val="1"/>
      <w:marLeft w:val="0"/>
      <w:marRight w:val="0"/>
      <w:marTop w:val="0"/>
      <w:marBottom w:val="0"/>
      <w:divBdr>
        <w:top w:val="none" w:sz="0" w:space="0" w:color="auto"/>
        <w:left w:val="none" w:sz="0" w:space="0" w:color="auto"/>
        <w:bottom w:val="none" w:sz="0" w:space="0" w:color="auto"/>
        <w:right w:val="none" w:sz="0" w:space="0" w:color="auto"/>
      </w:divBdr>
    </w:div>
    <w:div w:id="1833986400">
      <w:bodyDiv w:val="1"/>
      <w:marLeft w:val="0"/>
      <w:marRight w:val="0"/>
      <w:marTop w:val="0"/>
      <w:marBottom w:val="0"/>
      <w:divBdr>
        <w:top w:val="none" w:sz="0" w:space="0" w:color="auto"/>
        <w:left w:val="none" w:sz="0" w:space="0" w:color="auto"/>
        <w:bottom w:val="none" w:sz="0" w:space="0" w:color="auto"/>
        <w:right w:val="none" w:sz="0" w:space="0" w:color="auto"/>
      </w:divBdr>
    </w:div>
    <w:div w:id="1835299568">
      <w:bodyDiv w:val="1"/>
      <w:marLeft w:val="0"/>
      <w:marRight w:val="0"/>
      <w:marTop w:val="0"/>
      <w:marBottom w:val="0"/>
      <w:divBdr>
        <w:top w:val="none" w:sz="0" w:space="0" w:color="auto"/>
        <w:left w:val="none" w:sz="0" w:space="0" w:color="auto"/>
        <w:bottom w:val="none" w:sz="0" w:space="0" w:color="auto"/>
        <w:right w:val="none" w:sz="0" w:space="0" w:color="auto"/>
      </w:divBdr>
    </w:div>
    <w:div w:id="1835490309">
      <w:bodyDiv w:val="1"/>
      <w:marLeft w:val="0"/>
      <w:marRight w:val="0"/>
      <w:marTop w:val="0"/>
      <w:marBottom w:val="0"/>
      <w:divBdr>
        <w:top w:val="none" w:sz="0" w:space="0" w:color="auto"/>
        <w:left w:val="none" w:sz="0" w:space="0" w:color="auto"/>
        <w:bottom w:val="none" w:sz="0" w:space="0" w:color="auto"/>
        <w:right w:val="none" w:sz="0" w:space="0" w:color="auto"/>
      </w:divBdr>
    </w:div>
    <w:div w:id="1836068759">
      <w:bodyDiv w:val="1"/>
      <w:marLeft w:val="0"/>
      <w:marRight w:val="0"/>
      <w:marTop w:val="0"/>
      <w:marBottom w:val="0"/>
      <w:divBdr>
        <w:top w:val="none" w:sz="0" w:space="0" w:color="auto"/>
        <w:left w:val="none" w:sz="0" w:space="0" w:color="auto"/>
        <w:bottom w:val="none" w:sz="0" w:space="0" w:color="auto"/>
        <w:right w:val="none" w:sz="0" w:space="0" w:color="auto"/>
      </w:divBdr>
    </w:div>
    <w:div w:id="1836334824">
      <w:bodyDiv w:val="1"/>
      <w:marLeft w:val="0"/>
      <w:marRight w:val="0"/>
      <w:marTop w:val="0"/>
      <w:marBottom w:val="0"/>
      <w:divBdr>
        <w:top w:val="none" w:sz="0" w:space="0" w:color="auto"/>
        <w:left w:val="none" w:sz="0" w:space="0" w:color="auto"/>
        <w:bottom w:val="none" w:sz="0" w:space="0" w:color="auto"/>
        <w:right w:val="none" w:sz="0" w:space="0" w:color="auto"/>
      </w:divBdr>
    </w:div>
    <w:div w:id="1837572158">
      <w:bodyDiv w:val="1"/>
      <w:marLeft w:val="0"/>
      <w:marRight w:val="0"/>
      <w:marTop w:val="0"/>
      <w:marBottom w:val="0"/>
      <w:divBdr>
        <w:top w:val="none" w:sz="0" w:space="0" w:color="auto"/>
        <w:left w:val="none" w:sz="0" w:space="0" w:color="auto"/>
        <w:bottom w:val="none" w:sz="0" w:space="0" w:color="auto"/>
        <w:right w:val="none" w:sz="0" w:space="0" w:color="auto"/>
      </w:divBdr>
    </w:div>
    <w:div w:id="1838111772">
      <w:bodyDiv w:val="1"/>
      <w:marLeft w:val="0"/>
      <w:marRight w:val="0"/>
      <w:marTop w:val="0"/>
      <w:marBottom w:val="0"/>
      <w:divBdr>
        <w:top w:val="none" w:sz="0" w:space="0" w:color="auto"/>
        <w:left w:val="none" w:sz="0" w:space="0" w:color="auto"/>
        <w:bottom w:val="none" w:sz="0" w:space="0" w:color="auto"/>
        <w:right w:val="none" w:sz="0" w:space="0" w:color="auto"/>
      </w:divBdr>
    </w:div>
    <w:div w:id="1839537773">
      <w:bodyDiv w:val="1"/>
      <w:marLeft w:val="0"/>
      <w:marRight w:val="0"/>
      <w:marTop w:val="0"/>
      <w:marBottom w:val="0"/>
      <w:divBdr>
        <w:top w:val="none" w:sz="0" w:space="0" w:color="auto"/>
        <w:left w:val="none" w:sz="0" w:space="0" w:color="auto"/>
        <w:bottom w:val="none" w:sz="0" w:space="0" w:color="auto"/>
        <w:right w:val="none" w:sz="0" w:space="0" w:color="auto"/>
      </w:divBdr>
    </w:div>
    <w:div w:id="1841308014">
      <w:bodyDiv w:val="1"/>
      <w:marLeft w:val="0"/>
      <w:marRight w:val="0"/>
      <w:marTop w:val="0"/>
      <w:marBottom w:val="0"/>
      <w:divBdr>
        <w:top w:val="none" w:sz="0" w:space="0" w:color="auto"/>
        <w:left w:val="none" w:sz="0" w:space="0" w:color="auto"/>
        <w:bottom w:val="none" w:sz="0" w:space="0" w:color="auto"/>
        <w:right w:val="none" w:sz="0" w:space="0" w:color="auto"/>
      </w:divBdr>
    </w:div>
    <w:div w:id="1841312117">
      <w:bodyDiv w:val="1"/>
      <w:marLeft w:val="0"/>
      <w:marRight w:val="0"/>
      <w:marTop w:val="0"/>
      <w:marBottom w:val="0"/>
      <w:divBdr>
        <w:top w:val="none" w:sz="0" w:space="0" w:color="auto"/>
        <w:left w:val="none" w:sz="0" w:space="0" w:color="auto"/>
        <w:bottom w:val="none" w:sz="0" w:space="0" w:color="auto"/>
        <w:right w:val="none" w:sz="0" w:space="0" w:color="auto"/>
      </w:divBdr>
    </w:div>
    <w:div w:id="1843743073">
      <w:bodyDiv w:val="1"/>
      <w:marLeft w:val="0"/>
      <w:marRight w:val="0"/>
      <w:marTop w:val="0"/>
      <w:marBottom w:val="0"/>
      <w:divBdr>
        <w:top w:val="none" w:sz="0" w:space="0" w:color="auto"/>
        <w:left w:val="none" w:sz="0" w:space="0" w:color="auto"/>
        <w:bottom w:val="none" w:sz="0" w:space="0" w:color="auto"/>
        <w:right w:val="none" w:sz="0" w:space="0" w:color="auto"/>
      </w:divBdr>
    </w:div>
    <w:div w:id="1844468636">
      <w:bodyDiv w:val="1"/>
      <w:marLeft w:val="0"/>
      <w:marRight w:val="0"/>
      <w:marTop w:val="0"/>
      <w:marBottom w:val="0"/>
      <w:divBdr>
        <w:top w:val="none" w:sz="0" w:space="0" w:color="auto"/>
        <w:left w:val="none" w:sz="0" w:space="0" w:color="auto"/>
        <w:bottom w:val="none" w:sz="0" w:space="0" w:color="auto"/>
        <w:right w:val="none" w:sz="0" w:space="0" w:color="auto"/>
      </w:divBdr>
    </w:div>
    <w:div w:id="1845512336">
      <w:bodyDiv w:val="1"/>
      <w:marLeft w:val="0"/>
      <w:marRight w:val="0"/>
      <w:marTop w:val="0"/>
      <w:marBottom w:val="0"/>
      <w:divBdr>
        <w:top w:val="none" w:sz="0" w:space="0" w:color="auto"/>
        <w:left w:val="none" w:sz="0" w:space="0" w:color="auto"/>
        <w:bottom w:val="none" w:sz="0" w:space="0" w:color="auto"/>
        <w:right w:val="none" w:sz="0" w:space="0" w:color="auto"/>
      </w:divBdr>
    </w:div>
    <w:div w:id="1847091983">
      <w:bodyDiv w:val="1"/>
      <w:marLeft w:val="0"/>
      <w:marRight w:val="0"/>
      <w:marTop w:val="0"/>
      <w:marBottom w:val="0"/>
      <w:divBdr>
        <w:top w:val="none" w:sz="0" w:space="0" w:color="auto"/>
        <w:left w:val="none" w:sz="0" w:space="0" w:color="auto"/>
        <w:bottom w:val="none" w:sz="0" w:space="0" w:color="auto"/>
        <w:right w:val="none" w:sz="0" w:space="0" w:color="auto"/>
      </w:divBdr>
    </w:div>
    <w:div w:id="1847284165">
      <w:bodyDiv w:val="1"/>
      <w:marLeft w:val="0"/>
      <w:marRight w:val="0"/>
      <w:marTop w:val="0"/>
      <w:marBottom w:val="0"/>
      <w:divBdr>
        <w:top w:val="none" w:sz="0" w:space="0" w:color="auto"/>
        <w:left w:val="none" w:sz="0" w:space="0" w:color="auto"/>
        <w:bottom w:val="none" w:sz="0" w:space="0" w:color="auto"/>
        <w:right w:val="none" w:sz="0" w:space="0" w:color="auto"/>
      </w:divBdr>
    </w:div>
    <w:div w:id="1848713283">
      <w:bodyDiv w:val="1"/>
      <w:marLeft w:val="0"/>
      <w:marRight w:val="0"/>
      <w:marTop w:val="0"/>
      <w:marBottom w:val="0"/>
      <w:divBdr>
        <w:top w:val="none" w:sz="0" w:space="0" w:color="auto"/>
        <w:left w:val="none" w:sz="0" w:space="0" w:color="auto"/>
        <w:bottom w:val="none" w:sz="0" w:space="0" w:color="auto"/>
        <w:right w:val="none" w:sz="0" w:space="0" w:color="auto"/>
      </w:divBdr>
    </w:div>
    <w:div w:id="1851210896">
      <w:bodyDiv w:val="1"/>
      <w:marLeft w:val="0"/>
      <w:marRight w:val="0"/>
      <w:marTop w:val="0"/>
      <w:marBottom w:val="0"/>
      <w:divBdr>
        <w:top w:val="none" w:sz="0" w:space="0" w:color="auto"/>
        <w:left w:val="none" w:sz="0" w:space="0" w:color="auto"/>
        <w:bottom w:val="none" w:sz="0" w:space="0" w:color="auto"/>
        <w:right w:val="none" w:sz="0" w:space="0" w:color="auto"/>
      </w:divBdr>
    </w:div>
    <w:div w:id="1851485758">
      <w:bodyDiv w:val="1"/>
      <w:marLeft w:val="0"/>
      <w:marRight w:val="0"/>
      <w:marTop w:val="0"/>
      <w:marBottom w:val="0"/>
      <w:divBdr>
        <w:top w:val="none" w:sz="0" w:space="0" w:color="auto"/>
        <w:left w:val="none" w:sz="0" w:space="0" w:color="auto"/>
        <w:bottom w:val="none" w:sz="0" w:space="0" w:color="auto"/>
        <w:right w:val="none" w:sz="0" w:space="0" w:color="auto"/>
      </w:divBdr>
    </w:div>
    <w:div w:id="1851526770">
      <w:bodyDiv w:val="1"/>
      <w:marLeft w:val="0"/>
      <w:marRight w:val="0"/>
      <w:marTop w:val="0"/>
      <w:marBottom w:val="0"/>
      <w:divBdr>
        <w:top w:val="none" w:sz="0" w:space="0" w:color="auto"/>
        <w:left w:val="none" w:sz="0" w:space="0" w:color="auto"/>
        <w:bottom w:val="none" w:sz="0" w:space="0" w:color="auto"/>
        <w:right w:val="none" w:sz="0" w:space="0" w:color="auto"/>
      </w:divBdr>
    </w:div>
    <w:div w:id="1852065111">
      <w:bodyDiv w:val="1"/>
      <w:marLeft w:val="0"/>
      <w:marRight w:val="0"/>
      <w:marTop w:val="0"/>
      <w:marBottom w:val="0"/>
      <w:divBdr>
        <w:top w:val="none" w:sz="0" w:space="0" w:color="auto"/>
        <w:left w:val="none" w:sz="0" w:space="0" w:color="auto"/>
        <w:bottom w:val="none" w:sz="0" w:space="0" w:color="auto"/>
        <w:right w:val="none" w:sz="0" w:space="0" w:color="auto"/>
      </w:divBdr>
    </w:div>
    <w:div w:id="1853253458">
      <w:bodyDiv w:val="1"/>
      <w:marLeft w:val="0"/>
      <w:marRight w:val="0"/>
      <w:marTop w:val="0"/>
      <w:marBottom w:val="0"/>
      <w:divBdr>
        <w:top w:val="none" w:sz="0" w:space="0" w:color="auto"/>
        <w:left w:val="none" w:sz="0" w:space="0" w:color="auto"/>
        <w:bottom w:val="none" w:sz="0" w:space="0" w:color="auto"/>
        <w:right w:val="none" w:sz="0" w:space="0" w:color="auto"/>
      </w:divBdr>
    </w:div>
    <w:div w:id="1854569664">
      <w:bodyDiv w:val="1"/>
      <w:marLeft w:val="0"/>
      <w:marRight w:val="0"/>
      <w:marTop w:val="0"/>
      <w:marBottom w:val="0"/>
      <w:divBdr>
        <w:top w:val="none" w:sz="0" w:space="0" w:color="auto"/>
        <w:left w:val="none" w:sz="0" w:space="0" w:color="auto"/>
        <w:bottom w:val="none" w:sz="0" w:space="0" w:color="auto"/>
        <w:right w:val="none" w:sz="0" w:space="0" w:color="auto"/>
      </w:divBdr>
    </w:div>
    <w:div w:id="1854683965">
      <w:bodyDiv w:val="1"/>
      <w:marLeft w:val="0"/>
      <w:marRight w:val="0"/>
      <w:marTop w:val="0"/>
      <w:marBottom w:val="0"/>
      <w:divBdr>
        <w:top w:val="none" w:sz="0" w:space="0" w:color="auto"/>
        <w:left w:val="none" w:sz="0" w:space="0" w:color="auto"/>
        <w:bottom w:val="none" w:sz="0" w:space="0" w:color="auto"/>
        <w:right w:val="none" w:sz="0" w:space="0" w:color="auto"/>
      </w:divBdr>
    </w:div>
    <w:div w:id="1856652670">
      <w:bodyDiv w:val="1"/>
      <w:marLeft w:val="0"/>
      <w:marRight w:val="0"/>
      <w:marTop w:val="0"/>
      <w:marBottom w:val="0"/>
      <w:divBdr>
        <w:top w:val="none" w:sz="0" w:space="0" w:color="auto"/>
        <w:left w:val="none" w:sz="0" w:space="0" w:color="auto"/>
        <w:bottom w:val="none" w:sz="0" w:space="0" w:color="auto"/>
        <w:right w:val="none" w:sz="0" w:space="0" w:color="auto"/>
      </w:divBdr>
    </w:div>
    <w:div w:id="1858225468">
      <w:bodyDiv w:val="1"/>
      <w:marLeft w:val="0"/>
      <w:marRight w:val="0"/>
      <w:marTop w:val="0"/>
      <w:marBottom w:val="0"/>
      <w:divBdr>
        <w:top w:val="none" w:sz="0" w:space="0" w:color="auto"/>
        <w:left w:val="none" w:sz="0" w:space="0" w:color="auto"/>
        <w:bottom w:val="none" w:sz="0" w:space="0" w:color="auto"/>
        <w:right w:val="none" w:sz="0" w:space="0" w:color="auto"/>
      </w:divBdr>
    </w:div>
    <w:div w:id="1858273986">
      <w:bodyDiv w:val="1"/>
      <w:marLeft w:val="0"/>
      <w:marRight w:val="0"/>
      <w:marTop w:val="0"/>
      <w:marBottom w:val="0"/>
      <w:divBdr>
        <w:top w:val="none" w:sz="0" w:space="0" w:color="auto"/>
        <w:left w:val="none" w:sz="0" w:space="0" w:color="auto"/>
        <w:bottom w:val="none" w:sz="0" w:space="0" w:color="auto"/>
        <w:right w:val="none" w:sz="0" w:space="0" w:color="auto"/>
      </w:divBdr>
    </w:div>
    <w:div w:id="1859389341">
      <w:bodyDiv w:val="1"/>
      <w:marLeft w:val="0"/>
      <w:marRight w:val="0"/>
      <w:marTop w:val="0"/>
      <w:marBottom w:val="0"/>
      <w:divBdr>
        <w:top w:val="none" w:sz="0" w:space="0" w:color="auto"/>
        <w:left w:val="none" w:sz="0" w:space="0" w:color="auto"/>
        <w:bottom w:val="none" w:sz="0" w:space="0" w:color="auto"/>
        <w:right w:val="none" w:sz="0" w:space="0" w:color="auto"/>
      </w:divBdr>
    </w:div>
    <w:div w:id="1859807187">
      <w:bodyDiv w:val="1"/>
      <w:marLeft w:val="0"/>
      <w:marRight w:val="0"/>
      <w:marTop w:val="0"/>
      <w:marBottom w:val="0"/>
      <w:divBdr>
        <w:top w:val="none" w:sz="0" w:space="0" w:color="auto"/>
        <w:left w:val="none" w:sz="0" w:space="0" w:color="auto"/>
        <w:bottom w:val="none" w:sz="0" w:space="0" w:color="auto"/>
        <w:right w:val="none" w:sz="0" w:space="0" w:color="auto"/>
      </w:divBdr>
    </w:div>
    <w:div w:id="1861972357">
      <w:bodyDiv w:val="1"/>
      <w:marLeft w:val="0"/>
      <w:marRight w:val="0"/>
      <w:marTop w:val="0"/>
      <w:marBottom w:val="0"/>
      <w:divBdr>
        <w:top w:val="none" w:sz="0" w:space="0" w:color="auto"/>
        <w:left w:val="none" w:sz="0" w:space="0" w:color="auto"/>
        <w:bottom w:val="none" w:sz="0" w:space="0" w:color="auto"/>
        <w:right w:val="none" w:sz="0" w:space="0" w:color="auto"/>
      </w:divBdr>
    </w:div>
    <w:div w:id="1862432900">
      <w:bodyDiv w:val="1"/>
      <w:marLeft w:val="0"/>
      <w:marRight w:val="0"/>
      <w:marTop w:val="0"/>
      <w:marBottom w:val="0"/>
      <w:divBdr>
        <w:top w:val="none" w:sz="0" w:space="0" w:color="auto"/>
        <w:left w:val="none" w:sz="0" w:space="0" w:color="auto"/>
        <w:bottom w:val="none" w:sz="0" w:space="0" w:color="auto"/>
        <w:right w:val="none" w:sz="0" w:space="0" w:color="auto"/>
      </w:divBdr>
    </w:div>
    <w:div w:id="1862889184">
      <w:bodyDiv w:val="1"/>
      <w:marLeft w:val="0"/>
      <w:marRight w:val="0"/>
      <w:marTop w:val="0"/>
      <w:marBottom w:val="0"/>
      <w:divBdr>
        <w:top w:val="none" w:sz="0" w:space="0" w:color="auto"/>
        <w:left w:val="none" w:sz="0" w:space="0" w:color="auto"/>
        <w:bottom w:val="none" w:sz="0" w:space="0" w:color="auto"/>
        <w:right w:val="none" w:sz="0" w:space="0" w:color="auto"/>
      </w:divBdr>
    </w:div>
    <w:div w:id="1863938475">
      <w:bodyDiv w:val="1"/>
      <w:marLeft w:val="0"/>
      <w:marRight w:val="0"/>
      <w:marTop w:val="0"/>
      <w:marBottom w:val="0"/>
      <w:divBdr>
        <w:top w:val="none" w:sz="0" w:space="0" w:color="auto"/>
        <w:left w:val="none" w:sz="0" w:space="0" w:color="auto"/>
        <w:bottom w:val="none" w:sz="0" w:space="0" w:color="auto"/>
        <w:right w:val="none" w:sz="0" w:space="0" w:color="auto"/>
      </w:divBdr>
    </w:div>
    <w:div w:id="1863981451">
      <w:bodyDiv w:val="1"/>
      <w:marLeft w:val="0"/>
      <w:marRight w:val="0"/>
      <w:marTop w:val="0"/>
      <w:marBottom w:val="0"/>
      <w:divBdr>
        <w:top w:val="none" w:sz="0" w:space="0" w:color="auto"/>
        <w:left w:val="none" w:sz="0" w:space="0" w:color="auto"/>
        <w:bottom w:val="none" w:sz="0" w:space="0" w:color="auto"/>
        <w:right w:val="none" w:sz="0" w:space="0" w:color="auto"/>
      </w:divBdr>
    </w:div>
    <w:div w:id="1865166653">
      <w:bodyDiv w:val="1"/>
      <w:marLeft w:val="0"/>
      <w:marRight w:val="0"/>
      <w:marTop w:val="0"/>
      <w:marBottom w:val="0"/>
      <w:divBdr>
        <w:top w:val="none" w:sz="0" w:space="0" w:color="auto"/>
        <w:left w:val="none" w:sz="0" w:space="0" w:color="auto"/>
        <w:bottom w:val="none" w:sz="0" w:space="0" w:color="auto"/>
        <w:right w:val="none" w:sz="0" w:space="0" w:color="auto"/>
      </w:divBdr>
    </w:div>
    <w:div w:id="1866210541">
      <w:bodyDiv w:val="1"/>
      <w:marLeft w:val="0"/>
      <w:marRight w:val="0"/>
      <w:marTop w:val="0"/>
      <w:marBottom w:val="0"/>
      <w:divBdr>
        <w:top w:val="none" w:sz="0" w:space="0" w:color="auto"/>
        <w:left w:val="none" w:sz="0" w:space="0" w:color="auto"/>
        <w:bottom w:val="none" w:sz="0" w:space="0" w:color="auto"/>
        <w:right w:val="none" w:sz="0" w:space="0" w:color="auto"/>
      </w:divBdr>
    </w:div>
    <w:div w:id="1867861350">
      <w:bodyDiv w:val="1"/>
      <w:marLeft w:val="0"/>
      <w:marRight w:val="0"/>
      <w:marTop w:val="0"/>
      <w:marBottom w:val="0"/>
      <w:divBdr>
        <w:top w:val="none" w:sz="0" w:space="0" w:color="auto"/>
        <w:left w:val="none" w:sz="0" w:space="0" w:color="auto"/>
        <w:bottom w:val="none" w:sz="0" w:space="0" w:color="auto"/>
        <w:right w:val="none" w:sz="0" w:space="0" w:color="auto"/>
      </w:divBdr>
    </w:div>
    <w:div w:id="1868523879">
      <w:bodyDiv w:val="1"/>
      <w:marLeft w:val="0"/>
      <w:marRight w:val="0"/>
      <w:marTop w:val="0"/>
      <w:marBottom w:val="0"/>
      <w:divBdr>
        <w:top w:val="none" w:sz="0" w:space="0" w:color="auto"/>
        <w:left w:val="none" w:sz="0" w:space="0" w:color="auto"/>
        <w:bottom w:val="none" w:sz="0" w:space="0" w:color="auto"/>
        <w:right w:val="none" w:sz="0" w:space="0" w:color="auto"/>
      </w:divBdr>
    </w:div>
    <w:div w:id="1868712220">
      <w:bodyDiv w:val="1"/>
      <w:marLeft w:val="0"/>
      <w:marRight w:val="0"/>
      <w:marTop w:val="0"/>
      <w:marBottom w:val="0"/>
      <w:divBdr>
        <w:top w:val="none" w:sz="0" w:space="0" w:color="auto"/>
        <w:left w:val="none" w:sz="0" w:space="0" w:color="auto"/>
        <w:bottom w:val="none" w:sz="0" w:space="0" w:color="auto"/>
        <w:right w:val="none" w:sz="0" w:space="0" w:color="auto"/>
      </w:divBdr>
    </w:div>
    <w:div w:id="1868978950">
      <w:bodyDiv w:val="1"/>
      <w:marLeft w:val="0"/>
      <w:marRight w:val="0"/>
      <w:marTop w:val="0"/>
      <w:marBottom w:val="0"/>
      <w:divBdr>
        <w:top w:val="none" w:sz="0" w:space="0" w:color="auto"/>
        <w:left w:val="none" w:sz="0" w:space="0" w:color="auto"/>
        <w:bottom w:val="none" w:sz="0" w:space="0" w:color="auto"/>
        <w:right w:val="none" w:sz="0" w:space="0" w:color="auto"/>
      </w:divBdr>
    </w:div>
    <w:div w:id="1869101946">
      <w:bodyDiv w:val="1"/>
      <w:marLeft w:val="0"/>
      <w:marRight w:val="0"/>
      <w:marTop w:val="0"/>
      <w:marBottom w:val="0"/>
      <w:divBdr>
        <w:top w:val="none" w:sz="0" w:space="0" w:color="auto"/>
        <w:left w:val="none" w:sz="0" w:space="0" w:color="auto"/>
        <w:bottom w:val="none" w:sz="0" w:space="0" w:color="auto"/>
        <w:right w:val="none" w:sz="0" w:space="0" w:color="auto"/>
      </w:divBdr>
    </w:div>
    <w:div w:id="1869247510">
      <w:bodyDiv w:val="1"/>
      <w:marLeft w:val="0"/>
      <w:marRight w:val="0"/>
      <w:marTop w:val="0"/>
      <w:marBottom w:val="0"/>
      <w:divBdr>
        <w:top w:val="none" w:sz="0" w:space="0" w:color="auto"/>
        <w:left w:val="none" w:sz="0" w:space="0" w:color="auto"/>
        <w:bottom w:val="none" w:sz="0" w:space="0" w:color="auto"/>
        <w:right w:val="none" w:sz="0" w:space="0" w:color="auto"/>
      </w:divBdr>
    </w:div>
    <w:div w:id="1870138515">
      <w:bodyDiv w:val="1"/>
      <w:marLeft w:val="0"/>
      <w:marRight w:val="0"/>
      <w:marTop w:val="0"/>
      <w:marBottom w:val="0"/>
      <w:divBdr>
        <w:top w:val="none" w:sz="0" w:space="0" w:color="auto"/>
        <w:left w:val="none" w:sz="0" w:space="0" w:color="auto"/>
        <w:bottom w:val="none" w:sz="0" w:space="0" w:color="auto"/>
        <w:right w:val="none" w:sz="0" w:space="0" w:color="auto"/>
      </w:divBdr>
    </w:div>
    <w:div w:id="1870600841">
      <w:bodyDiv w:val="1"/>
      <w:marLeft w:val="0"/>
      <w:marRight w:val="0"/>
      <w:marTop w:val="0"/>
      <w:marBottom w:val="0"/>
      <w:divBdr>
        <w:top w:val="none" w:sz="0" w:space="0" w:color="auto"/>
        <w:left w:val="none" w:sz="0" w:space="0" w:color="auto"/>
        <w:bottom w:val="none" w:sz="0" w:space="0" w:color="auto"/>
        <w:right w:val="none" w:sz="0" w:space="0" w:color="auto"/>
      </w:divBdr>
    </w:div>
    <w:div w:id="1871063952">
      <w:bodyDiv w:val="1"/>
      <w:marLeft w:val="0"/>
      <w:marRight w:val="0"/>
      <w:marTop w:val="0"/>
      <w:marBottom w:val="0"/>
      <w:divBdr>
        <w:top w:val="none" w:sz="0" w:space="0" w:color="auto"/>
        <w:left w:val="none" w:sz="0" w:space="0" w:color="auto"/>
        <w:bottom w:val="none" w:sz="0" w:space="0" w:color="auto"/>
        <w:right w:val="none" w:sz="0" w:space="0" w:color="auto"/>
      </w:divBdr>
    </w:div>
    <w:div w:id="1871380549">
      <w:bodyDiv w:val="1"/>
      <w:marLeft w:val="0"/>
      <w:marRight w:val="0"/>
      <w:marTop w:val="0"/>
      <w:marBottom w:val="0"/>
      <w:divBdr>
        <w:top w:val="none" w:sz="0" w:space="0" w:color="auto"/>
        <w:left w:val="none" w:sz="0" w:space="0" w:color="auto"/>
        <w:bottom w:val="none" w:sz="0" w:space="0" w:color="auto"/>
        <w:right w:val="none" w:sz="0" w:space="0" w:color="auto"/>
      </w:divBdr>
    </w:div>
    <w:div w:id="1872375144">
      <w:bodyDiv w:val="1"/>
      <w:marLeft w:val="0"/>
      <w:marRight w:val="0"/>
      <w:marTop w:val="0"/>
      <w:marBottom w:val="0"/>
      <w:divBdr>
        <w:top w:val="none" w:sz="0" w:space="0" w:color="auto"/>
        <w:left w:val="none" w:sz="0" w:space="0" w:color="auto"/>
        <w:bottom w:val="none" w:sz="0" w:space="0" w:color="auto"/>
        <w:right w:val="none" w:sz="0" w:space="0" w:color="auto"/>
      </w:divBdr>
    </w:div>
    <w:div w:id="1872524930">
      <w:bodyDiv w:val="1"/>
      <w:marLeft w:val="0"/>
      <w:marRight w:val="0"/>
      <w:marTop w:val="0"/>
      <w:marBottom w:val="0"/>
      <w:divBdr>
        <w:top w:val="none" w:sz="0" w:space="0" w:color="auto"/>
        <w:left w:val="none" w:sz="0" w:space="0" w:color="auto"/>
        <w:bottom w:val="none" w:sz="0" w:space="0" w:color="auto"/>
        <w:right w:val="none" w:sz="0" w:space="0" w:color="auto"/>
      </w:divBdr>
    </w:div>
    <w:div w:id="1873029736">
      <w:bodyDiv w:val="1"/>
      <w:marLeft w:val="0"/>
      <w:marRight w:val="0"/>
      <w:marTop w:val="0"/>
      <w:marBottom w:val="0"/>
      <w:divBdr>
        <w:top w:val="none" w:sz="0" w:space="0" w:color="auto"/>
        <w:left w:val="none" w:sz="0" w:space="0" w:color="auto"/>
        <w:bottom w:val="none" w:sz="0" w:space="0" w:color="auto"/>
        <w:right w:val="none" w:sz="0" w:space="0" w:color="auto"/>
      </w:divBdr>
    </w:div>
    <w:div w:id="1873031854">
      <w:bodyDiv w:val="1"/>
      <w:marLeft w:val="0"/>
      <w:marRight w:val="0"/>
      <w:marTop w:val="0"/>
      <w:marBottom w:val="0"/>
      <w:divBdr>
        <w:top w:val="none" w:sz="0" w:space="0" w:color="auto"/>
        <w:left w:val="none" w:sz="0" w:space="0" w:color="auto"/>
        <w:bottom w:val="none" w:sz="0" w:space="0" w:color="auto"/>
        <w:right w:val="none" w:sz="0" w:space="0" w:color="auto"/>
      </w:divBdr>
    </w:div>
    <w:div w:id="1875193547">
      <w:bodyDiv w:val="1"/>
      <w:marLeft w:val="0"/>
      <w:marRight w:val="0"/>
      <w:marTop w:val="0"/>
      <w:marBottom w:val="0"/>
      <w:divBdr>
        <w:top w:val="none" w:sz="0" w:space="0" w:color="auto"/>
        <w:left w:val="none" w:sz="0" w:space="0" w:color="auto"/>
        <w:bottom w:val="none" w:sz="0" w:space="0" w:color="auto"/>
        <w:right w:val="none" w:sz="0" w:space="0" w:color="auto"/>
      </w:divBdr>
    </w:div>
    <w:div w:id="1876695292">
      <w:bodyDiv w:val="1"/>
      <w:marLeft w:val="0"/>
      <w:marRight w:val="0"/>
      <w:marTop w:val="0"/>
      <w:marBottom w:val="0"/>
      <w:divBdr>
        <w:top w:val="none" w:sz="0" w:space="0" w:color="auto"/>
        <w:left w:val="none" w:sz="0" w:space="0" w:color="auto"/>
        <w:bottom w:val="none" w:sz="0" w:space="0" w:color="auto"/>
        <w:right w:val="none" w:sz="0" w:space="0" w:color="auto"/>
      </w:divBdr>
    </w:div>
    <w:div w:id="1877962114">
      <w:bodyDiv w:val="1"/>
      <w:marLeft w:val="0"/>
      <w:marRight w:val="0"/>
      <w:marTop w:val="0"/>
      <w:marBottom w:val="0"/>
      <w:divBdr>
        <w:top w:val="none" w:sz="0" w:space="0" w:color="auto"/>
        <w:left w:val="none" w:sz="0" w:space="0" w:color="auto"/>
        <w:bottom w:val="none" w:sz="0" w:space="0" w:color="auto"/>
        <w:right w:val="none" w:sz="0" w:space="0" w:color="auto"/>
      </w:divBdr>
    </w:div>
    <w:div w:id="1879312693">
      <w:bodyDiv w:val="1"/>
      <w:marLeft w:val="0"/>
      <w:marRight w:val="0"/>
      <w:marTop w:val="0"/>
      <w:marBottom w:val="0"/>
      <w:divBdr>
        <w:top w:val="none" w:sz="0" w:space="0" w:color="auto"/>
        <w:left w:val="none" w:sz="0" w:space="0" w:color="auto"/>
        <w:bottom w:val="none" w:sz="0" w:space="0" w:color="auto"/>
        <w:right w:val="none" w:sz="0" w:space="0" w:color="auto"/>
      </w:divBdr>
    </w:div>
    <w:div w:id="1880165221">
      <w:bodyDiv w:val="1"/>
      <w:marLeft w:val="0"/>
      <w:marRight w:val="0"/>
      <w:marTop w:val="0"/>
      <w:marBottom w:val="0"/>
      <w:divBdr>
        <w:top w:val="none" w:sz="0" w:space="0" w:color="auto"/>
        <w:left w:val="none" w:sz="0" w:space="0" w:color="auto"/>
        <w:bottom w:val="none" w:sz="0" w:space="0" w:color="auto"/>
        <w:right w:val="none" w:sz="0" w:space="0" w:color="auto"/>
      </w:divBdr>
    </w:div>
    <w:div w:id="1880388468">
      <w:bodyDiv w:val="1"/>
      <w:marLeft w:val="0"/>
      <w:marRight w:val="0"/>
      <w:marTop w:val="0"/>
      <w:marBottom w:val="0"/>
      <w:divBdr>
        <w:top w:val="none" w:sz="0" w:space="0" w:color="auto"/>
        <w:left w:val="none" w:sz="0" w:space="0" w:color="auto"/>
        <w:bottom w:val="none" w:sz="0" w:space="0" w:color="auto"/>
        <w:right w:val="none" w:sz="0" w:space="0" w:color="auto"/>
      </w:divBdr>
    </w:div>
    <w:div w:id="1881740818">
      <w:bodyDiv w:val="1"/>
      <w:marLeft w:val="0"/>
      <w:marRight w:val="0"/>
      <w:marTop w:val="0"/>
      <w:marBottom w:val="0"/>
      <w:divBdr>
        <w:top w:val="none" w:sz="0" w:space="0" w:color="auto"/>
        <w:left w:val="none" w:sz="0" w:space="0" w:color="auto"/>
        <w:bottom w:val="none" w:sz="0" w:space="0" w:color="auto"/>
        <w:right w:val="none" w:sz="0" w:space="0" w:color="auto"/>
      </w:divBdr>
    </w:div>
    <w:div w:id="1885291430">
      <w:bodyDiv w:val="1"/>
      <w:marLeft w:val="0"/>
      <w:marRight w:val="0"/>
      <w:marTop w:val="0"/>
      <w:marBottom w:val="0"/>
      <w:divBdr>
        <w:top w:val="none" w:sz="0" w:space="0" w:color="auto"/>
        <w:left w:val="none" w:sz="0" w:space="0" w:color="auto"/>
        <w:bottom w:val="none" w:sz="0" w:space="0" w:color="auto"/>
        <w:right w:val="none" w:sz="0" w:space="0" w:color="auto"/>
      </w:divBdr>
    </w:div>
    <w:div w:id="1885756328">
      <w:bodyDiv w:val="1"/>
      <w:marLeft w:val="0"/>
      <w:marRight w:val="0"/>
      <w:marTop w:val="0"/>
      <w:marBottom w:val="0"/>
      <w:divBdr>
        <w:top w:val="none" w:sz="0" w:space="0" w:color="auto"/>
        <w:left w:val="none" w:sz="0" w:space="0" w:color="auto"/>
        <w:bottom w:val="none" w:sz="0" w:space="0" w:color="auto"/>
        <w:right w:val="none" w:sz="0" w:space="0" w:color="auto"/>
      </w:divBdr>
    </w:div>
    <w:div w:id="1886259920">
      <w:bodyDiv w:val="1"/>
      <w:marLeft w:val="0"/>
      <w:marRight w:val="0"/>
      <w:marTop w:val="0"/>
      <w:marBottom w:val="0"/>
      <w:divBdr>
        <w:top w:val="none" w:sz="0" w:space="0" w:color="auto"/>
        <w:left w:val="none" w:sz="0" w:space="0" w:color="auto"/>
        <w:bottom w:val="none" w:sz="0" w:space="0" w:color="auto"/>
        <w:right w:val="none" w:sz="0" w:space="0" w:color="auto"/>
      </w:divBdr>
    </w:div>
    <w:div w:id="1886866652">
      <w:bodyDiv w:val="1"/>
      <w:marLeft w:val="0"/>
      <w:marRight w:val="0"/>
      <w:marTop w:val="0"/>
      <w:marBottom w:val="0"/>
      <w:divBdr>
        <w:top w:val="none" w:sz="0" w:space="0" w:color="auto"/>
        <w:left w:val="none" w:sz="0" w:space="0" w:color="auto"/>
        <w:bottom w:val="none" w:sz="0" w:space="0" w:color="auto"/>
        <w:right w:val="none" w:sz="0" w:space="0" w:color="auto"/>
      </w:divBdr>
    </w:div>
    <w:div w:id="1888099152">
      <w:bodyDiv w:val="1"/>
      <w:marLeft w:val="0"/>
      <w:marRight w:val="0"/>
      <w:marTop w:val="0"/>
      <w:marBottom w:val="0"/>
      <w:divBdr>
        <w:top w:val="none" w:sz="0" w:space="0" w:color="auto"/>
        <w:left w:val="none" w:sz="0" w:space="0" w:color="auto"/>
        <w:bottom w:val="none" w:sz="0" w:space="0" w:color="auto"/>
        <w:right w:val="none" w:sz="0" w:space="0" w:color="auto"/>
      </w:divBdr>
    </w:div>
    <w:div w:id="1889681191">
      <w:bodyDiv w:val="1"/>
      <w:marLeft w:val="0"/>
      <w:marRight w:val="0"/>
      <w:marTop w:val="0"/>
      <w:marBottom w:val="0"/>
      <w:divBdr>
        <w:top w:val="none" w:sz="0" w:space="0" w:color="auto"/>
        <w:left w:val="none" w:sz="0" w:space="0" w:color="auto"/>
        <w:bottom w:val="none" w:sz="0" w:space="0" w:color="auto"/>
        <w:right w:val="none" w:sz="0" w:space="0" w:color="auto"/>
      </w:divBdr>
    </w:div>
    <w:div w:id="1891069376">
      <w:bodyDiv w:val="1"/>
      <w:marLeft w:val="0"/>
      <w:marRight w:val="0"/>
      <w:marTop w:val="0"/>
      <w:marBottom w:val="0"/>
      <w:divBdr>
        <w:top w:val="none" w:sz="0" w:space="0" w:color="auto"/>
        <w:left w:val="none" w:sz="0" w:space="0" w:color="auto"/>
        <w:bottom w:val="none" w:sz="0" w:space="0" w:color="auto"/>
        <w:right w:val="none" w:sz="0" w:space="0" w:color="auto"/>
      </w:divBdr>
    </w:div>
    <w:div w:id="1891190078">
      <w:bodyDiv w:val="1"/>
      <w:marLeft w:val="0"/>
      <w:marRight w:val="0"/>
      <w:marTop w:val="0"/>
      <w:marBottom w:val="0"/>
      <w:divBdr>
        <w:top w:val="none" w:sz="0" w:space="0" w:color="auto"/>
        <w:left w:val="none" w:sz="0" w:space="0" w:color="auto"/>
        <w:bottom w:val="none" w:sz="0" w:space="0" w:color="auto"/>
        <w:right w:val="none" w:sz="0" w:space="0" w:color="auto"/>
      </w:divBdr>
    </w:div>
    <w:div w:id="1891575871">
      <w:bodyDiv w:val="1"/>
      <w:marLeft w:val="0"/>
      <w:marRight w:val="0"/>
      <w:marTop w:val="0"/>
      <w:marBottom w:val="0"/>
      <w:divBdr>
        <w:top w:val="none" w:sz="0" w:space="0" w:color="auto"/>
        <w:left w:val="none" w:sz="0" w:space="0" w:color="auto"/>
        <w:bottom w:val="none" w:sz="0" w:space="0" w:color="auto"/>
        <w:right w:val="none" w:sz="0" w:space="0" w:color="auto"/>
      </w:divBdr>
    </w:div>
    <w:div w:id="1891651039">
      <w:bodyDiv w:val="1"/>
      <w:marLeft w:val="0"/>
      <w:marRight w:val="0"/>
      <w:marTop w:val="0"/>
      <w:marBottom w:val="0"/>
      <w:divBdr>
        <w:top w:val="none" w:sz="0" w:space="0" w:color="auto"/>
        <w:left w:val="none" w:sz="0" w:space="0" w:color="auto"/>
        <w:bottom w:val="none" w:sz="0" w:space="0" w:color="auto"/>
        <w:right w:val="none" w:sz="0" w:space="0" w:color="auto"/>
      </w:divBdr>
    </w:div>
    <w:div w:id="1893494292">
      <w:bodyDiv w:val="1"/>
      <w:marLeft w:val="0"/>
      <w:marRight w:val="0"/>
      <w:marTop w:val="0"/>
      <w:marBottom w:val="0"/>
      <w:divBdr>
        <w:top w:val="none" w:sz="0" w:space="0" w:color="auto"/>
        <w:left w:val="none" w:sz="0" w:space="0" w:color="auto"/>
        <w:bottom w:val="none" w:sz="0" w:space="0" w:color="auto"/>
        <w:right w:val="none" w:sz="0" w:space="0" w:color="auto"/>
      </w:divBdr>
    </w:div>
    <w:div w:id="1895852701">
      <w:bodyDiv w:val="1"/>
      <w:marLeft w:val="0"/>
      <w:marRight w:val="0"/>
      <w:marTop w:val="0"/>
      <w:marBottom w:val="0"/>
      <w:divBdr>
        <w:top w:val="none" w:sz="0" w:space="0" w:color="auto"/>
        <w:left w:val="none" w:sz="0" w:space="0" w:color="auto"/>
        <w:bottom w:val="none" w:sz="0" w:space="0" w:color="auto"/>
        <w:right w:val="none" w:sz="0" w:space="0" w:color="auto"/>
      </w:divBdr>
    </w:div>
    <w:div w:id="1895895351">
      <w:bodyDiv w:val="1"/>
      <w:marLeft w:val="0"/>
      <w:marRight w:val="0"/>
      <w:marTop w:val="0"/>
      <w:marBottom w:val="0"/>
      <w:divBdr>
        <w:top w:val="none" w:sz="0" w:space="0" w:color="auto"/>
        <w:left w:val="none" w:sz="0" w:space="0" w:color="auto"/>
        <w:bottom w:val="none" w:sz="0" w:space="0" w:color="auto"/>
        <w:right w:val="none" w:sz="0" w:space="0" w:color="auto"/>
      </w:divBdr>
    </w:div>
    <w:div w:id="1896618835">
      <w:bodyDiv w:val="1"/>
      <w:marLeft w:val="0"/>
      <w:marRight w:val="0"/>
      <w:marTop w:val="0"/>
      <w:marBottom w:val="0"/>
      <w:divBdr>
        <w:top w:val="none" w:sz="0" w:space="0" w:color="auto"/>
        <w:left w:val="none" w:sz="0" w:space="0" w:color="auto"/>
        <w:bottom w:val="none" w:sz="0" w:space="0" w:color="auto"/>
        <w:right w:val="none" w:sz="0" w:space="0" w:color="auto"/>
      </w:divBdr>
    </w:div>
    <w:div w:id="1896626075">
      <w:bodyDiv w:val="1"/>
      <w:marLeft w:val="0"/>
      <w:marRight w:val="0"/>
      <w:marTop w:val="0"/>
      <w:marBottom w:val="0"/>
      <w:divBdr>
        <w:top w:val="none" w:sz="0" w:space="0" w:color="auto"/>
        <w:left w:val="none" w:sz="0" w:space="0" w:color="auto"/>
        <w:bottom w:val="none" w:sz="0" w:space="0" w:color="auto"/>
        <w:right w:val="none" w:sz="0" w:space="0" w:color="auto"/>
      </w:divBdr>
    </w:div>
    <w:div w:id="1898317556">
      <w:bodyDiv w:val="1"/>
      <w:marLeft w:val="0"/>
      <w:marRight w:val="0"/>
      <w:marTop w:val="0"/>
      <w:marBottom w:val="0"/>
      <w:divBdr>
        <w:top w:val="none" w:sz="0" w:space="0" w:color="auto"/>
        <w:left w:val="none" w:sz="0" w:space="0" w:color="auto"/>
        <w:bottom w:val="none" w:sz="0" w:space="0" w:color="auto"/>
        <w:right w:val="none" w:sz="0" w:space="0" w:color="auto"/>
      </w:divBdr>
    </w:div>
    <w:div w:id="1898512398">
      <w:bodyDiv w:val="1"/>
      <w:marLeft w:val="0"/>
      <w:marRight w:val="0"/>
      <w:marTop w:val="0"/>
      <w:marBottom w:val="0"/>
      <w:divBdr>
        <w:top w:val="none" w:sz="0" w:space="0" w:color="auto"/>
        <w:left w:val="none" w:sz="0" w:space="0" w:color="auto"/>
        <w:bottom w:val="none" w:sz="0" w:space="0" w:color="auto"/>
        <w:right w:val="none" w:sz="0" w:space="0" w:color="auto"/>
      </w:divBdr>
    </w:div>
    <w:div w:id="1899898774">
      <w:bodyDiv w:val="1"/>
      <w:marLeft w:val="0"/>
      <w:marRight w:val="0"/>
      <w:marTop w:val="0"/>
      <w:marBottom w:val="0"/>
      <w:divBdr>
        <w:top w:val="none" w:sz="0" w:space="0" w:color="auto"/>
        <w:left w:val="none" w:sz="0" w:space="0" w:color="auto"/>
        <w:bottom w:val="none" w:sz="0" w:space="0" w:color="auto"/>
        <w:right w:val="none" w:sz="0" w:space="0" w:color="auto"/>
      </w:divBdr>
    </w:div>
    <w:div w:id="1900675330">
      <w:bodyDiv w:val="1"/>
      <w:marLeft w:val="0"/>
      <w:marRight w:val="0"/>
      <w:marTop w:val="0"/>
      <w:marBottom w:val="0"/>
      <w:divBdr>
        <w:top w:val="none" w:sz="0" w:space="0" w:color="auto"/>
        <w:left w:val="none" w:sz="0" w:space="0" w:color="auto"/>
        <w:bottom w:val="none" w:sz="0" w:space="0" w:color="auto"/>
        <w:right w:val="none" w:sz="0" w:space="0" w:color="auto"/>
      </w:divBdr>
    </w:div>
    <w:div w:id="1900943598">
      <w:bodyDiv w:val="1"/>
      <w:marLeft w:val="0"/>
      <w:marRight w:val="0"/>
      <w:marTop w:val="0"/>
      <w:marBottom w:val="0"/>
      <w:divBdr>
        <w:top w:val="none" w:sz="0" w:space="0" w:color="auto"/>
        <w:left w:val="none" w:sz="0" w:space="0" w:color="auto"/>
        <w:bottom w:val="none" w:sz="0" w:space="0" w:color="auto"/>
        <w:right w:val="none" w:sz="0" w:space="0" w:color="auto"/>
      </w:divBdr>
    </w:div>
    <w:div w:id="1901401069">
      <w:bodyDiv w:val="1"/>
      <w:marLeft w:val="0"/>
      <w:marRight w:val="0"/>
      <w:marTop w:val="0"/>
      <w:marBottom w:val="0"/>
      <w:divBdr>
        <w:top w:val="none" w:sz="0" w:space="0" w:color="auto"/>
        <w:left w:val="none" w:sz="0" w:space="0" w:color="auto"/>
        <w:bottom w:val="none" w:sz="0" w:space="0" w:color="auto"/>
        <w:right w:val="none" w:sz="0" w:space="0" w:color="auto"/>
      </w:divBdr>
    </w:div>
    <w:div w:id="1901674338">
      <w:bodyDiv w:val="1"/>
      <w:marLeft w:val="0"/>
      <w:marRight w:val="0"/>
      <w:marTop w:val="0"/>
      <w:marBottom w:val="0"/>
      <w:divBdr>
        <w:top w:val="none" w:sz="0" w:space="0" w:color="auto"/>
        <w:left w:val="none" w:sz="0" w:space="0" w:color="auto"/>
        <w:bottom w:val="none" w:sz="0" w:space="0" w:color="auto"/>
        <w:right w:val="none" w:sz="0" w:space="0" w:color="auto"/>
      </w:divBdr>
    </w:div>
    <w:div w:id="1903441289">
      <w:bodyDiv w:val="1"/>
      <w:marLeft w:val="0"/>
      <w:marRight w:val="0"/>
      <w:marTop w:val="0"/>
      <w:marBottom w:val="0"/>
      <w:divBdr>
        <w:top w:val="none" w:sz="0" w:space="0" w:color="auto"/>
        <w:left w:val="none" w:sz="0" w:space="0" w:color="auto"/>
        <w:bottom w:val="none" w:sz="0" w:space="0" w:color="auto"/>
        <w:right w:val="none" w:sz="0" w:space="0" w:color="auto"/>
      </w:divBdr>
    </w:div>
    <w:div w:id="1903590040">
      <w:bodyDiv w:val="1"/>
      <w:marLeft w:val="0"/>
      <w:marRight w:val="0"/>
      <w:marTop w:val="0"/>
      <w:marBottom w:val="0"/>
      <w:divBdr>
        <w:top w:val="none" w:sz="0" w:space="0" w:color="auto"/>
        <w:left w:val="none" w:sz="0" w:space="0" w:color="auto"/>
        <w:bottom w:val="none" w:sz="0" w:space="0" w:color="auto"/>
        <w:right w:val="none" w:sz="0" w:space="0" w:color="auto"/>
      </w:divBdr>
    </w:div>
    <w:div w:id="1903977183">
      <w:bodyDiv w:val="1"/>
      <w:marLeft w:val="0"/>
      <w:marRight w:val="0"/>
      <w:marTop w:val="0"/>
      <w:marBottom w:val="0"/>
      <w:divBdr>
        <w:top w:val="none" w:sz="0" w:space="0" w:color="auto"/>
        <w:left w:val="none" w:sz="0" w:space="0" w:color="auto"/>
        <w:bottom w:val="none" w:sz="0" w:space="0" w:color="auto"/>
        <w:right w:val="none" w:sz="0" w:space="0" w:color="auto"/>
      </w:divBdr>
    </w:div>
    <w:div w:id="1904172212">
      <w:bodyDiv w:val="1"/>
      <w:marLeft w:val="0"/>
      <w:marRight w:val="0"/>
      <w:marTop w:val="0"/>
      <w:marBottom w:val="0"/>
      <w:divBdr>
        <w:top w:val="none" w:sz="0" w:space="0" w:color="auto"/>
        <w:left w:val="none" w:sz="0" w:space="0" w:color="auto"/>
        <w:bottom w:val="none" w:sz="0" w:space="0" w:color="auto"/>
        <w:right w:val="none" w:sz="0" w:space="0" w:color="auto"/>
      </w:divBdr>
    </w:div>
    <w:div w:id="1904674795">
      <w:bodyDiv w:val="1"/>
      <w:marLeft w:val="0"/>
      <w:marRight w:val="0"/>
      <w:marTop w:val="0"/>
      <w:marBottom w:val="0"/>
      <w:divBdr>
        <w:top w:val="none" w:sz="0" w:space="0" w:color="auto"/>
        <w:left w:val="none" w:sz="0" w:space="0" w:color="auto"/>
        <w:bottom w:val="none" w:sz="0" w:space="0" w:color="auto"/>
        <w:right w:val="none" w:sz="0" w:space="0" w:color="auto"/>
      </w:divBdr>
    </w:div>
    <w:div w:id="1904677806">
      <w:bodyDiv w:val="1"/>
      <w:marLeft w:val="0"/>
      <w:marRight w:val="0"/>
      <w:marTop w:val="0"/>
      <w:marBottom w:val="0"/>
      <w:divBdr>
        <w:top w:val="none" w:sz="0" w:space="0" w:color="auto"/>
        <w:left w:val="none" w:sz="0" w:space="0" w:color="auto"/>
        <w:bottom w:val="none" w:sz="0" w:space="0" w:color="auto"/>
        <w:right w:val="none" w:sz="0" w:space="0" w:color="auto"/>
      </w:divBdr>
    </w:div>
    <w:div w:id="1904877030">
      <w:bodyDiv w:val="1"/>
      <w:marLeft w:val="0"/>
      <w:marRight w:val="0"/>
      <w:marTop w:val="0"/>
      <w:marBottom w:val="0"/>
      <w:divBdr>
        <w:top w:val="none" w:sz="0" w:space="0" w:color="auto"/>
        <w:left w:val="none" w:sz="0" w:space="0" w:color="auto"/>
        <w:bottom w:val="none" w:sz="0" w:space="0" w:color="auto"/>
        <w:right w:val="none" w:sz="0" w:space="0" w:color="auto"/>
      </w:divBdr>
    </w:div>
    <w:div w:id="1906646105">
      <w:bodyDiv w:val="1"/>
      <w:marLeft w:val="0"/>
      <w:marRight w:val="0"/>
      <w:marTop w:val="0"/>
      <w:marBottom w:val="0"/>
      <w:divBdr>
        <w:top w:val="none" w:sz="0" w:space="0" w:color="auto"/>
        <w:left w:val="none" w:sz="0" w:space="0" w:color="auto"/>
        <w:bottom w:val="none" w:sz="0" w:space="0" w:color="auto"/>
        <w:right w:val="none" w:sz="0" w:space="0" w:color="auto"/>
      </w:divBdr>
    </w:div>
    <w:div w:id="1908765378">
      <w:bodyDiv w:val="1"/>
      <w:marLeft w:val="0"/>
      <w:marRight w:val="0"/>
      <w:marTop w:val="0"/>
      <w:marBottom w:val="0"/>
      <w:divBdr>
        <w:top w:val="none" w:sz="0" w:space="0" w:color="auto"/>
        <w:left w:val="none" w:sz="0" w:space="0" w:color="auto"/>
        <w:bottom w:val="none" w:sz="0" w:space="0" w:color="auto"/>
        <w:right w:val="none" w:sz="0" w:space="0" w:color="auto"/>
      </w:divBdr>
    </w:div>
    <w:div w:id="1909270607">
      <w:bodyDiv w:val="1"/>
      <w:marLeft w:val="0"/>
      <w:marRight w:val="0"/>
      <w:marTop w:val="0"/>
      <w:marBottom w:val="0"/>
      <w:divBdr>
        <w:top w:val="none" w:sz="0" w:space="0" w:color="auto"/>
        <w:left w:val="none" w:sz="0" w:space="0" w:color="auto"/>
        <w:bottom w:val="none" w:sz="0" w:space="0" w:color="auto"/>
        <w:right w:val="none" w:sz="0" w:space="0" w:color="auto"/>
      </w:divBdr>
    </w:div>
    <w:div w:id="1911619618">
      <w:bodyDiv w:val="1"/>
      <w:marLeft w:val="0"/>
      <w:marRight w:val="0"/>
      <w:marTop w:val="0"/>
      <w:marBottom w:val="0"/>
      <w:divBdr>
        <w:top w:val="none" w:sz="0" w:space="0" w:color="auto"/>
        <w:left w:val="none" w:sz="0" w:space="0" w:color="auto"/>
        <w:bottom w:val="none" w:sz="0" w:space="0" w:color="auto"/>
        <w:right w:val="none" w:sz="0" w:space="0" w:color="auto"/>
      </w:divBdr>
    </w:div>
    <w:div w:id="1912231898">
      <w:bodyDiv w:val="1"/>
      <w:marLeft w:val="0"/>
      <w:marRight w:val="0"/>
      <w:marTop w:val="0"/>
      <w:marBottom w:val="0"/>
      <w:divBdr>
        <w:top w:val="none" w:sz="0" w:space="0" w:color="auto"/>
        <w:left w:val="none" w:sz="0" w:space="0" w:color="auto"/>
        <w:bottom w:val="none" w:sz="0" w:space="0" w:color="auto"/>
        <w:right w:val="none" w:sz="0" w:space="0" w:color="auto"/>
      </w:divBdr>
    </w:div>
    <w:div w:id="1912428721">
      <w:bodyDiv w:val="1"/>
      <w:marLeft w:val="0"/>
      <w:marRight w:val="0"/>
      <w:marTop w:val="0"/>
      <w:marBottom w:val="0"/>
      <w:divBdr>
        <w:top w:val="none" w:sz="0" w:space="0" w:color="auto"/>
        <w:left w:val="none" w:sz="0" w:space="0" w:color="auto"/>
        <w:bottom w:val="none" w:sz="0" w:space="0" w:color="auto"/>
        <w:right w:val="none" w:sz="0" w:space="0" w:color="auto"/>
      </w:divBdr>
    </w:div>
    <w:div w:id="1912890368">
      <w:bodyDiv w:val="1"/>
      <w:marLeft w:val="0"/>
      <w:marRight w:val="0"/>
      <w:marTop w:val="0"/>
      <w:marBottom w:val="0"/>
      <w:divBdr>
        <w:top w:val="none" w:sz="0" w:space="0" w:color="auto"/>
        <w:left w:val="none" w:sz="0" w:space="0" w:color="auto"/>
        <w:bottom w:val="none" w:sz="0" w:space="0" w:color="auto"/>
        <w:right w:val="none" w:sz="0" w:space="0" w:color="auto"/>
      </w:divBdr>
    </w:div>
    <w:div w:id="1914007570">
      <w:bodyDiv w:val="1"/>
      <w:marLeft w:val="0"/>
      <w:marRight w:val="0"/>
      <w:marTop w:val="0"/>
      <w:marBottom w:val="0"/>
      <w:divBdr>
        <w:top w:val="none" w:sz="0" w:space="0" w:color="auto"/>
        <w:left w:val="none" w:sz="0" w:space="0" w:color="auto"/>
        <w:bottom w:val="none" w:sz="0" w:space="0" w:color="auto"/>
        <w:right w:val="none" w:sz="0" w:space="0" w:color="auto"/>
      </w:divBdr>
    </w:div>
    <w:div w:id="1914200740">
      <w:bodyDiv w:val="1"/>
      <w:marLeft w:val="0"/>
      <w:marRight w:val="0"/>
      <w:marTop w:val="0"/>
      <w:marBottom w:val="0"/>
      <w:divBdr>
        <w:top w:val="none" w:sz="0" w:space="0" w:color="auto"/>
        <w:left w:val="none" w:sz="0" w:space="0" w:color="auto"/>
        <w:bottom w:val="none" w:sz="0" w:space="0" w:color="auto"/>
        <w:right w:val="none" w:sz="0" w:space="0" w:color="auto"/>
      </w:divBdr>
    </w:div>
    <w:div w:id="1914315878">
      <w:bodyDiv w:val="1"/>
      <w:marLeft w:val="0"/>
      <w:marRight w:val="0"/>
      <w:marTop w:val="0"/>
      <w:marBottom w:val="0"/>
      <w:divBdr>
        <w:top w:val="none" w:sz="0" w:space="0" w:color="auto"/>
        <w:left w:val="none" w:sz="0" w:space="0" w:color="auto"/>
        <w:bottom w:val="none" w:sz="0" w:space="0" w:color="auto"/>
        <w:right w:val="none" w:sz="0" w:space="0" w:color="auto"/>
      </w:divBdr>
    </w:div>
    <w:div w:id="1915040625">
      <w:bodyDiv w:val="1"/>
      <w:marLeft w:val="0"/>
      <w:marRight w:val="0"/>
      <w:marTop w:val="0"/>
      <w:marBottom w:val="0"/>
      <w:divBdr>
        <w:top w:val="none" w:sz="0" w:space="0" w:color="auto"/>
        <w:left w:val="none" w:sz="0" w:space="0" w:color="auto"/>
        <w:bottom w:val="none" w:sz="0" w:space="0" w:color="auto"/>
        <w:right w:val="none" w:sz="0" w:space="0" w:color="auto"/>
      </w:divBdr>
    </w:div>
    <w:div w:id="1915119087">
      <w:bodyDiv w:val="1"/>
      <w:marLeft w:val="0"/>
      <w:marRight w:val="0"/>
      <w:marTop w:val="0"/>
      <w:marBottom w:val="0"/>
      <w:divBdr>
        <w:top w:val="none" w:sz="0" w:space="0" w:color="auto"/>
        <w:left w:val="none" w:sz="0" w:space="0" w:color="auto"/>
        <w:bottom w:val="none" w:sz="0" w:space="0" w:color="auto"/>
        <w:right w:val="none" w:sz="0" w:space="0" w:color="auto"/>
      </w:divBdr>
    </w:div>
    <w:div w:id="1915700162">
      <w:bodyDiv w:val="1"/>
      <w:marLeft w:val="0"/>
      <w:marRight w:val="0"/>
      <w:marTop w:val="0"/>
      <w:marBottom w:val="0"/>
      <w:divBdr>
        <w:top w:val="none" w:sz="0" w:space="0" w:color="auto"/>
        <w:left w:val="none" w:sz="0" w:space="0" w:color="auto"/>
        <w:bottom w:val="none" w:sz="0" w:space="0" w:color="auto"/>
        <w:right w:val="none" w:sz="0" w:space="0" w:color="auto"/>
      </w:divBdr>
    </w:div>
    <w:div w:id="1916621392">
      <w:bodyDiv w:val="1"/>
      <w:marLeft w:val="0"/>
      <w:marRight w:val="0"/>
      <w:marTop w:val="0"/>
      <w:marBottom w:val="0"/>
      <w:divBdr>
        <w:top w:val="none" w:sz="0" w:space="0" w:color="auto"/>
        <w:left w:val="none" w:sz="0" w:space="0" w:color="auto"/>
        <w:bottom w:val="none" w:sz="0" w:space="0" w:color="auto"/>
        <w:right w:val="none" w:sz="0" w:space="0" w:color="auto"/>
      </w:divBdr>
    </w:div>
    <w:div w:id="1917015820">
      <w:bodyDiv w:val="1"/>
      <w:marLeft w:val="0"/>
      <w:marRight w:val="0"/>
      <w:marTop w:val="0"/>
      <w:marBottom w:val="0"/>
      <w:divBdr>
        <w:top w:val="none" w:sz="0" w:space="0" w:color="auto"/>
        <w:left w:val="none" w:sz="0" w:space="0" w:color="auto"/>
        <w:bottom w:val="none" w:sz="0" w:space="0" w:color="auto"/>
        <w:right w:val="none" w:sz="0" w:space="0" w:color="auto"/>
      </w:divBdr>
    </w:div>
    <w:div w:id="1917663917">
      <w:bodyDiv w:val="1"/>
      <w:marLeft w:val="0"/>
      <w:marRight w:val="0"/>
      <w:marTop w:val="0"/>
      <w:marBottom w:val="0"/>
      <w:divBdr>
        <w:top w:val="none" w:sz="0" w:space="0" w:color="auto"/>
        <w:left w:val="none" w:sz="0" w:space="0" w:color="auto"/>
        <w:bottom w:val="none" w:sz="0" w:space="0" w:color="auto"/>
        <w:right w:val="none" w:sz="0" w:space="0" w:color="auto"/>
      </w:divBdr>
    </w:div>
    <w:div w:id="1917785828">
      <w:bodyDiv w:val="1"/>
      <w:marLeft w:val="0"/>
      <w:marRight w:val="0"/>
      <w:marTop w:val="0"/>
      <w:marBottom w:val="0"/>
      <w:divBdr>
        <w:top w:val="none" w:sz="0" w:space="0" w:color="auto"/>
        <w:left w:val="none" w:sz="0" w:space="0" w:color="auto"/>
        <w:bottom w:val="none" w:sz="0" w:space="0" w:color="auto"/>
        <w:right w:val="none" w:sz="0" w:space="0" w:color="auto"/>
      </w:divBdr>
    </w:div>
    <w:div w:id="1918048899">
      <w:bodyDiv w:val="1"/>
      <w:marLeft w:val="0"/>
      <w:marRight w:val="0"/>
      <w:marTop w:val="0"/>
      <w:marBottom w:val="0"/>
      <w:divBdr>
        <w:top w:val="none" w:sz="0" w:space="0" w:color="auto"/>
        <w:left w:val="none" w:sz="0" w:space="0" w:color="auto"/>
        <w:bottom w:val="none" w:sz="0" w:space="0" w:color="auto"/>
        <w:right w:val="none" w:sz="0" w:space="0" w:color="auto"/>
      </w:divBdr>
    </w:div>
    <w:div w:id="1918588808">
      <w:bodyDiv w:val="1"/>
      <w:marLeft w:val="0"/>
      <w:marRight w:val="0"/>
      <w:marTop w:val="0"/>
      <w:marBottom w:val="0"/>
      <w:divBdr>
        <w:top w:val="none" w:sz="0" w:space="0" w:color="auto"/>
        <w:left w:val="none" w:sz="0" w:space="0" w:color="auto"/>
        <w:bottom w:val="none" w:sz="0" w:space="0" w:color="auto"/>
        <w:right w:val="none" w:sz="0" w:space="0" w:color="auto"/>
      </w:divBdr>
    </w:div>
    <w:div w:id="1918709722">
      <w:bodyDiv w:val="1"/>
      <w:marLeft w:val="0"/>
      <w:marRight w:val="0"/>
      <w:marTop w:val="0"/>
      <w:marBottom w:val="0"/>
      <w:divBdr>
        <w:top w:val="none" w:sz="0" w:space="0" w:color="auto"/>
        <w:left w:val="none" w:sz="0" w:space="0" w:color="auto"/>
        <w:bottom w:val="none" w:sz="0" w:space="0" w:color="auto"/>
        <w:right w:val="none" w:sz="0" w:space="0" w:color="auto"/>
      </w:divBdr>
    </w:div>
    <w:div w:id="1919750384">
      <w:bodyDiv w:val="1"/>
      <w:marLeft w:val="0"/>
      <w:marRight w:val="0"/>
      <w:marTop w:val="0"/>
      <w:marBottom w:val="0"/>
      <w:divBdr>
        <w:top w:val="none" w:sz="0" w:space="0" w:color="auto"/>
        <w:left w:val="none" w:sz="0" w:space="0" w:color="auto"/>
        <w:bottom w:val="none" w:sz="0" w:space="0" w:color="auto"/>
        <w:right w:val="none" w:sz="0" w:space="0" w:color="auto"/>
      </w:divBdr>
    </w:div>
    <w:div w:id="1919943652">
      <w:bodyDiv w:val="1"/>
      <w:marLeft w:val="0"/>
      <w:marRight w:val="0"/>
      <w:marTop w:val="0"/>
      <w:marBottom w:val="0"/>
      <w:divBdr>
        <w:top w:val="none" w:sz="0" w:space="0" w:color="auto"/>
        <w:left w:val="none" w:sz="0" w:space="0" w:color="auto"/>
        <w:bottom w:val="none" w:sz="0" w:space="0" w:color="auto"/>
        <w:right w:val="none" w:sz="0" w:space="0" w:color="auto"/>
      </w:divBdr>
    </w:div>
    <w:div w:id="1920092656">
      <w:bodyDiv w:val="1"/>
      <w:marLeft w:val="0"/>
      <w:marRight w:val="0"/>
      <w:marTop w:val="0"/>
      <w:marBottom w:val="0"/>
      <w:divBdr>
        <w:top w:val="none" w:sz="0" w:space="0" w:color="auto"/>
        <w:left w:val="none" w:sz="0" w:space="0" w:color="auto"/>
        <w:bottom w:val="none" w:sz="0" w:space="0" w:color="auto"/>
        <w:right w:val="none" w:sz="0" w:space="0" w:color="auto"/>
      </w:divBdr>
    </w:div>
    <w:div w:id="1920292141">
      <w:bodyDiv w:val="1"/>
      <w:marLeft w:val="0"/>
      <w:marRight w:val="0"/>
      <w:marTop w:val="0"/>
      <w:marBottom w:val="0"/>
      <w:divBdr>
        <w:top w:val="none" w:sz="0" w:space="0" w:color="auto"/>
        <w:left w:val="none" w:sz="0" w:space="0" w:color="auto"/>
        <w:bottom w:val="none" w:sz="0" w:space="0" w:color="auto"/>
        <w:right w:val="none" w:sz="0" w:space="0" w:color="auto"/>
      </w:divBdr>
    </w:div>
    <w:div w:id="1920938530">
      <w:bodyDiv w:val="1"/>
      <w:marLeft w:val="0"/>
      <w:marRight w:val="0"/>
      <w:marTop w:val="0"/>
      <w:marBottom w:val="0"/>
      <w:divBdr>
        <w:top w:val="none" w:sz="0" w:space="0" w:color="auto"/>
        <w:left w:val="none" w:sz="0" w:space="0" w:color="auto"/>
        <w:bottom w:val="none" w:sz="0" w:space="0" w:color="auto"/>
        <w:right w:val="none" w:sz="0" w:space="0" w:color="auto"/>
      </w:divBdr>
    </w:div>
    <w:div w:id="1921332442">
      <w:bodyDiv w:val="1"/>
      <w:marLeft w:val="0"/>
      <w:marRight w:val="0"/>
      <w:marTop w:val="0"/>
      <w:marBottom w:val="0"/>
      <w:divBdr>
        <w:top w:val="none" w:sz="0" w:space="0" w:color="auto"/>
        <w:left w:val="none" w:sz="0" w:space="0" w:color="auto"/>
        <w:bottom w:val="none" w:sz="0" w:space="0" w:color="auto"/>
        <w:right w:val="none" w:sz="0" w:space="0" w:color="auto"/>
      </w:divBdr>
    </w:div>
    <w:div w:id="1921404656">
      <w:bodyDiv w:val="1"/>
      <w:marLeft w:val="0"/>
      <w:marRight w:val="0"/>
      <w:marTop w:val="0"/>
      <w:marBottom w:val="0"/>
      <w:divBdr>
        <w:top w:val="none" w:sz="0" w:space="0" w:color="auto"/>
        <w:left w:val="none" w:sz="0" w:space="0" w:color="auto"/>
        <w:bottom w:val="none" w:sz="0" w:space="0" w:color="auto"/>
        <w:right w:val="none" w:sz="0" w:space="0" w:color="auto"/>
      </w:divBdr>
    </w:div>
    <w:div w:id="1922594355">
      <w:bodyDiv w:val="1"/>
      <w:marLeft w:val="0"/>
      <w:marRight w:val="0"/>
      <w:marTop w:val="0"/>
      <w:marBottom w:val="0"/>
      <w:divBdr>
        <w:top w:val="none" w:sz="0" w:space="0" w:color="auto"/>
        <w:left w:val="none" w:sz="0" w:space="0" w:color="auto"/>
        <w:bottom w:val="none" w:sz="0" w:space="0" w:color="auto"/>
        <w:right w:val="none" w:sz="0" w:space="0" w:color="auto"/>
      </w:divBdr>
    </w:div>
    <w:div w:id="1922904073">
      <w:bodyDiv w:val="1"/>
      <w:marLeft w:val="0"/>
      <w:marRight w:val="0"/>
      <w:marTop w:val="0"/>
      <w:marBottom w:val="0"/>
      <w:divBdr>
        <w:top w:val="none" w:sz="0" w:space="0" w:color="auto"/>
        <w:left w:val="none" w:sz="0" w:space="0" w:color="auto"/>
        <w:bottom w:val="none" w:sz="0" w:space="0" w:color="auto"/>
        <w:right w:val="none" w:sz="0" w:space="0" w:color="auto"/>
      </w:divBdr>
    </w:div>
    <w:div w:id="1924408396">
      <w:bodyDiv w:val="1"/>
      <w:marLeft w:val="0"/>
      <w:marRight w:val="0"/>
      <w:marTop w:val="0"/>
      <w:marBottom w:val="0"/>
      <w:divBdr>
        <w:top w:val="none" w:sz="0" w:space="0" w:color="auto"/>
        <w:left w:val="none" w:sz="0" w:space="0" w:color="auto"/>
        <w:bottom w:val="none" w:sz="0" w:space="0" w:color="auto"/>
        <w:right w:val="none" w:sz="0" w:space="0" w:color="auto"/>
      </w:divBdr>
    </w:div>
    <w:div w:id="1924870745">
      <w:bodyDiv w:val="1"/>
      <w:marLeft w:val="0"/>
      <w:marRight w:val="0"/>
      <w:marTop w:val="0"/>
      <w:marBottom w:val="0"/>
      <w:divBdr>
        <w:top w:val="none" w:sz="0" w:space="0" w:color="auto"/>
        <w:left w:val="none" w:sz="0" w:space="0" w:color="auto"/>
        <w:bottom w:val="none" w:sz="0" w:space="0" w:color="auto"/>
        <w:right w:val="none" w:sz="0" w:space="0" w:color="auto"/>
      </w:divBdr>
    </w:div>
    <w:div w:id="1925189214">
      <w:bodyDiv w:val="1"/>
      <w:marLeft w:val="0"/>
      <w:marRight w:val="0"/>
      <w:marTop w:val="0"/>
      <w:marBottom w:val="0"/>
      <w:divBdr>
        <w:top w:val="none" w:sz="0" w:space="0" w:color="auto"/>
        <w:left w:val="none" w:sz="0" w:space="0" w:color="auto"/>
        <w:bottom w:val="none" w:sz="0" w:space="0" w:color="auto"/>
        <w:right w:val="none" w:sz="0" w:space="0" w:color="auto"/>
      </w:divBdr>
    </w:div>
    <w:div w:id="1925530890">
      <w:bodyDiv w:val="1"/>
      <w:marLeft w:val="0"/>
      <w:marRight w:val="0"/>
      <w:marTop w:val="0"/>
      <w:marBottom w:val="0"/>
      <w:divBdr>
        <w:top w:val="none" w:sz="0" w:space="0" w:color="auto"/>
        <w:left w:val="none" w:sz="0" w:space="0" w:color="auto"/>
        <w:bottom w:val="none" w:sz="0" w:space="0" w:color="auto"/>
        <w:right w:val="none" w:sz="0" w:space="0" w:color="auto"/>
      </w:divBdr>
    </w:div>
    <w:div w:id="1926647449">
      <w:bodyDiv w:val="1"/>
      <w:marLeft w:val="0"/>
      <w:marRight w:val="0"/>
      <w:marTop w:val="0"/>
      <w:marBottom w:val="0"/>
      <w:divBdr>
        <w:top w:val="none" w:sz="0" w:space="0" w:color="auto"/>
        <w:left w:val="none" w:sz="0" w:space="0" w:color="auto"/>
        <w:bottom w:val="none" w:sz="0" w:space="0" w:color="auto"/>
        <w:right w:val="none" w:sz="0" w:space="0" w:color="auto"/>
      </w:divBdr>
    </w:div>
    <w:div w:id="1926986653">
      <w:bodyDiv w:val="1"/>
      <w:marLeft w:val="0"/>
      <w:marRight w:val="0"/>
      <w:marTop w:val="0"/>
      <w:marBottom w:val="0"/>
      <w:divBdr>
        <w:top w:val="none" w:sz="0" w:space="0" w:color="auto"/>
        <w:left w:val="none" w:sz="0" w:space="0" w:color="auto"/>
        <w:bottom w:val="none" w:sz="0" w:space="0" w:color="auto"/>
        <w:right w:val="none" w:sz="0" w:space="0" w:color="auto"/>
      </w:divBdr>
    </w:div>
    <w:div w:id="1927152346">
      <w:bodyDiv w:val="1"/>
      <w:marLeft w:val="0"/>
      <w:marRight w:val="0"/>
      <w:marTop w:val="0"/>
      <w:marBottom w:val="0"/>
      <w:divBdr>
        <w:top w:val="none" w:sz="0" w:space="0" w:color="auto"/>
        <w:left w:val="none" w:sz="0" w:space="0" w:color="auto"/>
        <w:bottom w:val="none" w:sz="0" w:space="0" w:color="auto"/>
        <w:right w:val="none" w:sz="0" w:space="0" w:color="auto"/>
      </w:divBdr>
    </w:div>
    <w:div w:id="1928417460">
      <w:bodyDiv w:val="1"/>
      <w:marLeft w:val="0"/>
      <w:marRight w:val="0"/>
      <w:marTop w:val="0"/>
      <w:marBottom w:val="0"/>
      <w:divBdr>
        <w:top w:val="none" w:sz="0" w:space="0" w:color="auto"/>
        <w:left w:val="none" w:sz="0" w:space="0" w:color="auto"/>
        <w:bottom w:val="none" w:sz="0" w:space="0" w:color="auto"/>
        <w:right w:val="none" w:sz="0" w:space="0" w:color="auto"/>
      </w:divBdr>
    </w:div>
    <w:div w:id="1929458270">
      <w:bodyDiv w:val="1"/>
      <w:marLeft w:val="0"/>
      <w:marRight w:val="0"/>
      <w:marTop w:val="0"/>
      <w:marBottom w:val="0"/>
      <w:divBdr>
        <w:top w:val="none" w:sz="0" w:space="0" w:color="auto"/>
        <w:left w:val="none" w:sz="0" w:space="0" w:color="auto"/>
        <w:bottom w:val="none" w:sz="0" w:space="0" w:color="auto"/>
        <w:right w:val="none" w:sz="0" w:space="0" w:color="auto"/>
      </w:divBdr>
    </w:div>
    <w:div w:id="1929851667">
      <w:bodyDiv w:val="1"/>
      <w:marLeft w:val="0"/>
      <w:marRight w:val="0"/>
      <w:marTop w:val="0"/>
      <w:marBottom w:val="0"/>
      <w:divBdr>
        <w:top w:val="none" w:sz="0" w:space="0" w:color="auto"/>
        <w:left w:val="none" w:sz="0" w:space="0" w:color="auto"/>
        <w:bottom w:val="none" w:sz="0" w:space="0" w:color="auto"/>
        <w:right w:val="none" w:sz="0" w:space="0" w:color="auto"/>
      </w:divBdr>
    </w:div>
    <w:div w:id="1931505849">
      <w:bodyDiv w:val="1"/>
      <w:marLeft w:val="0"/>
      <w:marRight w:val="0"/>
      <w:marTop w:val="0"/>
      <w:marBottom w:val="0"/>
      <w:divBdr>
        <w:top w:val="none" w:sz="0" w:space="0" w:color="auto"/>
        <w:left w:val="none" w:sz="0" w:space="0" w:color="auto"/>
        <w:bottom w:val="none" w:sz="0" w:space="0" w:color="auto"/>
        <w:right w:val="none" w:sz="0" w:space="0" w:color="auto"/>
      </w:divBdr>
    </w:div>
    <w:div w:id="1931742741">
      <w:bodyDiv w:val="1"/>
      <w:marLeft w:val="0"/>
      <w:marRight w:val="0"/>
      <w:marTop w:val="0"/>
      <w:marBottom w:val="0"/>
      <w:divBdr>
        <w:top w:val="none" w:sz="0" w:space="0" w:color="auto"/>
        <w:left w:val="none" w:sz="0" w:space="0" w:color="auto"/>
        <w:bottom w:val="none" w:sz="0" w:space="0" w:color="auto"/>
        <w:right w:val="none" w:sz="0" w:space="0" w:color="auto"/>
      </w:divBdr>
    </w:div>
    <w:div w:id="1931961726">
      <w:bodyDiv w:val="1"/>
      <w:marLeft w:val="0"/>
      <w:marRight w:val="0"/>
      <w:marTop w:val="0"/>
      <w:marBottom w:val="0"/>
      <w:divBdr>
        <w:top w:val="none" w:sz="0" w:space="0" w:color="auto"/>
        <w:left w:val="none" w:sz="0" w:space="0" w:color="auto"/>
        <w:bottom w:val="none" w:sz="0" w:space="0" w:color="auto"/>
        <w:right w:val="none" w:sz="0" w:space="0" w:color="auto"/>
      </w:divBdr>
    </w:div>
    <w:div w:id="1932347857">
      <w:bodyDiv w:val="1"/>
      <w:marLeft w:val="0"/>
      <w:marRight w:val="0"/>
      <w:marTop w:val="0"/>
      <w:marBottom w:val="0"/>
      <w:divBdr>
        <w:top w:val="none" w:sz="0" w:space="0" w:color="auto"/>
        <w:left w:val="none" w:sz="0" w:space="0" w:color="auto"/>
        <w:bottom w:val="none" w:sz="0" w:space="0" w:color="auto"/>
        <w:right w:val="none" w:sz="0" w:space="0" w:color="auto"/>
      </w:divBdr>
    </w:div>
    <w:div w:id="1935162911">
      <w:bodyDiv w:val="1"/>
      <w:marLeft w:val="0"/>
      <w:marRight w:val="0"/>
      <w:marTop w:val="0"/>
      <w:marBottom w:val="0"/>
      <w:divBdr>
        <w:top w:val="none" w:sz="0" w:space="0" w:color="auto"/>
        <w:left w:val="none" w:sz="0" w:space="0" w:color="auto"/>
        <w:bottom w:val="none" w:sz="0" w:space="0" w:color="auto"/>
        <w:right w:val="none" w:sz="0" w:space="0" w:color="auto"/>
      </w:divBdr>
    </w:div>
    <w:div w:id="1935896181">
      <w:bodyDiv w:val="1"/>
      <w:marLeft w:val="0"/>
      <w:marRight w:val="0"/>
      <w:marTop w:val="0"/>
      <w:marBottom w:val="0"/>
      <w:divBdr>
        <w:top w:val="none" w:sz="0" w:space="0" w:color="auto"/>
        <w:left w:val="none" w:sz="0" w:space="0" w:color="auto"/>
        <w:bottom w:val="none" w:sz="0" w:space="0" w:color="auto"/>
        <w:right w:val="none" w:sz="0" w:space="0" w:color="auto"/>
      </w:divBdr>
    </w:div>
    <w:div w:id="1935938322">
      <w:bodyDiv w:val="1"/>
      <w:marLeft w:val="0"/>
      <w:marRight w:val="0"/>
      <w:marTop w:val="0"/>
      <w:marBottom w:val="0"/>
      <w:divBdr>
        <w:top w:val="none" w:sz="0" w:space="0" w:color="auto"/>
        <w:left w:val="none" w:sz="0" w:space="0" w:color="auto"/>
        <w:bottom w:val="none" w:sz="0" w:space="0" w:color="auto"/>
        <w:right w:val="none" w:sz="0" w:space="0" w:color="auto"/>
      </w:divBdr>
    </w:div>
    <w:div w:id="1937595665">
      <w:bodyDiv w:val="1"/>
      <w:marLeft w:val="0"/>
      <w:marRight w:val="0"/>
      <w:marTop w:val="0"/>
      <w:marBottom w:val="0"/>
      <w:divBdr>
        <w:top w:val="none" w:sz="0" w:space="0" w:color="auto"/>
        <w:left w:val="none" w:sz="0" w:space="0" w:color="auto"/>
        <w:bottom w:val="none" w:sz="0" w:space="0" w:color="auto"/>
        <w:right w:val="none" w:sz="0" w:space="0" w:color="auto"/>
      </w:divBdr>
    </w:div>
    <w:div w:id="1939676706">
      <w:bodyDiv w:val="1"/>
      <w:marLeft w:val="0"/>
      <w:marRight w:val="0"/>
      <w:marTop w:val="0"/>
      <w:marBottom w:val="0"/>
      <w:divBdr>
        <w:top w:val="none" w:sz="0" w:space="0" w:color="auto"/>
        <w:left w:val="none" w:sz="0" w:space="0" w:color="auto"/>
        <w:bottom w:val="none" w:sz="0" w:space="0" w:color="auto"/>
        <w:right w:val="none" w:sz="0" w:space="0" w:color="auto"/>
      </w:divBdr>
    </w:div>
    <w:div w:id="1939751161">
      <w:bodyDiv w:val="1"/>
      <w:marLeft w:val="0"/>
      <w:marRight w:val="0"/>
      <w:marTop w:val="0"/>
      <w:marBottom w:val="0"/>
      <w:divBdr>
        <w:top w:val="none" w:sz="0" w:space="0" w:color="auto"/>
        <w:left w:val="none" w:sz="0" w:space="0" w:color="auto"/>
        <w:bottom w:val="none" w:sz="0" w:space="0" w:color="auto"/>
        <w:right w:val="none" w:sz="0" w:space="0" w:color="auto"/>
      </w:divBdr>
    </w:div>
    <w:div w:id="1940211526">
      <w:bodyDiv w:val="1"/>
      <w:marLeft w:val="0"/>
      <w:marRight w:val="0"/>
      <w:marTop w:val="0"/>
      <w:marBottom w:val="0"/>
      <w:divBdr>
        <w:top w:val="none" w:sz="0" w:space="0" w:color="auto"/>
        <w:left w:val="none" w:sz="0" w:space="0" w:color="auto"/>
        <w:bottom w:val="none" w:sz="0" w:space="0" w:color="auto"/>
        <w:right w:val="none" w:sz="0" w:space="0" w:color="auto"/>
      </w:divBdr>
    </w:div>
    <w:div w:id="1944222382">
      <w:bodyDiv w:val="1"/>
      <w:marLeft w:val="0"/>
      <w:marRight w:val="0"/>
      <w:marTop w:val="0"/>
      <w:marBottom w:val="0"/>
      <w:divBdr>
        <w:top w:val="none" w:sz="0" w:space="0" w:color="auto"/>
        <w:left w:val="none" w:sz="0" w:space="0" w:color="auto"/>
        <w:bottom w:val="none" w:sz="0" w:space="0" w:color="auto"/>
        <w:right w:val="none" w:sz="0" w:space="0" w:color="auto"/>
      </w:divBdr>
    </w:div>
    <w:div w:id="1944259158">
      <w:bodyDiv w:val="1"/>
      <w:marLeft w:val="0"/>
      <w:marRight w:val="0"/>
      <w:marTop w:val="0"/>
      <w:marBottom w:val="0"/>
      <w:divBdr>
        <w:top w:val="none" w:sz="0" w:space="0" w:color="auto"/>
        <w:left w:val="none" w:sz="0" w:space="0" w:color="auto"/>
        <w:bottom w:val="none" w:sz="0" w:space="0" w:color="auto"/>
        <w:right w:val="none" w:sz="0" w:space="0" w:color="auto"/>
      </w:divBdr>
    </w:div>
    <w:div w:id="1945261492">
      <w:bodyDiv w:val="1"/>
      <w:marLeft w:val="0"/>
      <w:marRight w:val="0"/>
      <w:marTop w:val="0"/>
      <w:marBottom w:val="0"/>
      <w:divBdr>
        <w:top w:val="none" w:sz="0" w:space="0" w:color="auto"/>
        <w:left w:val="none" w:sz="0" w:space="0" w:color="auto"/>
        <w:bottom w:val="none" w:sz="0" w:space="0" w:color="auto"/>
        <w:right w:val="none" w:sz="0" w:space="0" w:color="auto"/>
      </w:divBdr>
    </w:div>
    <w:div w:id="1947804843">
      <w:bodyDiv w:val="1"/>
      <w:marLeft w:val="0"/>
      <w:marRight w:val="0"/>
      <w:marTop w:val="0"/>
      <w:marBottom w:val="0"/>
      <w:divBdr>
        <w:top w:val="none" w:sz="0" w:space="0" w:color="auto"/>
        <w:left w:val="none" w:sz="0" w:space="0" w:color="auto"/>
        <w:bottom w:val="none" w:sz="0" w:space="0" w:color="auto"/>
        <w:right w:val="none" w:sz="0" w:space="0" w:color="auto"/>
      </w:divBdr>
    </w:div>
    <w:div w:id="1947885654">
      <w:bodyDiv w:val="1"/>
      <w:marLeft w:val="0"/>
      <w:marRight w:val="0"/>
      <w:marTop w:val="0"/>
      <w:marBottom w:val="0"/>
      <w:divBdr>
        <w:top w:val="none" w:sz="0" w:space="0" w:color="auto"/>
        <w:left w:val="none" w:sz="0" w:space="0" w:color="auto"/>
        <w:bottom w:val="none" w:sz="0" w:space="0" w:color="auto"/>
        <w:right w:val="none" w:sz="0" w:space="0" w:color="auto"/>
      </w:divBdr>
    </w:div>
    <w:div w:id="1947930426">
      <w:bodyDiv w:val="1"/>
      <w:marLeft w:val="0"/>
      <w:marRight w:val="0"/>
      <w:marTop w:val="0"/>
      <w:marBottom w:val="0"/>
      <w:divBdr>
        <w:top w:val="none" w:sz="0" w:space="0" w:color="auto"/>
        <w:left w:val="none" w:sz="0" w:space="0" w:color="auto"/>
        <w:bottom w:val="none" w:sz="0" w:space="0" w:color="auto"/>
        <w:right w:val="none" w:sz="0" w:space="0" w:color="auto"/>
      </w:divBdr>
    </w:div>
    <w:div w:id="1948658510">
      <w:bodyDiv w:val="1"/>
      <w:marLeft w:val="0"/>
      <w:marRight w:val="0"/>
      <w:marTop w:val="0"/>
      <w:marBottom w:val="0"/>
      <w:divBdr>
        <w:top w:val="none" w:sz="0" w:space="0" w:color="auto"/>
        <w:left w:val="none" w:sz="0" w:space="0" w:color="auto"/>
        <w:bottom w:val="none" w:sz="0" w:space="0" w:color="auto"/>
        <w:right w:val="none" w:sz="0" w:space="0" w:color="auto"/>
      </w:divBdr>
    </w:div>
    <w:div w:id="1949072285">
      <w:bodyDiv w:val="1"/>
      <w:marLeft w:val="0"/>
      <w:marRight w:val="0"/>
      <w:marTop w:val="0"/>
      <w:marBottom w:val="0"/>
      <w:divBdr>
        <w:top w:val="none" w:sz="0" w:space="0" w:color="auto"/>
        <w:left w:val="none" w:sz="0" w:space="0" w:color="auto"/>
        <w:bottom w:val="none" w:sz="0" w:space="0" w:color="auto"/>
        <w:right w:val="none" w:sz="0" w:space="0" w:color="auto"/>
      </w:divBdr>
    </w:div>
    <w:div w:id="1949191444">
      <w:bodyDiv w:val="1"/>
      <w:marLeft w:val="0"/>
      <w:marRight w:val="0"/>
      <w:marTop w:val="0"/>
      <w:marBottom w:val="0"/>
      <w:divBdr>
        <w:top w:val="none" w:sz="0" w:space="0" w:color="auto"/>
        <w:left w:val="none" w:sz="0" w:space="0" w:color="auto"/>
        <w:bottom w:val="none" w:sz="0" w:space="0" w:color="auto"/>
        <w:right w:val="none" w:sz="0" w:space="0" w:color="auto"/>
      </w:divBdr>
    </w:div>
    <w:div w:id="1949851549">
      <w:bodyDiv w:val="1"/>
      <w:marLeft w:val="0"/>
      <w:marRight w:val="0"/>
      <w:marTop w:val="0"/>
      <w:marBottom w:val="0"/>
      <w:divBdr>
        <w:top w:val="none" w:sz="0" w:space="0" w:color="auto"/>
        <w:left w:val="none" w:sz="0" w:space="0" w:color="auto"/>
        <w:bottom w:val="none" w:sz="0" w:space="0" w:color="auto"/>
        <w:right w:val="none" w:sz="0" w:space="0" w:color="auto"/>
      </w:divBdr>
    </w:div>
    <w:div w:id="1949851938">
      <w:bodyDiv w:val="1"/>
      <w:marLeft w:val="0"/>
      <w:marRight w:val="0"/>
      <w:marTop w:val="0"/>
      <w:marBottom w:val="0"/>
      <w:divBdr>
        <w:top w:val="none" w:sz="0" w:space="0" w:color="auto"/>
        <w:left w:val="none" w:sz="0" w:space="0" w:color="auto"/>
        <w:bottom w:val="none" w:sz="0" w:space="0" w:color="auto"/>
        <w:right w:val="none" w:sz="0" w:space="0" w:color="auto"/>
      </w:divBdr>
    </w:div>
    <w:div w:id="1952276801">
      <w:bodyDiv w:val="1"/>
      <w:marLeft w:val="0"/>
      <w:marRight w:val="0"/>
      <w:marTop w:val="0"/>
      <w:marBottom w:val="0"/>
      <w:divBdr>
        <w:top w:val="none" w:sz="0" w:space="0" w:color="auto"/>
        <w:left w:val="none" w:sz="0" w:space="0" w:color="auto"/>
        <w:bottom w:val="none" w:sz="0" w:space="0" w:color="auto"/>
        <w:right w:val="none" w:sz="0" w:space="0" w:color="auto"/>
      </w:divBdr>
    </w:div>
    <w:div w:id="1952782214">
      <w:bodyDiv w:val="1"/>
      <w:marLeft w:val="0"/>
      <w:marRight w:val="0"/>
      <w:marTop w:val="0"/>
      <w:marBottom w:val="0"/>
      <w:divBdr>
        <w:top w:val="none" w:sz="0" w:space="0" w:color="auto"/>
        <w:left w:val="none" w:sz="0" w:space="0" w:color="auto"/>
        <w:bottom w:val="none" w:sz="0" w:space="0" w:color="auto"/>
        <w:right w:val="none" w:sz="0" w:space="0" w:color="auto"/>
      </w:divBdr>
    </w:div>
    <w:div w:id="1954244671">
      <w:bodyDiv w:val="1"/>
      <w:marLeft w:val="0"/>
      <w:marRight w:val="0"/>
      <w:marTop w:val="0"/>
      <w:marBottom w:val="0"/>
      <w:divBdr>
        <w:top w:val="none" w:sz="0" w:space="0" w:color="auto"/>
        <w:left w:val="none" w:sz="0" w:space="0" w:color="auto"/>
        <w:bottom w:val="none" w:sz="0" w:space="0" w:color="auto"/>
        <w:right w:val="none" w:sz="0" w:space="0" w:color="auto"/>
      </w:divBdr>
    </w:div>
    <w:div w:id="1955673680">
      <w:bodyDiv w:val="1"/>
      <w:marLeft w:val="0"/>
      <w:marRight w:val="0"/>
      <w:marTop w:val="0"/>
      <w:marBottom w:val="0"/>
      <w:divBdr>
        <w:top w:val="none" w:sz="0" w:space="0" w:color="auto"/>
        <w:left w:val="none" w:sz="0" w:space="0" w:color="auto"/>
        <w:bottom w:val="none" w:sz="0" w:space="0" w:color="auto"/>
        <w:right w:val="none" w:sz="0" w:space="0" w:color="auto"/>
      </w:divBdr>
    </w:div>
    <w:div w:id="1955792088">
      <w:bodyDiv w:val="1"/>
      <w:marLeft w:val="0"/>
      <w:marRight w:val="0"/>
      <w:marTop w:val="0"/>
      <w:marBottom w:val="0"/>
      <w:divBdr>
        <w:top w:val="none" w:sz="0" w:space="0" w:color="auto"/>
        <w:left w:val="none" w:sz="0" w:space="0" w:color="auto"/>
        <w:bottom w:val="none" w:sz="0" w:space="0" w:color="auto"/>
        <w:right w:val="none" w:sz="0" w:space="0" w:color="auto"/>
      </w:divBdr>
    </w:div>
    <w:div w:id="1956133193">
      <w:bodyDiv w:val="1"/>
      <w:marLeft w:val="0"/>
      <w:marRight w:val="0"/>
      <w:marTop w:val="0"/>
      <w:marBottom w:val="0"/>
      <w:divBdr>
        <w:top w:val="none" w:sz="0" w:space="0" w:color="auto"/>
        <w:left w:val="none" w:sz="0" w:space="0" w:color="auto"/>
        <w:bottom w:val="none" w:sz="0" w:space="0" w:color="auto"/>
        <w:right w:val="none" w:sz="0" w:space="0" w:color="auto"/>
      </w:divBdr>
    </w:div>
    <w:div w:id="1956517152">
      <w:bodyDiv w:val="1"/>
      <w:marLeft w:val="0"/>
      <w:marRight w:val="0"/>
      <w:marTop w:val="0"/>
      <w:marBottom w:val="0"/>
      <w:divBdr>
        <w:top w:val="none" w:sz="0" w:space="0" w:color="auto"/>
        <w:left w:val="none" w:sz="0" w:space="0" w:color="auto"/>
        <w:bottom w:val="none" w:sz="0" w:space="0" w:color="auto"/>
        <w:right w:val="none" w:sz="0" w:space="0" w:color="auto"/>
      </w:divBdr>
    </w:div>
    <w:div w:id="1960455443">
      <w:bodyDiv w:val="1"/>
      <w:marLeft w:val="0"/>
      <w:marRight w:val="0"/>
      <w:marTop w:val="0"/>
      <w:marBottom w:val="0"/>
      <w:divBdr>
        <w:top w:val="none" w:sz="0" w:space="0" w:color="auto"/>
        <w:left w:val="none" w:sz="0" w:space="0" w:color="auto"/>
        <w:bottom w:val="none" w:sz="0" w:space="0" w:color="auto"/>
        <w:right w:val="none" w:sz="0" w:space="0" w:color="auto"/>
      </w:divBdr>
    </w:div>
    <w:div w:id="1960721343">
      <w:bodyDiv w:val="1"/>
      <w:marLeft w:val="0"/>
      <w:marRight w:val="0"/>
      <w:marTop w:val="0"/>
      <w:marBottom w:val="0"/>
      <w:divBdr>
        <w:top w:val="none" w:sz="0" w:space="0" w:color="auto"/>
        <w:left w:val="none" w:sz="0" w:space="0" w:color="auto"/>
        <w:bottom w:val="none" w:sz="0" w:space="0" w:color="auto"/>
        <w:right w:val="none" w:sz="0" w:space="0" w:color="auto"/>
      </w:divBdr>
    </w:div>
    <w:div w:id="1961565086">
      <w:bodyDiv w:val="1"/>
      <w:marLeft w:val="0"/>
      <w:marRight w:val="0"/>
      <w:marTop w:val="0"/>
      <w:marBottom w:val="0"/>
      <w:divBdr>
        <w:top w:val="none" w:sz="0" w:space="0" w:color="auto"/>
        <w:left w:val="none" w:sz="0" w:space="0" w:color="auto"/>
        <w:bottom w:val="none" w:sz="0" w:space="0" w:color="auto"/>
        <w:right w:val="none" w:sz="0" w:space="0" w:color="auto"/>
      </w:divBdr>
    </w:div>
    <w:div w:id="1961763718">
      <w:bodyDiv w:val="1"/>
      <w:marLeft w:val="0"/>
      <w:marRight w:val="0"/>
      <w:marTop w:val="0"/>
      <w:marBottom w:val="0"/>
      <w:divBdr>
        <w:top w:val="none" w:sz="0" w:space="0" w:color="auto"/>
        <w:left w:val="none" w:sz="0" w:space="0" w:color="auto"/>
        <w:bottom w:val="none" w:sz="0" w:space="0" w:color="auto"/>
        <w:right w:val="none" w:sz="0" w:space="0" w:color="auto"/>
      </w:divBdr>
    </w:div>
    <w:div w:id="1961767507">
      <w:bodyDiv w:val="1"/>
      <w:marLeft w:val="0"/>
      <w:marRight w:val="0"/>
      <w:marTop w:val="0"/>
      <w:marBottom w:val="0"/>
      <w:divBdr>
        <w:top w:val="none" w:sz="0" w:space="0" w:color="auto"/>
        <w:left w:val="none" w:sz="0" w:space="0" w:color="auto"/>
        <w:bottom w:val="none" w:sz="0" w:space="0" w:color="auto"/>
        <w:right w:val="none" w:sz="0" w:space="0" w:color="auto"/>
      </w:divBdr>
    </w:div>
    <w:div w:id="1962030944">
      <w:bodyDiv w:val="1"/>
      <w:marLeft w:val="0"/>
      <w:marRight w:val="0"/>
      <w:marTop w:val="0"/>
      <w:marBottom w:val="0"/>
      <w:divBdr>
        <w:top w:val="none" w:sz="0" w:space="0" w:color="auto"/>
        <w:left w:val="none" w:sz="0" w:space="0" w:color="auto"/>
        <w:bottom w:val="none" w:sz="0" w:space="0" w:color="auto"/>
        <w:right w:val="none" w:sz="0" w:space="0" w:color="auto"/>
      </w:divBdr>
    </w:div>
    <w:div w:id="1963536669">
      <w:bodyDiv w:val="1"/>
      <w:marLeft w:val="0"/>
      <w:marRight w:val="0"/>
      <w:marTop w:val="0"/>
      <w:marBottom w:val="0"/>
      <w:divBdr>
        <w:top w:val="none" w:sz="0" w:space="0" w:color="auto"/>
        <w:left w:val="none" w:sz="0" w:space="0" w:color="auto"/>
        <w:bottom w:val="none" w:sz="0" w:space="0" w:color="auto"/>
        <w:right w:val="none" w:sz="0" w:space="0" w:color="auto"/>
      </w:divBdr>
    </w:div>
    <w:div w:id="1964997363">
      <w:bodyDiv w:val="1"/>
      <w:marLeft w:val="0"/>
      <w:marRight w:val="0"/>
      <w:marTop w:val="0"/>
      <w:marBottom w:val="0"/>
      <w:divBdr>
        <w:top w:val="none" w:sz="0" w:space="0" w:color="auto"/>
        <w:left w:val="none" w:sz="0" w:space="0" w:color="auto"/>
        <w:bottom w:val="none" w:sz="0" w:space="0" w:color="auto"/>
        <w:right w:val="none" w:sz="0" w:space="0" w:color="auto"/>
      </w:divBdr>
    </w:div>
    <w:div w:id="1965038802">
      <w:bodyDiv w:val="1"/>
      <w:marLeft w:val="0"/>
      <w:marRight w:val="0"/>
      <w:marTop w:val="0"/>
      <w:marBottom w:val="0"/>
      <w:divBdr>
        <w:top w:val="none" w:sz="0" w:space="0" w:color="auto"/>
        <w:left w:val="none" w:sz="0" w:space="0" w:color="auto"/>
        <w:bottom w:val="none" w:sz="0" w:space="0" w:color="auto"/>
        <w:right w:val="none" w:sz="0" w:space="0" w:color="auto"/>
      </w:divBdr>
    </w:div>
    <w:div w:id="1965691349">
      <w:bodyDiv w:val="1"/>
      <w:marLeft w:val="0"/>
      <w:marRight w:val="0"/>
      <w:marTop w:val="0"/>
      <w:marBottom w:val="0"/>
      <w:divBdr>
        <w:top w:val="none" w:sz="0" w:space="0" w:color="auto"/>
        <w:left w:val="none" w:sz="0" w:space="0" w:color="auto"/>
        <w:bottom w:val="none" w:sz="0" w:space="0" w:color="auto"/>
        <w:right w:val="none" w:sz="0" w:space="0" w:color="auto"/>
      </w:divBdr>
    </w:div>
    <w:div w:id="1966302913">
      <w:bodyDiv w:val="1"/>
      <w:marLeft w:val="0"/>
      <w:marRight w:val="0"/>
      <w:marTop w:val="0"/>
      <w:marBottom w:val="0"/>
      <w:divBdr>
        <w:top w:val="none" w:sz="0" w:space="0" w:color="auto"/>
        <w:left w:val="none" w:sz="0" w:space="0" w:color="auto"/>
        <w:bottom w:val="none" w:sz="0" w:space="0" w:color="auto"/>
        <w:right w:val="none" w:sz="0" w:space="0" w:color="auto"/>
      </w:divBdr>
    </w:div>
    <w:div w:id="1968122171">
      <w:bodyDiv w:val="1"/>
      <w:marLeft w:val="0"/>
      <w:marRight w:val="0"/>
      <w:marTop w:val="0"/>
      <w:marBottom w:val="0"/>
      <w:divBdr>
        <w:top w:val="none" w:sz="0" w:space="0" w:color="auto"/>
        <w:left w:val="none" w:sz="0" w:space="0" w:color="auto"/>
        <w:bottom w:val="none" w:sz="0" w:space="0" w:color="auto"/>
        <w:right w:val="none" w:sz="0" w:space="0" w:color="auto"/>
      </w:divBdr>
    </w:div>
    <w:div w:id="1968195055">
      <w:bodyDiv w:val="1"/>
      <w:marLeft w:val="0"/>
      <w:marRight w:val="0"/>
      <w:marTop w:val="0"/>
      <w:marBottom w:val="0"/>
      <w:divBdr>
        <w:top w:val="none" w:sz="0" w:space="0" w:color="auto"/>
        <w:left w:val="none" w:sz="0" w:space="0" w:color="auto"/>
        <w:bottom w:val="none" w:sz="0" w:space="0" w:color="auto"/>
        <w:right w:val="none" w:sz="0" w:space="0" w:color="auto"/>
      </w:divBdr>
    </w:div>
    <w:div w:id="1968317692">
      <w:bodyDiv w:val="1"/>
      <w:marLeft w:val="0"/>
      <w:marRight w:val="0"/>
      <w:marTop w:val="0"/>
      <w:marBottom w:val="0"/>
      <w:divBdr>
        <w:top w:val="none" w:sz="0" w:space="0" w:color="auto"/>
        <w:left w:val="none" w:sz="0" w:space="0" w:color="auto"/>
        <w:bottom w:val="none" w:sz="0" w:space="0" w:color="auto"/>
        <w:right w:val="none" w:sz="0" w:space="0" w:color="auto"/>
      </w:divBdr>
    </w:div>
    <w:div w:id="1968505588">
      <w:bodyDiv w:val="1"/>
      <w:marLeft w:val="0"/>
      <w:marRight w:val="0"/>
      <w:marTop w:val="0"/>
      <w:marBottom w:val="0"/>
      <w:divBdr>
        <w:top w:val="none" w:sz="0" w:space="0" w:color="auto"/>
        <w:left w:val="none" w:sz="0" w:space="0" w:color="auto"/>
        <w:bottom w:val="none" w:sz="0" w:space="0" w:color="auto"/>
        <w:right w:val="none" w:sz="0" w:space="0" w:color="auto"/>
      </w:divBdr>
    </w:div>
    <w:div w:id="1968512110">
      <w:bodyDiv w:val="1"/>
      <w:marLeft w:val="0"/>
      <w:marRight w:val="0"/>
      <w:marTop w:val="0"/>
      <w:marBottom w:val="0"/>
      <w:divBdr>
        <w:top w:val="none" w:sz="0" w:space="0" w:color="auto"/>
        <w:left w:val="none" w:sz="0" w:space="0" w:color="auto"/>
        <w:bottom w:val="none" w:sz="0" w:space="0" w:color="auto"/>
        <w:right w:val="none" w:sz="0" w:space="0" w:color="auto"/>
      </w:divBdr>
    </w:div>
    <w:div w:id="1968775087">
      <w:bodyDiv w:val="1"/>
      <w:marLeft w:val="0"/>
      <w:marRight w:val="0"/>
      <w:marTop w:val="0"/>
      <w:marBottom w:val="0"/>
      <w:divBdr>
        <w:top w:val="none" w:sz="0" w:space="0" w:color="auto"/>
        <w:left w:val="none" w:sz="0" w:space="0" w:color="auto"/>
        <w:bottom w:val="none" w:sz="0" w:space="0" w:color="auto"/>
        <w:right w:val="none" w:sz="0" w:space="0" w:color="auto"/>
      </w:divBdr>
    </w:div>
    <w:div w:id="1970934048">
      <w:bodyDiv w:val="1"/>
      <w:marLeft w:val="0"/>
      <w:marRight w:val="0"/>
      <w:marTop w:val="0"/>
      <w:marBottom w:val="0"/>
      <w:divBdr>
        <w:top w:val="none" w:sz="0" w:space="0" w:color="auto"/>
        <w:left w:val="none" w:sz="0" w:space="0" w:color="auto"/>
        <w:bottom w:val="none" w:sz="0" w:space="0" w:color="auto"/>
        <w:right w:val="none" w:sz="0" w:space="0" w:color="auto"/>
      </w:divBdr>
    </w:div>
    <w:div w:id="1972974486">
      <w:bodyDiv w:val="1"/>
      <w:marLeft w:val="0"/>
      <w:marRight w:val="0"/>
      <w:marTop w:val="0"/>
      <w:marBottom w:val="0"/>
      <w:divBdr>
        <w:top w:val="none" w:sz="0" w:space="0" w:color="auto"/>
        <w:left w:val="none" w:sz="0" w:space="0" w:color="auto"/>
        <w:bottom w:val="none" w:sz="0" w:space="0" w:color="auto"/>
        <w:right w:val="none" w:sz="0" w:space="0" w:color="auto"/>
      </w:divBdr>
    </w:div>
    <w:div w:id="1973710071">
      <w:bodyDiv w:val="1"/>
      <w:marLeft w:val="0"/>
      <w:marRight w:val="0"/>
      <w:marTop w:val="0"/>
      <w:marBottom w:val="0"/>
      <w:divBdr>
        <w:top w:val="none" w:sz="0" w:space="0" w:color="auto"/>
        <w:left w:val="none" w:sz="0" w:space="0" w:color="auto"/>
        <w:bottom w:val="none" w:sz="0" w:space="0" w:color="auto"/>
        <w:right w:val="none" w:sz="0" w:space="0" w:color="auto"/>
      </w:divBdr>
    </w:div>
    <w:div w:id="1974166313">
      <w:bodyDiv w:val="1"/>
      <w:marLeft w:val="0"/>
      <w:marRight w:val="0"/>
      <w:marTop w:val="0"/>
      <w:marBottom w:val="0"/>
      <w:divBdr>
        <w:top w:val="none" w:sz="0" w:space="0" w:color="auto"/>
        <w:left w:val="none" w:sz="0" w:space="0" w:color="auto"/>
        <w:bottom w:val="none" w:sz="0" w:space="0" w:color="auto"/>
        <w:right w:val="none" w:sz="0" w:space="0" w:color="auto"/>
      </w:divBdr>
    </w:div>
    <w:div w:id="1975021246">
      <w:bodyDiv w:val="1"/>
      <w:marLeft w:val="0"/>
      <w:marRight w:val="0"/>
      <w:marTop w:val="0"/>
      <w:marBottom w:val="0"/>
      <w:divBdr>
        <w:top w:val="none" w:sz="0" w:space="0" w:color="auto"/>
        <w:left w:val="none" w:sz="0" w:space="0" w:color="auto"/>
        <w:bottom w:val="none" w:sz="0" w:space="0" w:color="auto"/>
        <w:right w:val="none" w:sz="0" w:space="0" w:color="auto"/>
      </w:divBdr>
    </w:div>
    <w:div w:id="1978340426">
      <w:bodyDiv w:val="1"/>
      <w:marLeft w:val="0"/>
      <w:marRight w:val="0"/>
      <w:marTop w:val="0"/>
      <w:marBottom w:val="0"/>
      <w:divBdr>
        <w:top w:val="none" w:sz="0" w:space="0" w:color="auto"/>
        <w:left w:val="none" w:sz="0" w:space="0" w:color="auto"/>
        <w:bottom w:val="none" w:sz="0" w:space="0" w:color="auto"/>
        <w:right w:val="none" w:sz="0" w:space="0" w:color="auto"/>
      </w:divBdr>
    </w:div>
    <w:div w:id="1978486110">
      <w:bodyDiv w:val="1"/>
      <w:marLeft w:val="0"/>
      <w:marRight w:val="0"/>
      <w:marTop w:val="0"/>
      <w:marBottom w:val="0"/>
      <w:divBdr>
        <w:top w:val="none" w:sz="0" w:space="0" w:color="auto"/>
        <w:left w:val="none" w:sz="0" w:space="0" w:color="auto"/>
        <w:bottom w:val="none" w:sz="0" w:space="0" w:color="auto"/>
        <w:right w:val="none" w:sz="0" w:space="0" w:color="auto"/>
      </w:divBdr>
    </w:div>
    <w:div w:id="1979719795">
      <w:bodyDiv w:val="1"/>
      <w:marLeft w:val="0"/>
      <w:marRight w:val="0"/>
      <w:marTop w:val="0"/>
      <w:marBottom w:val="0"/>
      <w:divBdr>
        <w:top w:val="none" w:sz="0" w:space="0" w:color="auto"/>
        <w:left w:val="none" w:sz="0" w:space="0" w:color="auto"/>
        <w:bottom w:val="none" w:sz="0" w:space="0" w:color="auto"/>
        <w:right w:val="none" w:sz="0" w:space="0" w:color="auto"/>
      </w:divBdr>
    </w:div>
    <w:div w:id="1979801341">
      <w:bodyDiv w:val="1"/>
      <w:marLeft w:val="0"/>
      <w:marRight w:val="0"/>
      <w:marTop w:val="0"/>
      <w:marBottom w:val="0"/>
      <w:divBdr>
        <w:top w:val="none" w:sz="0" w:space="0" w:color="auto"/>
        <w:left w:val="none" w:sz="0" w:space="0" w:color="auto"/>
        <w:bottom w:val="none" w:sz="0" w:space="0" w:color="auto"/>
        <w:right w:val="none" w:sz="0" w:space="0" w:color="auto"/>
      </w:divBdr>
    </w:div>
    <w:div w:id="1979872535">
      <w:bodyDiv w:val="1"/>
      <w:marLeft w:val="0"/>
      <w:marRight w:val="0"/>
      <w:marTop w:val="0"/>
      <w:marBottom w:val="0"/>
      <w:divBdr>
        <w:top w:val="none" w:sz="0" w:space="0" w:color="auto"/>
        <w:left w:val="none" w:sz="0" w:space="0" w:color="auto"/>
        <w:bottom w:val="none" w:sz="0" w:space="0" w:color="auto"/>
        <w:right w:val="none" w:sz="0" w:space="0" w:color="auto"/>
      </w:divBdr>
    </w:div>
    <w:div w:id="1981420330">
      <w:bodyDiv w:val="1"/>
      <w:marLeft w:val="0"/>
      <w:marRight w:val="0"/>
      <w:marTop w:val="0"/>
      <w:marBottom w:val="0"/>
      <w:divBdr>
        <w:top w:val="none" w:sz="0" w:space="0" w:color="auto"/>
        <w:left w:val="none" w:sz="0" w:space="0" w:color="auto"/>
        <w:bottom w:val="none" w:sz="0" w:space="0" w:color="auto"/>
        <w:right w:val="none" w:sz="0" w:space="0" w:color="auto"/>
      </w:divBdr>
    </w:div>
    <w:div w:id="1982417698">
      <w:bodyDiv w:val="1"/>
      <w:marLeft w:val="0"/>
      <w:marRight w:val="0"/>
      <w:marTop w:val="0"/>
      <w:marBottom w:val="0"/>
      <w:divBdr>
        <w:top w:val="none" w:sz="0" w:space="0" w:color="auto"/>
        <w:left w:val="none" w:sz="0" w:space="0" w:color="auto"/>
        <w:bottom w:val="none" w:sz="0" w:space="0" w:color="auto"/>
        <w:right w:val="none" w:sz="0" w:space="0" w:color="auto"/>
      </w:divBdr>
    </w:div>
    <w:div w:id="1982464454">
      <w:bodyDiv w:val="1"/>
      <w:marLeft w:val="0"/>
      <w:marRight w:val="0"/>
      <w:marTop w:val="0"/>
      <w:marBottom w:val="0"/>
      <w:divBdr>
        <w:top w:val="none" w:sz="0" w:space="0" w:color="auto"/>
        <w:left w:val="none" w:sz="0" w:space="0" w:color="auto"/>
        <w:bottom w:val="none" w:sz="0" w:space="0" w:color="auto"/>
        <w:right w:val="none" w:sz="0" w:space="0" w:color="auto"/>
      </w:divBdr>
    </w:div>
    <w:div w:id="1983151092">
      <w:bodyDiv w:val="1"/>
      <w:marLeft w:val="0"/>
      <w:marRight w:val="0"/>
      <w:marTop w:val="0"/>
      <w:marBottom w:val="0"/>
      <w:divBdr>
        <w:top w:val="none" w:sz="0" w:space="0" w:color="auto"/>
        <w:left w:val="none" w:sz="0" w:space="0" w:color="auto"/>
        <w:bottom w:val="none" w:sz="0" w:space="0" w:color="auto"/>
        <w:right w:val="none" w:sz="0" w:space="0" w:color="auto"/>
      </w:divBdr>
    </w:div>
    <w:div w:id="1983195778">
      <w:bodyDiv w:val="1"/>
      <w:marLeft w:val="0"/>
      <w:marRight w:val="0"/>
      <w:marTop w:val="0"/>
      <w:marBottom w:val="0"/>
      <w:divBdr>
        <w:top w:val="none" w:sz="0" w:space="0" w:color="auto"/>
        <w:left w:val="none" w:sz="0" w:space="0" w:color="auto"/>
        <w:bottom w:val="none" w:sz="0" w:space="0" w:color="auto"/>
        <w:right w:val="none" w:sz="0" w:space="0" w:color="auto"/>
      </w:divBdr>
    </w:div>
    <w:div w:id="1983533383">
      <w:bodyDiv w:val="1"/>
      <w:marLeft w:val="0"/>
      <w:marRight w:val="0"/>
      <w:marTop w:val="0"/>
      <w:marBottom w:val="0"/>
      <w:divBdr>
        <w:top w:val="none" w:sz="0" w:space="0" w:color="auto"/>
        <w:left w:val="none" w:sz="0" w:space="0" w:color="auto"/>
        <w:bottom w:val="none" w:sz="0" w:space="0" w:color="auto"/>
        <w:right w:val="none" w:sz="0" w:space="0" w:color="auto"/>
      </w:divBdr>
    </w:div>
    <w:div w:id="1984433129">
      <w:bodyDiv w:val="1"/>
      <w:marLeft w:val="0"/>
      <w:marRight w:val="0"/>
      <w:marTop w:val="0"/>
      <w:marBottom w:val="0"/>
      <w:divBdr>
        <w:top w:val="none" w:sz="0" w:space="0" w:color="auto"/>
        <w:left w:val="none" w:sz="0" w:space="0" w:color="auto"/>
        <w:bottom w:val="none" w:sz="0" w:space="0" w:color="auto"/>
        <w:right w:val="none" w:sz="0" w:space="0" w:color="auto"/>
      </w:divBdr>
    </w:div>
    <w:div w:id="1984507846">
      <w:bodyDiv w:val="1"/>
      <w:marLeft w:val="0"/>
      <w:marRight w:val="0"/>
      <w:marTop w:val="0"/>
      <w:marBottom w:val="0"/>
      <w:divBdr>
        <w:top w:val="none" w:sz="0" w:space="0" w:color="auto"/>
        <w:left w:val="none" w:sz="0" w:space="0" w:color="auto"/>
        <w:bottom w:val="none" w:sz="0" w:space="0" w:color="auto"/>
        <w:right w:val="none" w:sz="0" w:space="0" w:color="auto"/>
      </w:divBdr>
    </w:div>
    <w:div w:id="1984695224">
      <w:bodyDiv w:val="1"/>
      <w:marLeft w:val="0"/>
      <w:marRight w:val="0"/>
      <w:marTop w:val="0"/>
      <w:marBottom w:val="0"/>
      <w:divBdr>
        <w:top w:val="none" w:sz="0" w:space="0" w:color="auto"/>
        <w:left w:val="none" w:sz="0" w:space="0" w:color="auto"/>
        <w:bottom w:val="none" w:sz="0" w:space="0" w:color="auto"/>
        <w:right w:val="none" w:sz="0" w:space="0" w:color="auto"/>
      </w:divBdr>
    </w:div>
    <w:div w:id="1985772937">
      <w:bodyDiv w:val="1"/>
      <w:marLeft w:val="0"/>
      <w:marRight w:val="0"/>
      <w:marTop w:val="0"/>
      <w:marBottom w:val="0"/>
      <w:divBdr>
        <w:top w:val="none" w:sz="0" w:space="0" w:color="auto"/>
        <w:left w:val="none" w:sz="0" w:space="0" w:color="auto"/>
        <w:bottom w:val="none" w:sz="0" w:space="0" w:color="auto"/>
        <w:right w:val="none" w:sz="0" w:space="0" w:color="auto"/>
      </w:divBdr>
    </w:div>
    <w:div w:id="1986857422">
      <w:bodyDiv w:val="1"/>
      <w:marLeft w:val="0"/>
      <w:marRight w:val="0"/>
      <w:marTop w:val="0"/>
      <w:marBottom w:val="0"/>
      <w:divBdr>
        <w:top w:val="none" w:sz="0" w:space="0" w:color="auto"/>
        <w:left w:val="none" w:sz="0" w:space="0" w:color="auto"/>
        <w:bottom w:val="none" w:sz="0" w:space="0" w:color="auto"/>
        <w:right w:val="none" w:sz="0" w:space="0" w:color="auto"/>
      </w:divBdr>
    </w:div>
    <w:div w:id="1987588654">
      <w:bodyDiv w:val="1"/>
      <w:marLeft w:val="0"/>
      <w:marRight w:val="0"/>
      <w:marTop w:val="0"/>
      <w:marBottom w:val="0"/>
      <w:divBdr>
        <w:top w:val="none" w:sz="0" w:space="0" w:color="auto"/>
        <w:left w:val="none" w:sz="0" w:space="0" w:color="auto"/>
        <w:bottom w:val="none" w:sz="0" w:space="0" w:color="auto"/>
        <w:right w:val="none" w:sz="0" w:space="0" w:color="auto"/>
      </w:divBdr>
    </w:div>
    <w:div w:id="1988046555">
      <w:bodyDiv w:val="1"/>
      <w:marLeft w:val="0"/>
      <w:marRight w:val="0"/>
      <w:marTop w:val="0"/>
      <w:marBottom w:val="0"/>
      <w:divBdr>
        <w:top w:val="none" w:sz="0" w:space="0" w:color="auto"/>
        <w:left w:val="none" w:sz="0" w:space="0" w:color="auto"/>
        <w:bottom w:val="none" w:sz="0" w:space="0" w:color="auto"/>
        <w:right w:val="none" w:sz="0" w:space="0" w:color="auto"/>
      </w:divBdr>
    </w:div>
    <w:div w:id="1988048854">
      <w:bodyDiv w:val="1"/>
      <w:marLeft w:val="0"/>
      <w:marRight w:val="0"/>
      <w:marTop w:val="0"/>
      <w:marBottom w:val="0"/>
      <w:divBdr>
        <w:top w:val="none" w:sz="0" w:space="0" w:color="auto"/>
        <w:left w:val="none" w:sz="0" w:space="0" w:color="auto"/>
        <w:bottom w:val="none" w:sz="0" w:space="0" w:color="auto"/>
        <w:right w:val="none" w:sz="0" w:space="0" w:color="auto"/>
      </w:divBdr>
    </w:div>
    <w:div w:id="1989280382">
      <w:bodyDiv w:val="1"/>
      <w:marLeft w:val="0"/>
      <w:marRight w:val="0"/>
      <w:marTop w:val="0"/>
      <w:marBottom w:val="0"/>
      <w:divBdr>
        <w:top w:val="none" w:sz="0" w:space="0" w:color="auto"/>
        <w:left w:val="none" w:sz="0" w:space="0" w:color="auto"/>
        <w:bottom w:val="none" w:sz="0" w:space="0" w:color="auto"/>
        <w:right w:val="none" w:sz="0" w:space="0" w:color="auto"/>
      </w:divBdr>
    </w:div>
    <w:div w:id="1989936081">
      <w:bodyDiv w:val="1"/>
      <w:marLeft w:val="0"/>
      <w:marRight w:val="0"/>
      <w:marTop w:val="0"/>
      <w:marBottom w:val="0"/>
      <w:divBdr>
        <w:top w:val="none" w:sz="0" w:space="0" w:color="auto"/>
        <w:left w:val="none" w:sz="0" w:space="0" w:color="auto"/>
        <w:bottom w:val="none" w:sz="0" w:space="0" w:color="auto"/>
        <w:right w:val="none" w:sz="0" w:space="0" w:color="auto"/>
      </w:divBdr>
    </w:div>
    <w:div w:id="1991135787">
      <w:bodyDiv w:val="1"/>
      <w:marLeft w:val="0"/>
      <w:marRight w:val="0"/>
      <w:marTop w:val="0"/>
      <w:marBottom w:val="0"/>
      <w:divBdr>
        <w:top w:val="none" w:sz="0" w:space="0" w:color="auto"/>
        <w:left w:val="none" w:sz="0" w:space="0" w:color="auto"/>
        <w:bottom w:val="none" w:sz="0" w:space="0" w:color="auto"/>
        <w:right w:val="none" w:sz="0" w:space="0" w:color="auto"/>
      </w:divBdr>
    </w:div>
    <w:div w:id="1991402468">
      <w:bodyDiv w:val="1"/>
      <w:marLeft w:val="0"/>
      <w:marRight w:val="0"/>
      <w:marTop w:val="0"/>
      <w:marBottom w:val="0"/>
      <w:divBdr>
        <w:top w:val="none" w:sz="0" w:space="0" w:color="auto"/>
        <w:left w:val="none" w:sz="0" w:space="0" w:color="auto"/>
        <w:bottom w:val="none" w:sz="0" w:space="0" w:color="auto"/>
        <w:right w:val="none" w:sz="0" w:space="0" w:color="auto"/>
      </w:divBdr>
    </w:div>
    <w:div w:id="1991446351">
      <w:bodyDiv w:val="1"/>
      <w:marLeft w:val="0"/>
      <w:marRight w:val="0"/>
      <w:marTop w:val="0"/>
      <w:marBottom w:val="0"/>
      <w:divBdr>
        <w:top w:val="none" w:sz="0" w:space="0" w:color="auto"/>
        <w:left w:val="none" w:sz="0" w:space="0" w:color="auto"/>
        <w:bottom w:val="none" w:sz="0" w:space="0" w:color="auto"/>
        <w:right w:val="none" w:sz="0" w:space="0" w:color="auto"/>
      </w:divBdr>
    </w:div>
    <w:div w:id="1991715506">
      <w:bodyDiv w:val="1"/>
      <w:marLeft w:val="0"/>
      <w:marRight w:val="0"/>
      <w:marTop w:val="0"/>
      <w:marBottom w:val="0"/>
      <w:divBdr>
        <w:top w:val="none" w:sz="0" w:space="0" w:color="auto"/>
        <w:left w:val="none" w:sz="0" w:space="0" w:color="auto"/>
        <w:bottom w:val="none" w:sz="0" w:space="0" w:color="auto"/>
        <w:right w:val="none" w:sz="0" w:space="0" w:color="auto"/>
      </w:divBdr>
    </w:div>
    <w:div w:id="1992177061">
      <w:bodyDiv w:val="1"/>
      <w:marLeft w:val="0"/>
      <w:marRight w:val="0"/>
      <w:marTop w:val="0"/>
      <w:marBottom w:val="0"/>
      <w:divBdr>
        <w:top w:val="none" w:sz="0" w:space="0" w:color="auto"/>
        <w:left w:val="none" w:sz="0" w:space="0" w:color="auto"/>
        <w:bottom w:val="none" w:sz="0" w:space="0" w:color="auto"/>
        <w:right w:val="none" w:sz="0" w:space="0" w:color="auto"/>
      </w:divBdr>
    </w:div>
    <w:div w:id="1992295979">
      <w:bodyDiv w:val="1"/>
      <w:marLeft w:val="0"/>
      <w:marRight w:val="0"/>
      <w:marTop w:val="0"/>
      <w:marBottom w:val="0"/>
      <w:divBdr>
        <w:top w:val="none" w:sz="0" w:space="0" w:color="auto"/>
        <w:left w:val="none" w:sz="0" w:space="0" w:color="auto"/>
        <w:bottom w:val="none" w:sz="0" w:space="0" w:color="auto"/>
        <w:right w:val="none" w:sz="0" w:space="0" w:color="auto"/>
      </w:divBdr>
    </w:div>
    <w:div w:id="1992638029">
      <w:bodyDiv w:val="1"/>
      <w:marLeft w:val="0"/>
      <w:marRight w:val="0"/>
      <w:marTop w:val="0"/>
      <w:marBottom w:val="0"/>
      <w:divBdr>
        <w:top w:val="none" w:sz="0" w:space="0" w:color="auto"/>
        <w:left w:val="none" w:sz="0" w:space="0" w:color="auto"/>
        <w:bottom w:val="none" w:sz="0" w:space="0" w:color="auto"/>
        <w:right w:val="none" w:sz="0" w:space="0" w:color="auto"/>
      </w:divBdr>
    </w:div>
    <w:div w:id="1993556324">
      <w:bodyDiv w:val="1"/>
      <w:marLeft w:val="0"/>
      <w:marRight w:val="0"/>
      <w:marTop w:val="0"/>
      <w:marBottom w:val="0"/>
      <w:divBdr>
        <w:top w:val="none" w:sz="0" w:space="0" w:color="auto"/>
        <w:left w:val="none" w:sz="0" w:space="0" w:color="auto"/>
        <w:bottom w:val="none" w:sz="0" w:space="0" w:color="auto"/>
        <w:right w:val="none" w:sz="0" w:space="0" w:color="auto"/>
      </w:divBdr>
    </w:div>
    <w:div w:id="1993753841">
      <w:bodyDiv w:val="1"/>
      <w:marLeft w:val="0"/>
      <w:marRight w:val="0"/>
      <w:marTop w:val="0"/>
      <w:marBottom w:val="0"/>
      <w:divBdr>
        <w:top w:val="none" w:sz="0" w:space="0" w:color="auto"/>
        <w:left w:val="none" w:sz="0" w:space="0" w:color="auto"/>
        <w:bottom w:val="none" w:sz="0" w:space="0" w:color="auto"/>
        <w:right w:val="none" w:sz="0" w:space="0" w:color="auto"/>
      </w:divBdr>
    </w:div>
    <w:div w:id="1994673072">
      <w:bodyDiv w:val="1"/>
      <w:marLeft w:val="0"/>
      <w:marRight w:val="0"/>
      <w:marTop w:val="0"/>
      <w:marBottom w:val="0"/>
      <w:divBdr>
        <w:top w:val="none" w:sz="0" w:space="0" w:color="auto"/>
        <w:left w:val="none" w:sz="0" w:space="0" w:color="auto"/>
        <w:bottom w:val="none" w:sz="0" w:space="0" w:color="auto"/>
        <w:right w:val="none" w:sz="0" w:space="0" w:color="auto"/>
      </w:divBdr>
    </w:div>
    <w:div w:id="1996688731">
      <w:bodyDiv w:val="1"/>
      <w:marLeft w:val="0"/>
      <w:marRight w:val="0"/>
      <w:marTop w:val="0"/>
      <w:marBottom w:val="0"/>
      <w:divBdr>
        <w:top w:val="none" w:sz="0" w:space="0" w:color="auto"/>
        <w:left w:val="none" w:sz="0" w:space="0" w:color="auto"/>
        <w:bottom w:val="none" w:sz="0" w:space="0" w:color="auto"/>
        <w:right w:val="none" w:sz="0" w:space="0" w:color="auto"/>
      </w:divBdr>
    </w:div>
    <w:div w:id="1997175235">
      <w:bodyDiv w:val="1"/>
      <w:marLeft w:val="0"/>
      <w:marRight w:val="0"/>
      <w:marTop w:val="0"/>
      <w:marBottom w:val="0"/>
      <w:divBdr>
        <w:top w:val="none" w:sz="0" w:space="0" w:color="auto"/>
        <w:left w:val="none" w:sz="0" w:space="0" w:color="auto"/>
        <w:bottom w:val="none" w:sz="0" w:space="0" w:color="auto"/>
        <w:right w:val="none" w:sz="0" w:space="0" w:color="auto"/>
      </w:divBdr>
    </w:div>
    <w:div w:id="1997804684">
      <w:bodyDiv w:val="1"/>
      <w:marLeft w:val="0"/>
      <w:marRight w:val="0"/>
      <w:marTop w:val="0"/>
      <w:marBottom w:val="0"/>
      <w:divBdr>
        <w:top w:val="none" w:sz="0" w:space="0" w:color="auto"/>
        <w:left w:val="none" w:sz="0" w:space="0" w:color="auto"/>
        <w:bottom w:val="none" w:sz="0" w:space="0" w:color="auto"/>
        <w:right w:val="none" w:sz="0" w:space="0" w:color="auto"/>
      </w:divBdr>
    </w:div>
    <w:div w:id="1998337379">
      <w:bodyDiv w:val="1"/>
      <w:marLeft w:val="0"/>
      <w:marRight w:val="0"/>
      <w:marTop w:val="0"/>
      <w:marBottom w:val="0"/>
      <w:divBdr>
        <w:top w:val="none" w:sz="0" w:space="0" w:color="auto"/>
        <w:left w:val="none" w:sz="0" w:space="0" w:color="auto"/>
        <w:bottom w:val="none" w:sz="0" w:space="0" w:color="auto"/>
        <w:right w:val="none" w:sz="0" w:space="0" w:color="auto"/>
      </w:divBdr>
    </w:div>
    <w:div w:id="1998338401">
      <w:bodyDiv w:val="1"/>
      <w:marLeft w:val="0"/>
      <w:marRight w:val="0"/>
      <w:marTop w:val="0"/>
      <w:marBottom w:val="0"/>
      <w:divBdr>
        <w:top w:val="none" w:sz="0" w:space="0" w:color="auto"/>
        <w:left w:val="none" w:sz="0" w:space="0" w:color="auto"/>
        <w:bottom w:val="none" w:sz="0" w:space="0" w:color="auto"/>
        <w:right w:val="none" w:sz="0" w:space="0" w:color="auto"/>
      </w:divBdr>
    </w:div>
    <w:div w:id="1998341438">
      <w:bodyDiv w:val="1"/>
      <w:marLeft w:val="0"/>
      <w:marRight w:val="0"/>
      <w:marTop w:val="0"/>
      <w:marBottom w:val="0"/>
      <w:divBdr>
        <w:top w:val="none" w:sz="0" w:space="0" w:color="auto"/>
        <w:left w:val="none" w:sz="0" w:space="0" w:color="auto"/>
        <w:bottom w:val="none" w:sz="0" w:space="0" w:color="auto"/>
        <w:right w:val="none" w:sz="0" w:space="0" w:color="auto"/>
      </w:divBdr>
    </w:div>
    <w:div w:id="1999916025">
      <w:bodyDiv w:val="1"/>
      <w:marLeft w:val="0"/>
      <w:marRight w:val="0"/>
      <w:marTop w:val="0"/>
      <w:marBottom w:val="0"/>
      <w:divBdr>
        <w:top w:val="none" w:sz="0" w:space="0" w:color="auto"/>
        <w:left w:val="none" w:sz="0" w:space="0" w:color="auto"/>
        <w:bottom w:val="none" w:sz="0" w:space="0" w:color="auto"/>
        <w:right w:val="none" w:sz="0" w:space="0" w:color="auto"/>
      </w:divBdr>
    </w:div>
    <w:div w:id="2001688902">
      <w:bodyDiv w:val="1"/>
      <w:marLeft w:val="0"/>
      <w:marRight w:val="0"/>
      <w:marTop w:val="0"/>
      <w:marBottom w:val="0"/>
      <w:divBdr>
        <w:top w:val="none" w:sz="0" w:space="0" w:color="auto"/>
        <w:left w:val="none" w:sz="0" w:space="0" w:color="auto"/>
        <w:bottom w:val="none" w:sz="0" w:space="0" w:color="auto"/>
        <w:right w:val="none" w:sz="0" w:space="0" w:color="auto"/>
      </w:divBdr>
    </w:div>
    <w:div w:id="2002461555">
      <w:bodyDiv w:val="1"/>
      <w:marLeft w:val="0"/>
      <w:marRight w:val="0"/>
      <w:marTop w:val="0"/>
      <w:marBottom w:val="0"/>
      <w:divBdr>
        <w:top w:val="none" w:sz="0" w:space="0" w:color="auto"/>
        <w:left w:val="none" w:sz="0" w:space="0" w:color="auto"/>
        <w:bottom w:val="none" w:sz="0" w:space="0" w:color="auto"/>
        <w:right w:val="none" w:sz="0" w:space="0" w:color="auto"/>
      </w:divBdr>
    </w:div>
    <w:div w:id="2003309001">
      <w:bodyDiv w:val="1"/>
      <w:marLeft w:val="0"/>
      <w:marRight w:val="0"/>
      <w:marTop w:val="0"/>
      <w:marBottom w:val="0"/>
      <w:divBdr>
        <w:top w:val="none" w:sz="0" w:space="0" w:color="auto"/>
        <w:left w:val="none" w:sz="0" w:space="0" w:color="auto"/>
        <w:bottom w:val="none" w:sz="0" w:space="0" w:color="auto"/>
        <w:right w:val="none" w:sz="0" w:space="0" w:color="auto"/>
      </w:divBdr>
    </w:div>
    <w:div w:id="2004357980">
      <w:bodyDiv w:val="1"/>
      <w:marLeft w:val="0"/>
      <w:marRight w:val="0"/>
      <w:marTop w:val="0"/>
      <w:marBottom w:val="0"/>
      <w:divBdr>
        <w:top w:val="none" w:sz="0" w:space="0" w:color="auto"/>
        <w:left w:val="none" w:sz="0" w:space="0" w:color="auto"/>
        <w:bottom w:val="none" w:sz="0" w:space="0" w:color="auto"/>
        <w:right w:val="none" w:sz="0" w:space="0" w:color="auto"/>
      </w:divBdr>
    </w:div>
    <w:div w:id="2004621282">
      <w:bodyDiv w:val="1"/>
      <w:marLeft w:val="0"/>
      <w:marRight w:val="0"/>
      <w:marTop w:val="0"/>
      <w:marBottom w:val="0"/>
      <w:divBdr>
        <w:top w:val="none" w:sz="0" w:space="0" w:color="auto"/>
        <w:left w:val="none" w:sz="0" w:space="0" w:color="auto"/>
        <w:bottom w:val="none" w:sz="0" w:space="0" w:color="auto"/>
        <w:right w:val="none" w:sz="0" w:space="0" w:color="auto"/>
      </w:divBdr>
    </w:div>
    <w:div w:id="2004621596">
      <w:bodyDiv w:val="1"/>
      <w:marLeft w:val="0"/>
      <w:marRight w:val="0"/>
      <w:marTop w:val="0"/>
      <w:marBottom w:val="0"/>
      <w:divBdr>
        <w:top w:val="none" w:sz="0" w:space="0" w:color="auto"/>
        <w:left w:val="none" w:sz="0" w:space="0" w:color="auto"/>
        <w:bottom w:val="none" w:sz="0" w:space="0" w:color="auto"/>
        <w:right w:val="none" w:sz="0" w:space="0" w:color="auto"/>
      </w:divBdr>
    </w:div>
    <w:div w:id="2005156523">
      <w:bodyDiv w:val="1"/>
      <w:marLeft w:val="0"/>
      <w:marRight w:val="0"/>
      <w:marTop w:val="0"/>
      <w:marBottom w:val="0"/>
      <w:divBdr>
        <w:top w:val="none" w:sz="0" w:space="0" w:color="auto"/>
        <w:left w:val="none" w:sz="0" w:space="0" w:color="auto"/>
        <w:bottom w:val="none" w:sz="0" w:space="0" w:color="auto"/>
        <w:right w:val="none" w:sz="0" w:space="0" w:color="auto"/>
      </w:divBdr>
    </w:div>
    <w:div w:id="2005207678">
      <w:bodyDiv w:val="1"/>
      <w:marLeft w:val="0"/>
      <w:marRight w:val="0"/>
      <w:marTop w:val="0"/>
      <w:marBottom w:val="0"/>
      <w:divBdr>
        <w:top w:val="none" w:sz="0" w:space="0" w:color="auto"/>
        <w:left w:val="none" w:sz="0" w:space="0" w:color="auto"/>
        <w:bottom w:val="none" w:sz="0" w:space="0" w:color="auto"/>
        <w:right w:val="none" w:sz="0" w:space="0" w:color="auto"/>
      </w:divBdr>
    </w:div>
    <w:div w:id="2005627875">
      <w:bodyDiv w:val="1"/>
      <w:marLeft w:val="0"/>
      <w:marRight w:val="0"/>
      <w:marTop w:val="0"/>
      <w:marBottom w:val="0"/>
      <w:divBdr>
        <w:top w:val="none" w:sz="0" w:space="0" w:color="auto"/>
        <w:left w:val="none" w:sz="0" w:space="0" w:color="auto"/>
        <w:bottom w:val="none" w:sz="0" w:space="0" w:color="auto"/>
        <w:right w:val="none" w:sz="0" w:space="0" w:color="auto"/>
      </w:divBdr>
    </w:div>
    <w:div w:id="2006467718">
      <w:bodyDiv w:val="1"/>
      <w:marLeft w:val="0"/>
      <w:marRight w:val="0"/>
      <w:marTop w:val="0"/>
      <w:marBottom w:val="0"/>
      <w:divBdr>
        <w:top w:val="none" w:sz="0" w:space="0" w:color="auto"/>
        <w:left w:val="none" w:sz="0" w:space="0" w:color="auto"/>
        <w:bottom w:val="none" w:sz="0" w:space="0" w:color="auto"/>
        <w:right w:val="none" w:sz="0" w:space="0" w:color="auto"/>
      </w:divBdr>
    </w:div>
    <w:div w:id="2007323469">
      <w:bodyDiv w:val="1"/>
      <w:marLeft w:val="0"/>
      <w:marRight w:val="0"/>
      <w:marTop w:val="0"/>
      <w:marBottom w:val="0"/>
      <w:divBdr>
        <w:top w:val="none" w:sz="0" w:space="0" w:color="auto"/>
        <w:left w:val="none" w:sz="0" w:space="0" w:color="auto"/>
        <w:bottom w:val="none" w:sz="0" w:space="0" w:color="auto"/>
        <w:right w:val="none" w:sz="0" w:space="0" w:color="auto"/>
      </w:divBdr>
    </w:div>
    <w:div w:id="2007589702">
      <w:bodyDiv w:val="1"/>
      <w:marLeft w:val="0"/>
      <w:marRight w:val="0"/>
      <w:marTop w:val="0"/>
      <w:marBottom w:val="0"/>
      <w:divBdr>
        <w:top w:val="none" w:sz="0" w:space="0" w:color="auto"/>
        <w:left w:val="none" w:sz="0" w:space="0" w:color="auto"/>
        <w:bottom w:val="none" w:sz="0" w:space="0" w:color="auto"/>
        <w:right w:val="none" w:sz="0" w:space="0" w:color="auto"/>
      </w:divBdr>
    </w:div>
    <w:div w:id="2008317607">
      <w:bodyDiv w:val="1"/>
      <w:marLeft w:val="0"/>
      <w:marRight w:val="0"/>
      <w:marTop w:val="0"/>
      <w:marBottom w:val="0"/>
      <w:divBdr>
        <w:top w:val="none" w:sz="0" w:space="0" w:color="auto"/>
        <w:left w:val="none" w:sz="0" w:space="0" w:color="auto"/>
        <w:bottom w:val="none" w:sz="0" w:space="0" w:color="auto"/>
        <w:right w:val="none" w:sz="0" w:space="0" w:color="auto"/>
      </w:divBdr>
    </w:div>
    <w:div w:id="2008745519">
      <w:bodyDiv w:val="1"/>
      <w:marLeft w:val="0"/>
      <w:marRight w:val="0"/>
      <w:marTop w:val="0"/>
      <w:marBottom w:val="0"/>
      <w:divBdr>
        <w:top w:val="none" w:sz="0" w:space="0" w:color="auto"/>
        <w:left w:val="none" w:sz="0" w:space="0" w:color="auto"/>
        <w:bottom w:val="none" w:sz="0" w:space="0" w:color="auto"/>
        <w:right w:val="none" w:sz="0" w:space="0" w:color="auto"/>
      </w:divBdr>
    </w:div>
    <w:div w:id="2009213752">
      <w:bodyDiv w:val="1"/>
      <w:marLeft w:val="0"/>
      <w:marRight w:val="0"/>
      <w:marTop w:val="0"/>
      <w:marBottom w:val="0"/>
      <w:divBdr>
        <w:top w:val="none" w:sz="0" w:space="0" w:color="auto"/>
        <w:left w:val="none" w:sz="0" w:space="0" w:color="auto"/>
        <w:bottom w:val="none" w:sz="0" w:space="0" w:color="auto"/>
        <w:right w:val="none" w:sz="0" w:space="0" w:color="auto"/>
      </w:divBdr>
    </w:div>
    <w:div w:id="2009477912">
      <w:bodyDiv w:val="1"/>
      <w:marLeft w:val="0"/>
      <w:marRight w:val="0"/>
      <w:marTop w:val="0"/>
      <w:marBottom w:val="0"/>
      <w:divBdr>
        <w:top w:val="none" w:sz="0" w:space="0" w:color="auto"/>
        <w:left w:val="none" w:sz="0" w:space="0" w:color="auto"/>
        <w:bottom w:val="none" w:sz="0" w:space="0" w:color="auto"/>
        <w:right w:val="none" w:sz="0" w:space="0" w:color="auto"/>
      </w:divBdr>
    </w:div>
    <w:div w:id="2009484159">
      <w:bodyDiv w:val="1"/>
      <w:marLeft w:val="0"/>
      <w:marRight w:val="0"/>
      <w:marTop w:val="0"/>
      <w:marBottom w:val="0"/>
      <w:divBdr>
        <w:top w:val="none" w:sz="0" w:space="0" w:color="auto"/>
        <w:left w:val="none" w:sz="0" w:space="0" w:color="auto"/>
        <w:bottom w:val="none" w:sz="0" w:space="0" w:color="auto"/>
        <w:right w:val="none" w:sz="0" w:space="0" w:color="auto"/>
      </w:divBdr>
    </w:div>
    <w:div w:id="2009552106">
      <w:bodyDiv w:val="1"/>
      <w:marLeft w:val="0"/>
      <w:marRight w:val="0"/>
      <w:marTop w:val="0"/>
      <w:marBottom w:val="0"/>
      <w:divBdr>
        <w:top w:val="none" w:sz="0" w:space="0" w:color="auto"/>
        <w:left w:val="none" w:sz="0" w:space="0" w:color="auto"/>
        <w:bottom w:val="none" w:sz="0" w:space="0" w:color="auto"/>
        <w:right w:val="none" w:sz="0" w:space="0" w:color="auto"/>
      </w:divBdr>
    </w:div>
    <w:div w:id="2010938069">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11061906">
      <w:bodyDiv w:val="1"/>
      <w:marLeft w:val="0"/>
      <w:marRight w:val="0"/>
      <w:marTop w:val="0"/>
      <w:marBottom w:val="0"/>
      <w:divBdr>
        <w:top w:val="none" w:sz="0" w:space="0" w:color="auto"/>
        <w:left w:val="none" w:sz="0" w:space="0" w:color="auto"/>
        <w:bottom w:val="none" w:sz="0" w:space="0" w:color="auto"/>
        <w:right w:val="none" w:sz="0" w:space="0" w:color="auto"/>
      </w:divBdr>
    </w:div>
    <w:div w:id="2012560725">
      <w:bodyDiv w:val="1"/>
      <w:marLeft w:val="0"/>
      <w:marRight w:val="0"/>
      <w:marTop w:val="0"/>
      <w:marBottom w:val="0"/>
      <w:divBdr>
        <w:top w:val="none" w:sz="0" w:space="0" w:color="auto"/>
        <w:left w:val="none" w:sz="0" w:space="0" w:color="auto"/>
        <w:bottom w:val="none" w:sz="0" w:space="0" w:color="auto"/>
        <w:right w:val="none" w:sz="0" w:space="0" w:color="auto"/>
      </w:divBdr>
    </w:div>
    <w:div w:id="2013490062">
      <w:bodyDiv w:val="1"/>
      <w:marLeft w:val="0"/>
      <w:marRight w:val="0"/>
      <w:marTop w:val="0"/>
      <w:marBottom w:val="0"/>
      <w:divBdr>
        <w:top w:val="none" w:sz="0" w:space="0" w:color="auto"/>
        <w:left w:val="none" w:sz="0" w:space="0" w:color="auto"/>
        <w:bottom w:val="none" w:sz="0" w:space="0" w:color="auto"/>
        <w:right w:val="none" w:sz="0" w:space="0" w:color="auto"/>
      </w:divBdr>
    </w:div>
    <w:div w:id="2014184801">
      <w:bodyDiv w:val="1"/>
      <w:marLeft w:val="0"/>
      <w:marRight w:val="0"/>
      <w:marTop w:val="0"/>
      <w:marBottom w:val="0"/>
      <w:divBdr>
        <w:top w:val="none" w:sz="0" w:space="0" w:color="auto"/>
        <w:left w:val="none" w:sz="0" w:space="0" w:color="auto"/>
        <w:bottom w:val="none" w:sz="0" w:space="0" w:color="auto"/>
        <w:right w:val="none" w:sz="0" w:space="0" w:color="auto"/>
      </w:divBdr>
    </w:div>
    <w:div w:id="2014801826">
      <w:bodyDiv w:val="1"/>
      <w:marLeft w:val="0"/>
      <w:marRight w:val="0"/>
      <w:marTop w:val="0"/>
      <w:marBottom w:val="0"/>
      <w:divBdr>
        <w:top w:val="none" w:sz="0" w:space="0" w:color="auto"/>
        <w:left w:val="none" w:sz="0" w:space="0" w:color="auto"/>
        <w:bottom w:val="none" w:sz="0" w:space="0" w:color="auto"/>
        <w:right w:val="none" w:sz="0" w:space="0" w:color="auto"/>
      </w:divBdr>
    </w:div>
    <w:div w:id="2014914813">
      <w:bodyDiv w:val="1"/>
      <w:marLeft w:val="0"/>
      <w:marRight w:val="0"/>
      <w:marTop w:val="0"/>
      <w:marBottom w:val="0"/>
      <w:divBdr>
        <w:top w:val="none" w:sz="0" w:space="0" w:color="auto"/>
        <w:left w:val="none" w:sz="0" w:space="0" w:color="auto"/>
        <w:bottom w:val="none" w:sz="0" w:space="0" w:color="auto"/>
        <w:right w:val="none" w:sz="0" w:space="0" w:color="auto"/>
      </w:divBdr>
    </w:div>
    <w:div w:id="2016298082">
      <w:bodyDiv w:val="1"/>
      <w:marLeft w:val="0"/>
      <w:marRight w:val="0"/>
      <w:marTop w:val="0"/>
      <w:marBottom w:val="0"/>
      <w:divBdr>
        <w:top w:val="none" w:sz="0" w:space="0" w:color="auto"/>
        <w:left w:val="none" w:sz="0" w:space="0" w:color="auto"/>
        <w:bottom w:val="none" w:sz="0" w:space="0" w:color="auto"/>
        <w:right w:val="none" w:sz="0" w:space="0" w:color="auto"/>
      </w:divBdr>
    </w:div>
    <w:div w:id="2017733699">
      <w:bodyDiv w:val="1"/>
      <w:marLeft w:val="0"/>
      <w:marRight w:val="0"/>
      <w:marTop w:val="0"/>
      <w:marBottom w:val="0"/>
      <w:divBdr>
        <w:top w:val="none" w:sz="0" w:space="0" w:color="auto"/>
        <w:left w:val="none" w:sz="0" w:space="0" w:color="auto"/>
        <w:bottom w:val="none" w:sz="0" w:space="0" w:color="auto"/>
        <w:right w:val="none" w:sz="0" w:space="0" w:color="auto"/>
      </w:divBdr>
    </w:div>
    <w:div w:id="2019385284">
      <w:bodyDiv w:val="1"/>
      <w:marLeft w:val="0"/>
      <w:marRight w:val="0"/>
      <w:marTop w:val="0"/>
      <w:marBottom w:val="0"/>
      <w:divBdr>
        <w:top w:val="none" w:sz="0" w:space="0" w:color="auto"/>
        <w:left w:val="none" w:sz="0" w:space="0" w:color="auto"/>
        <w:bottom w:val="none" w:sz="0" w:space="0" w:color="auto"/>
        <w:right w:val="none" w:sz="0" w:space="0" w:color="auto"/>
      </w:divBdr>
    </w:div>
    <w:div w:id="2020891642">
      <w:bodyDiv w:val="1"/>
      <w:marLeft w:val="0"/>
      <w:marRight w:val="0"/>
      <w:marTop w:val="0"/>
      <w:marBottom w:val="0"/>
      <w:divBdr>
        <w:top w:val="none" w:sz="0" w:space="0" w:color="auto"/>
        <w:left w:val="none" w:sz="0" w:space="0" w:color="auto"/>
        <w:bottom w:val="none" w:sz="0" w:space="0" w:color="auto"/>
        <w:right w:val="none" w:sz="0" w:space="0" w:color="auto"/>
      </w:divBdr>
    </w:div>
    <w:div w:id="2022658354">
      <w:bodyDiv w:val="1"/>
      <w:marLeft w:val="0"/>
      <w:marRight w:val="0"/>
      <w:marTop w:val="0"/>
      <w:marBottom w:val="0"/>
      <w:divBdr>
        <w:top w:val="none" w:sz="0" w:space="0" w:color="auto"/>
        <w:left w:val="none" w:sz="0" w:space="0" w:color="auto"/>
        <w:bottom w:val="none" w:sz="0" w:space="0" w:color="auto"/>
        <w:right w:val="none" w:sz="0" w:space="0" w:color="auto"/>
      </w:divBdr>
    </w:div>
    <w:div w:id="2025011460">
      <w:bodyDiv w:val="1"/>
      <w:marLeft w:val="0"/>
      <w:marRight w:val="0"/>
      <w:marTop w:val="0"/>
      <w:marBottom w:val="0"/>
      <w:divBdr>
        <w:top w:val="none" w:sz="0" w:space="0" w:color="auto"/>
        <w:left w:val="none" w:sz="0" w:space="0" w:color="auto"/>
        <w:bottom w:val="none" w:sz="0" w:space="0" w:color="auto"/>
        <w:right w:val="none" w:sz="0" w:space="0" w:color="auto"/>
      </w:divBdr>
    </w:div>
    <w:div w:id="2025398712">
      <w:bodyDiv w:val="1"/>
      <w:marLeft w:val="0"/>
      <w:marRight w:val="0"/>
      <w:marTop w:val="0"/>
      <w:marBottom w:val="0"/>
      <w:divBdr>
        <w:top w:val="none" w:sz="0" w:space="0" w:color="auto"/>
        <w:left w:val="none" w:sz="0" w:space="0" w:color="auto"/>
        <w:bottom w:val="none" w:sz="0" w:space="0" w:color="auto"/>
        <w:right w:val="none" w:sz="0" w:space="0" w:color="auto"/>
      </w:divBdr>
    </w:div>
    <w:div w:id="2025595497">
      <w:bodyDiv w:val="1"/>
      <w:marLeft w:val="0"/>
      <w:marRight w:val="0"/>
      <w:marTop w:val="0"/>
      <w:marBottom w:val="0"/>
      <w:divBdr>
        <w:top w:val="none" w:sz="0" w:space="0" w:color="auto"/>
        <w:left w:val="none" w:sz="0" w:space="0" w:color="auto"/>
        <w:bottom w:val="none" w:sz="0" w:space="0" w:color="auto"/>
        <w:right w:val="none" w:sz="0" w:space="0" w:color="auto"/>
      </w:divBdr>
    </w:div>
    <w:div w:id="2026054795">
      <w:bodyDiv w:val="1"/>
      <w:marLeft w:val="0"/>
      <w:marRight w:val="0"/>
      <w:marTop w:val="0"/>
      <w:marBottom w:val="0"/>
      <w:divBdr>
        <w:top w:val="none" w:sz="0" w:space="0" w:color="auto"/>
        <w:left w:val="none" w:sz="0" w:space="0" w:color="auto"/>
        <w:bottom w:val="none" w:sz="0" w:space="0" w:color="auto"/>
        <w:right w:val="none" w:sz="0" w:space="0" w:color="auto"/>
      </w:divBdr>
    </w:div>
    <w:div w:id="2026637011">
      <w:bodyDiv w:val="1"/>
      <w:marLeft w:val="0"/>
      <w:marRight w:val="0"/>
      <w:marTop w:val="0"/>
      <w:marBottom w:val="0"/>
      <w:divBdr>
        <w:top w:val="none" w:sz="0" w:space="0" w:color="auto"/>
        <w:left w:val="none" w:sz="0" w:space="0" w:color="auto"/>
        <w:bottom w:val="none" w:sz="0" w:space="0" w:color="auto"/>
        <w:right w:val="none" w:sz="0" w:space="0" w:color="auto"/>
      </w:divBdr>
    </w:div>
    <w:div w:id="2026787769">
      <w:bodyDiv w:val="1"/>
      <w:marLeft w:val="0"/>
      <w:marRight w:val="0"/>
      <w:marTop w:val="0"/>
      <w:marBottom w:val="0"/>
      <w:divBdr>
        <w:top w:val="none" w:sz="0" w:space="0" w:color="auto"/>
        <w:left w:val="none" w:sz="0" w:space="0" w:color="auto"/>
        <w:bottom w:val="none" w:sz="0" w:space="0" w:color="auto"/>
        <w:right w:val="none" w:sz="0" w:space="0" w:color="auto"/>
      </w:divBdr>
    </w:div>
    <w:div w:id="2027057278">
      <w:bodyDiv w:val="1"/>
      <w:marLeft w:val="0"/>
      <w:marRight w:val="0"/>
      <w:marTop w:val="0"/>
      <w:marBottom w:val="0"/>
      <w:divBdr>
        <w:top w:val="none" w:sz="0" w:space="0" w:color="auto"/>
        <w:left w:val="none" w:sz="0" w:space="0" w:color="auto"/>
        <w:bottom w:val="none" w:sz="0" w:space="0" w:color="auto"/>
        <w:right w:val="none" w:sz="0" w:space="0" w:color="auto"/>
      </w:divBdr>
    </w:div>
    <w:div w:id="2027706088">
      <w:bodyDiv w:val="1"/>
      <w:marLeft w:val="0"/>
      <w:marRight w:val="0"/>
      <w:marTop w:val="0"/>
      <w:marBottom w:val="0"/>
      <w:divBdr>
        <w:top w:val="none" w:sz="0" w:space="0" w:color="auto"/>
        <w:left w:val="none" w:sz="0" w:space="0" w:color="auto"/>
        <w:bottom w:val="none" w:sz="0" w:space="0" w:color="auto"/>
        <w:right w:val="none" w:sz="0" w:space="0" w:color="auto"/>
      </w:divBdr>
    </w:div>
    <w:div w:id="2028823153">
      <w:bodyDiv w:val="1"/>
      <w:marLeft w:val="0"/>
      <w:marRight w:val="0"/>
      <w:marTop w:val="0"/>
      <w:marBottom w:val="0"/>
      <w:divBdr>
        <w:top w:val="none" w:sz="0" w:space="0" w:color="auto"/>
        <w:left w:val="none" w:sz="0" w:space="0" w:color="auto"/>
        <w:bottom w:val="none" w:sz="0" w:space="0" w:color="auto"/>
        <w:right w:val="none" w:sz="0" w:space="0" w:color="auto"/>
      </w:divBdr>
    </w:div>
    <w:div w:id="2029134348">
      <w:bodyDiv w:val="1"/>
      <w:marLeft w:val="0"/>
      <w:marRight w:val="0"/>
      <w:marTop w:val="0"/>
      <w:marBottom w:val="0"/>
      <w:divBdr>
        <w:top w:val="none" w:sz="0" w:space="0" w:color="auto"/>
        <w:left w:val="none" w:sz="0" w:space="0" w:color="auto"/>
        <w:bottom w:val="none" w:sz="0" w:space="0" w:color="auto"/>
        <w:right w:val="none" w:sz="0" w:space="0" w:color="auto"/>
      </w:divBdr>
    </w:div>
    <w:div w:id="2030331816">
      <w:bodyDiv w:val="1"/>
      <w:marLeft w:val="0"/>
      <w:marRight w:val="0"/>
      <w:marTop w:val="0"/>
      <w:marBottom w:val="0"/>
      <w:divBdr>
        <w:top w:val="none" w:sz="0" w:space="0" w:color="auto"/>
        <w:left w:val="none" w:sz="0" w:space="0" w:color="auto"/>
        <w:bottom w:val="none" w:sz="0" w:space="0" w:color="auto"/>
        <w:right w:val="none" w:sz="0" w:space="0" w:color="auto"/>
      </w:divBdr>
    </w:div>
    <w:div w:id="2030641842">
      <w:bodyDiv w:val="1"/>
      <w:marLeft w:val="0"/>
      <w:marRight w:val="0"/>
      <w:marTop w:val="0"/>
      <w:marBottom w:val="0"/>
      <w:divBdr>
        <w:top w:val="none" w:sz="0" w:space="0" w:color="auto"/>
        <w:left w:val="none" w:sz="0" w:space="0" w:color="auto"/>
        <w:bottom w:val="none" w:sz="0" w:space="0" w:color="auto"/>
        <w:right w:val="none" w:sz="0" w:space="0" w:color="auto"/>
      </w:divBdr>
    </w:div>
    <w:div w:id="2031098486">
      <w:bodyDiv w:val="1"/>
      <w:marLeft w:val="0"/>
      <w:marRight w:val="0"/>
      <w:marTop w:val="0"/>
      <w:marBottom w:val="0"/>
      <w:divBdr>
        <w:top w:val="none" w:sz="0" w:space="0" w:color="auto"/>
        <w:left w:val="none" w:sz="0" w:space="0" w:color="auto"/>
        <w:bottom w:val="none" w:sz="0" w:space="0" w:color="auto"/>
        <w:right w:val="none" w:sz="0" w:space="0" w:color="auto"/>
      </w:divBdr>
    </w:div>
    <w:div w:id="2032099537">
      <w:bodyDiv w:val="1"/>
      <w:marLeft w:val="0"/>
      <w:marRight w:val="0"/>
      <w:marTop w:val="0"/>
      <w:marBottom w:val="0"/>
      <w:divBdr>
        <w:top w:val="none" w:sz="0" w:space="0" w:color="auto"/>
        <w:left w:val="none" w:sz="0" w:space="0" w:color="auto"/>
        <w:bottom w:val="none" w:sz="0" w:space="0" w:color="auto"/>
        <w:right w:val="none" w:sz="0" w:space="0" w:color="auto"/>
      </w:divBdr>
    </w:div>
    <w:div w:id="2032490809">
      <w:bodyDiv w:val="1"/>
      <w:marLeft w:val="0"/>
      <w:marRight w:val="0"/>
      <w:marTop w:val="0"/>
      <w:marBottom w:val="0"/>
      <w:divBdr>
        <w:top w:val="none" w:sz="0" w:space="0" w:color="auto"/>
        <w:left w:val="none" w:sz="0" w:space="0" w:color="auto"/>
        <w:bottom w:val="none" w:sz="0" w:space="0" w:color="auto"/>
        <w:right w:val="none" w:sz="0" w:space="0" w:color="auto"/>
      </w:divBdr>
    </w:div>
    <w:div w:id="2033191531">
      <w:bodyDiv w:val="1"/>
      <w:marLeft w:val="0"/>
      <w:marRight w:val="0"/>
      <w:marTop w:val="0"/>
      <w:marBottom w:val="0"/>
      <w:divBdr>
        <w:top w:val="none" w:sz="0" w:space="0" w:color="auto"/>
        <w:left w:val="none" w:sz="0" w:space="0" w:color="auto"/>
        <w:bottom w:val="none" w:sz="0" w:space="0" w:color="auto"/>
        <w:right w:val="none" w:sz="0" w:space="0" w:color="auto"/>
      </w:divBdr>
    </w:div>
    <w:div w:id="2034960305">
      <w:bodyDiv w:val="1"/>
      <w:marLeft w:val="0"/>
      <w:marRight w:val="0"/>
      <w:marTop w:val="0"/>
      <w:marBottom w:val="0"/>
      <w:divBdr>
        <w:top w:val="none" w:sz="0" w:space="0" w:color="auto"/>
        <w:left w:val="none" w:sz="0" w:space="0" w:color="auto"/>
        <w:bottom w:val="none" w:sz="0" w:space="0" w:color="auto"/>
        <w:right w:val="none" w:sz="0" w:space="0" w:color="auto"/>
      </w:divBdr>
    </w:div>
    <w:div w:id="2036154646">
      <w:bodyDiv w:val="1"/>
      <w:marLeft w:val="0"/>
      <w:marRight w:val="0"/>
      <w:marTop w:val="0"/>
      <w:marBottom w:val="0"/>
      <w:divBdr>
        <w:top w:val="none" w:sz="0" w:space="0" w:color="auto"/>
        <w:left w:val="none" w:sz="0" w:space="0" w:color="auto"/>
        <w:bottom w:val="none" w:sz="0" w:space="0" w:color="auto"/>
        <w:right w:val="none" w:sz="0" w:space="0" w:color="auto"/>
      </w:divBdr>
    </w:div>
    <w:div w:id="2036999263">
      <w:bodyDiv w:val="1"/>
      <w:marLeft w:val="0"/>
      <w:marRight w:val="0"/>
      <w:marTop w:val="0"/>
      <w:marBottom w:val="0"/>
      <w:divBdr>
        <w:top w:val="none" w:sz="0" w:space="0" w:color="auto"/>
        <w:left w:val="none" w:sz="0" w:space="0" w:color="auto"/>
        <w:bottom w:val="none" w:sz="0" w:space="0" w:color="auto"/>
        <w:right w:val="none" w:sz="0" w:space="0" w:color="auto"/>
      </w:divBdr>
    </w:div>
    <w:div w:id="2038702107">
      <w:bodyDiv w:val="1"/>
      <w:marLeft w:val="0"/>
      <w:marRight w:val="0"/>
      <w:marTop w:val="0"/>
      <w:marBottom w:val="0"/>
      <w:divBdr>
        <w:top w:val="none" w:sz="0" w:space="0" w:color="auto"/>
        <w:left w:val="none" w:sz="0" w:space="0" w:color="auto"/>
        <w:bottom w:val="none" w:sz="0" w:space="0" w:color="auto"/>
        <w:right w:val="none" w:sz="0" w:space="0" w:color="auto"/>
      </w:divBdr>
    </w:div>
    <w:div w:id="2040230296">
      <w:bodyDiv w:val="1"/>
      <w:marLeft w:val="0"/>
      <w:marRight w:val="0"/>
      <w:marTop w:val="0"/>
      <w:marBottom w:val="0"/>
      <w:divBdr>
        <w:top w:val="none" w:sz="0" w:space="0" w:color="auto"/>
        <w:left w:val="none" w:sz="0" w:space="0" w:color="auto"/>
        <w:bottom w:val="none" w:sz="0" w:space="0" w:color="auto"/>
        <w:right w:val="none" w:sz="0" w:space="0" w:color="auto"/>
      </w:divBdr>
    </w:div>
    <w:div w:id="2040230520">
      <w:bodyDiv w:val="1"/>
      <w:marLeft w:val="0"/>
      <w:marRight w:val="0"/>
      <w:marTop w:val="0"/>
      <w:marBottom w:val="0"/>
      <w:divBdr>
        <w:top w:val="none" w:sz="0" w:space="0" w:color="auto"/>
        <w:left w:val="none" w:sz="0" w:space="0" w:color="auto"/>
        <w:bottom w:val="none" w:sz="0" w:space="0" w:color="auto"/>
        <w:right w:val="none" w:sz="0" w:space="0" w:color="auto"/>
      </w:divBdr>
    </w:div>
    <w:div w:id="2040472351">
      <w:bodyDiv w:val="1"/>
      <w:marLeft w:val="0"/>
      <w:marRight w:val="0"/>
      <w:marTop w:val="0"/>
      <w:marBottom w:val="0"/>
      <w:divBdr>
        <w:top w:val="none" w:sz="0" w:space="0" w:color="auto"/>
        <w:left w:val="none" w:sz="0" w:space="0" w:color="auto"/>
        <w:bottom w:val="none" w:sz="0" w:space="0" w:color="auto"/>
        <w:right w:val="none" w:sz="0" w:space="0" w:color="auto"/>
      </w:divBdr>
    </w:div>
    <w:div w:id="2041398308">
      <w:bodyDiv w:val="1"/>
      <w:marLeft w:val="0"/>
      <w:marRight w:val="0"/>
      <w:marTop w:val="0"/>
      <w:marBottom w:val="0"/>
      <w:divBdr>
        <w:top w:val="none" w:sz="0" w:space="0" w:color="auto"/>
        <w:left w:val="none" w:sz="0" w:space="0" w:color="auto"/>
        <w:bottom w:val="none" w:sz="0" w:space="0" w:color="auto"/>
        <w:right w:val="none" w:sz="0" w:space="0" w:color="auto"/>
      </w:divBdr>
    </w:div>
    <w:div w:id="2041587342">
      <w:bodyDiv w:val="1"/>
      <w:marLeft w:val="0"/>
      <w:marRight w:val="0"/>
      <w:marTop w:val="0"/>
      <w:marBottom w:val="0"/>
      <w:divBdr>
        <w:top w:val="none" w:sz="0" w:space="0" w:color="auto"/>
        <w:left w:val="none" w:sz="0" w:space="0" w:color="auto"/>
        <w:bottom w:val="none" w:sz="0" w:space="0" w:color="auto"/>
        <w:right w:val="none" w:sz="0" w:space="0" w:color="auto"/>
      </w:divBdr>
    </w:div>
    <w:div w:id="2041926788">
      <w:bodyDiv w:val="1"/>
      <w:marLeft w:val="0"/>
      <w:marRight w:val="0"/>
      <w:marTop w:val="0"/>
      <w:marBottom w:val="0"/>
      <w:divBdr>
        <w:top w:val="none" w:sz="0" w:space="0" w:color="auto"/>
        <w:left w:val="none" w:sz="0" w:space="0" w:color="auto"/>
        <w:bottom w:val="none" w:sz="0" w:space="0" w:color="auto"/>
        <w:right w:val="none" w:sz="0" w:space="0" w:color="auto"/>
      </w:divBdr>
    </w:div>
    <w:div w:id="2043479539">
      <w:bodyDiv w:val="1"/>
      <w:marLeft w:val="0"/>
      <w:marRight w:val="0"/>
      <w:marTop w:val="0"/>
      <w:marBottom w:val="0"/>
      <w:divBdr>
        <w:top w:val="none" w:sz="0" w:space="0" w:color="auto"/>
        <w:left w:val="none" w:sz="0" w:space="0" w:color="auto"/>
        <w:bottom w:val="none" w:sz="0" w:space="0" w:color="auto"/>
        <w:right w:val="none" w:sz="0" w:space="0" w:color="auto"/>
      </w:divBdr>
    </w:div>
    <w:div w:id="2044548262">
      <w:bodyDiv w:val="1"/>
      <w:marLeft w:val="0"/>
      <w:marRight w:val="0"/>
      <w:marTop w:val="0"/>
      <w:marBottom w:val="0"/>
      <w:divBdr>
        <w:top w:val="none" w:sz="0" w:space="0" w:color="auto"/>
        <w:left w:val="none" w:sz="0" w:space="0" w:color="auto"/>
        <w:bottom w:val="none" w:sz="0" w:space="0" w:color="auto"/>
        <w:right w:val="none" w:sz="0" w:space="0" w:color="auto"/>
      </w:divBdr>
    </w:div>
    <w:div w:id="2045017460">
      <w:bodyDiv w:val="1"/>
      <w:marLeft w:val="0"/>
      <w:marRight w:val="0"/>
      <w:marTop w:val="0"/>
      <w:marBottom w:val="0"/>
      <w:divBdr>
        <w:top w:val="none" w:sz="0" w:space="0" w:color="auto"/>
        <w:left w:val="none" w:sz="0" w:space="0" w:color="auto"/>
        <w:bottom w:val="none" w:sz="0" w:space="0" w:color="auto"/>
        <w:right w:val="none" w:sz="0" w:space="0" w:color="auto"/>
      </w:divBdr>
    </w:div>
    <w:div w:id="2045448651">
      <w:bodyDiv w:val="1"/>
      <w:marLeft w:val="0"/>
      <w:marRight w:val="0"/>
      <w:marTop w:val="0"/>
      <w:marBottom w:val="0"/>
      <w:divBdr>
        <w:top w:val="none" w:sz="0" w:space="0" w:color="auto"/>
        <w:left w:val="none" w:sz="0" w:space="0" w:color="auto"/>
        <w:bottom w:val="none" w:sz="0" w:space="0" w:color="auto"/>
        <w:right w:val="none" w:sz="0" w:space="0" w:color="auto"/>
      </w:divBdr>
    </w:div>
    <w:div w:id="2046632001">
      <w:bodyDiv w:val="1"/>
      <w:marLeft w:val="0"/>
      <w:marRight w:val="0"/>
      <w:marTop w:val="0"/>
      <w:marBottom w:val="0"/>
      <w:divBdr>
        <w:top w:val="none" w:sz="0" w:space="0" w:color="auto"/>
        <w:left w:val="none" w:sz="0" w:space="0" w:color="auto"/>
        <w:bottom w:val="none" w:sz="0" w:space="0" w:color="auto"/>
        <w:right w:val="none" w:sz="0" w:space="0" w:color="auto"/>
      </w:divBdr>
    </w:div>
    <w:div w:id="2051571584">
      <w:bodyDiv w:val="1"/>
      <w:marLeft w:val="0"/>
      <w:marRight w:val="0"/>
      <w:marTop w:val="0"/>
      <w:marBottom w:val="0"/>
      <w:divBdr>
        <w:top w:val="none" w:sz="0" w:space="0" w:color="auto"/>
        <w:left w:val="none" w:sz="0" w:space="0" w:color="auto"/>
        <w:bottom w:val="none" w:sz="0" w:space="0" w:color="auto"/>
        <w:right w:val="none" w:sz="0" w:space="0" w:color="auto"/>
      </w:divBdr>
    </w:div>
    <w:div w:id="2052069555">
      <w:bodyDiv w:val="1"/>
      <w:marLeft w:val="0"/>
      <w:marRight w:val="0"/>
      <w:marTop w:val="0"/>
      <w:marBottom w:val="0"/>
      <w:divBdr>
        <w:top w:val="none" w:sz="0" w:space="0" w:color="auto"/>
        <w:left w:val="none" w:sz="0" w:space="0" w:color="auto"/>
        <w:bottom w:val="none" w:sz="0" w:space="0" w:color="auto"/>
        <w:right w:val="none" w:sz="0" w:space="0" w:color="auto"/>
      </w:divBdr>
    </w:div>
    <w:div w:id="2052337342">
      <w:bodyDiv w:val="1"/>
      <w:marLeft w:val="0"/>
      <w:marRight w:val="0"/>
      <w:marTop w:val="0"/>
      <w:marBottom w:val="0"/>
      <w:divBdr>
        <w:top w:val="none" w:sz="0" w:space="0" w:color="auto"/>
        <w:left w:val="none" w:sz="0" w:space="0" w:color="auto"/>
        <w:bottom w:val="none" w:sz="0" w:space="0" w:color="auto"/>
        <w:right w:val="none" w:sz="0" w:space="0" w:color="auto"/>
      </w:divBdr>
    </w:div>
    <w:div w:id="2053336302">
      <w:bodyDiv w:val="1"/>
      <w:marLeft w:val="0"/>
      <w:marRight w:val="0"/>
      <w:marTop w:val="0"/>
      <w:marBottom w:val="0"/>
      <w:divBdr>
        <w:top w:val="none" w:sz="0" w:space="0" w:color="auto"/>
        <w:left w:val="none" w:sz="0" w:space="0" w:color="auto"/>
        <w:bottom w:val="none" w:sz="0" w:space="0" w:color="auto"/>
        <w:right w:val="none" w:sz="0" w:space="0" w:color="auto"/>
      </w:divBdr>
    </w:div>
    <w:div w:id="2054452905">
      <w:bodyDiv w:val="1"/>
      <w:marLeft w:val="0"/>
      <w:marRight w:val="0"/>
      <w:marTop w:val="0"/>
      <w:marBottom w:val="0"/>
      <w:divBdr>
        <w:top w:val="none" w:sz="0" w:space="0" w:color="auto"/>
        <w:left w:val="none" w:sz="0" w:space="0" w:color="auto"/>
        <w:bottom w:val="none" w:sz="0" w:space="0" w:color="auto"/>
        <w:right w:val="none" w:sz="0" w:space="0" w:color="auto"/>
      </w:divBdr>
    </w:div>
    <w:div w:id="2054689460">
      <w:bodyDiv w:val="1"/>
      <w:marLeft w:val="0"/>
      <w:marRight w:val="0"/>
      <w:marTop w:val="0"/>
      <w:marBottom w:val="0"/>
      <w:divBdr>
        <w:top w:val="none" w:sz="0" w:space="0" w:color="auto"/>
        <w:left w:val="none" w:sz="0" w:space="0" w:color="auto"/>
        <w:bottom w:val="none" w:sz="0" w:space="0" w:color="auto"/>
        <w:right w:val="none" w:sz="0" w:space="0" w:color="auto"/>
      </w:divBdr>
    </w:div>
    <w:div w:id="2056808031">
      <w:bodyDiv w:val="1"/>
      <w:marLeft w:val="0"/>
      <w:marRight w:val="0"/>
      <w:marTop w:val="0"/>
      <w:marBottom w:val="0"/>
      <w:divBdr>
        <w:top w:val="none" w:sz="0" w:space="0" w:color="auto"/>
        <w:left w:val="none" w:sz="0" w:space="0" w:color="auto"/>
        <w:bottom w:val="none" w:sz="0" w:space="0" w:color="auto"/>
        <w:right w:val="none" w:sz="0" w:space="0" w:color="auto"/>
      </w:divBdr>
    </w:div>
    <w:div w:id="2057854842">
      <w:bodyDiv w:val="1"/>
      <w:marLeft w:val="0"/>
      <w:marRight w:val="0"/>
      <w:marTop w:val="0"/>
      <w:marBottom w:val="0"/>
      <w:divBdr>
        <w:top w:val="none" w:sz="0" w:space="0" w:color="auto"/>
        <w:left w:val="none" w:sz="0" w:space="0" w:color="auto"/>
        <w:bottom w:val="none" w:sz="0" w:space="0" w:color="auto"/>
        <w:right w:val="none" w:sz="0" w:space="0" w:color="auto"/>
      </w:divBdr>
    </w:div>
    <w:div w:id="2058115298">
      <w:bodyDiv w:val="1"/>
      <w:marLeft w:val="0"/>
      <w:marRight w:val="0"/>
      <w:marTop w:val="0"/>
      <w:marBottom w:val="0"/>
      <w:divBdr>
        <w:top w:val="none" w:sz="0" w:space="0" w:color="auto"/>
        <w:left w:val="none" w:sz="0" w:space="0" w:color="auto"/>
        <w:bottom w:val="none" w:sz="0" w:space="0" w:color="auto"/>
        <w:right w:val="none" w:sz="0" w:space="0" w:color="auto"/>
      </w:divBdr>
    </w:div>
    <w:div w:id="2058776030">
      <w:bodyDiv w:val="1"/>
      <w:marLeft w:val="0"/>
      <w:marRight w:val="0"/>
      <w:marTop w:val="0"/>
      <w:marBottom w:val="0"/>
      <w:divBdr>
        <w:top w:val="none" w:sz="0" w:space="0" w:color="auto"/>
        <w:left w:val="none" w:sz="0" w:space="0" w:color="auto"/>
        <w:bottom w:val="none" w:sz="0" w:space="0" w:color="auto"/>
        <w:right w:val="none" w:sz="0" w:space="0" w:color="auto"/>
      </w:divBdr>
    </w:div>
    <w:div w:id="2059157108">
      <w:bodyDiv w:val="1"/>
      <w:marLeft w:val="0"/>
      <w:marRight w:val="0"/>
      <w:marTop w:val="0"/>
      <w:marBottom w:val="0"/>
      <w:divBdr>
        <w:top w:val="none" w:sz="0" w:space="0" w:color="auto"/>
        <w:left w:val="none" w:sz="0" w:space="0" w:color="auto"/>
        <w:bottom w:val="none" w:sz="0" w:space="0" w:color="auto"/>
        <w:right w:val="none" w:sz="0" w:space="0" w:color="auto"/>
      </w:divBdr>
    </w:div>
    <w:div w:id="2059357756">
      <w:bodyDiv w:val="1"/>
      <w:marLeft w:val="0"/>
      <w:marRight w:val="0"/>
      <w:marTop w:val="0"/>
      <w:marBottom w:val="0"/>
      <w:divBdr>
        <w:top w:val="none" w:sz="0" w:space="0" w:color="auto"/>
        <w:left w:val="none" w:sz="0" w:space="0" w:color="auto"/>
        <w:bottom w:val="none" w:sz="0" w:space="0" w:color="auto"/>
        <w:right w:val="none" w:sz="0" w:space="0" w:color="auto"/>
      </w:divBdr>
    </w:div>
    <w:div w:id="2059738311">
      <w:bodyDiv w:val="1"/>
      <w:marLeft w:val="0"/>
      <w:marRight w:val="0"/>
      <w:marTop w:val="0"/>
      <w:marBottom w:val="0"/>
      <w:divBdr>
        <w:top w:val="none" w:sz="0" w:space="0" w:color="auto"/>
        <w:left w:val="none" w:sz="0" w:space="0" w:color="auto"/>
        <w:bottom w:val="none" w:sz="0" w:space="0" w:color="auto"/>
        <w:right w:val="none" w:sz="0" w:space="0" w:color="auto"/>
      </w:divBdr>
    </w:div>
    <w:div w:id="2060399241">
      <w:bodyDiv w:val="1"/>
      <w:marLeft w:val="0"/>
      <w:marRight w:val="0"/>
      <w:marTop w:val="0"/>
      <w:marBottom w:val="0"/>
      <w:divBdr>
        <w:top w:val="none" w:sz="0" w:space="0" w:color="auto"/>
        <w:left w:val="none" w:sz="0" w:space="0" w:color="auto"/>
        <w:bottom w:val="none" w:sz="0" w:space="0" w:color="auto"/>
        <w:right w:val="none" w:sz="0" w:space="0" w:color="auto"/>
      </w:divBdr>
    </w:div>
    <w:div w:id="2061202519">
      <w:bodyDiv w:val="1"/>
      <w:marLeft w:val="0"/>
      <w:marRight w:val="0"/>
      <w:marTop w:val="0"/>
      <w:marBottom w:val="0"/>
      <w:divBdr>
        <w:top w:val="none" w:sz="0" w:space="0" w:color="auto"/>
        <w:left w:val="none" w:sz="0" w:space="0" w:color="auto"/>
        <w:bottom w:val="none" w:sz="0" w:space="0" w:color="auto"/>
        <w:right w:val="none" w:sz="0" w:space="0" w:color="auto"/>
      </w:divBdr>
    </w:div>
    <w:div w:id="2061785017">
      <w:bodyDiv w:val="1"/>
      <w:marLeft w:val="0"/>
      <w:marRight w:val="0"/>
      <w:marTop w:val="0"/>
      <w:marBottom w:val="0"/>
      <w:divBdr>
        <w:top w:val="none" w:sz="0" w:space="0" w:color="auto"/>
        <w:left w:val="none" w:sz="0" w:space="0" w:color="auto"/>
        <w:bottom w:val="none" w:sz="0" w:space="0" w:color="auto"/>
        <w:right w:val="none" w:sz="0" w:space="0" w:color="auto"/>
      </w:divBdr>
    </w:div>
    <w:div w:id="2062972603">
      <w:bodyDiv w:val="1"/>
      <w:marLeft w:val="0"/>
      <w:marRight w:val="0"/>
      <w:marTop w:val="0"/>
      <w:marBottom w:val="0"/>
      <w:divBdr>
        <w:top w:val="none" w:sz="0" w:space="0" w:color="auto"/>
        <w:left w:val="none" w:sz="0" w:space="0" w:color="auto"/>
        <w:bottom w:val="none" w:sz="0" w:space="0" w:color="auto"/>
        <w:right w:val="none" w:sz="0" w:space="0" w:color="auto"/>
      </w:divBdr>
    </w:div>
    <w:div w:id="2064862257">
      <w:bodyDiv w:val="1"/>
      <w:marLeft w:val="0"/>
      <w:marRight w:val="0"/>
      <w:marTop w:val="0"/>
      <w:marBottom w:val="0"/>
      <w:divBdr>
        <w:top w:val="none" w:sz="0" w:space="0" w:color="auto"/>
        <w:left w:val="none" w:sz="0" w:space="0" w:color="auto"/>
        <w:bottom w:val="none" w:sz="0" w:space="0" w:color="auto"/>
        <w:right w:val="none" w:sz="0" w:space="0" w:color="auto"/>
      </w:divBdr>
    </w:div>
    <w:div w:id="2065135176">
      <w:bodyDiv w:val="1"/>
      <w:marLeft w:val="0"/>
      <w:marRight w:val="0"/>
      <w:marTop w:val="0"/>
      <w:marBottom w:val="0"/>
      <w:divBdr>
        <w:top w:val="none" w:sz="0" w:space="0" w:color="auto"/>
        <w:left w:val="none" w:sz="0" w:space="0" w:color="auto"/>
        <w:bottom w:val="none" w:sz="0" w:space="0" w:color="auto"/>
        <w:right w:val="none" w:sz="0" w:space="0" w:color="auto"/>
      </w:divBdr>
    </w:div>
    <w:div w:id="2065788436">
      <w:bodyDiv w:val="1"/>
      <w:marLeft w:val="0"/>
      <w:marRight w:val="0"/>
      <w:marTop w:val="0"/>
      <w:marBottom w:val="0"/>
      <w:divBdr>
        <w:top w:val="none" w:sz="0" w:space="0" w:color="auto"/>
        <w:left w:val="none" w:sz="0" w:space="0" w:color="auto"/>
        <w:bottom w:val="none" w:sz="0" w:space="0" w:color="auto"/>
        <w:right w:val="none" w:sz="0" w:space="0" w:color="auto"/>
      </w:divBdr>
    </w:div>
    <w:div w:id="2066832862">
      <w:bodyDiv w:val="1"/>
      <w:marLeft w:val="0"/>
      <w:marRight w:val="0"/>
      <w:marTop w:val="0"/>
      <w:marBottom w:val="0"/>
      <w:divBdr>
        <w:top w:val="none" w:sz="0" w:space="0" w:color="auto"/>
        <w:left w:val="none" w:sz="0" w:space="0" w:color="auto"/>
        <w:bottom w:val="none" w:sz="0" w:space="0" w:color="auto"/>
        <w:right w:val="none" w:sz="0" w:space="0" w:color="auto"/>
      </w:divBdr>
    </w:div>
    <w:div w:id="2070952309">
      <w:bodyDiv w:val="1"/>
      <w:marLeft w:val="0"/>
      <w:marRight w:val="0"/>
      <w:marTop w:val="0"/>
      <w:marBottom w:val="0"/>
      <w:divBdr>
        <w:top w:val="none" w:sz="0" w:space="0" w:color="auto"/>
        <w:left w:val="none" w:sz="0" w:space="0" w:color="auto"/>
        <w:bottom w:val="none" w:sz="0" w:space="0" w:color="auto"/>
        <w:right w:val="none" w:sz="0" w:space="0" w:color="auto"/>
      </w:divBdr>
    </w:div>
    <w:div w:id="2071729602">
      <w:bodyDiv w:val="1"/>
      <w:marLeft w:val="0"/>
      <w:marRight w:val="0"/>
      <w:marTop w:val="0"/>
      <w:marBottom w:val="0"/>
      <w:divBdr>
        <w:top w:val="none" w:sz="0" w:space="0" w:color="auto"/>
        <w:left w:val="none" w:sz="0" w:space="0" w:color="auto"/>
        <w:bottom w:val="none" w:sz="0" w:space="0" w:color="auto"/>
        <w:right w:val="none" w:sz="0" w:space="0" w:color="auto"/>
      </w:divBdr>
    </w:div>
    <w:div w:id="2071876630">
      <w:bodyDiv w:val="1"/>
      <w:marLeft w:val="0"/>
      <w:marRight w:val="0"/>
      <w:marTop w:val="0"/>
      <w:marBottom w:val="0"/>
      <w:divBdr>
        <w:top w:val="none" w:sz="0" w:space="0" w:color="auto"/>
        <w:left w:val="none" w:sz="0" w:space="0" w:color="auto"/>
        <w:bottom w:val="none" w:sz="0" w:space="0" w:color="auto"/>
        <w:right w:val="none" w:sz="0" w:space="0" w:color="auto"/>
      </w:divBdr>
    </w:div>
    <w:div w:id="2073771623">
      <w:bodyDiv w:val="1"/>
      <w:marLeft w:val="0"/>
      <w:marRight w:val="0"/>
      <w:marTop w:val="0"/>
      <w:marBottom w:val="0"/>
      <w:divBdr>
        <w:top w:val="none" w:sz="0" w:space="0" w:color="auto"/>
        <w:left w:val="none" w:sz="0" w:space="0" w:color="auto"/>
        <w:bottom w:val="none" w:sz="0" w:space="0" w:color="auto"/>
        <w:right w:val="none" w:sz="0" w:space="0" w:color="auto"/>
      </w:divBdr>
    </w:div>
    <w:div w:id="2073890811">
      <w:bodyDiv w:val="1"/>
      <w:marLeft w:val="0"/>
      <w:marRight w:val="0"/>
      <w:marTop w:val="0"/>
      <w:marBottom w:val="0"/>
      <w:divBdr>
        <w:top w:val="none" w:sz="0" w:space="0" w:color="auto"/>
        <w:left w:val="none" w:sz="0" w:space="0" w:color="auto"/>
        <w:bottom w:val="none" w:sz="0" w:space="0" w:color="auto"/>
        <w:right w:val="none" w:sz="0" w:space="0" w:color="auto"/>
      </w:divBdr>
    </w:div>
    <w:div w:id="2074038011">
      <w:bodyDiv w:val="1"/>
      <w:marLeft w:val="0"/>
      <w:marRight w:val="0"/>
      <w:marTop w:val="0"/>
      <w:marBottom w:val="0"/>
      <w:divBdr>
        <w:top w:val="none" w:sz="0" w:space="0" w:color="auto"/>
        <w:left w:val="none" w:sz="0" w:space="0" w:color="auto"/>
        <w:bottom w:val="none" w:sz="0" w:space="0" w:color="auto"/>
        <w:right w:val="none" w:sz="0" w:space="0" w:color="auto"/>
      </w:divBdr>
    </w:div>
    <w:div w:id="2074428029">
      <w:bodyDiv w:val="1"/>
      <w:marLeft w:val="0"/>
      <w:marRight w:val="0"/>
      <w:marTop w:val="0"/>
      <w:marBottom w:val="0"/>
      <w:divBdr>
        <w:top w:val="none" w:sz="0" w:space="0" w:color="auto"/>
        <w:left w:val="none" w:sz="0" w:space="0" w:color="auto"/>
        <w:bottom w:val="none" w:sz="0" w:space="0" w:color="auto"/>
        <w:right w:val="none" w:sz="0" w:space="0" w:color="auto"/>
      </w:divBdr>
    </w:div>
    <w:div w:id="2075736513">
      <w:bodyDiv w:val="1"/>
      <w:marLeft w:val="0"/>
      <w:marRight w:val="0"/>
      <w:marTop w:val="0"/>
      <w:marBottom w:val="0"/>
      <w:divBdr>
        <w:top w:val="none" w:sz="0" w:space="0" w:color="auto"/>
        <w:left w:val="none" w:sz="0" w:space="0" w:color="auto"/>
        <w:bottom w:val="none" w:sz="0" w:space="0" w:color="auto"/>
        <w:right w:val="none" w:sz="0" w:space="0" w:color="auto"/>
      </w:divBdr>
    </w:div>
    <w:div w:id="2075812833">
      <w:bodyDiv w:val="1"/>
      <w:marLeft w:val="0"/>
      <w:marRight w:val="0"/>
      <w:marTop w:val="0"/>
      <w:marBottom w:val="0"/>
      <w:divBdr>
        <w:top w:val="none" w:sz="0" w:space="0" w:color="auto"/>
        <w:left w:val="none" w:sz="0" w:space="0" w:color="auto"/>
        <w:bottom w:val="none" w:sz="0" w:space="0" w:color="auto"/>
        <w:right w:val="none" w:sz="0" w:space="0" w:color="auto"/>
      </w:divBdr>
    </w:div>
    <w:div w:id="2076316433">
      <w:bodyDiv w:val="1"/>
      <w:marLeft w:val="0"/>
      <w:marRight w:val="0"/>
      <w:marTop w:val="0"/>
      <w:marBottom w:val="0"/>
      <w:divBdr>
        <w:top w:val="none" w:sz="0" w:space="0" w:color="auto"/>
        <w:left w:val="none" w:sz="0" w:space="0" w:color="auto"/>
        <w:bottom w:val="none" w:sz="0" w:space="0" w:color="auto"/>
        <w:right w:val="none" w:sz="0" w:space="0" w:color="auto"/>
      </w:divBdr>
    </w:div>
    <w:div w:id="2076319738">
      <w:bodyDiv w:val="1"/>
      <w:marLeft w:val="0"/>
      <w:marRight w:val="0"/>
      <w:marTop w:val="0"/>
      <w:marBottom w:val="0"/>
      <w:divBdr>
        <w:top w:val="none" w:sz="0" w:space="0" w:color="auto"/>
        <w:left w:val="none" w:sz="0" w:space="0" w:color="auto"/>
        <w:bottom w:val="none" w:sz="0" w:space="0" w:color="auto"/>
        <w:right w:val="none" w:sz="0" w:space="0" w:color="auto"/>
      </w:divBdr>
    </w:div>
    <w:div w:id="2077582014">
      <w:bodyDiv w:val="1"/>
      <w:marLeft w:val="0"/>
      <w:marRight w:val="0"/>
      <w:marTop w:val="0"/>
      <w:marBottom w:val="0"/>
      <w:divBdr>
        <w:top w:val="none" w:sz="0" w:space="0" w:color="auto"/>
        <w:left w:val="none" w:sz="0" w:space="0" w:color="auto"/>
        <w:bottom w:val="none" w:sz="0" w:space="0" w:color="auto"/>
        <w:right w:val="none" w:sz="0" w:space="0" w:color="auto"/>
      </w:divBdr>
    </w:div>
    <w:div w:id="2078740219">
      <w:bodyDiv w:val="1"/>
      <w:marLeft w:val="0"/>
      <w:marRight w:val="0"/>
      <w:marTop w:val="0"/>
      <w:marBottom w:val="0"/>
      <w:divBdr>
        <w:top w:val="none" w:sz="0" w:space="0" w:color="auto"/>
        <w:left w:val="none" w:sz="0" w:space="0" w:color="auto"/>
        <w:bottom w:val="none" w:sz="0" w:space="0" w:color="auto"/>
        <w:right w:val="none" w:sz="0" w:space="0" w:color="auto"/>
      </w:divBdr>
    </w:div>
    <w:div w:id="2078816352">
      <w:bodyDiv w:val="1"/>
      <w:marLeft w:val="0"/>
      <w:marRight w:val="0"/>
      <w:marTop w:val="0"/>
      <w:marBottom w:val="0"/>
      <w:divBdr>
        <w:top w:val="none" w:sz="0" w:space="0" w:color="auto"/>
        <w:left w:val="none" w:sz="0" w:space="0" w:color="auto"/>
        <w:bottom w:val="none" w:sz="0" w:space="0" w:color="auto"/>
        <w:right w:val="none" w:sz="0" w:space="0" w:color="auto"/>
      </w:divBdr>
    </w:div>
    <w:div w:id="2079865846">
      <w:bodyDiv w:val="1"/>
      <w:marLeft w:val="0"/>
      <w:marRight w:val="0"/>
      <w:marTop w:val="0"/>
      <w:marBottom w:val="0"/>
      <w:divBdr>
        <w:top w:val="none" w:sz="0" w:space="0" w:color="auto"/>
        <w:left w:val="none" w:sz="0" w:space="0" w:color="auto"/>
        <w:bottom w:val="none" w:sz="0" w:space="0" w:color="auto"/>
        <w:right w:val="none" w:sz="0" w:space="0" w:color="auto"/>
      </w:divBdr>
    </w:div>
    <w:div w:id="2079936462">
      <w:bodyDiv w:val="1"/>
      <w:marLeft w:val="0"/>
      <w:marRight w:val="0"/>
      <w:marTop w:val="0"/>
      <w:marBottom w:val="0"/>
      <w:divBdr>
        <w:top w:val="none" w:sz="0" w:space="0" w:color="auto"/>
        <w:left w:val="none" w:sz="0" w:space="0" w:color="auto"/>
        <w:bottom w:val="none" w:sz="0" w:space="0" w:color="auto"/>
        <w:right w:val="none" w:sz="0" w:space="0" w:color="auto"/>
      </w:divBdr>
    </w:div>
    <w:div w:id="2081439826">
      <w:bodyDiv w:val="1"/>
      <w:marLeft w:val="0"/>
      <w:marRight w:val="0"/>
      <w:marTop w:val="0"/>
      <w:marBottom w:val="0"/>
      <w:divBdr>
        <w:top w:val="none" w:sz="0" w:space="0" w:color="auto"/>
        <w:left w:val="none" w:sz="0" w:space="0" w:color="auto"/>
        <w:bottom w:val="none" w:sz="0" w:space="0" w:color="auto"/>
        <w:right w:val="none" w:sz="0" w:space="0" w:color="auto"/>
      </w:divBdr>
    </w:div>
    <w:div w:id="2081824778">
      <w:bodyDiv w:val="1"/>
      <w:marLeft w:val="0"/>
      <w:marRight w:val="0"/>
      <w:marTop w:val="0"/>
      <w:marBottom w:val="0"/>
      <w:divBdr>
        <w:top w:val="none" w:sz="0" w:space="0" w:color="auto"/>
        <w:left w:val="none" w:sz="0" w:space="0" w:color="auto"/>
        <w:bottom w:val="none" w:sz="0" w:space="0" w:color="auto"/>
        <w:right w:val="none" w:sz="0" w:space="0" w:color="auto"/>
      </w:divBdr>
    </w:div>
    <w:div w:id="2081907761">
      <w:bodyDiv w:val="1"/>
      <w:marLeft w:val="0"/>
      <w:marRight w:val="0"/>
      <w:marTop w:val="0"/>
      <w:marBottom w:val="0"/>
      <w:divBdr>
        <w:top w:val="none" w:sz="0" w:space="0" w:color="auto"/>
        <w:left w:val="none" w:sz="0" w:space="0" w:color="auto"/>
        <w:bottom w:val="none" w:sz="0" w:space="0" w:color="auto"/>
        <w:right w:val="none" w:sz="0" w:space="0" w:color="auto"/>
      </w:divBdr>
    </w:div>
    <w:div w:id="2083335104">
      <w:bodyDiv w:val="1"/>
      <w:marLeft w:val="0"/>
      <w:marRight w:val="0"/>
      <w:marTop w:val="0"/>
      <w:marBottom w:val="0"/>
      <w:divBdr>
        <w:top w:val="none" w:sz="0" w:space="0" w:color="auto"/>
        <w:left w:val="none" w:sz="0" w:space="0" w:color="auto"/>
        <w:bottom w:val="none" w:sz="0" w:space="0" w:color="auto"/>
        <w:right w:val="none" w:sz="0" w:space="0" w:color="auto"/>
      </w:divBdr>
    </w:div>
    <w:div w:id="2083411112">
      <w:bodyDiv w:val="1"/>
      <w:marLeft w:val="0"/>
      <w:marRight w:val="0"/>
      <w:marTop w:val="0"/>
      <w:marBottom w:val="0"/>
      <w:divBdr>
        <w:top w:val="none" w:sz="0" w:space="0" w:color="auto"/>
        <w:left w:val="none" w:sz="0" w:space="0" w:color="auto"/>
        <w:bottom w:val="none" w:sz="0" w:space="0" w:color="auto"/>
        <w:right w:val="none" w:sz="0" w:space="0" w:color="auto"/>
      </w:divBdr>
    </w:div>
    <w:div w:id="2083483915">
      <w:bodyDiv w:val="1"/>
      <w:marLeft w:val="0"/>
      <w:marRight w:val="0"/>
      <w:marTop w:val="0"/>
      <w:marBottom w:val="0"/>
      <w:divBdr>
        <w:top w:val="none" w:sz="0" w:space="0" w:color="auto"/>
        <w:left w:val="none" w:sz="0" w:space="0" w:color="auto"/>
        <w:bottom w:val="none" w:sz="0" w:space="0" w:color="auto"/>
        <w:right w:val="none" w:sz="0" w:space="0" w:color="auto"/>
      </w:divBdr>
    </w:div>
    <w:div w:id="2083529091">
      <w:bodyDiv w:val="1"/>
      <w:marLeft w:val="0"/>
      <w:marRight w:val="0"/>
      <w:marTop w:val="0"/>
      <w:marBottom w:val="0"/>
      <w:divBdr>
        <w:top w:val="none" w:sz="0" w:space="0" w:color="auto"/>
        <w:left w:val="none" w:sz="0" w:space="0" w:color="auto"/>
        <w:bottom w:val="none" w:sz="0" w:space="0" w:color="auto"/>
        <w:right w:val="none" w:sz="0" w:space="0" w:color="auto"/>
      </w:divBdr>
    </w:div>
    <w:div w:id="2084448057">
      <w:bodyDiv w:val="1"/>
      <w:marLeft w:val="0"/>
      <w:marRight w:val="0"/>
      <w:marTop w:val="0"/>
      <w:marBottom w:val="0"/>
      <w:divBdr>
        <w:top w:val="none" w:sz="0" w:space="0" w:color="auto"/>
        <w:left w:val="none" w:sz="0" w:space="0" w:color="auto"/>
        <w:bottom w:val="none" w:sz="0" w:space="0" w:color="auto"/>
        <w:right w:val="none" w:sz="0" w:space="0" w:color="auto"/>
      </w:divBdr>
    </w:div>
    <w:div w:id="2084796134">
      <w:bodyDiv w:val="1"/>
      <w:marLeft w:val="0"/>
      <w:marRight w:val="0"/>
      <w:marTop w:val="0"/>
      <w:marBottom w:val="0"/>
      <w:divBdr>
        <w:top w:val="none" w:sz="0" w:space="0" w:color="auto"/>
        <w:left w:val="none" w:sz="0" w:space="0" w:color="auto"/>
        <w:bottom w:val="none" w:sz="0" w:space="0" w:color="auto"/>
        <w:right w:val="none" w:sz="0" w:space="0" w:color="auto"/>
      </w:divBdr>
    </w:div>
    <w:div w:id="2085180310">
      <w:bodyDiv w:val="1"/>
      <w:marLeft w:val="0"/>
      <w:marRight w:val="0"/>
      <w:marTop w:val="0"/>
      <w:marBottom w:val="0"/>
      <w:divBdr>
        <w:top w:val="none" w:sz="0" w:space="0" w:color="auto"/>
        <w:left w:val="none" w:sz="0" w:space="0" w:color="auto"/>
        <w:bottom w:val="none" w:sz="0" w:space="0" w:color="auto"/>
        <w:right w:val="none" w:sz="0" w:space="0" w:color="auto"/>
      </w:divBdr>
    </w:div>
    <w:div w:id="2086026346">
      <w:bodyDiv w:val="1"/>
      <w:marLeft w:val="0"/>
      <w:marRight w:val="0"/>
      <w:marTop w:val="0"/>
      <w:marBottom w:val="0"/>
      <w:divBdr>
        <w:top w:val="none" w:sz="0" w:space="0" w:color="auto"/>
        <w:left w:val="none" w:sz="0" w:space="0" w:color="auto"/>
        <w:bottom w:val="none" w:sz="0" w:space="0" w:color="auto"/>
        <w:right w:val="none" w:sz="0" w:space="0" w:color="auto"/>
      </w:divBdr>
    </w:div>
    <w:div w:id="2086149342">
      <w:bodyDiv w:val="1"/>
      <w:marLeft w:val="0"/>
      <w:marRight w:val="0"/>
      <w:marTop w:val="0"/>
      <w:marBottom w:val="0"/>
      <w:divBdr>
        <w:top w:val="none" w:sz="0" w:space="0" w:color="auto"/>
        <w:left w:val="none" w:sz="0" w:space="0" w:color="auto"/>
        <w:bottom w:val="none" w:sz="0" w:space="0" w:color="auto"/>
        <w:right w:val="none" w:sz="0" w:space="0" w:color="auto"/>
      </w:divBdr>
    </w:div>
    <w:div w:id="2086953891">
      <w:bodyDiv w:val="1"/>
      <w:marLeft w:val="0"/>
      <w:marRight w:val="0"/>
      <w:marTop w:val="0"/>
      <w:marBottom w:val="0"/>
      <w:divBdr>
        <w:top w:val="none" w:sz="0" w:space="0" w:color="auto"/>
        <w:left w:val="none" w:sz="0" w:space="0" w:color="auto"/>
        <w:bottom w:val="none" w:sz="0" w:space="0" w:color="auto"/>
        <w:right w:val="none" w:sz="0" w:space="0" w:color="auto"/>
      </w:divBdr>
    </w:div>
    <w:div w:id="2087418052">
      <w:bodyDiv w:val="1"/>
      <w:marLeft w:val="0"/>
      <w:marRight w:val="0"/>
      <w:marTop w:val="0"/>
      <w:marBottom w:val="0"/>
      <w:divBdr>
        <w:top w:val="none" w:sz="0" w:space="0" w:color="auto"/>
        <w:left w:val="none" w:sz="0" w:space="0" w:color="auto"/>
        <w:bottom w:val="none" w:sz="0" w:space="0" w:color="auto"/>
        <w:right w:val="none" w:sz="0" w:space="0" w:color="auto"/>
      </w:divBdr>
    </w:div>
    <w:div w:id="2088375534">
      <w:bodyDiv w:val="1"/>
      <w:marLeft w:val="0"/>
      <w:marRight w:val="0"/>
      <w:marTop w:val="0"/>
      <w:marBottom w:val="0"/>
      <w:divBdr>
        <w:top w:val="none" w:sz="0" w:space="0" w:color="auto"/>
        <w:left w:val="none" w:sz="0" w:space="0" w:color="auto"/>
        <w:bottom w:val="none" w:sz="0" w:space="0" w:color="auto"/>
        <w:right w:val="none" w:sz="0" w:space="0" w:color="auto"/>
      </w:divBdr>
    </w:div>
    <w:div w:id="2089224976">
      <w:bodyDiv w:val="1"/>
      <w:marLeft w:val="0"/>
      <w:marRight w:val="0"/>
      <w:marTop w:val="0"/>
      <w:marBottom w:val="0"/>
      <w:divBdr>
        <w:top w:val="none" w:sz="0" w:space="0" w:color="auto"/>
        <w:left w:val="none" w:sz="0" w:space="0" w:color="auto"/>
        <w:bottom w:val="none" w:sz="0" w:space="0" w:color="auto"/>
        <w:right w:val="none" w:sz="0" w:space="0" w:color="auto"/>
      </w:divBdr>
    </w:div>
    <w:div w:id="2089305520">
      <w:bodyDiv w:val="1"/>
      <w:marLeft w:val="0"/>
      <w:marRight w:val="0"/>
      <w:marTop w:val="0"/>
      <w:marBottom w:val="0"/>
      <w:divBdr>
        <w:top w:val="none" w:sz="0" w:space="0" w:color="auto"/>
        <w:left w:val="none" w:sz="0" w:space="0" w:color="auto"/>
        <w:bottom w:val="none" w:sz="0" w:space="0" w:color="auto"/>
        <w:right w:val="none" w:sz="0" w:space="0" w:color="auto"/>
      </w:divBdr>
    </w:div>
    <w:div w:id="2089574444">
      <w:bodyDiv w:val="1"/>
      <w:marLeft w:val="0"/>
      <w:marRight w:val="0"/>
      <w:marTop w:val="0"/>
      <w:marBottom w:val="0"/>
      <w:divBdr>
        <w:top w:val="none" w:sz="0" w:space="0" w:color="auto"/>
        <w:left w:val="none" w:sz="0" w:space="0" w:color="auto"/>
        <w:bottom w:val="none" w:sz="0" w:space="0" w:color="auto"/>
        <w:right w:val="none" w:sz="0" w:space="0" w:color="auto"/>
      </w:divBdr>
    </w:div>
    <w:div w:id="2089964355">
      <w:bodyDiv w:val="1"/>
      <w:marLeft w:val="0"/>
      <w:marRight w:val="0"/>
      <w:marTop w:val="0"/>
      <w:marBottom w:val="0"/>
      <w:divBdr>
        <w:top w:val="none" w:sz="0" w:space="0" w:color="auto"/>
        <w:left w:val="none" w:sz="0" w:space="0" w:color="auto"/>
        <w:bottom w:val="none" w:sz="0" w:space="0" w:color="auto"/>
        <w:right w:val="none" w:sz="0" w:space="0" w:color="auto"/>
      </w:divBdr>
    </w:div>
    <w:div w:id="2090302183">
      <w:bodyDiv w:val="1"/>
      <w:marLeft w:val="0"/>
      <w:marRight w:val="0"/>
      <w:marTop w:val="0"/>
      <w:marBottom w:val="0"/>
      <w:divBdr>
        <w:top w:val="none" w:sz="0" w:space="0" w:color="auto"/>
        <w:left w:val="none" w:sz="0" w:space="0" w:color="auto"/>
        <w:bottom w:val="none" w:sz="0" w:space="0" w:color="auto"/>
        <w:right w:val="none" w:sz="0" w:space="0" w:color="auto"/>
      </w:divBdr>
    </w:div>
    <w:div w:id="2091123758">
      <w:bodyDiv w:val="1"/>
      <w:marLeft w:val="0"/>
      <w:marRight w:val="0"/>
      <w:marTop w:val="0"/>
      <w:marBottom w:val="0"/>
      <w:divBdr>
        <w:top w:val="none" w:sz="0" w:space="0" w:color="auto"/>
        <w:left w:val="none" w:sz="0" w:space="0" w:color="auto"/>
        <w:bottom w:val="none" w:sz="0" w:space="0" w:color="auto"/>
        <w:right w:val="none" w:sz="0" w:space="0" w:color="auto"/>
      </w:divBdr>
    </w:div>
    <w:div w:id="2091153729">
      <w:bodyDiv w:val="1"/>
      <w:marLeft w:val="0"/>
      <w:marRight w:val="0"/>
      <w:marTop w:val="0"/>
      <w:marBottom w:val="0"/>
      <w:divBdr>
        <w:top w:val="none" w:sz="0" w:space="0" w:color="auto"/>
        <w:left w:val="none" w:sz="0" w:space="0" w:color="auto"/>
        <w:bottom w:val="none" w:sz="0" w:space="0" w:color="auto"/>
        <w:right w:val="none" w:sz="0" w:space="0" w:color="auto"/>
      </w:divBdr>
    </w:div>
    <w:div w:id="2094159776">
      <w:bodyDiv w:val="1"/>
      <w:marLeft w:val="0"/>
      <w:marRight w:val="0"/>
      <w:marTop w:val="0"/>
      <w:marBottom w:val="0"/>
      <w:divBdr>
        <w:top w:val="none" w:sz="0" w:space="0" w:color="auto"/>
        <w:left w:val="none" w:sz="0" w:space="0" w:color="auto"/>
        <w:bottom w:val="none" w:sz="0" w:space="0" w:color="auto"/>
        <w:right w:val="none" w:sz="0" w:space="0" w:color="auto"/>
      </w:divBdr>
    </w:div>
    <w:div w:id="2097051667">
      <w:bodyDiv w:val="1"/>
      <w:marLeft w:val="0"/>
      <w:marRight w:val="0"/>
      <w:marTop w:val="0"/>
      <w:marBottom w:val="0"/>
      <w:divBdr>
        <w:top w:val="none" w:sz="0" w:space="0" w:color="auto"/>
        <w:left w:val="none" w:sz="0" w:space="0" w:color="auto"/>
        <w:bottom w:val="none" w:sz="0" w:space="0" w:color="auto"/>
        <w:right w:val="none" w:sz="0" w:space="0" w:color="auto"/>
      </w:divBdr>
    </w:div>
    <w:div w:id="2097705917">
      <w:bodyDiv w:val="1"/>
      <w:marLeft w:val="0"/>
      <w:marRight w:val="0"/>
      <w:marTop w:val="0"/>
      <w:marBottom w:val="0"/>
      <w:divBdr>
        <w:top w:val="none" w:sz="0" w:space="0" w:color="auto"/>
        <w:left w:val="none" w:sz="0" w:space="0" w:color="auto"/>
        <w:bottom w:val="none" w:sz="0" w:space="0" w:color="auto"/>
        <w:right w:val="none" w:sz="0" w:space="0" w:color="auto"/>
      </w:divBdr>
    </w:div>
    <w:div w:id="2100784588">
      <w:bodyDiv w:val="1"/>
      <w:marLeft w:val="0"/>
      <w:marRight w:val="0"/>
      <w:marTop w:val="0"/>
      <w:marBottom w:val="0"/>
      <w:divBdr>
        <w:top w:val="none" w:sz="0" w:space="0" w:color="auto"/>
        <w:left w:val="none" w:sz="0" w:space="0" w:color="auto"/>
        <w:bottom w:val="none" w:sz="0" w:space="0" w:color="auto"/>
        <w:right w:val="none" w:sz="0" w:space="0" w:color="auto"/>
      </w:divBdr>
    </w:div>
    <w:div w:id="2100828738">
      <w:bodyDiv w:val="1"/>
      <w:marLeft w:val="0"/>
      <w:marRight w:val="0"/>
      <w:marTop w:val="0"/>
      <w:marBottom w:val="0"/>
      <w:divBdr>
        <w:top w:val="none" w:sz="0" w:space="0" w:color="auto"/>
        <w:left w:val="none" w:sz="0" w:space="0" w:color="auto"/>
        <w:bottom w:val="none" w:sz="0" w:space="0" w:color="auto"/>
        <w:right w:val="none" w:sz="0" w:space="0" w:color="auto"/>
      </w:divBdr>
    </w:div>
    <w:div w:id="2101024422">
      <w:bodyDiv w:val="1"/>
      <w:marLeft w:val="0"/>
      <w:marRight w:val="0"/>
      <w:marTop w:val="0"/>
      <w:marBottom w:val="0"/>
      <w:divBdr>
        <w:top w:val="none" w:sz="0" w:space="0" w:color="auto"/>
        <w:left w:val="none" w:sz="0" w:space="0" w:color="auto"/>
        <w:bottom w:val="none" w:sz="0" w:space="0" w:color="auto"/>
        <w:right w:val="none" w:sz="0" w:space="0" w:color="auto"/>
      </w:divBdr>
    </w:div>
    <w:div w:id="2101099099">
      <w:bodyDiv w:val="1"/>
      <w:marLeft w:val="0"/>
      <w:marRight w:val="0"/>
      <w:marTop w:val="0"/>
      <w:marBottom w:val="0"/>
      <w:divBdr>
        <w:top w:val="none" w:sz="0" w:space="0" w:color="auto"/>
        <w:left w:val="none" w:sz="0" w:space="0" w:color="auto"/>
        <w:bottom w:val="none" w:sz="0" w:space="0" w:color="auto"/>
        <w:right w:val="none" w:sz="0" w:space="0" w:color="auto"/>
      </w:divBdr>
    </w:div>
    <w:div w:id="2101481542">
      <w:bodyDiv w:val="1"/>
      <w:marLeft w:val="0"/>
      <w:marRight w:val="0"/>
      <w:marTop w:val="0"/>
      <w:marBottom w:val="0"/>
      <w:divBdr>
        <w:top w:val="none" w:sz="0" w:space="0" w:color="auto"/>
        <w:left w:val="none" w:sz="0" w:space="0" w:color="auto"/>
        <w:bottom w:val="none" w:sz="0" w:space="0" w:color="auto"/>
        <w:right w:val="none" w:sz="0" w:space="0" w:color="auto"/>
      </w:divBdr>
    </w:div>
    <w:div w:id="2102215793">
      <w:bodyDiv w:val="1"/>
      <w:marLeft w:val="0"/>
      <w:marRight w:val="0"/>
      <w:marTop w:val="0"/>
      <w:marBottom w:val="0"/>
      <w:divBdr>
        <w:top w:val="none" w:sz="0" w:space="0" w:color="auto"/>
        <w:left w:val="none" w:sz="0" w:space="0" w:color="auto"/>
        <w:bottom w:val="none" w:sz="0" w:space="0" w:color="auto"/>
        <w:right w:val="none" w:sz="0" w:space="0" w:color="auto"/>
      </w:divBdr>
    </w:div>
    <w:div w:id="2103334932">
      <w:bodyDiv w:val="1"/>
      <w:marLeft w:val="0"/>
      <w:marRight w:val="0"/>
      <w:marTop w:val="0"/>
      <w:marBottom w:val="0"/>
      <w:divBdr>
        <w:top w:val="none" w:sz="0" w:space="0" w:color="auto"/>
        <w:left w:val="none" w:sz="0" w:space="0" w:color="auto"/>
        <w:bottom w:val="none" w:sz="0" w:space="0" w:color="auto"/>
        <w:right w:val="none" w:sz="0" w:space="0" w:color="auto"/>
      </w:divBdr>
    </w:div>
    <w:div w:id="2103523955">
      <w:bodyDiv w:val="1"/>
      <w:marLeft w:val="0"/>
      <w:marRight w:val="0"/>
      <w:marTop w:val="0"/>
      <w:marBottom w:val="0"/>
      <w:divBdr>
        <w:top w:val="none" w:sz="0" w:space="0" w:color="auto"/>
        <w:left w:val="none" w:sz="0" w:space="0" w:color="auto"/>
        <w:bottom w:val="none" w:sz="0" w:space="0" w:color="auto"/>
        <w:right w:val="none" w:sz="0" w:space="0" w:color="auto"/>
      </w:divBdr>
    </w:div>
    <w:div w:id="2104951249">
      <w:bodyDiv w:val="1"/>
      <w:marLeft w:val="0"/>
      <w:marRight w:val="0"/>
      <w:marTop w:val="0"/>
      <w:marBottom w:val="0"/>
      <w:divBdr>
        <w:top w:val="none" w:sz="0" w:space="0" w:color="auto"/>
        <w:left w:val="none" w:sz="0" w:space="0" w:color="auto"/>
        <w:bottom w:val="none" w:sz="0" w:space="0" w:color="auto"/>
        <w:right w:val="none" w:sz="0" w:space="0" w:color="auto"/>
      </w:divBdr>
    </w:div>
    <w:div w:id="2106728004">
      <w:bodyDiv w:val="1"/>
      <w:marLeft w:val="0"/>
      <w:marRight w:val="0"/>
      <w:marTop w:val="0"/>
      <w:marBottom w:val="0"/>
      <w:divBdr>
        <w:top w:val="none" w:sz="0" w:space="0" w:color="auto"/>
        <w:left w:val="none" w:sz="0" w:space="0" w:color="auto"/>
        <w:bottom w:val="none" w:sz="0" w:space="0" w:color="auto"/>
        <w:right w:val="none" w:sz="0" w:space="0" w:color="auto"/>
      </w:divBdr>
    </w:div>
    <w:div w:id="2106917384">
      <w:bodyDiv w:val="1"/>
      <w:marLeft w:val="0"/>
      <w:marRight w:val="0"/>
      <w:marTop w:val="0"/>
      <w:marBottom w:val="0"/>
      <w:divBdr>
        <w:top w:val="none" w:sz="0" w:space="0" w:color="auto"/>
        <w:left w:val="none" w:sz="0" w:space="0" w:color="auto"/>
        <w:bottom w:val="none" w:sz="0" w:space="0" w:color="auto"/>
        <w:right w:val="none" w:sz="0" w:space="0" w:color="auto"/>
      </w:divBdr>
    </w:div>
    <w:div w:id="2108227983">
      <w:bodyDiv w:val="1"/>
      <w:marLeft w:val="0"/>
      <w:marRight w:val="0"/>
      <w:marTop w:val="0"/>
      <w:marBottom w:val="0"/>
      <w:divBdr>
        <w:top w:val="none" w:sz="0" w:space="0" w:color="auto"/>
        <w:left w:val="none" w:sz="0" w:space="0" w:color="auto"/>
        <w:bottom w:val="none" w:sz="0" w:space="0" w:color="auto"/>
        <w:right w:val="none" w:sz="0" w:space="0" w:color="auto"/>
      </w:divBdr>
    </w:div>
    <w:div w:id="2109307896">
      <w:bodyDiv w:val="1"/>
      <w:marLeft w:val="0"/>
      <w:marRight w:val="0"/>
      <w:marTop w:val="0"/>
      <w:marBottom w:val="0"/>
      <w:divBdr>
        <w:top w:val="none" w:sz="0" w:space="0" w:color="auto"/>
        <w:left w:val="none" w:sz="0" w:space="0" w:color="auto"/>
        <w:bottom w:val="none" w:sz="0" w:space="0" w:color="auto"/>
        <w:right w:val="none" w:sz="0" w:space="0" w:color="auto"/>
      </w:divBdr>
    </w:div>
    <w:div w:id="2109570723">
      <w:bodyDiv w:val="1"/>
      <w:marLeft w:val="0"/>
      <w:marRight w:val="0"/>
      <w:marTop w:val="0"/>
      <w:marBottom w:val="0"/>
      <w:divBdr>
        <w:top w:val="none" w:sz="0" w:space="0" w:color="auto"/>
        <w:left w:val="none" w:sz="0" w:space="0" w:color="auto"/>
        <w:bottom w:val="none" w:sz="0" w:space="0" w:color="auto"/>
        <w:right w:val="none" w:sz="0" w:space="0" w:color="auto"/>
      </w:divBdr>
    </w:div>
    <w:div w:id="2110731585">
      <w:bodyDiv w:val="1"/>
      <w:marLeft w:val="0"/>
      <w:marRight w:val="0"/>
      <w:marTop w:val="0"/>
      <w:marBottom w:val="0"/>
      <w:divBdr>
        <w:top w:val="none" w:sz="0" w:space="0" w:color="auto"/>
        <w:left w:val="none" w:sz="0" w:space="0" w:color="auto"/>
        <w:bottom w:val="none" w:sz="0" w:space="0" w:color="auto"/>
        <w:right w:val="none" w:sz="0" w:space="0" w:color="auto"/>
      </w:divBdr>
    </w:div>
    <w:div w:id="2111702010">
      <w:bodyDiv w:val="1"/>
      <w:marLeft w:val="0"/>
      <w:marRight w:val="0"/>
      <w:marTop w:val="0"/>
      <w:marBottom w:val="0"/>
      <w:divBdr>
        <w:top w:val="none" w:sz="0" w:space="0" w:color="auto"/>
        <w:left w:val="none" w:sz="0" w:space="0" w:color="auto"/>
        <w:bottom w:val="none" w:sz="0" w:space="0" w:color="auto"/>
        <w:right w:val="none" w:sz="0" w:space="0" w:color="auto"/>
      </w:divBdr>
    </w:div>
    <w:div w:id="2112584702">
      <w:bodyDiv w:val="1"/>
      <w:marLeft w:val="0"/>
      <w:marRight w:val="0"/>
      <w:marTop w:val="0"/>
      <w:marBottom w:val="0"/>
      <w:divBdr>
        <w:top w:val="none" w:sz="0" w:space="0" w:color="auto"/>
        <w:left w:val="none" w:sz="0" w:space="0" w:color="auto"/>
        <w:bottom w:val="none" w:sz="0" w:space="0" w:color="auto"/>
        <w:right w:val="none" w:sz="0" w:space="0" w:color="auto"/>
      </w:divBdr>
    </w:div>
    <w:div w:id="2113552534">
      <w:bodyDiv w:val="1"/>
      <w:marLeft w:val="0"/>
      <w:marRight w:val="0"/>
      <w:marTop w:val="0"/>
      <w:marBottom w:val="0"/>
      <w:divBdr>
        <w:top w:val="none" w:sz="0" w:space="0" w:color="auto"/>
        <w:left w:val="none" w:sz="0" w:space="0" w:color="auto"/>
        <w:bottom w:val="none" w:sz="0" w:space="0" w:color="auto"/>
        <w:right w:val="none" w:sz="0" w:space="0" w:color="auto"/>
      </w:divBdr>
    </w:div>
    <w:div w:id="2114207511">
      <w:bodyDiv w:val="1"/>
      <w:marLeft w:val="0"/>
      <w:marRight w:val="0"/>
      <w:marTop w:val="0"/>
      <w:marBottom w:val="0"/>
      <w:divBdr>
        <w:top w:val="none" w:sz="0" w:space="0" w:color="auto"/>
        <w:left w:val="none" w:sz="0" w:space="0" w:color="auto"/>
        <w:bottom w:val="none" w:sz="0" w:space="0" w:color="auto"/>
        <w:right w:val="none" w:sz="0" w:space="0" w:color="auto"/>
      </w:divBdr>
    </w:div>
    <w:div w:id="2114787538">
      <w:bodyDiv w:val="1"/>
      <w:marLeft w:val="0"/>
      <w:marRight w:val="0"/>
      <w:marTop w:val="0"/>
      <w:marBottom w:val="0"/>
      <w:divBdr>
        <w:top w:val="none" w:sz="0" w:space="0" w:color="auto"/>
        <w:left w:val="none" w:sz="0" w:space="0" w:color="auto"/>
        <w:bottom w:val="none" w:sz="0" w:space="0" w:color="auto"/>
        <w:right w:val="none" w:sz="0" w:space="0" w:color="auto"/>
      </w:divBdr>
    </w:div>
    <w:div w:id="2114932266">
      <w:bodyDiv w:val="1"/>
      <w:marLeft w:val="0"/>
      <w:marRight w:val="0"/>
      <w:marTop w:val="0"/>
      <w:marBottom w:val="0"/>
      <w:divBdr>
        <w:top w:val="none" w:sz="0" w:space="0" w:color="auto"/>
        <w:left w:val="none" w:sz="0" w:space="0" w:color="auto"/>
        <w:bottom w:val="none" w:sz="0" w:space="0" w:color="auto"/>
        <w:right w:val="none" w:sz="0" w:space="0" w:color="auto"/>
      </w:divBdr>
    </w:div>
    <w:div w:id="2118089399">
      <w:bodyDiv w:val="1"/>
      <w:marLeft w:val="0"/>
      <w:marRight w:val="0"/>
      <w:marTop w:val="0"/>
      <w:marBottom w:val="0"/>
      <w:divBdr>
        <w:top w:val="none" w:sz="0" w:space="0" w:color="auto"/>
        <w:left w:val="none" w:sz="0" w:space="0" w:color="auto"/>
        <w:bottom w:val="none" w:sz="0" w:space="0" w:color="auto"/>
        <w:right w:val="none" w:sz="0" w:space="0" w:color="auto"/>
      </w:divBdr>
    </w:div>
    <w:div w:id="2118601016">
      <w:bodyDiv w:val="1"/>
      <w:marLeft w:val="0"/>
      <w:marRight w:val="0"/>
      <w:marTop w:val="0"/>
      <w:marBottom w:val="0"/>
      <w:divBdr>
        <w:top w:val="none" w:sz="0" w:space="0" w:color="auto"/>
        <w:left w:val="none" w:sz="0" w:space="0" w:color="auto"/>
        <w:bottom w:val="none" w:sz="0" w:space="0" w:color="auto"/>
        <w:right w:val="none" w:sz="0" w:space="0" w:color="auto"/>
      </w:divBdr>
    </w:div>
    <w:div w:id="2118671861">
      <w:bodyDiv w:val="1"/>
      <w:marLeft w:val="0"/>
      <w:marRight w:val="0"/>
      <w:marTop w:val="0"/>
      <w:marBottom w:val="0"/>
      <w:divBdr>
        <w:top w:val="none" w:sz="0" w:space="0" w:color="auto"/>
        <w:left w:val="none" w:sz="0" w:space="0" w:color="auto"/>
        <w:bottom w:val="none" w:sz="0" w:space="0" w:color="auto"/>
        <w:right w:val="none" w:sz="0" w:space="0" w:color="auto"/>
      </w:divBdr>
    </w:div>
    <w:div w:id="2119257349">
      <w:bodyDiv w:val="1"/>
      <w:marLeft w:val="0"/>
      <w:marRight w:val="0"/>
      <w:marTop w:val="0"/>
      <w:marBottom w:val="0"/>
      <w:divBdr>
        <w:top w:val="none" w:sz="0" w:space="0" w:color="auto"/>
        <w:left w:val="none" w:sz="0" w:space="0" w:color="auto"/>
        <w:bottom w:val="none" w:sz="0" w:space="0" w:color="auto"/>
        <w:right w:val="none" w:sz="0" w:space="0" w:color="auto"/>
      </w:divBdr>
    </w:div>
    <w:div w:id="2120367234">
      <w:bodyDiv w:val="1"/>
      <w:marLeft w:val="0"/>
      <w:marRight w:val="0"/>
      <w:marTop w:val="0"/>
      <w:marBottom w:val="0"/>
      <w:divBdr>
        <w:top w:val="none" w:sz="0" w:space="0" w:color="auto"/>
        <w:left w:val="none" w:sz="0" w:space="0" w:color="auto"/>
        <w:bottom w:val="none" w:sz="0" w:space="0" w:color="auto"/>
        <w:right w:val="none" w:sz="0" w:space="0" w:color="auto"/>
      </w:divBdr>
    </w:div>
    <w:div w:id="2120761935">
      <w:bodyDiv w:val="1"/>
      <w:marLeft w:val="0"/>
      <w:marRight w:val="0"/>
      <w:marTop w:val="0"/>
      <w:marBottom w:val="0"/>
      <w:divBdr>
        <w:top w:val="none" w:sz="0" w:space="0" w:color="auto"/>
        <w:left w:val="none" w:sz="0" w:space="0" w:color="auto"/>
        <w:bottom w:val="none" w:sz="0" w:space="0" w:color="auto"/>
        <w:right w:val="none" w:sz="0" w:space="0" w:color="auto"/>
      </w:divBdr>
    </w:div>
    <w:div w:id="2121407842">
      <w:bodyDiv w:val="1"/>
      <w:marLeft w:val="0"/>
      <w:marRight w:val="0"/>
      <w:marTop w:val="0"/>
      <w:marBottom w:val="0"/>
      <w:divBdr>
        <w:top w:val="none" w:sz="0" w:space="0" w:color="auto"/>
        <w:left w:val="none" w:sz="0" w:space="0" w:color="auto"/>
        <w:bottom w:val="none" w:sz="0" w:space="0" w:color="auto"/>
        <w:right w:val="none" w:sz="0" w:space="0" w:color="auto"/>
      </w:divBdr>
    </w:div>
    <w:div w:id="2122021443">
      <w:bodyDiv w:val="1"/>
      <w:marLeft w:val="0"/>
      <w:marRight w:val="0"/>
      <w:marTop w:val="0"/>
      <w:marBottom w:val="0"/>
      <w:divBdr>
        <w:top w:val="none" w:sz="0" w:space="0" w:color="auto"/>
        <w:left w:val="none" w:sz="0" w:space="0" w:color="auto"/>
        <w:bottom w:val="none" w:sz="0" w:space="0" w:color="auto"/>
        <w:right w:val="none" w:sz="0" w:space="0" w:color="auto"/>
      </w:divBdr>
    </w:div>
    <w:div w:id="2122531160">
      <w:bodyDiv w:val="1"/>
      <w:marLeft w:val="0"/>
      <w:marRight w:val="0"/>
      <w:marTop w:val="0"/>
      <w:marBottom w:val="0"/>
      <w:divBdr>
        <w:top w:val="none" w:sz="0" w:space="0" w:color="auto"/>
        <w:left w:val="none" w:sz="0" w:space="0" w:color="auto"/>
        <w:bottom w:val="none" w:sz="0" w:space="0" w:color="auto"/>
        <w:right w:val="none" w:sz="0" w:space="0" w:color="auto"/>
      </w:divBdr>
    </w:div>
    <w:div w:id="2122798035">
      <w:bodyDiv w:val="1"/>
      <w:marLeft w:val="0"/>
      <w:marRight w:val="0"/>
      <w:marTop w:val="0"/>
      <w:marBottom w:val="0"/>
      <w:divBdr>
        <w:top w:val="none" w:sz="0" w:space="0" w:color="auto"/>
        <w:left w:val="none" w:sz="0" w:space="0" w:color="auto"/>
        <w:bottom w:val="none" w:sz="0" w:space="0" w:color="auto"/>
        <w:right w:val="none" w:sz="0" w:space="0" w:color="auto"/>
      </w:divBdr>
    </w:div>
    <w:div w:id="2125033098">
      <w:bodyDiv w:val="1"/>
      <w:marLeft w:val="0"/>
      <w:marRight w:val="0"/>
      <w:marTop w:val="0"/>
      <w:marBottom w:val="0"/>
      <w:divBdr>
        <w:top w:val="none" w:sz="0" w:space="0" w:color="auto"/>
        <w:left w:val="none" w:sz="0" w:space="0" w:color="auto"/>
        <w:bottom w:val="none" w:sz="0" w:space="0" w:color="auto"/>
        <w:right w:val="none" w:sz="0" w:space="0" w:color="auto"/>
      </w:divBdr>
    </w:div>
    <w:div w:id="2127501435">
      <w:bodyDiv w:val="1"/>
      <w:marLeft w:val="0"/>
      <w:marRight w:val="0"/>
      <w:marTop w:val="0"/>
      <w:marBottom w:val="0"/>
      <w:divBdr>
        <w:top w:val="none" w:sz="0" w:space="0" w:color="auto"/>
        <w:left w:val="none" w:sz="0" w:space="0" w:color="auto"/>
        <w:bottom w:val="none" w:sz="0" w:space="0" w:color="auto"/>
        <w:right w:val="none" w:sz="0" w:space="0" w:color="auto"/>
      </w:divBdr>
    </w:div>
    <w:div w:id="2127504408">
      <w:bodyDiv w:val="1"/>
      <w:marLeft w:val="0"/>
      <w:marRight w:val="0"/>
      <w:marTop w:val="0"/>
      <w:marBottom w:val="0"/>
      <w:divBdr>
        <w:top w:val="none" w:sz="0" w:space="0" w:color="auto"/>
        <w:left w:val="none" w:sz="0" w:space="0" w:color="auto"/>
        <w:bottom w:val="none" w:sz="0" w:space="0" w:color="auto"/>
        <w:right w:val="none" w:sz="0" w:space="0" w:color="auto"/>
      </w:divBdr>
    </w:div>
    <w:div w:id="2127652920">
      <w:bodyDiv w:val="1"/>
      <w:marLeft w:val="0"/>
      <w:marRight w:val="0"/>
      <w:marTop w:val="0"/>
      <w:marBottom w:val="0"/>
      <w:divBdr>
        <w:top w:val="none" w:sz="0" w:space="0" w:color="auto"/>
        <w:left w:val="none" w:sz="0" w:space="0" w:color="auto"/>
        <w:bottom w:val="none" w:sz="0" w:space="0" w:color="auto"/>
        <w:right w:val="none" w:sz="0" w:space="0" w:color="auto"/>
      </w:divBdr>
    </w:div>
    <w:div w:id="2127961919">
      <w:bodyDiv w:val="1"/>
      <w:marLeft w:val="0"/>
      <w:marRight w:val="0"/>
      <w:marTop w:val="0"/>
      <w:marBottom w:val="0"/>
      <w:divBdr>
        <w:top w:val="none" w:sz="0" w:space="0" w:color="auto"/>
        <w:left w:val="none" w:sz="0" w:space="0" w:color="auto"/>
        <w:bottom w:val="none" w:sz="0" w:space="0" w:color="auto"/>
        <w:right w:val="none" w:sz="0" w:space="0" w:color="auto"/>
      </w:divBdr>
    </w:div>
    <w:div w:id="2128696911">
      <w:bodyDiv w:val="1"/>
      <w:marLeft w:val="0"/>
      <w:marRight w:val="0"/>
      <w:marTop w:val="0"/>
      <w:marBottom w:val="0"/>
      <w:divBdr>
        <w:top w:val="none" w:sz="0" w:space="0" w:color="auto"/>
        <w:left w:val="none" w:sz="0" w:space="0" w:color="auto"/>
        <w:bottom w:val="none" w:sz="0" w:space="0" w:color="auto"/>
        <w:right w:val="none" w:sz="0" w:space="0" w:color="auto"/>
      </w:divBdr>
    </w:div>
    <w:div w:id="2129733191">
      <w:bodyDiv w:val="1"/>
      <w:marLeft w:val="0"/>
      <w:marRight w:val="0"/>
      <w:marTop w:val="0"/>
      <w:marBottom w:val="0"/>
      <w:divBdr>
        <w:top w:val="none" w:sz="0" w:space="0" w:color="auto"/>
        <w:left w:val="none" w:sz="0" w:space="0" w:color="auto"/>
        <w:bottom w:val="none" w:sz="0" w:space="0" w:color="auto"/>
        <w:right w:val="none" w:sz="0" w:space="0" w:color="auto"/>
      </w:divBdr>
    </w:div>
    <w:div w:id="2130318904">
      <w:bodyDiv w:val="1"/>
      <w:marLeft w:val="0"/>
      <w:marRight w:val="0"/>
      <w:marTop w:val="0"/>
      <w:marBottom w:val="0"/>
      <w:divBdr>
        <w:top w:val="none" w:sz="0" w:space="0" w:color="auto"/>
        <w:left w:val="none" w:sz="0" w:space="0" w:color="auto"/>
        <w:bottom w:val="none" w:sz="0" w:space="0" w:color="auto"/>
        <w:right w:val="none" w:sz="0" w:space="0" w:color="auto"/>
      </w:divBdr>
    </w:div>
    <w:div w:id="2130391612">
      <w:bodyDiv w:val="1"/>
      <w:marLeft w:val="0"/>
      <w:marRight w:val="0"/>
      <w:marTop w:val="0"/>
      <w:marBottom w:val="0"/>
      <w:divBdr>
        <w:top w:val="none" w:sz="0" w:space="0" w:color="auto"/>
        <w:left w:val="none" w:sz="0" w:space="0" w:color="auto"/>
        <w:bottom w:val="none" w:sz="0" w:space="0" w:color="auto"/>
        <w:right w:val="none" w:sz="0" w:space="0" w:color="auto"/>
      </w:divBdr>
    </w:div>
    <w:div w:id="2130393429">
      <w:bodyDiv w:val="1"/>
      <w:marLeft w:val="0"/>
      <w:marRight w:val="0"/>
      <w:marTop w:val="0"/>
      <w:marBottom w:val="0"/>
      <w:divBdr>
        <w:top w:val="none" w:sz="0" w:space="0" w:color="auto"/>
        <w:left w:val="none" w:sz="0" w:space="0" w:color="auto"/>
        <w:bottom w:val="none" w:sz="0" w:space="0" w:color="auto"/>
        <w:right w:val="none" w:sz="0" w:space="0" w:color="auto"/>
      </w:divBdr>
    </w:div>
    <w:div w:id="2130664069">
      <w:bodyDiv w:val="1"/>
      <w:marLeft w:val="0"/>
      <w:marRight w:val="0"/>
      <w:marTop w:val="0"/>
      <w:marBottom w:val="0"/>
      <w:divBdr>
        <w:top w:val="none" w:sz="0" w:space="0" w:color="auto"/>
        <w:left w:val="none" w:sz="0" w:space="0" w:color="auto"/>
        <w:bottom w:val="none" w:sz="0" w:space="0" w:color="auto"/>
        <w:right w:val="none" w:sz="0" w:space="0" w:color="auto"/>
      </w:divBdr>
    </w:div>
    <w:div w:id="2130737363">
      <w:bodyDiv w:val="1"/>
      <w:marLeft w:val="0"/>
      <w:marRight w:val="0"/>
      <w:marTop w:val="0"/>
      <w:marBottom w:val="0"/>
      <w:divBdr>
        <w:top w:val="none" w:sz="0" w:space="0" w:color="auto"/>
        <w:left w:val="none" w:sz="0" w:space="0" w:color="auto"/>
        <w:bottom w:val="none" w:sz="0" w:space="0" w:color="auto"/>
        <w:right w:val="none" w:sz="0" w:space="0" w:color="auto"/>
      </w:divBdr>
    </w:div>
    <w:div w:id="2130971244">
      <w:bodyDiv w:val="1"/>
      <w:marLeft w:val="0"/>
      <w:marRight w:val="0"/>
      <w:marTop w:val="0"/>
      <w:marBottom w:val="0"/>
      <w:divBdr>
        <w:top w:val="none" w:sz="0" w:space="0" w:color="auto"/>
        <w:left w:val="none" w:sz="0" w:space="0" w:color="auto"/>
        <w:bottom w:val="none" w:sz="0" w:space="0" w:color="auto"/>
        <w:right w:val="none" w:sz="0" w:space="0" w:color="auto"/>
      </w:divBdr>
    </w:div>
    <w:div w:id="2131045867">
      <w:bodyDiv w:val="1"/>
      <w:marLeft w:val="0"/>
      <w:marRight w:val="0"/>
      <w:marTop w:val="0"/>
      <w:marBottom w:val="0"/>
      <w:divBdr>
        <w:top w:val="none" w:sz="0" w:space="0" w:color="auto"/>
        <w:left w:val="none" w:sz="0" w:space="0" w:color="auto"/>
        <w:bottom w:val="none" w:sz="0" w:space="0" w:color="auto"/>
        <w:right w:val="none" w:sz="0" w:space="0" w:color="auto"/>
      </w:divBdr>
    </w:div>
    <w:div w:id="2132941653">
      <w:bodyDiv w:val="1"/>
      <w:marLeft w:val="0"/>
      <w:marRight w:val="0"/>
      <w:marTop w:val="0"/>
      <w:marBottom w:val="0"/>
      <w:divBdr>
        <w:top w:val="none" w:sz="0" w:space="0" w:color="auto"/>
        <w:left w:val="none" w:sz="0" w:space="0" w:color="auto"/>
        <w:bottom w:val="none" w:sz="0" w:space="0" w:color="auto"/>
        <w:right w:val="none" w:sz="0" w:space="0" w:color="auto"/>
      </w:divBdr>
    </w:div>
    <w:div w:id="2134403031">
      <w:bodyDiv w:val="1"/>
      <w:marLeft w:val="0"/>
      <w:marRight w:val="0"/>
      <w:marTop w:val="0"/>
      <w:marBottom w:val="0"/>
      <w:divBdr>
        <w:top w:val="none" w:sz="0" w:space="0" w:color="auto"/>
        <w:left w:val="none" w:sz="0" w:space="0" w:color="auto"/>
        <w:bottom w:val="none" w:sz="0" w:space="0" w:color="auto"/>
        <w:right w:val="none" w:sz="0" w:space="0" w:color="auto"/>
      </w:divBdr>
    </w:div>
    <w:div w:id="2135828828">
      <w:bodyDiv w:val="1"/>
      <w:marLeft w:val="0"/>
      <w:marRight w:val="0"/>
      <w:marTop w:val="0"/>
      <w:marBottom w:val="0"/>
      <w:divBdr>
        <w:top w:val="none" w:sz="0" w:space="0" w:color="auto"/>
        <w:left w:val="none" w:sz="0" w:space="0" w:color="auto"/>
        <w:bottom w:val="none" w:sz="0" w:space="0" w:color="auto"/>
        <w:right w:val="none" w:sz="0" w:space="0" w:color="auto"/>
      </w:divBdr>
    </w:div>
    <w:div w:id="2136898534">
      <w:bodyDiv w:val="1"/>
      <w:marLeft w:val="0"/>
      <w:marRight w:val="0"/>
      <w:marTop w:val="0"/>
      <w:marBottom w:val="0"/>
      <w:divBdr>
        <w:top w:val="none" w:sz="0" w:space="0" w:color="auto"/>
        <w:left w:val="none" w:sz="0" w:space="0" w:color="auto"/>
        <w:bottom w:val="none" w:sz="0" w:space="0" w:color="auto"/>
        <w:right w:val="none" w:sz="0" w:space="0" w:color="auto"/>
      </w:divBdr>
    </w:div>
    <w:div w:id="2137092896">
      <w:bodyDiv w:val="1"/>
      <w:marLeft w:val="0"/>
      <w:marRight w:val="0"/>
      <w:marTop w:val="0"/>
      <w:marBottom w:val="0"/>
      <w:divBdr>
        <w:top w:val="none" w:sz="0" w:space="0" w:color="auto"/>
        <w:left w:val="none" w:sz="0" w:space="0" w:color="auto"/>
        <w:bottom w:val="none" w:sz="0" w:space="0" w:color="auto"/>
        <w:right w:val="none" w:sz="0" w:space="0" w:color="auto"/>
      </w:divBdr>
    </w:div>
    <w:div w:id="2137530284">
      <w:bodyDiv w:val="1"/>
      <w:marLeft w:val="0"/>
      <w:marRight w:val="0"/>
      <w:marTop w:val="0"/>
      <w:marBottom w:val="0"/>
      <w:divBdr>
        <w:top w:val="none" w:sz="0" w:space="0" w:color="auto"/>
        <w:left w:val="none" w:sz="0" w:space="0" w:color="auto"/>
        <w:bottom w:val="none" w:sz="0" w:space="0" w:color="auto"/>
        <w:right w:val="none" w:sz="0" w:space="0" w:color="auto"/>
      </w:divBdr>
    </w:div>
    <w:div w:id="2137870329">
      <w:bodyDiv w:val="1"/>
      <w:marLeft w:val="0"/>
      <w:marRight w:val="0"/>
      <w:marTop w:val="0"/>
      <w:marBottom w:val="0"/>
      <w:divBdr>
        <w:top w:val="none" w:sz="0" w:space="0" w:color="auto"/>
        <w:left w:val="none" w:sz="0" w:space="0" w:color="auto"/>
        <w:bottom w:val="none" w:sz="0" w:space="0" w:color="auto"/>
        <w:right w:val="none" w:sz="0" w:space="0" w:color="auto"/>
      </w:divBdr>
    </w:div>
    <w:div w:id="2138453496">
      <w:bodyDiv w:val="1"/>
      <w:marLeft w:val="0"/>
      <w:marRight w:val="0"/>
      <w:marTop w:val="0"/>
      <w:marBottom w:val="0"/>
      <w:divBdr>
        <w:top w:val="none" w:sz="0" w:space="0" w:color="auto"/>
        <w:left w:val="none" w:sz="0" w:space="0" w:color="auto"/>
        <w:bottom w:val="none" w:sz="0" w:space="0" w:color="auto"/>
        <w:right w:val="none" w:sz="0" w:space="0" w:color="auto"/>
      </w:divBdr>
    </w:div>
    <w:div w:id="2139372609">
      <w:bodyDiv w:val="1"/>
      <w:marLeft w:val="0"/>
      <w:marRight w:val="0"/>
      <w:marTop w:val="0"/>
      <w:marBottom w:val="0"/>
      <w:divBdr>
        <w:top w:val="none" w:sz="0" w:space="0" w:color="auto"/>
        <w:left w:val="none" w:sz="0" w:space="0" w:color="auto"/>
        <w:bottom w:val="none" w:sz="0" w:space="0" w:color="auto"/>
        <w:right w:val="none" w:sz="0" w:space="0" w:color="auto"/>
      </w:divBdr>
    </w:div>
    <w:div w:id="2140099819">
      <w:bodyDiv w:val="1"/>
      <w:marLeft w:val="0"/>
      <w:marRight w:val="0"/>
      <w:marTop w:val="0"/>
      <w:marBottom w:val="0"/>
      <w:divBdr>
        <w:top w:val="none" w:sz="0" w:space="0" w:color="auto"/>
        <w:left w:val="none" w:sz="0" w:space="0" w:color="auto"/>
        <w:bottom w:val="none" w:sz="0" w:space="0" w:color="auto"/>
        <w:right w:val="none" w:sz="0" w:space="0" w:color="auto"/>
      </w:divBdr>
    </w:div>
    <w:div w:id="2140951829">
      <w:bodyDiv w:val="1"/>
      <w:marLeft w:val="0"/>
      <w:marRight w:val="0"/>
      <w:marTop w:val="0"/>
      <w:marBottom w:val="0"/>
      <w:divBdr>
        <w:top w:val="none" w:sz="0" w:space="0" w:color="auto"/>
        <w:left w:val="none" w:sz="0" w:space="0" w:color="auto"/>
        <w:bottom w:val="none" w:sz="0" w:space="0" w:color="auto"/>
        <w:right w:val="none" w:sz="0" w:space="0" w:color="auto"/>
      </w:divBdr>
    </w:div>
    <w:div w:id="2141337162">
      <w:bodyDiv w:val="1"/>
      <w:marLeft w:val="0"/>
      <w:marRight w:val="0"/>
      <w:marTop w:val="0"/>
      <w:marBottom w:val="0"/>
      <w:divBdr>
        <w:top w:val="none" w:sz="0" w:space="0" w:color="auto"/>
        <w:left w:val="none" w:sz="0" w:space="0" w:color="auto"/>
        <w:bottom w:val="none" w:sz="0" w:space="0" w:color="auto"/>
        <w:right w:val="none" w:sz="0" w:space="0" w:color="auto"/>
      </w:divBdr>
    </w:div>
    <w:div w:id="2141802770">
      <w:bodyDiv w:val="1"/>
      <w:marLeft w:val="0"/>
      <w:marRight w:val="0"/>
      <w:marTop w:val="0"/>
      <w:marBottom w:val="0"/>
      <w:divBdr>
        <w:top w:val="none" w:sz="0" w:space="0" w:color="auto"/>
        <w:left w:val="none" w:sz="0" w:space="0" w:color="auto"/>
        <w:bottom w:val="none" w:sz="0" w:space="0" w:color="auto"/>
        <w:right w:val="none" w:sz="0" w:space="0" w:color="auto"/>
      </w:divBdr>
    </w:div>
    <w:div w:id="2142533324">
      <w:bodyDiv w:val="1"/>
      <w:marLeft w:val="0"/>
      <w:marRight w:val="0"/>
      <w:marTop w:val="0"/>
      <w:marBottom w:val="0"/>
      <w:divBdr>
        <w:top w:val="none" w:sz="0" w:space="0" w:color="auto"/>
        <w:left w:val="none" w:sz="0" w:space="0" w:color="auto"/>
        <w:bottom w:val="none" w:sz="0" w:space="0" w:color="auto"/>
        <w:right w:val="none" w:sz="0" w:space="0" w:color="auto"/>
      </w:divBdr>
    </w:div>
    <w:div w:id="2142770678">
      <w:bodyDiv w:val="1"/>
      <w:marLeft w:val="0"/>
      <w:marRight w:val="0"/>
      <w:marTop w:val="0"/>
      <w:marBottom w:val="0"/>
      <w:divBdr>
        <w:top w:val="none" w:sz="0" w:space="0" w:color="auto"/>
        <w:left w:val="none" w:sz="0" w:space="0" w:color="auto"/>
        <w:bottom w:val="none" w:sz="0" w:space="0" w:color="auto"/>
        <w:right w:val="none" w:sz="0" w:space="0" w:color="auto"/>
      </w:divBdr>
    </w:div>
    <w:div w:id="2144030774">
      <w:bodyDiv w:val="1"/>
      <w:marLeft w:val="0"/>
      <w:marRight w:val="0"/>
      <w:marTop w:val="0"/>
      <w:marBottom w:val="0"/>
      <w:divBdr>
        <w:top w:val="none" w:sz="0" w:space="0" w:color="auto"/>
        <w:left w:val="none" w:sz="0" w:space="0" w:color="auto"/>
        <w:bottom w:val="none" w:sz="0" w:space="0" w:color="auto"/>
        <w:right w:val="none" w:sz="0" w:space="0" w:color="auto"/>
      </w:divBdr>
    </w:div>
    <w:div w:id="2144693216">
      <w:bodyDiv w:val="1"/>
      <w:marLeft w:val="0"/>
      <w:marRight w:val="0"/>
      <w:marTop w:val="0"/>
      <w:marBottom w:val="0"/>
      <w:divBdr>
        <w:top w:val="none" w:sz="0" w:space="0" w:color="auto"/>
        <w:left w:val="none" w:sz="0" w:space="0" w:color="auto"/>
        <w:bottom w:val="none" w:sz="0" w:space="0" w:color="auto"/>
        <w:right w:val="none" w:sz="0" w:space="0" w:color="auto"/>
      </w:divBdr>
    </w:div>
    <w:div w:id="214481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Numbe</a:t>
            </a:r>
            <a:r>
              <a:rPr lang="en-US" sz="1400" baseline="0"/>
              <a:t>r of Google search returns contain the terms AML/ Anti-money laundering and De-risking published each year between 2002-2015</a:t>
            </a:r>
            <a:endParaRPr lang="en-US" sz="1400"/>
          </a:p>
        </c:rich>
      </c:tx>
      <c:layout/>
      <c:overlay val="0"/>
    </c:title>
    <c:autoTitleDeleted val="0"/>
    <c:plotArea>
      <c:layout/>
      <c:barChart>
        <c:barDir val="col"/>
        <c:grouping val="clustered"/>
        <c:varyColors val="0"/>
        <c:ser>
          <c:idx val="0"/>
          <c:order val="0"/>
          <c:tx>
            <c:v>AML references</c:v>
          </c:tx>
          <c:invertIfNegative val="0"/>
          <c:cat>
            <c:numRef>
              <c:f>Sheet2!$B$2:$O$2</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Sheet2!$B$3:$O$3</c:f>
              <c:numCache>
                <c:formatCode>General</c:formatCode>
                <c:ptCount val="14"/>
                <c:pt idx="0">
                  <c:v>9</c:v>
                </c:pt>
                <c:pt idx="1">
                  <c:v>15</c:v>
                </c:pt>
                <c:pt idx="2">
                  <c:v>10</c:v>
                </c:pt>
                <c:pt idx="3">
                  <c:v>21</c:v>
                </c:pt>
                <c:pt idx="4">
                  <c:v>23</c:v>
                </c:pt>
                <c:pt idx="5">
                  <c:v>23</c:v>
                </c:pt>
                <c:pt idx="6">
                  <c:v>36</c:v>
                </c:pt>
                <c:pt idx="7">
                  <c:v>55</c:v>
                </c:pt>
                <c:pt idx="8">
                  <c:v>71</c:v>
                </c:pt>
                <c:pt idx="9">
                  <c:v>95</c:v>
                </c:pt>
                <c:pt idx="10">
                  <c:v>102</c:v>
                </c:pt>
                <c:pt idx="11">
                  <c:v>175</c:v>
                </c:pt>
                <c:pt idx="12">
                  <c:v>244</c:v>
                </c:pt>
                <c:pt idx="13">
                  <c:v>270</c:v>
                </c:pt>
              </c:numCache>
            </c:numRef>
          </c:val>
        </c:ser>
        <c:dLbls>
          <c:showLegendKey val="0"/>
          <c:showVal val="0"/>
          <c:showCatName val="0"/>
          <c:showSerName val="0"/>
          <c:showPercent val="0"/>
          <c:showBubbleSize val="0"/>
        </c:dLbls>
        <c:gapWidth val="150"/>
        <c:axId val="227344888"/>
        <c:axId val="227345280"/>
      </c:barChart>
      <c:catAx>
        <c:axId val="227344888"/>
        <c:scaling>
          <c:orientation val="minMax"/>
        </c:scaling>
        <c:delete val="0"/>
        <c:axPos val="b"/>
        <c:numFmt formatCode="General" sourceLinked="1"/>
        <c:majorTickMark val="out"/>
        <c:minorTickMark val="none"/>
        <c:tickLblPos val="nextTo"/>
        <c:crossAx val="227345280"/>
        <c:crosses val="autoZero"/>
        <c:auto val="1"/>
        <c:lblAlgn val="ctr"/>
        <c:lblOffset val="100"/>
        <c:noMultiLvlLbl val="0"/>
      </c:catAx>
      <c:valAx>
        <c:axId val="227345280"/>
        <c:scaling>
          <c:orientation val="minMax"/>
        </c:scaling>
        <c:delete val="0"/>
        <c:axPos val="l"/>
        <c:majorGridlines/>
        <c:numFmt formatCode="General" sourceLinked="1"/>
        <c:majorTickMark val="out"/>
        <c:minorTickMark val="none"/>
        <c:tickLblPos val="nextTo"/>
        <c:crossAx val="2273448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Kea14</b:Tag>
    <b:SourceType>Report</b:SourceType>
    <b:Guid>{A69D2B9A-EB24-49D6-9FD8-4E0AC42334BB}</b:Guid>
    <b:Title>Uncharitable Behaviour: Counter-terrorist regulation restricts charity banking worldwide</b:Title>
    <b:Year>2014</b:Year>
    <b:Author>
      <b:Author>
        <b:NameList>
          <b:Person>
            <b:Last>Keatinge</b:Last>
            <b:First>Tom</b:First>
          </b:Person>
        </b:NameList>
      </b:Author>
    </b:Author>
    <b:Publisher>Demos</b:Publisher>
    <b:City>London</b:City>
    <b:ThesisType>Think Tank Report</b:ThesisType>
    <b:RefOrder>2</b:RefOrder>
  </b:Source>
  <b:Source>
    <b:Tag>Cha15</b:Tag>
    <b:SourceType>Report</b:SourceType>
    <b:Guid>{44ADA630-3BE7-46CB-A1E6-49063743F8F3}</b:Guid>
    <b:Author>
      <b:Author>
        <b:Corporate>Charity Finance Group</b:Corporate>
      </b:Author>
    </b:Author>
    <b:Title>Briefing: Impact of banks' de-risking on Not for Profit Organisations</b:Title>
    <b:Year>2015</b:Year>
    <b:Publisher>Charity Finance Group</b:Publisher>
    <b:City>London</b:City>
    <b:RefOrder>3</b:RefOrder>
  </b:Source>
  <b:Source>
    <b:Tag>Fin12</b:Tag>
    <b:SourceType>Report</b:SourceType>
    <b:Guid>{72AB4A14-2946-4640-968D-F59D089A2BC1}</b:Guid>
    <b:Author>
      <b:Author>
        <b:Corporate>Financial Action Task Force</b:Corporate>
      </b:Author>
    </b:Author>
    <b:Title>International Standards on Combating Money Laundering and the Financing of Terrorism &amp; Proliferation: The FATF Recommendations</b:Title>
    <b:Year>2012</b:Year>
    <b:Publisher>FATF/OECD</b:Publisher>
    <b:City>Paris</b:City>
    <b:RefOrder>4</b:RefOrder>
  </b:Source>
  <b:Source>
    <b:Tag>Fin13</b:Tag>
    <b:SourceType>Report</b:SourceType>
    <b:Guid>{FE3B0A1C-F295-47C3-99F6-9298A7DA1FCC}</b:Guid>
    <b:Author>
      <b:Author>
        <b:Corporate>Financial Action Task Force</b:Corporate>
      </b:Author>
    </b:Author>
    <b:Title>Combating the Abuse of Non-Profit Organisations (Recommendation 8)</b:Title>
    <b:Year>2013</b:Year>
    <b:Publisher>FATF/OECD</b:Publisher>
    <b:City>Paris</b:City>
    <b:RefOrder>7</b:RefOrder>
  </b:Source>
  <b:Source>
    <b:Tag>Fin14</b:Tag>
    <b:SourceType>Report</b:SourceType>
    <b:Guid>{296F8AFF-4FED-4F5E-9418-CC02A2B6DFB3}</b:Guid>
    <b:Author>
      <b:Author>
        <b:Corporate>Financial Action Task Force</b:Corporate>
      </b:Author>
    </b:Author>
    <b:Title>Risk of Terrorist Abuse in Non-Profit Organisations</b:Title>
    <b:Year>2014</b:Year>
    <b:Publisher>FATF/OECD</b:Publisher>
    <b:City>Paris</b:City>
    <b:RefOrder>93</b:RefOrder>
  </b:Source>
  <b:Source>
    <b:Tag>Bay14</b:Tag>
    <b:SourceType>Report</b:SourceType>
    <b:Guid>{FFBDD85A-4674-4B86-8269-40FA45D325E6}</b:Guid>
    <b:Title>Legislative Action by Government to Promote Financial Inclusion</b:Title>
    <b:Year>2014</b:Year>
    <b:Author>
      <b:Author>
        <b:NameList>
          <b:Person>
            <b:Last>Bayot</b:Last>
            <b:First>Bernard</b:First>
          </b:Person>
          <b:Person>
            <b:Last>Disneur</b:Last>
            <b:First>Lise</b:First>
          </b:Person>
          <b:Person>
            <b:Last>Kempson</b:Last>
            <b:First>Elaine</b:First>
          </b:Person>
        </b:NameList>
      </b:Author>
    </b:Author>
    <b:RefOrder>8</b:RefOrder>
  </b:Source>
  <b:Source>
    <b:Tag>Bas15</b:Tag>
    <b:SourceType>DocumentFromInternetSite</b:SourceType>
    <b:Guid>{C7FE110B-2653-46F0-864F-F75FFD15753A}</b:Guid>
    <b:Title>The Basel AML Index Country Risk Ranking</b:Title>
    <b:Year>2015</b:Year>
    <b:Author>
      <b:Author>
        <b:Corporate>Basel Institute of Governance</b:Corporate>
      </b:Author>
    </b:Author>
    <b:InternetSiteTitle>baselgovernance.org</b:InternetSiteTitle>
    <b:Month>August</b:Month>
    <b:Day>23</b:Day>
    <b:URL>http://index.baselgovernance.org/index/Index.html#ranking</b:URL>
    <b:RefOrder>9</b:RefOrder>
  </b:Source>
  <b:Source>
    <b:Tag>HMT15</b:Tag>
    <b:SourceType>DocumentFromInternetSite</b:SourceType>
    <b:Guid>{2BFA2CDF-BCFA-44EA-B84E-40B4171E9B8F}</b:Guid>
    <b:Author>
      <b:Author>
        <b:Corporate>HM Treasury</b:Corporate>
      </b:Author>
    </b:Author>
    <b:Title>Guidance: Consolidated List of Targets</b:Title>
    <b:InternetSiteTitle>gov.uk</b:InternetSiteTitle>
    <b:Year>2015</b:Year>
    <b:Month>August</b:Month>
    <b:Day>18</b:Day>
    <b:URL>https://www.gov.uk/government/publications/financial-sanctions-consolidated-list-of-targets/consolidated-list-of-targets</b:URL>
    <b:RefOrder>10</b:RefOrder>
  </b:Source>
  <b:Source>
    <b:Tag>KPM14</b:Tag>
    <b:SourceType>Report</b:SourceType>
    <b:Guid>{2A2A7EEB-7263-4BC2-BA93-40C34A1E59B2}</b:Guid>
    <b:Author>
      <b:Author>
        <b:Corporate>KPMG</b:Corporate>
      </b:Author>
    </b:Author>
    <b:Title>Global Anti-Money Laundering Survey</b:Title>
    <b:Year>2014</b:Year>
    <b:Publisher>KPMG</b:Publisher>
    <b:City>Amsterdam</b:City>
    <b:RefOrder>12</b:RefOrder>
  </b:Source>
  <b:Source>
    <b:Tag>Unk</b:Tag>
    <b:SourceType>Report</b:SourceType>
    <b:Guid>{E69CA773-C79E-4E80-93B4-8BA600655D5B}</b:Guid>
    <b:Title>Power and Discourse in Policy Diffusion: Anti-Money Laundering in Developed States</b:Title>
    <b:Publisher>Griffith</b:Publisher>
    <b:Author>
      <b:Author>
        <b:NameList>
          <b:Person>
            <b:Last>Unknown</b:Last>
          </b:Person>
        </b:NameList>
      </b:Author>
    </b:Author>
    <b:Year>2014</b:Year>
    <b:RefOrder>94</b:RefOrder>
  </b:Source>
  <b:Source>
    <b:Tag>Gei06</b:Tag>
    <b:SourceType>Report</b:SourceType>
    <b:Guid>{E9BBD5A1-1E19-43ED-8E38-0827F3E47C9B}</b:Guid>
    <b:Title>The Fight Against Money Laundering - An Economic Analysis of a Cost-Benefit Paradoxon</b:Title>
    <b:Year>2006</b:Year>
    <b:City>Zurich</b:City>
    <b:Author>
      <b:Author>
        <b:NameList>
          <b:Person>
            <b:Last>Geiger</b:Last>
            <b:First>Hans</b:First>
          </b:Person>
          <b:Person>
            <b:Last>Wuensch</b:Last>
            <b:First>Oliver</b:First>
          </b:Person>
        </b:NameList>
      </b:Author>
    </b:Author>
    <b:RefOrder>14</b:RefOrder>
  </b:Source>
  <b:Source>
    <b:Tag>Tsi05</b:Tag>
    <b:SourceType>Report</b:SourceType>
    <b:Guid>{08E396FD-83B7-4746-A3A3-836E488AA7B1}</b:Guid>
    <b:Title>Global Governance and Transnational Financial Crime: Opportunities and Tensions in the Global Anti-Money Laundering Regime</b:Title>
    <b:Year>2005</b:Year>
    <b:Publisher>CSRG Working Paper No 161/05</b:Publisher>
    <b:Author>
      <b:Author>
        <b:NameList>
          <b:Person>
            <b:Last>Tsingou</b:Last>
            <b:First>Eleni</b:First>
          </b:Person>
        </b:NameList>
      </b:Author>
    </b:Author>
    <b:RefOrder>15</b:RefOrder>
  </b:Source>
  <b:Source>
    <b:Tag>Reu04</b:Tag>
    <b:SourceType>Book</b:SourceType>
    <b:Guid>{5A531244-4E5D-4E37-9D5D-5CC0D5D9E8B7}</b:Guid>
    <b:Title>Chasing Dirty Money: The Fight Against Money Laundering</b:Title>
    <b:Year>2004</b:Year>
    <b:Publisher>Peterson Institute for International Economics</b:Publisher>
    <b:Author>
      <b:Author>
        <b:NameList>
          <b:Person>
            <b:Last>Reuter</b:Last>
            <b:First>Peter</b:First>
          </b:Person>
          <b:Person>
            <b:Last>Truman</b:Last>
            <b:Middle>M</b:Middle>
            <b:First>Edwin</b:First>
          </b:Person>
        </b:NameList>
      </b:Author>
    </b:Author>
    <b:RefOrder>11</b:RefOrder>
  </b:Source>
  <b:Source>
    <b:Tag>Reu05</b:Tag>
    <b:SourceType>JournalArticle</b:SourceType>
    <b:Guid>{2E719244-5C0B-47B6-81AE-88DE915A532E}</b:Guid>
    <b:Title>Anti-Moey Laundering Overkill?</b:Title>
    <b:Year>2005</b:Year>
    <b:JournalName>The International Economy</b:JournalName>
    <b:Pages>56-60</b:Pages>
    <b:Author>
      <b:Author>
        <b:NameList>
          <b:Person>
            <b:Last>Reuter</b:Last>
            <b:First>Peter</b:First>
          </b:Person>
          <b:Person>
            <b:Last>Truman</b:Last>
            <b:Middle>M</b:Middle>
            <b:First>Edwin</b:First>
          </b:Person>
        </b:NameList>
      </b:Author>
    </b:Author>
    <b:RefOrder>95</b:RefOrder>
  </b:Source>
  <b:Source>
    <b:Tag>Cap12</b:Tag>
    <b:SourceType>InternetSite</b:SourceType>
    <b:Guid>{693D3072-B363-4F3C-916A-E0873C6F1E28}</b:Guid>
    <b:Author>
      <b:Author>
        <b:Corporate>Capgemini</b:Corporate>
      </b:Author>
    </b:Author>
    <b:Title>Top 10 Non-Cash Payments Markets</b:Title>
    <b:InternetSiteTitle>worldpaymentsreport.com</b:InternetSiteTitle>
    <b:Year>2013</b:Year>
    <b:URL>https://www.worldpaymentsreport.com/Transactions-Volume-Top-10-Markets</b:URL>
    <b:RefOrder>17</b:RefOrder>
  </b:Source>
  <b:Source>
    <b:Tag>Bri14</b:Tag>
    <b:SourceType>Report</b:SourceType>
    <b:Guid>{E5B513C7-1375-4166-A521-52E0FCF79957}</b:Guid>
    <b:Title>Working Paper No. 486: The Impact</b:Title>
    <b:Year>2014</b:Year>
    <b:Publisher>Bank of England</b:Publisher>
    <b:City>London</b:City>
    <b:Author>
      <b:Author>
        <b:NameList>
          <b:Person>
            <b:Last>Bridges</b:Last>
            <b:First>Jonathan</b:First>
          </b:Person>
          <b:Person>
            <b:Last>Gregory</b:Last>
            <b:First>David</b:First>
          </b:Person>
          <b:Person>
            <b:Last>Nielson</b:Last>
            <b:First>Mette</b:First>
          </b:Person>
          <b:Person>
            <b:Last>Pezzini</b:Last>
            <b:First>Silvia</b:First>
          </b:Person>
          <b:Person>
            <b:Last>Radia</b:Last>
            <b:First>Amar</b:First>
          </b:Person>
          <b:Person>
            <b:Last>Spaltro</b:Last>
            <b:First>Marco</b:First>
          </b:Person>
        </b:NameList>
      </b:Author>
    </b:Author>
    <b:RefOrder>18</b:RefOrder>
  </b:Source>
  <b:Source>
    <b:Tag>Fin141</b:Tag>
    <b:SourceType>InternetSite</b:SourceType>
    <b:Guid>{CC624B6A-384A-4147-8C41-16666E3B607C}</b:Guid>
    <b:Title>Standard Bank PLC fined £7.6m for failures in its anti-money laundering controls</b:Title>
    <b:Year>2014</b:Year>
    <b:Publisher>Financial Conduct Authority</b:Publisher>
    <b:City>London</b:City>
    <b:Author>
      <b:Author>
        <b:Corporate>Financial Conduct Authority</b:Corporate>
      </b:Author>
    </b:Author>
    <b:Month>01</b:Month>
    <b:Day>23</b:Day>
    <b:InternetSiteTitle>fca.org.uk</b:InternetSiteTitle>
    <b:URL>https://www.fca.org.uk/news/standard-bank-plc-fined-for-failures-in-its-antimoney-laundering-controls</b:URL>
    <b:RefOrder>19</b:RefOrder>
  </b:Source>
  <b:Source>
    <b:Tag>BBC14</b:Tag>
    <b:SourceType>InternetSite</b:SourceType>
    <b:Guid>{78E0ED08-BDF3-463F-A758-0092292AA935}</b:Guid>
    <b:Author>
      <b:Author>
        <b:Corporate>BBC</b:Corporate>
      </b:Author>
    </b:Author>
    <b:Title>BNP Paribas to pay $9bn to settle sanctions violations</b:Title>
    <b:InternetSiteTitle>bbc.com</b:InternetSiteTitle>
    <b:Year>2014</b:Year>
    <b:Month>July</b:Month>
    <b:Day>01</b:Day>
    <b:URL>http://www.bbc.com/news/business-28099694</b:URL>
    <b:RefOrder>20</b:RefOrder>
  </b:Source>
  <b:Source>
    <b:Tag>Tho15</b:Tag>
    <b:SourceType>InternetSite</b:SourceType>
    <b:Guid>{62A37E70-8363-4AF2-9E8C-697AE5BE6900}</b:Guid>
    <b:Title>Thomson Reuters World Check: KYC, AML, CFT and PEP Due Diligence</b:Title>
    <b:Year>2015</b:Year>
    <b:Month>August</b:Month>
    <b:Day>23</b:Day>
    <b:Author>
      <b:Author>
        <b:Corporate>Thomson Reuters</b:Corporate>
      </b:Author>
    </b:Author>
    <b:InternetSiteTitle>thomsonreuters.com</b:InternetSiteTitle>
    <b:URL>https://risk.thomsonreuters.com/products/world-check</b:URL>
    <b:RefOrder>16</b:RefOrder>
  </b:Source>
  <b:Source>
    <b:Tag>Cou</b:Tag>
    <b:SourceType>Case</b:SourceType>
    <b:Guid>{D83D3D45-E8A6-4224-BFA7-F3EE64896DA6}</b:Guid>
    <b:Title>Courtney Linde, et al. v Arab Bank, PLC,</b:Title>
    <b:CaseNumber>CV-04-02799</b:CaseNumber>
    <b:Court>United States Court of Appeals, Second Circuit</b:Court>
    <b:Year>2013</b:Year>
    <b:Month>January</b:Month>
    <b:Day>18</b:Day>
    <b:RefOrder>22</b:RefOrder>
  </b:Source>
  <b:Source>
    <b:Tag>Bob14</b:Tag>
    <b:SourceType>InternetSite</b:SourceType>
    <b:Guid>{DCC07217-2716-4ED4-B6E9-DA77A5111FE3}</b:Guid>
    <b:Title>Arab Bank demands retrail in terror financing case</b:Title>
    <b:Year>2014</b:Year>
    <b:Month>October</b:Month>
    <b:Day>13</b:Day>
    <b:InternetSiteTitle>jpost.com</b:InternetSiteTitle>
    <b:URL>http://www.jpost.com/Arab-Israeli-Conflict/Arab-Bank-demands-retrial-in-terror-financing-case-378778</b:URL>
    <b:Author>
      <b:Author>
        <b:NameList>
          <b:Person>
            <b:Last>Bob</b:Last>
            <b:Middle>Jeremy</b:Middle>
            <b:First>Yonah</b:First>
          </b:Person>
        </b:NameList>
      </b:Author>
    </b:Author>
    <b:RefOrder>23</b:RefOrder>
  </b:Source>
  <b:Source>
    <b:Tag>MEM13</b:Tag>
    <b:SourceType>Case</b:SourceType>
    <b:Guid>{2A99DEE9-9C68-4376-894D-B2E79275D131}</b:Guid>
    <b:Title>Courtney Linde, et al. v Arab Bank, PLC</b:Title>
    <b:Year>2013</b:Year>
    <b:Month>August</b:Month>
    <b:Day>05</b:Day>
    <b:CaseNumber>CV-04-2799 (NG)(VVP)</b:CaseNumber>
    <b:Court>UNITED STATES DISTRICT COURT EASTERN DISTRICT OF NEW YORK</b:Court>
    <b:RefOrder>96</b:RefOrder>
  </b:Source>
  <b:Source>
    <b:Tag>Elm13</b:Tag>
    <b:SourceType>Case</b:SourceType>
    <b:Guid>{CE9F4CF6-5CFD-41CC-9042-561FF412FB0C}</b:Guid>
    <b:Title>Elmaliach v Bank of China Ltd.</b:Title>
    <b:CaseNumber>2013 NY Slip Op 05858 </b:CaseNumber>
    <b:Court>Appellate Division, First Department</b:Court>
    <b:Year>2013</b:Year>
    <b:Month>September</b:Month>
    <b:Day>17</b:Day>
    <b:RefOrder>25</b:RefOrder>
  </b:Source>
  <b:Source>
    <b:Tag>Fra14</b:Tag>
    <b:SourceType>InternetSite</b:SourceType>
    <b:Guid>{8757493F-B4CB-4613-B26E-E8BBC4DB44FB}</b:Guid>
    <b:Title>Isreal's conflicted role in Bank of Chine terror finance case</b:Title>
    <b:Year>2014</b:Year>
    <b:Month>August</b:Month>
    <b:Day>11</b:Day>
    <b:InternetSiteTitle>reuters.com</b:InternetSiteTitle>
    <b:URL>http://blogs.reuters.com/alison-frankel/2014/08/11/israels-conflicted-role-in-bank-of-china-terror-finance-case/</b:URL>
    <b:Author>
      <b:Author>
        <b:NameList>
          <b:Person>
            <b:Last>Frankel</b:Last>
            <b:First>Alison</b:First>
          </b:Person>
        </b:NameList>
      </b:Author>
    </b:Author>
    <b:RefOrder>26</b:RefOrder>
  </b:Source>
  <b:Source>
    <b:Tag>Bar15</b:Tag>
    <b:SourceType>InternetSite</b:SourceType>
    <b:Guid>{E8B1201B-12F9-4F4C-9FF2-621EA572929E}</b:Guid>
    <b:Author>
      <b:Author>
        <b:NameList>
          <b:Person>
            <b:Last>Barret</b:Last>
            <b:First>Paul</b:First>
          </b:Person>
        </b:NameList>
      </b:Author>
    </b:Author>
    <b:Title>Does Fear of Terror-Finance Cases Drive Big Banks from Risky Regions?</b:Title>
    <b:InternetSiteTitle>Bloomberg.com</b:InternetSiteTitle>
    <b:Year>2015</b:Year>
    <b:Month>June</b:Month>
    <b:Day>9</b:Day>
    <b:URL>http://www.bloomberg.com/news/articles/2015-06-09/does-fear-of-terror-finance-cases-drive-big-banks-from-risky-regions-</b:URL>
    <b:RefOrder>28</b:RefOrder>
  </b:Source>
  <b:Source>
    <b:Tag>Fin15</b:Tag>
    <b:SourceType>InternetSite</b:SourceType>
    <b:Guid>{1DE6F879-7791-4259-9EB2-6379AD0CC173}</b:Guid>
    <b:Author>
      <b:Author>
        <b:Corporate>Financial Conduct Authority</b:Corporate>
      </b:Author>
    </b:Author>
    <b:Title>The Financial Conduct Authority imposes £2.1m fine and places restriction on Bank of Beirut after it misled the regulator</b:Title>
    <b:InternetSiteTitle>fca.org.uk</b:InternetSiteTitle>
    <b:Year>2015</b:Year>
    <b:Month>March</b:Month>
    <b:Day>05</b:Day>
    <b:URL>https://www.fca.org.uk/news/the-financial-conduct-authority-imposes-2-1m-fine-and-places-restriction-on-bank-of-beirut</b:URL>
    <b:RefOrder>21</b:RefOrder>
  </b:Source>
  <b:Source>
    <b:Tag>Cal14</b:Tag>
    <b:SourceType>ConferenceProceedings</b:SourceType>
    <b:Guid>{2276DB37-0EFE-48A0-8C0D-AB3B32DCB9BD}</b:Guid>
    <b:Title>Remarks of Jennifer Shasky Calvery Director Financial Crimes Enforcement Network</b:Title>
    <b:Year>2014</b:Year>
    <b:Author>
      <b:Author>
        <b:NameList>
          <b:Person>
            <b:Last>Calvery</b:Last>
            <b:First>Jennifer</b:First>
            <b:Middle>Shasky</b:Middle>
          </b:Person>
        </b:NameList>
      </b:Author>
    </b:Author>
    <b:ConferenceName>2014 Mid-Atlantic AML Conference</b:ConferenceName>
    <b:City>Washington, DC</b:City>
    <b:RefOrder>30</b:RefOrder>
  </b:Source>
  <b:Source>
    <b:Tag>USD15</b:Tag>
    <b:SourceType>InternetSite</b:SourceType>
    <b:Guid>{C5B737D6-4410-4487-8D4A-E54252C6B987}</b:Guid>
    <b:Author>
      <b:Author>
        <b:Corporate>U.S. Department of the Treasury</b:Corporate>
      </b:Author>
    </b:Author>
    <b:Title>Opening Remarks of Under Secretary for Terrorism and Financial Intelligence David S. Cohen at the Treasury Roundtable on Financial Access for Money Services Businesses</b:Title>
    <b:Year>2015</b:Year>
    <b:InternetSiteTitle>treasury.gov</b:InternetSiteTitle>
    <b:Month>January</b:Month>
    <b:Day>13</b:Day>
    <b:URL>http://www.treasury.gov/press-center/press-releases/Pages/jl9736.aspx</b:URL>
    <b:RefOrder>31</b:RefOrder>
  </b:Source>
  <b:Source>
    <b:Tag>Ade14</b:Tag>
    <b:SourceType>InternetSite</b:SourceType>
    <b:Guid>{6A6ACCAF-34E3-4A8E-9E1E-E336271041D1}</b:Guid>
    <b:Title>Charities say anti-terrorism laws cut off flow of aid to Syria</b:Title>
    <b:InternetSiteTitle>northjersey.com</b:InternetSiteTitle>
    <b:Year>2014</b:Year>
    <b:Month>October</b:Month>
    <b:Day>7</b:Day>
    <b:URL>http://www.northjersey.com/news/charities-say-anti-terrorism-laws-cut-off-flow-of-aid-to-syria-1.1104208?page=all</b:URL>
    <b:Author>
      <b:Author>
        <b:NameList>
          <b:Person>
            <b:Last>Adely</b:Last>
            <b:First>Hannan</b:First>
          </b:Person>
        </b:NameList>
      </b:Author>
    </b:Author>
    <b:RefOrder>32</b:RefOrder>
  </b:Source>
  <b:Source>
    <b:Tag>Nor15</b:Tag>
    <b:SourceType>InternetSite</b:SourceType>
    <b:Guid>{E19F8F9C-22E7-4337-A233-BC77EEB96910}</b:Guid>
    <b:Author>
      <b:Author>
        <b:Corporate>Norton Rose Fulbright</b:Corporate>
      </b:Author>
    </b:Author>
    <b:Title>The Risks of De-Risking: Conflicting Pressures on Financial Institutions</b:Title>
    <b:InternetSiteTitle>nortonrosefulbright.com</b:InternetSiteTitle>
    <b:Year>2015</b:Year>
    <b:Month>May</b:Month>
    <b:URL>http://www.nortonrosefulbright.com/knowledge/publications/129032/the-risks-of-de-risking-conflicting-pressures-on-financial-institutions</b:URL>
    <b:RefOrder>33</b:RefOrder>
  </b:Source>
  <b:Source>
    <b:Tag>Met15</b:Tag>
    <b:SourceType>Report</b:SourceType>
    <b:Guid>{1B1773A2-6198-4AC5-9946-5DC235CDC316}</b:Guid>
    <b:Title>UK humanitarian aid in the age of counter-terrorism: perceptions and reality</b:Title>
    <b:Year>2015</b:Year>
    <b:Publisher>Muslim Charities Forum</b:Publisher>
    <b:City>London</b:City>
    <b:Author>
      <b:Author>
        <b:NameList>
          <b:Person>
            <b:Last>Metcalfe-Hough</b:Last>
            <b:First>Victoria</b:First>
          </b:Person>
          <b:Person>
            <b:Last>Keatinge</b:Last>
            <b:First>Tom</b:First>
          </b:Person>
          <b:Person>
            <b:Last>Pantuliano</b:Last>
            <b:First>Sara</b:First>
          </b:Person>
        </b:NameList>
      </b:Author>
    </b:Author>
    <b:RefOrder>34</b:RefOrder>
  </b:Source>
  <b:Source>
    <b:Tag>Bar151</b:Tag>
    <b:SourceType>InternetSite</b:SourceType>
    <b:Guid>{05AFE990-3DB4-49A0-AA75-31D3DFE53C04}</b:Guid>
    <b:Author>
      <b:Author>
        <b:NameList>
          <b:Person>
            <b:Last>Barret</b:Last>
            <b:First>Paul</b:First>
          </b:Person>
        </b:NameList>
      </b:Author>
    </b:Author>
    <b:Title>The Big Bet to Hold Banks Liable for Terrorism</b:Title>
    <b:InternetSiteTitle>bloomberg.com</b:InternetSiteTitle>
    <b:Year>2015</b:Year>
    <b:Month>February</b:Month>
    <b:Day>19</b:Day>
    <b:URL>http://www.bloomberg.com/news/articles/2015-02-19/are-credit-suisse-rbs-standard-chartered-hsbc-and-barclays-terrorist-banks-</b:URL>
    <b:RefOrder>29</b:RefOrder>
  </b:Source>
  <b:Source>
    <b:Tag>Gre14</b:Tag>
    <b:SourceType>InternetSite</b:SourceType>
    <b:Guid>{CF2212EF-888E-440E-BFA9-23FDD2575641}</b:Guid>
    <b:Title>Muslim groups accuse HSBC of Islamophobia after it threatens to close accounts</b:Title>
    <b:Year>2014</b:Year>
    <b:Author>
      <b:Author>
        <b:NameList>
          <b:Person>
            <b:Last>Green</b:Last>
            <b:First>Chris</b:First>
          </b:Person>
        </b:NameList>
      </b:Author>
    </b:Author>
    <b:InternetSiteTitle>independent.co.uk</b:InternetSiteTitle>
    <b:Month>July</b:Month>
    <b:Day>30</b:Day>
    <b:URL>http://www.independent.co.uk/news/uk/home-news/muslim-groups-accuse-hsbc-of-islamophobia-after-it-threatens-to-close-accounts-9638456.html</b:URL>
    <b:RefOrder>36</b:RefOrder>
  </b:Source>
  <b:Source>
    <b:Tag>Ram14</b:Tag>
    <b:SourceType>InternetSite</b:SourceType>
    <b:Guid>{355E19C8-A52F-439D-BBE7-65CEFF91AE5C}</b:Guid>
    <b:Author>
      <b:Author>
        <b:NameList>
          <b:Person>
            <b:Last>Ramesh</b:Last>
            <b:First>Randeep</b:First>
          </b:Person>
        </b:NameList>
      </b:Author>
    </b:Author>
    <b:Title>Pressure group Cage files complaint over closure of bank accounts</b:Title>
    <b:InternetSiteTitle>theguardian.com</b:InternetSiteTitle>
    <b:Year>2014</b:Year>
    <b:Month>October</b:Month>
    <b:Day>6</b:Day>
    <b:URL>http://www.theguardian.com/uk-news/2014/oct/06/cage-complaint-bank-accounts-closed</b:URL>
    <b:RefOrder>37</b:RefOrder>
  </b:Source>
  <b:Source>
    <b:Tag>Deh14</b:Tag>
    <b:SourceType>InternetSite</b:SourceType>
    <b:Guid>{DE185718-A438-4F3D-B646-12F36C55C9B5}</b:Guid>
    <b:Author>
      <b:Author>
        <b:NameList>
          <b:Person>
            <b:Last>Dehghan</b:Last>
            <b:First>Saeed</b:First>
            <b:Middle>Kamali</b:Middle>
          </b:Person>
        </b:NameList>
      </b:Author>
    </b:Author>
    <b:Title>Iranians sue UK banks over closed accounts, claiming racial discrimination</b:Title>
    <b:InternetSiteTitle>theguardian.com</b:InternetSiteTitle>
    <b:Year>2014</b:Year>
    <b:Month>March</b:Month>
    <b:Day>28</b:Day>
    <b:URL>http://www.theguardian.com/world/2014/mar/28/iranians-uk-banks-closed-accounts-claim-racial-discrimination</b:URL>
    <b:RefOrder>60</b:RefOrder>
  </b:Source>
  <b:Source>
    <b:Tag>Ten15</b:Tag>
    <b:SourceType>InternetSite</b:SourceType>
    <b:Guid>{964FBE7D-5D9D-4927-A47B-817D9D8DD855}</b:Guid>
    <b:Author>
      <b:Author>
        <b:NameList>
          <b:Person>
            <b:Last>Tendy</b:Last>
            <b:First>Sheila</b:First>
          </b:Person>
        </b:NameList>
      </b:Author>
    </b:Author>
    <b:Title>De-Risking Threatens Religious Access to Banking Services</b:Title>
    <b:InternetSiteTitle>americanbanker.com</b:InternetSiteTitle>
    <b:Year>2015</b:Year>
    <b:Month>January</b:Month>
    <b:Day>27</b:Day>
    <b:URL>http://www.americanbanker.com/bankthink/de-risking-threatens-religious-access-to-banking-services-1072363-1.html</b:URL>
    <b:RefOrder>38</b:RefOrder>
  </b:Source>
  <b:Source>
    <b:Tag>SIB14</b:Tag>
    <b:SourceType>ConferenceProceedings</b:SourceType>
    <b:Guid>{007C5C60-FFCC-4FCF-B23E-6EEAFD83DC01}</b:Guid>
    <b:Title>Moving with caution</b:Title>
    <b:Year>2014</b:Year>
    <b:Author>
      <b:Author>
        <b:Corporate>SIBOS</b:Corporate>
      </b:Author>
    </b:Author>
    <b:ConferenceName>Singapore 12 - 15 October 2015</b:ConferenceName>
    <b:City>Singapore</b:City>
    <b:RefOrder>39</b:RefOrder>
  </b:Source>
  <b:Source>
    <b:Tag>Mar15</b:Tag>
    <b:SourceType>InternetSite</b:SourceType>
    <b:Guid>{791209C0-5B57-4FC5-99E6-57260DD9286C}</b:Guid>
    <b:Author>
      <b:Author>
        <b:NameList>
          <b:Person>
            <b:Last>Marty</b:Last>
          </b:Person>
        </b:NameList>
      </b:Author>
    </b:Author>
    <b:Title>Belize Bank Loses Correspondent Bank Relationship With Bank of America</b:Title>
    <b:InternetSiteTitle>http://ambergriscaye.com/</b:InternetSiteTitle>
    <b:Year>2015</b:Year>
    <b:Month>April</b:Month>
    <b:Day>23</b:Day>
    <b:URL>http://ambergriscaye.com/forum/ubbthreads.php/topics/503655/re-belize-bank-bank-of-america-sever-relationship.html</b:URL>
    <b:RefOrder>41</b:RefOrder>
  </b:Source>
  <b:Source>
    <b:Tag>Wal14</b:Tag>
    <b:SourceType>ConferenceProceedings</b:SourceType>
    <b:Guid>{0AA89FD0-243D-4E6E-9C6B-95816AFBE5C8}</b:Guid>
    <b:Title>Discussion Paper Number 1: De-risking: Global Impact and Unintended Consequences for Exclusion and Stability</b:Title>
    <b:Year>2014</b:Year>
    <b:Publisher>BBA</b:Publisher>
    <b:Author>
      <b:Author>
        <b:NameList>
          <b:Person>
            <b:Last>Walker</b:Last>
            <b:First>Justine</b:First>
          </b:Person>
        </b:NameList>
      </b:Author>
    </b:Author>
    <b:ConferenceName>Prepared for use by the October 2014 FATF Plenary and associated working Groups</b:ConferenceName>
    <b:RefOrder>43</b:RefOrder>
  </b:Source>
  <b:Source>
    <b:Tag>Tim15</b:Tag>
    <b:SourceType>InternetSite</b:SourceType>
    <b:Guid>{00B18863-8702-476C-AD54-35C812DDDD14}</b:Guid>
    <b:Author>
      <b:Author>
        <b:Corporate>Financial Times</b:Corporate>
      </b:Author>
    </b:Author>
    <b:Title>Concern grows over banks exiting riskier emerging markets</b:Title>
    <b:Year>2015</b:Year>
    <b:InternetSiteTitle>ft.com</b:InternetSiteTitle>
    <b:URL>http://www.ft.com/cms/s/1ac7b0ec-a31f-11e4-bbef-00144feab7de,Authorised=false.html?_i_location=http%3A%2F%2Fwww.ft.com%2Fcms%2Fs%2F0%2F1ac7b0ec-a31f-11e4-bbef-00144feab7de.html&amp;_i_referer=&amp;classification=conditional_standard&amp;iab=barrier-app#axzz3iJCK6Npt</b:URL>
    <b:RefOrder>40</b:RefOrder>
  </b:Source>
  <b:Source>
    <b:Tag>Lad15</b:Tag>
    <b:SourceType>Report</b:SourceType>
    <b:Guid>{209EA678-753F-45B9-87DD-D38FFB579E0D}</b:Guid>
    <b:Title>Navigating Shifting Trade Compliance</b:Title>
    <b:Year>2015</b:Year>
    <b:Publisher>Citigroup</b:Publisher>
    <b:Author>
      <b:Author>
        <b:NameList>
          <b:Person>
            <b:Last>Ladany</b:Last>
            <b:First>John</b:First>
          </b:Person>
        </b:NameList>
      </b:Author>
    </b:Author>
    <b:RefOrder>44</b:RefOrder>
  </b:Source>
  <b:Source>
    <b:Tag>The15</b:Tag>
    <b:SourceType>ConferenceProceedings</b:SourceType>
    <b:Guid>{CBC7888F-0835-40A6-8509-96958710467D}</b:Guid>
    <b:Title>AML/CTF Regulation, De-risking and Impacts on Financial Inclusion and Remittances</b:Title>
    <b:Year>2015</b:Year>
    <b:Publisher>The Commonwealth</b:Publisher>
    <b:City>London</b:City>
    <b:Author>
      <b:Author>
        <b:Corporate>The Commonwealth</b:Corporate>
      </b:Author>
    </b:Author>
    <b:ConferenceName>Meeting of Global International Financial Centre Supervisors</b:ConferenceName>
    <b:RefOrder>46</b:RefOrder>
  </b:Source>
  <b:Source>
    <b:Tag>Att15</b:Tag>
    <b:SourceType>Report</b:SourceType>
    <b:Guid>{F9CB147C-1AA8-4DDF-8DB2-CAA392E50FB2}</b:Guid>
    <b:Title>Walking a Tightrope: AML/CTF Regulation, Financial Inclusion and Remittances</b:Title>
    <b:Year>2015</b:Year>
    <b:Publisher>The Commonwealth, Organisation Internationale de la francophonie</b:Publisher>
    <b:Author>
      <b:Author>
        <b:NameList>
          <b:Person>
            <b:Last>Attridge</b:Last>
            <b:First>Samantha</b:First>
          </b:Person>
        </b:NameList>
      </b:Author>
    </b:Author>
    <b:RefOrder>47</b:RefOrder>
  </b:Source>
  <b:Source>
    <b:Tag>UKG15</b:Tag>
    <b:SourceType>InternetSite</b:SourceType>
    <b:Guid>{7F03A824-8731-4824-9E0F-D14FE60C67BA}</b:Guid>
    <b:Title>UK-Somalia Remittance Fact Sheet</b:Title>
    <b:Year>2015</b:Year>
    <b:Author>
      <b:Author>
        <b:Corporate>UK Government</b:Corporate>
      </b:Author>
    </b:Author>
    <b:InternetSiteTitle>gov.uk</b:InternetSiteTitle>
    <b:Month>March</b:Month>
    <b:URL>https://www.gov.uk/government/uploads/system/uploads/attachment_data/file/418690/15-03-11_UK-Somalia_Remittance_Factsheet.pdf</b:URL>
    <b:RefOrder>48</b:RefOrder>
  </b:Source>
  <b:Source>
    <b:Tag>Adi</b:Tag>
    <b:SourceType>Report</b:SourceType>
    <b:Guid>{10816726-A6EA-4E4C-96EF-DF7F33983A88}</b:Guid>
    <b:Title>AML De-Risking: An effective method of plugging AML control failures?</b:Title>
    <b:Author>
      <b:Author>
        <b:NameList>
          <b:Person>
            <b:Last>Adisa</b:Last>
            <b:First>Bukola</b:First>
          </b:Person>
        </b:NameList>
      </b:Author>
    </b:Author>
    <b:Year>2014</b:Year>
    <b:Publisher>Advancing Financial Crime Professionals Worldwide</b:Publisher>
    <b:RefOrder>97</b:RefOrder>
  </b:Source>
  <b:Source>
    <b:Tag>Pau14</b:Tag>
    <b:SourceType>InternetSite</b:SourceType>
    <b:Guid>{A9BD7A77-29A8-40A2-9936-F9401AC4C079}</b:Guid>
    <b:Title>Remittances to Somalia: Reading Treasury’s tea leaves for signs of progress</b:Title>
    <b:Year>2014</b:Year>
    <b:InternetSiteTitle>oxfamamerica.org</b:InternetSiteTitle>
    <b:Month>December</b:Month>
    <b:Day>8</b:Day>
    <b:URL>http://politicsofpoverty.oxfamamerica.org/2014/12/remittances-to-somalia-reading-treasurys-tea-leaves-for-signs-of-progress/</b:URL>
    <b:Author>
      <b:Author>
        <b:NameList>
          <b:Person>
            <b:Last>Paul</b:Last>
            <b:First>Scott</b:First>
          </b:Person>
        </b:NameList>
      </b:Author>
    </b:Author>
    <b:RefOrder>49</b:RefOrder>
  </b:Source>
  <b:Source>
    <b:Tag>OBr14</b:Tag>
    <b:SourceType>InternetSite</b:SourceType>
    <b:Guid>{6E503102-F0F5-42C8-8A87-58D5B1548027}</b:Guid>
    <b:Title>International money transfer businesses launch class action against Westpac</b:Title>
    <b:InternetSiteTitle>smh.com.au</b:InternetSiteTitle>
    <b:Year>2014</b:Year>
    <b:Month>November</b:Month>
    <b:Day>23</b:Day>
    <b:URL>http://www.smh.com.au/national/international-money-transfer-businesses-launch-class-action-against-westpac-20141121-11rs0t.html</b:URL>
    <b:Author>
      <b:Author>
        <b:NameList>
          <b:Person>
            <b:Last>O'Brien</b:Last>
            <b:First>Natalie</b:First>
          </b:Person>
        </b:NameList>
      </b:Author>
    </b:Author>
    <b:RefOrder>53</b:RefOrder>
  </b:Source>
  <b:Source>
    <b:Tag>Pan14</b:Tag>
    <b:SourceType>InternetSite</b:SourceType>
    <b:Guid>{BD7E36DE-7B5B-44E1-8362-3ED7861D60F5}</b:Guid>
    <b:Title>UPDATE 1-Australia's Westpac to quit remittance business by March 31</b:Title>
    <b:InternetSiteTitle>reuters.com</b:InternetSiteTitle>
    <b:Year>2014</b:Year>
    <b:Month>December</b:Month>
    <b:Day>22</b:Day>
    <b:URL>http://www.reuters.com/article/2014/12/22/australia-remittances-westpac-idUSL3N0U61NF20141222</b:URL>
    <b:Author>
      <b:Author>
        <b:NameList>
          <b:Person>
            <b:Last>Pandey</b:Last>
            <b:First>Swati</b:First>
          </b:Person>
        </b:NameList>
      </b:Author>
    </b:Author>
    <b:RefOrder>51</b:RefOrder>
  </b:Source>
  <b:Source>
    <b:Tag>Sin14</b:Tag>
    <b:SourceType>InternetSite</b:SourceType>
    <b:Guid>{DFB0CDE5-15B6-40C2-ABB0-EB19A4AA59BE}</b:Guid>
    <b:Title>Bankers are about to ensure money transfers go underground</b:Title>
    <b:InternetSiteTitle>theconversation.com</b:InternetSiteTitle>
    <b:Year>2014</b:Year>
    <b:Month>November</b:Month>
    <b:Day>21</b:Day>
    <b:URL>http://theconversation.com/bankers-are-about-to-ensure-money-transfers-go-underground-34487</b:URL>
    <b:Author>
      <b:Author>
        <b:NameList>
          <b:Person>
            <b:Last>Singh</b:Last>
            <b:First>Supriya</b:First>
          </b:Person>
        </b:NameList>
      </b:Author>
    </b:Author>
    <b:RefOrder>52</b:RefOrder>
  </b:Source>
  <b:Source>
    <b:Tag>RT14</b:Tag>
    <b:SourceType>InternetSite</b:SourceType>
    <b:Guid>{12485481-FB73-4278-B345-347EF8CE38A6}</b:Guid>
    <b:Author>
      <b:Author>
        <b:NameList>
          <b:Person>
            <b:Last>RT</b:Last>
          </b:Person>
        </b:NameList>
      </b:Author>
    </b:Author>
    <b:Title>‘Anti-Muslim discrimination’: HSBC shuts down only account of UK Islamic charity</b:Title>
    <b:InternetSiteTitle>rt.com</b:InternetSiteTitle>
    <b:Year>2014</b:Year>
    <b:Month>September</b:Month>
    <b:Day>22</b:Day>
    <b:URL>http://www.rt.com/uk/189544-hsbc-finsbury-park-close/</b:URL>
    <b:RefOrder>54</b:RefOrder>
  </b:Source>
  <b:Source>
    <b:Tag>Har13</b:Tag>
    <b:SourceType>InternetSite</b:SourceType>
    <b:Guid>{79A49EB0-2A1E-4869-A32C-FEF679D50FBF}</b:Guid>
    <b:Title>Consulates and the Vatican in chaos as HSBC tells them to find another bank</b:Title>
    <b:InternetSiteTitle>thisismoney.co.uk</b:InternetSiteTitle>
    <b:Year>2013</b:Year>
    <b:Month>August</b:Month>
    <b:Day>3</b:Day>
    <b:Author>
      <b:Author>
        <b:NameList>
          <b:Person>
            <b:Last>Hart</b:Last>
            <b:First>Joanne</b:First>
          </b:Person>
        </b:NameList>
      </b:Author>
    </b:Author>
    <b:RefOrder>55</b:RefOrder>
  </b:Source>
  <b:Source>
    <b:Tag>Rea14</b:Tag>
    <b:SourceType>InternetSite</b:SourceType>
    <b:Guid>{03059448-430A-43CE-9D44-A85287FC3A39}</b:Guid>
    <b:Author>
      <b:Author>
        <b:Corporate>Ready-Made Investment Digest</b:Corporate>
      </b:Author>
    </b:Author>
    <b:Title>HSBC to spend $700m filtering clients</b:Title>
    <b:InternetSiteTitle>readymadeinvest.com</b:InternetSiteTitle>
    <b:Year>2014</b:Year>
    <b:URL>http://readymadeinvest.com/hsbc-to-spend-700m-filtering-clients/</b:URL>
    <b:RefOrder>13</b:RefOrder>
  </b:Source>
  <b:Source>
    <b:Tag>Hou14</b:Tag>
    <b:SourceType>InternetSite</b:SourceType>
    <b:Guid>{99D7BBD0-859B-4FF5-B8A9-4D438DDB9FBB}</b:Guid>
    <b:Title>Thames Tideway Project: Contingent Guarantees</b:Title>
    <b:InternetSiteTitle>publications.parliament.uk</b:InternetSiteTitle>
    <b:Year>2014</b:Year>
    <b:Month>October</b:Month>
    <b:Day>14</b:Day>
    <b:URL>http://www.publications.parliament.uk/pa/ld201415/ldhansrd/text/141014-0001.htm</b:URL>
    <b:Author>
      <b:Author>
        <b:Corporate>House of Lords</b:Corporate>
      </b:Author>
    </b:Author>
    <b:RefOrder>57</b:RefOrder>
  </b:Source>
  <b:Source>
    <b:Tag>How13</b:Tag>
    <b:SourceType>InternetSite</b:SourceType>
    <b:Guid>{733A2017-7EBB-4F60-B06B-A5C9736FA9DD}</b:Guid>
    <b:Title>Concern over closure of ethnic minority accounts</b:Title>
    <b:InternetSiteTitle>bbc.com</b:InternetSiteTitle>
    <b:Year>2013</b:Year>
    <b:Month>September</b:Month>
    <b:Day>27</b:Day>
    <b:URL>http://www.bbc.com/news/business-24285885</b:URL>
    <b:Author>
      <b:Author>
        <b:NameList>
          <b:Person>
            <b:Last>Howard</b:Last>
            <b:First>Bob</b:First>
          </b:Person>
        </b:NameList>
      </b:Author>
    </b:Author>
    <b:RefOrder>58</b:RefOrder>
  </b:Source>
  <b:Source>
    <b:Tag>The14</b:Tag>
    <b:SourceType>InternetSite</b:SourceType>
    <b:Guid>{B746046E-DC11-446F-BED7-10C3EF30045C}</b:Guid>
    <b:Author>
      <b:Author>
        <b:Corporate>The Isaac Brock Society</b:Corporate>
      </b:Author>
    </b:Author>
    <b:Title>Bank closures due to citizenship violate constitutional and legal protections for U.S. persons</b:Title>
    <b:InternetSiteTitle>isaacbrocksociety.ca</b:InternetSiteTitle>
    <b:Year>2014</b:Year>
    <b:Month>March</b:Month>
    <b:Day>31</b:Day>
    <b:URL>http://isaacbrocksociety.ca/2014/03/31/bank-closures-due-to-citizenship-violate-constitutional-and-legal-protections-for-u-s-persons/</b:URL>
    <b:RefOrder>62</b:RefOrder>
  </b:Source>
  <b:Source>
    <b:Tag>Raw13</b:Tag>
    <b:SourceType>Interview</b:SourceType>
    <b:Guid>{393113D7-B3E1-4666-95DB-DAF2B9724ADE}</b:Guid>
    <b:Title>MONEY BOX</b:Title>
    <b:Year>2013</b:Year>
    <b:Month>January</b:Month>
    <b:Day>4</b:Day>
    <b:Author>
      <b:Interviewee>
        <b:NameList>
          <b:Person>
            <b:Last>Rawlinson</b:Last>
          </b:Person>
          <b:Person>
            <b:Last>Lewis</b:Last>
          </b:Person>
          <b:Person>
            <b:Last>Field</b:Last>
          </b:Person>
          <b:Person>
            <b:Last>Howsam</b:Last>
          </b:Person>
          <b:Person>
            <b:Last>Collison</b:Last>
          </b:Person>
          <b:Person>
            <b:Last>Allan</b:Last>
          </b:Person>
        </b:NameList>
      </b:Interviewee>
      <b:Interviewer>
        <b:NameList>
          <b:Person>
            <b:Last>Lewis</b:Last>
            <b:First>Paul</b:First>
          </b:Person>
        </b:NameList>
      </b:Interviewer>
    </b:Author>
    <b:RefOrder>59</b:RefOrder>
  </b:Source>
  <b:Source>
    <b:Tag>Hun13</b:Tag>
    <b:SourceType>InternetSite</b:SourceType>
    <b:Guid>{4EBE87FE-4523-4139-A40B-EFB7943973EC}</b:Guid>
    <b:Title>Banks turn away Iran and Syria nationals</b:Title>
    <b:Year>2013</b:Year>
    <b:Month>February</b:Month>
    <b:Day>9</b:Day>
    <b:InternetSiteTitle>thenational.ae</b:InternetSiteTitle>
    <b:URL>http://www.thenational.ae/business/industry-insights/finance/banks-turn-away-iran-and-syria-nationals</b:URL>
    <b:Author>
      <b:Author>
        <b:NameList>
          <b:Person>
            <b:Last>Hunter</b:Last>
            <b:Middle>Stuart</b:Middle>
            <b:First>Gregor</b:First>
          </b:Person>
        </b:NameList>
      </b:Author>
    </b:Author>
    <b:RefOrder>65</b:RefOrder>
  </b:Source>
  <b:Source>
    <b:Tag>New13</b:Tag>
    <b:SourceType>InternetSite</b:SourceType>
    <b:Guid>{F905789D-3C59-4E42-9A8F-64B304A8A9BE}</b:Guid>
    <b:Author>
      <b:Author>
        <b:Corporate>News Day</b:Corporate>
      </b:Author>
    </b:Author>
    <b:Title>‘HSBC Bank account closures a security measure’</b:Title>
    <b:InternetSiteTitle>newsday.co.zw</b:InternetSiteTitle>
    <b:Year>2013</b:Year>
    <b:Month>August</b:Month>
    <b:Day>27</b:Day>
    <b:URL>https://www.newsday.co.zw/2013/08/27/bank-account-closures-a-security-measure/</b:URL>
    <b:RefOrder>66</b:RefOrder>
  </b:Source>
  <b:Source>
    <b:Tag>Har15</b:Tag>
    <b:SourceType>InternetSite</b:SourceType>
    <b:Guid>{07725692-1E3E-4B36-872D-C25CC1F643C0}</b:Guid>
    <b:Title>Court of Appeals to consider case of Arabs’ bank accounts’ closure</b:Title>
    <b:Year>2015</b:Year>
    <b:Author>
      <b:Author>
        <b:NameList>
          <b:Person>
            <b:Last>Harb</b:Last>
            <b:First>Ali</b:First>
          </b:Person>
        </b:NameList>
      </b:Author>
    </b:Author>
    <b:InternetSiteTitle>arabamericannews.com</b:InternetSiteTitle>
    <b:Month>July</b:Month>
    <b:Day>29</b:Day>
    <b:URL>http://www.arabamericannews.com/news/news/id_10833/Court-of-Appeals-to-consider-case-of-Arabs%E2%80%99-bank-accounts%E2%80%99-closure.html</b:URL>
    <b:RefOrder>64</b:RefOrder>
  </b:Source>
  <b:Source>
    <b:Tag>Cal15</b:Tag>
    <b:SourceType>InternetSite</b:SourceType>
    <b:Guid>{8176362E-9D8C-458B-AE2C-452C160C9298}</b:Guid>
    <b:Author>
      <b:Author>
        <b:NameList>
          <b:Person>
            <b:Last>Caldwell</b:Last>
            <b:First>Kyle</b:First>
          </b:Person>
        </b:NameList>
      </b:Author>
    </b:Author>
    <b:Title>'Barclays closed down my bank account after Bitcoin trade'</b:Title>
    <b:InternetSiteTitle>telegraph.co.uk</b:InternetSiteTitle>
    <b:Year>2015</b:Year>
    <b:Month>April</b:Month>
    <b:Day>18</b:Day>
    <b:URL>http://www.telegraph.co.uk/finance/personalfinance/investing/11537972/Barclays-closed-down-my-bank-account-after-Bitcoin-trade.html</b:URL>
    <b:RefOrder>98</b:RefOrder>
  </b:Source>
  <b:Source>
    <b:Tag>Car15</b:Tag>
    <b:SourceType>DocumentFromInternetSite</b:SourceType>
    <b:Guid>{3D1B228D-85F6-4089-A978-FA6A43201332}</b:Guid>
    <b:Title>FSB Chair co-authors article on correspondent banking and financial inclusion</b:Title>
    <b:InternetSiteTitle>financialstabilityboard.org</b:InternetSiteTitle>
    <b:Year>2015</b:Year>
    <b:Month>June</b:Month>
    <b:Day>2</b:Day>
    <b:URL>http://www.financialstabilityboard.org/2015/06/fsb-chair-co-authors-article-on-correspondent-banking-and-financial-inclusion/</b:URL>
    <b:Author>
      <b:Author>
        <b:NameList>
          <b:Person>
            <b:Last>Carney</b:Last>
            <b:First>Mark</b:First>
          </b:Person>
          <b:Person>
            <b:Last>Badre</b:Last>
            <b:First>Bertrand</b:First>
          </b:Person>
        </b:NameList>
      </b:Author>
    </b:Author>
    <b:RefOrder>67</b:RefOrder>
  </b:Source>
  <b:Source>
    <b:Tag>Cue15</b:Tag>
    <b:SourceType>DocumentFromInternetSite</b:SourceType>
    <b:Guid>{0FE68362-6B30-4126-9396-C44AE6FC94AD}</b:Guid>
    <b:Author>
      <b:Author>
        <b:NameList>
          <b:Person>
            <b:Last>Cuevas-Mohr</b:Last>
            <b:First>Hugo</b:First>
          </b:Person>
        </b:NameList>
      </b:Author>
    </b:Author>
    <b:Title>De-Risking: The Moving Target</b:Title>
    <b:InternetSiteTitle>imtconferences.com</b:InternetSiteTitle>
    <b:Year>2015</b:Year>
    <b:Month>February</b:Month>
    <b:Day>12</b:Day>
    <b:URL>http://imtconferences.com/de-risking-the-moving-target/</b:URL>
    <b:RefOrder>99</b:RefOrder>
  </b:Source>
  <b:Source>
    <b:Tag>Cul14</b:Tag>
    <b:SourceType>DocumentFromInternetSite</b:SourceType>
    <b:Guid>{F3DE0C4F-5980-4F1A-AEF7-50937DBCD3AE}</b:Guid>
    <b:Author>
      <b:Author>
        <b:NameList>
          <b:Person>
            <b:Last>Cull</b:Last>
            <b:First>Adam</b:First>
          </b:Person>
        </b:NameList>
      </b:Author>
    </b:Author>
    <b:Title>BBA in Washington: will de-risking undermine growth?</b:Title>
    <b:InternetSiteTitle>bba.org.uk</b:InternetSiteTitle>
    <b:Year>2014</b:Year>
    <b:Month>March</b:Month>
    <b:Day>5</b:Day>
    <b:URL>https://www.bba.org.uk/news/bba-voice/bba-in-washington-will-de-risking-undermine-growth/#.Vdzt7PkzjVp</b:URL>
    <b:RefOrder>69</b:RefOrder>
  </b:Source>
  <b:Source>
    <b:Tag>BBA13</b:Tag>
    <b:SourceType>Report</b:SourceType>
    <b:Guid>{9F219A36-6563-46C7-8C8F-B6C6B9435510}</b:Guid>
    <b:Title>Annual Report 2013</b:Title>
    <b:Year>2013</b:Year>
    <b:Author>
      <b:Author>
        <b:Corporate>BBA</b:Corporate>
      </b:Author>
    </b:Author>
    <b:Publisher>BBA</b:Publisher>
    <b:City>London</b:City>
    <b:RefOrder>70</b:RefOrder>
  </b:Source>
  <b:Source>
    <b:Tag>McK14</b:Tag>
    <b:SourceType>DocumentFromInternetSite</b:SourceType>
    <b:Guid>{6ACCBC28-18B8-4E7E-B7C2-F35EF73713A9}</b:Guid>
    <b:Title>Why the 'Derisking' Problem Isn't Going Away</b:Title>
    <b:Year>2014</b:Year>
    <b:Author>
      <b:Author>
        <b:NameList>
          <b:Person>
            <b:Last>McKendry</b:Last>
            <b:First>Ian</b:First>
          </b:Person>
        </b:NameList>
      </b:Author>
    </b:Author>
    <b:InternetSiteTitle>acams.org</b:InternetSiteTitle>
    <b:Month>December</b:Month>
    <b:Day>29</b:Day>
    <b:URL>http://www.acams.org/wp-content/uploads/2015/01/Why-the-Derisking-Problem-Isnt-Going-Away.pdf</b:URL>
    <b:RefOrder>72</b:RefOrder>
  </b:Source>
  <b:Source>
    <b:Tag>Max06</b:Tag>
    <b:SourceType>JournalArticle</b:SourceType>
    <b:Guid>{7E07F0B5-E9E7-43CC-B062-4AA8F2F16C6F}</b:Guid>
    <b:Title>Muslims, South Asians and the British Mainstream: A National Identity Crisis?</b:Title>
    <b:Year>2006</b:Year>
    <b:Author>
      <b:Author>
        <b:NameList>
          <b:Person>
            <b:Last>Maxwell</b:Last>
            <b:First>Rahsaan</b:First>
          </b:Person>
        </b:NameList>
      </b:Author>
    </b:Author>
    <b:JournalName>West European Politics Vol. 29, No. 4</b:JournalName>
    <b:Pages>736-756</b:Pages>
    <b:RefOrder>89</b:RefOrder>
  </b:Source>
  <b:Source>
    <b:Tag>Fin142</b:Tag>
    <b:SourceType>Report</b:SourceType>
    <b:Guid>{B4DC777C-02A4-4D2F-84FA-042DF2620DD7}</b:Guid>
    <b:Title>FCA Risk Outlook</b:Title>
    <b:Year>2014</b:Year>
    <b:Author>
      <b:Author>
        <b:Corporate>Financial Conduct Authority</b:Corporate>
      </b:Author>
    </b:Author>
    <b:Publisher>Financial Conduct Authority</b:Publisher>
    <b:City>London</b:City>
    <b:RefOrder>74</b:RefOrder>
  </b:Source>
  <b:Source>
    <b:Tag>Can15</b:Tag>
    <b:SourceType>DocumentFromInternetSite</b:SourceType>
    <b:Guid>{4C1C7AAB-0152-4874-BC0E-58E18FCB1BA1}</b:Guid>
    <b:Title>Access to Basic Banking Services Regulations: SOR/2003 - 184</b:Title>
    <b:Year>2015</b:Year>
    <b:Month>August</b:Month>
    <b:Day>4</b:Day>
    <b:Author>
      <b:Author>
        <b:Corporate>Canada</b:Corporate>
      </b:Author>
    </b:Author>
    <b:InternetSiteTitle>http://laws-lois.justice.gc.ca/</b:InternetSiteTitle>
    <b:URL>http://laws-lois.justice.gc.ca/PDF/SOR-2003-184.pdf</b:URL>
    <b:RefOrder>76</b:RefOrder>
  </b:Source>
  <b:Source>
    <b:Tag>RCG11</b:Tag>
    <b:SourceType>Case</b:SourceType>
    <b:Guid>{9AD368DA-4B7D-4FA8-ABF8-A62E83CCF9B6}</b:Guid>
    <b:Title>RCG Forex Service Corp. v. HSBC Bank Canada</b:Title>
    <b:Year>2011</b:Year>
    <b:Month>March</b:Month>
    <b:Day>16</b:Day>
    <b:CaseNumber>S132561</b:CaseNumber>
    <b:Court>SUPREME COURT OF BRITISH COLUMBIA</b:Court>
    <b:RefOrder>77</b:RefOrder>
  </b:Source>
  <b:Source>
    <b:Tag>McM11</b:Tag>
    <b:SourceType>InternetSite</b:SourceType>
    <b:Guid>{5E4EB688-A70A-4F8B-A2B6-07D184AD6FB1}</b:Guid>
    <b:Title>whose bank account is it anyway? a bank's right to close an account against the customer's will </b:Title>
    <b:Year>2011</b:Year>
    <b:Month>June</b:Month>
    <b:Author>
      <b:Author>
        <b:Corporate>McMillan</b:Corporate>
      </b:Author>
    </b:Author>
    <b:InternetSiteTitle>mcmillan.ca</b:InternetSiteTitle>
    <b:URL>http://www.mcmillan.ca/100935</b:URL>
    <b:RefOrder>78</b:RefOrder>
  </b:Source>
  <b:Source>
    <b:Tag>Woo14</b:Tag>
    <b:SourceType>InternetSite</b:SourceType>
    <b:Guid>{A84F7280-1FC4-440C-8D3E-69C9A23BCF27}</b:Guid>
    <b:Author>
      <b:Author>
        <b:NameList>
          <b:Person>
            <b:Last>Woolhouse</b:Last>
            <b:First>Richard</b:First>
          </b:Person>
        </b:NameList>
      </b:Author>
    </b:Author>
    <b:Title>Five Predictions for 2015</b:Title>
    <b:InternetSiteTitle>bba.org.uk</b:InternetSiteTitle>
    <b:Year>2014</b:Year>
    <b:Month>December</b:Month>
    <b:Day>22</b:Day>
    <b:URL>https://www.bba.org.uk/news/bba-voice/five-fast-predictions-for-2015/#.Vdz2C_kzjVp</b:URL>
    <b:RefOrder>80</b:RefOrder>
  </b:Source>
  <b:Source>
    <b:Tag>Mit08</b:Tag>
    <b:SourceType>Report</b:SourceType>
    <b:Guid>{3D33671A-56E5-459A-940F-05E8CB62FF24}</b:Guid>
    <b:Title>Financial inclusion in the UK: Review of policy and practice</b:Title>
    <b:Year>2008</b:Year>
    <b:Author>
      <b:Author>
        <b:NameList>
          <b:Person>
            <b:Last>Mitton</b:Last>
            <b:First>Lavinia</b:First>
          </b:Person>
        </b:NameList>
      </b:Author>
    </b:Author>
    <b:Publisher>Joseph Rowntree Foundation</b:Publisher>
    <b:City>York</b:City>
    <b:RefOrder>81</b:RefOrder>
  </b:Source>
  <b:Source>
    <b:Tag>Fin05</b:Tag>
    <b:SourceType>DocumentFromInternetSite</b:SourceType>
    <b:Guid>{E3747417-5252-452C-B7C5-1528897B9A32}</b:Guid>
    <b:Title>banking: when a firm decides to close a customer's account</b:Title>
    <b:Year>2005</b:Year>
    <b:Author>
      <b:Author>
        <b:Corporate>Financial Ombudsman Service</b:Corporate>
      </b:Author>
    </b:Author>
    <b:InternetSiteTitle>financial-ombudsman.org.uk</b:InternetSiteTitle>
    <b:Month>August</b:Month>
    <b:URL>http://www.financial-ombudsman.org.uk/publications/ombudsman-news/48/banking-closing-accounts.htm</b:URL>
    <b:RefOrder>85</b:RefOrder>
  </b:Source>
  <b:Source>
    <b:Tag>UKG14</b:Tag>
    <b:SourceType>DocumentFromInternetSite</b:SourceType>
    <b:Guid>{FDDCD86D-E751-4029-9E03-6FE041F6881C}</b:Guid>
    <b:Author>
      <b:Author>
        <b:Corporate>UK Government</b:Corporate>
      </b:Author>
    </b:Author>
    <b:Title>REVISED BASIC BANK ACCOUNT AGREEMENT </b:Title>
    <b:InternetSiteTitle>gov.uk</b:InternetSiteTitle>
    <b:Year>2014</b:Year>
    <b:URL>https://www.gov.uk/government/uploads/system/uploads/attachment_data/file/386953/141211_basic_accounts_agreement_text.pdf</b:URL>
    <b:RefOrder>84</b:RefOrder>
  </b:Source>
  <b:Source>
    <b:Tag>Met151</b:Tag>
    <b:SourceType>DocumentFromInternetSite</b:SourceType>
    <b:Guid>{6E40352E-C99A-458F-8C6B-3944843BDEC7}</b:Guid>
    <b:Title>UK humanitarian aid in the age of counterterrorism: perceptions and reality</b:Title>
    <b:InternetSiteTitle>odi.org</b:InternetSiteTitle>
    <b:Year>2015</b:Year>
    <b:Month>March</b:Month>
    <b:URL>http://www.odi.org/publications/9301-counter-terrorism-legislation-law-uk-muslim-ngos-charities-commission-humanitarian</b:URL>
    <b:Author>
      <b:Author>
        <b:NameList>
          <b:Person>
            <b:Last>Metcalfe-Hough</b:Last>
            <b:First>Victoria</b:First>
          </b:Person>
          <b:Person>
            <b:Last>Keatinge</b:Last>
            <b:First>Tom</b:First>
          </b:Person>
          <b:Person>
            <b:Last>Pantuliano</b:Last>
            <b:First>Sara</b:First>
          </b:Person>
        </b:NameList>
      </b:Author>
    </b:Author>
    <b:RefOrder>6</b:RefOrder>
  </b:Source>
  <b:Source>
    <b:Tag>Fin131</b:Tag>
    <b:SourceType>Report</b:SourceType>
    <b:Guid>{B3D1DD4F-44A5-423E-A8C8-620B4677CCA8}</b:Guid>
    <b:Title>Politically Exposed Persons (Recommendations 12 and 22)</b:Title>
    <b:Year>2013</b:Year>
    <b:Author>
      <b:Author>
        <b:Corporate>Financial Action Task Force</b:Corporate>
      </b:Author>
    </b:Author>
    <b:Publisher>Financial Action Task Force</b:Publisher>
    <b:City>Paris</b:City>
    <b:RefOrder>5</b:RefOrder>
  </b:Source>
  <b:Source>
    <b:Tag>Fin04</b:Tag>
    <b:SourceType>Report</b:SourceType>
    <b:Guid>{6024CC68-E0EE-431B-904D-5B58E25BA817}</b:Guid>
    <b:Author>
      <b:Author>
        <b:Corporate>Financial Ombudsman Service</b:Corporate>
      </b:Author>
    </b:Author>
    <b:Title>giving all customers equal access to banking services</b:Title>
    <b:Year>2004</b:Year>
    <b:Publisher>Financial Ombudsman Service</b:Publisher>
    <b:City>London</b:City>
    <b:RefOrder>86</b:RefOrder>
  </b:Source>
  <b:Source>
    <b:Tag>Moo12</b:Tag>
    <b:SourceType>JournalArticle</b:SourceType>
    <b:Guid>{1A194450-55AD-4C47-92ED-6B4FCF9B82A8}</b:Guid>
    <b:Title>Access to banking services and credit for UK ethnic minorities, refugees and asylum seekers</b:Title>
    <b:Year>2012</b:Year>
    <b:Author>
      <b:Author>
        <b:NameList>
          <b:Person>
            <b:Last>Moore</b:Last>
            <b:First>Robert</b:First>
          </b:Person>
        </b:NameList>
      </b:Author>
    </b:Author>
    <b:JournalName>Radical Statistics</b:JournalName>
    <b:RefOrder>100</b:RefOrder>
  </b:Source>
  <b:Source>
    <b:Tag>Sco15</b:Tag>
    <b:SourceType>DocumentFromInternetSite</b:SourceType>
    <b:Guid>{7347945D-9087-40CB-BEB1-97612C49353E}</b:Guid>
    <b:Title>If Banks Can't Solve the Derisking Dilemma, Maybe the Government Will</b:Title>
    <b:Year>2015</b:Year>
    <b:Author>
      <b:Author>
        <b:NameList>
          <b:Person>
            <b:Last>Scott</b:Last>
            <b:First>Amber</b:First>
            <b:Middle>D.</b:Middle>
          </b:Person>
        </b:NameList>
      </b:Author>
    </b:Author>
    <b:InternetSiteTitle>americanbanker.com</b:InternetSiteTitle>
    <b:Month>April</b:Month>
    <b:Day>20</b:Day>
    <b:URL>http://www.americanbanker.com/bankthink/if-banks-cant-solve-the-derisking-dilemma-maybe-the-government-will-1073858-1.html</b:URL>
    <b:RefOrder>101</b:RefOrder>
  </b:Source>
  <b:Source>
    <b:Tag>Fin132</b:Tag>
    <b:SourceType>Report</b:SourceType>
    <b:Guid>{500C29B7-4B48-454C-8C10-83908AE04A95}</b:Guid>
    <b:Title>Anti-Money Laundering and Terrorist Financing Measures and Financial Inclusion</b:Title>
    <b:Year>2013</b:Year>
    <b:Author>
      <b:Author>
        <b:Corporate>Financial Action Task Force</b:Corporate>
      </b:Author>
    </b:Author>
    <b:Publisher>FINANCIAL ACTION TASK FORCE</b:Publisher>
    <b:City>Paris</b:City>
    <b:RefOrder>102</b:RefOrder>
  </b:Source>
  <b:Source>
    <b:Tag>Fin143</b:Tag>
    <b:SourceType>Report</b:SourceType>
    <b:Guid>{F13230DF-47CC-4BA4-8D50-162AB0BB109C}</b:Guid>
    <b:Author>
      <b:Author>
        <b:Corporate>Financial Action Task Force</b:Corporate>
      </b:Author>
    </b:Author>
    <b:Title>Virtual Currencies: Key Definitions and Potential AML/CFT Risks</b:Title>
    <b:Year>2014</b:Year>
    <b:Publisher>Financial Action Task Force</b:Publisher>
    <b:City>Paris</b:City>
    <b:RefOrder>103</b:RefOrder>
  </b:Source>
  <b:Source>
    <b:Tag>FIN15</b:Tag>
    <b:SourceType>DocumentFromInternetSite</b:SourceType>
    <b:Guid>{A8B7F126-3834-480B-BFD0-C6C6DED90A4A}</b:Guid>
    <b:Title>USA PATRIOT Act</b:Title>
    <b:Year>2015</b:Year>
    <b:Author>
      <b:Author>
        <b:Corporate>FINCEN</b:Corporate>
      </b:Author>
    </b:Author>
    <b:InternetSiteTitle>fincen.gov</b:InternetSiteTitle>
    <b:Month>08</b:Month>
    <b:Day>26</b:Day>
    <b:URL>http://www.fincen.gov/statutes_regs/patriot/</b:URL>
    <b:RefOrder>104</b:RefOrder>
  </b:Source>
  <b:Source>
    <b:Tag>UKG02</b:Tag>
    <b:SourceType>DocumentFromInternetSite</b:SourceType>
    <b:Guid>{218424F4-4DE7-4D1F-B42E-A4A2D1F4E731}</b:Guid>
    <b:Author>
      <b:Author>
        <b:Corporate>UK Government</b:Corporate>
      </b:Author>
    </b:Author>
    <b:Title>Proceeds of Crime Act 2002</b:Title>
    <b:InternetSiteTitle>legislation.gov.uk</b:InternetSiteTitle>
    <b:Year>2002</b:Year>
    <b:URL>http://www.legislation.gov.uk/ukpga/2002/29/section/333</b:URL>
    <b:RefOrder>27</b:RefOrder>
  </b:Source>
  <b:Source>
    <b:Tag>Nat15</b:Tag>
    <b:SourceType>DocumentFromInternetSite</b:SourceType>
    <b:Guid>{00509802-5F27-4D05-B56D-BD21487BC1DA}</b:Guid>
    <b:Author>
      <b:Author>
        <b:Corporate>National Crime Agency</b:Corporate>
      </b:Author>
    </b:Author>
    <b:Title>Legal basis for reporting</b:Title>
    <b:InternetSiteTitle>nationalcrimeagency.gov.uk</b:InternetSiteTitle>
    <b:Year>2015</b:Year>
    <b:URL>http://www.nationalcrimeagency.gov.uk/about-us/what-we-do/specialist-capabilities/ukfiu/legal-basis-for-reporting</b:URL>
    <b:RefOrder>105</b:RefOrder>
  </b:Source>
  <b:Source>
    <b:Tag>HHU13</b:Tag>
    <b:SourceType>DocumentFromInternetSite</b:SourceType>
    <b:Guid>{3AF12723-6BAB-41AF-A008-2048EF233240}</b:Guid>
    <b:Author>
      <b:Author>
        <b:Corporate>HHUGS</b:Corporate>
      </b:Author>
    </b:Author>
    <b:Title>CLOSURE OF HHUGS BANK ACCOUNT: URGENT REQUEST!</b:Title>
    <b:InternetSiteTitle>hhugs.org.uk</b:InternetSiteTitle>
    <b:Year>2013</b:Year>
    <b:URL>http://www.hhugs.org.uk/closure-of-hhugs-bank-account-urgent-request-/390</b:URL>
    <b:RefOrder>106</b:RefOrder>
  </b:Source>
  <b:Source>
    <b:Tag>Pla14</b:Tag>
    <b:SourceType>DocumentFromInternetSite</b:SourceType>
    <b:Guid>{2A02AB9A-CD74-45E5-9D7C-AE0B61D4C2E7}</b:Guid>
    <b:Author>
      <b:Author>
        <b:NameList>
          <b:Person>
            <b:Last>Plaza</b:Last>
            <b:First>Sonia</b:First>
          </b:Person>
        </b:NameList>
      </b:Author>
    </b:Author>
    <b:Title>Remittance Markets: More court cases and higher costs due to Anti Money Laundering and Countering Financing of Terrorism (AML/CFT) Regulations</b:Title>
    <b:InternetSiteTitle>worldbank.org</b:InternetSiteTitle>
    <b:Year>2014</b:Year>
    <b:Month>December</b:Month>
    <b:Day>14</b:Day>
    <b:URL>http://blogs.worldbank.org/peoplemove/remittance-markets-more-court-cases-and-higher-costs-due-anti-money-laundering-and-countering</b:URL>
    <b:RefOrder>107</b:RefOrder>
  </b:Source>
  <b:Source>
    <b:Tag>Sha13</b:Tag>
    <b:SourceType>DocumentFromInternetSite</b:SourceType>
    <b:Guid>{4A25FF3D-5B14-4F6C-8A4B-32A3EB6708F5}</b:Guid>
    <b:Author>
      <b:Author>
        <b:NameList>
          <b:Person>
            <b:Last>Shane</b:Last>
            <b:First>Daniel</b:First>
          </b:Person>
        </b:NameList>
      </b:Author>
    </b:Author>
    <b:Title>Barclays blames customers for UAE account closures</b:Title>
    <b:InternetSiteTitle>arabianbusiness.com</b:InternetSiteTitle>
    <b:Year>2013</b:Year>
    <b:Month>October</b:Month>
    <b:Day>2</b:Day>
    <b:URL>http://www.arabianbusiness.com/barclays-blames-customers-for-uae-account-closures-521315.html</b:URL>
    <b:RefOrder>108</b:RefOrder>
  </b:Source>
  <b:Source>
    <b:Tag>Rea12</b:Tag>
    <b:SourceType>DocumentFromInternetSite</b:SourceType>
    <b:Guid>{73F69D55-8813-4FF7-8553-17E4B40D8271}</b:Guid>
    <b:Author>
      <b:Author>
        <b:Corporate>Ready-Made Investment Digest</b:Corporate>
      </b:Author>
    </b:Author>
    <b:Title>RBS backtracks on Iranian account closures</b:Title>
    <b:InternetSiteTitle>http://readymadeinvest.com/</b:InternetSiteTitle>
    <b:Year>2012</b:Year>
    <b:URL>http://readymadeinvest.com/rbs-backtracks-on-iranian-account-closures/</b:URL>
    <b:RefOrder>109</b:RefOrder>
  </b:Source>
  <b:Source>
    <b:Tag>Ber09</b:Tag>
    <b:SourceType>DocumentFromInternetSite</b:SourceType>
    <b:Guid>{E3463C6D-276B-40BC-B97D-1A404F66DC60}</b:Guid>
    <b:Author>
      <b:Author>
        <b:NameList>
          <b:Person>
            <b:Last>Bernstien</b:Last>
            <b:First>Jaela</b:First>
          </b:Person>
        </b:NameList>
      </b:Author>
    </b:Author>
    <b:Title>CIBC closes Concordia student's bank account because he's Iranian</b:Title>
    <b:InternetSiteTitle>cbc.ca</b:InternetSiteTitle>
    <b:Year>2009</b:Year>
    <b:Month>December</b:Month>
    <b:URL>http://www.cbc.ca/news/canada/montreal/cibc-closes-concordia-student-s-bank-account-because-he-s-iranian-1.2865248</b:URL>
    <b:RefOrder>110</b:RefOrder>
  </b:Source>
  <b:Source>
    <b:Tag>EUC11</b:Tag>
    <b:SourceType>DocumentFromInternetSite</b:SourceType>
    <b:Guid>{FC8730F6-168A-4162-B083-0291D6E6B205}</b:Guid>
    <b:Author>
      <b:Author>
        <b:Corporate>EU Commission</b:Corporate>
      </b:Author>
    </b:Author>
    <b:Title>Consumer access to basic payment accounts</b:Title>
    <b:InternetSiteTitle>europa.eu</b:InternetSiteTitle>
    <b:Year>2011</b:Year>
    <b:Month>July</b:Month>
    <b:Day>18</b:Day>
    <b:URL>http://eur-lex.europa.eu/legal-content/EN/TXT/HTML/?uri=URISERV:em0050&amp;from=EN</b:URL>
    <b:RefOrder>111</b:RefOrder>
  </b:Source>
  <b:Source>
    <b:Tag>BBC03</b:Tag>
    <b:SourceType>DocumentFromInternetSite</b:SourceType>
    <b:Guid>{3DF99433-15F0-40D9-8F3D-18F27731ACE9}</b:Guid>
    <b:Author>
      <b:Author>
        <b:Corporate>BBC</b:Corporate>
      </b:Author>
    </b:Author>
    <b:Title>Universal banking launched</b:Title>
    <b:InternetSiteTitle>bbc.co.uk</b:InternetSiteTitle>
    <b:Year>2003</b:Year>
    <b:Month>April</b:Month>
    <b:Day>1</b:Day>
    <b:URL>http://news.bbc.co.uk/2/hi/business/2905565.stm</b:URL>
    <b:RefOrder>112</b:RefOrder>
  </b:Source>
  <b:Source>
    <b:Tag>Jay12</b:Tag>
    <b:SourceType>Case</b:SourceType>
    <b:Guid>{66A53A78-EC18-446A-95C8-1560AA0C7BD2}</b:Guid>
    <b:Title>Jayesh Shah Shaleetha Mahabeer and HSBC Private Bank (UK) Limited</b:Title>
    <b:Year>2012</b:Year>
    <b:Month>May</b:Month>
    <b:Day>16</b:Day>
    <b:CaseNumber>HQ07X03152</b:CaseNumber>
    <b:Court>IN THE HIGH COURT OF JUSTICE QUEEN's BENCH DIVISION</b:Court>
    <b:RefOrder>113</b:RefOrder>
  </b:Source>
  <b:Source>
    <b:Tag>KHU14</b:Tag>
    <b:SourceType>Case</b:SourceType>
    <b:Guid>{37DBB6CE-8781-4AB9-939B-B97B0B32B37B}</b:Guid>
    <b:Title>KHUDHIR V. JP MORGAN CHASE BANK</b:Title>
    <b:CaseNumber>12-cv-15469</b:CaseNumber>
    <b:Court>UNITED STATES DISTRICT COURT EASTERN DISTRICT OF MICHIGAN SOUTHERN DIVISION</b:Court>
    <b:Year>2014</b:Year>
    <b:Month>January</b:Month>
    <b:Day>27</b:Day>
    <b:RefOrder>87</b:RefOrder>
  </b:Source>
  <b:Source>
    <b:Tag>Ban12</b:Tag>
    <b:SourceType>DocumentFromInternetSite</b:SourceType>
    <b:Guid>{E9F32B21-9432-483D-8370-F945EA6FA6E8}</b:Guid>
    <b:Title>Closure of accounts</b:Title>
    <b:Year>2012</b:Year>
    <b:Month>December</b:Month>
    <b:Day>10</b:Day>
    <b:Author>
      <b:Author>
        <b:Corporate>Banking Ombudsman Scheme</b:Corporate>
      </b:Author>
    </b:Author>
    <b:InternetSiteTitle>bankomb.org.nz</b:InternetSiteTitle>
    <b:URL>https://bankomb.org.nz/news-and-publications/quick-guides/item/closure-of-accounts</b:URL>
    <b:RefOrder>114</b:RefOrder>
  </b:Source>
  <b:Source>
    <b:Tag>Aio12</b:Tag>
    <b:SourceType>BookSection</b:SourceType>
    <b:Guid>{75C3E21B-8DD9-4BAF-82FB-D1454A2DD9D4}</b:Guid>
    <b:Title>The Wolfsberg Group</b:Title>
    <b:Year>2012</b:Year>
    <b:BookTitle>Collective Action: Innovative Strategies to Prevent Corruption</b:BookTitle>
    <b:City>Zurich</b:City>
    <b:Publisher>St. Gallen</b:Publisher>
    <b:Author>
      <b:Author>
        <b:NameList>
          <b:Person>
            <b:Last>Aiolfi</b:Last>
            <b:First>Gemma</b:First>
          </b:Person>
          <b:Person>
            <b:Last>Bauer</b:Last>
            <b:First>Hans-Peter</b:First>
          </b:Person>
        </b:NameList>
      </b:Author>
      <b:BookAuthor>
        <b:NameList>
          <b:Person>
            <b:Last>Peith</b:Last>
            <b:First>Mark</b:First>
          </b:Person>
        </b:NameList>
      </b:BookAuthor>
    </b:Author>
    <b:RefOrder>115</b:RefOrder>
  </b:Source>
  <b:Source>
    <b:Tag>Joi14</b:Tag>
    <b:SourceType>DocumentFromInternetSite</b:SourceType>
    <b:Guid>{BA6FD91F-A1D5-4D8E-8350-362B798DD34F}</b:Guid>
    <b:Author>
      <b:Author>
        <b:Corporate>Joint Money Laundering Steering Group</b:Corporate>
      </b:Author>
    </b:Author>
    <b:Title>Further amendments to JMLSG Guidance</b:Title>
    <b:Year>2014</b:Year>
    <b:InternetSiteTitle>jmlsg.org.uk</b:InternetSiteTitle>
    <b:Month>November</b:Month>
    <b:Day>21</b:Day>
    <b:URL>http://www.jmlsg.org.uk/industry-guidance/article/jmlsg-guidance-current</b:URL>
    <b:RefOrder>116</b:RefOrder>
  </b:Source>
  <b:Source>
    <b:Tag>USG15</b:Tag>
    <b:SourceType>DocumentFromInternetSite</b:SourceType>
    <b:Guid>{9D40F347-ADA6-4EA1-AC7D-76F269D4E771}</b:Guid>
    <b:Author>
      <b:Author>
        <b:Corporate>US Government</b:Corporate>
      </b:Author>
    </b:Author>
    <b:Title>H.R.766 - Financial Institution Customer Protection Act of 2015</b:Title>
    <b:InternetSiteTitle>congress.gov</b:InternetSiteTitle>
    <b:Year>2015</b:Year>
    <b:URL>https://www.congress.gov/bill/114th-congress/house-bill/766/text</b:URL>
    <b:RefOrder>117</b:RefOrder>
  </b:Source>
  <b:Source>
    <b:Tag>Arn14</b:Tag>
    <b:SourceType>InternetSite</b:SourceType>
    <b:Guid>{0570C10B-4F05-4E04-BE05-470F3C60B448}</b:Guid>
    <b:Author>
      <b:Author>
        <b:NameList>
          <b:Person>
            <b:Last>Arnold</b:Last>
            <b:First>Martin</b:First>
          </b:Person>
        </b:NameList>
      </b:Author>
    </b:Author>
    <b:Title>Regulation:Banks count the risks and rewards</b:Title>
    <b:InternetSiteTitle>Financial Times</b:InternetSiteTitle>
    <b:Year>2014</b:Year>
    <b:Month>November</b:Month>
    <b:Day>13</b:Day>
    <b:YearAccessed>2015</b:YearAccessed>
    <b:MonthAccessed>August</b:MonthAccessed>
    <b:DayAccessed>23</b:DayAccessed>
    <b:URL>http://www.ft.com/cms/s/0/9df378a2-66bb-11e4-91ab-00144feabdc0.html#axzz3juzDzlbG</b:URL>
    <b:RefOrder>45</b:RefOrder>
  </b:Source>
  <b:Source>
    <b:Tag>FCA151</b:Tag>
    <b:SourceType>InternetSite</b:SourceType>
    <b:Guid>{036BFD0D-77DA-49BD-BC76-C8A5BB5361A7}</b:Guid>
    <b:Author>
      <b:Author>
        <b:Corporate>FCA</b:Corporate>
      </b:Author>
    </b:Author>
    <b:Title>Derisking: Bank's managagment of money-laundering risk - FCA Expectations</b:Title>
    <b:InternetSiteTitle>FCA </b:InternetSiteTitle>
    <b:Year>2015</b:Year>
    <b:Month>April</b:Month>
    <b:Day>27</b:Day>
    <b:YearAccessed>2015</b:YearAccessed>
    <b:MonthAccessed>May</b:MonthAccessed>
    <b:DayAccessed>4</b:DayAccessed>
    <b:URL>https://www.fca.org.uk/about/what/enforcing/money-laundering/derisking</b:URL>
    <b:RefOrder>71</b:RefOrder>
  </b:Source>
  <b:Source>
    <b:Tag>Fia14</b:Tag>
    <b:SourceType>Report</b:SourceType>
    <b:Guid>{E14DACE9-8EAD-4A09-8F17-9CC862AD643C}</b:Guid>
    <b:Title>De-risking: Global Impact and Unintended Consequences for Exclusion and Stability</b:Title>
    <b:Year>2014</b:Year>
    <b:Author>
      <b:Author>
        <b:Corporate>Fiancial Action Taskforce Plenary</b:Corporate>
      </b:Author>
    </b:Author>
    <b:Publisher>FATF </b:Publisher>
    <b:City>Paris</b:City>
    <b:RefOrder>73</b:RefOrder>
  </b:Source>
  <b:Source>
    <b:Tag>The4a</b:Tag>
    <b:SourceType>Report</b:SourceType>
    <b:Guid>{19069226-DFCB-49B2-94DF-18E8AD39919A}</b:Guid>
    <b:Author>
      <b:Author>
        <b:Corporate>World Bank</b:Corporate>
      </b:Author>
    </b:Author>
    <b:Title>Measuring Fiancial Inclusion Around the World</b:Title>
    <b:Year>2014</b:Year>
    <b:Publisher>World Bank Policy Working Paper</b:Publisher>
    <b:City>Washington</b:City>
    <b:RefOrder>79</b:RefOrder>
  </b:Source>
  <b:Source>
    <b:Tag>Kem12</b:Tag>
    <b:SourceType>Report</b:SourceType>
    <b:Guid>{36956FDB-2327-4BAD-A063-7924D2B56BA9}</b:Guid>
    <b:Author>
      <b:Author>
        <b:NameList>
          <b:Person>
            <b:Last>Kempson</b:Last>
            <b:First>Elaine</b:First>
          </b:Person>
          <b:Person>
            <b:Last>Collard </b:Last>
            <b:First>Sharon</b:First>
          </b:Person>
        </b:NameList>
      </b:Author>
    </b:Author>
    <b:Title>Developing a vision for financial inclusion</b:Title>
    <b:Year>2012</b:Year>
    <b:Publisher>Friends Provident Foundation</b:Publisher>
    <b:City>Dorking</b:City>
    <b:RefOrder>82</b:RefOrder>
  </b:Source>
  <b:Source>
    <b:Tag>ELH14</b:Tag>
    <b:SourceType>Case</b:SourceType>
    <b:Guid>{2645C0A4-49CA-4F2E-91F8-B20E9B49243D}</b:Guid>
    <b:Title>EL-HALLANI v HUNTINGTON NATIONAL BANK</b:Title>
    <b:Year>2014</b:Year>
    <b:CaseNumber>0:14-cv-01827</b:CaseNumber>
    <b:Court>Court of Appeals</b:Court>
    <b:Month>06</b:Month>
    <b:Day>30</b:Day>
    <b:RefOrder>88</b:RefOrder>
  </b:Source>
  <b:Source>
    <b:Tag>Jon15</b:Tag>
    <b:SourceType>InternetSite</b:SourceType>
    <b:Guid>{DB5D1890-6736-46ED-8F3A-709893FD4281}</b:Guid>
    <b:Title>UK banks wrongly shunning customers in dash to cut risk, watchdog says</b:Title>
    <b:Year>2015</b:Year>
    <b:Month>Feb</b:Month>
    <b:Day>10</b:Day>
    <b:Author>
      <b:Author>
        <b:NameList>
          <b:Person>
            <b:Last>Jones</b:Last>
            <b:First>Huw</b:First>
          </b:Person>
        </b:NameList>
      </b:Author>
    </b:Author>
    <b:InternetSiteTitle>Reuters</b:InternetSiteTitle>
    <b:YearAccessed>2015</b:YearAccessed>
    <b:MonthAccessed>June</b:MonthAccessed>
    <b:DayAccessed>15</b:DayAccessed>
    <b:URL>http://uk.reuters.com/article/2015/02/10/uk-banks-regulator-britain-idUKKBN0LE1T920150210</b:URL>
    <b:RefOrder>90</b:RefOrder>
  </b:Source>
  <b:Source>
    <b:Tag>Cir15</b:Tag>
    <b:SourceType>InternetSite</b:SourceType>
    <b:Guid>{231253CD-EE51-429F-B92A-DCEB0893300B}</b:Guid>
    <b:Author>
      <b:Author>
        <b:NameList>
          <b:Person>
            <b:Last>Cirasino</b:Last>
            <b:First>Massimo</b:First>
          </b:Person>
        </b:NameList>
      </b:Author>
    </b:Author>
    <b:Title>World Bank Launches Survey to access the impact of de-risking on remittances</b:Title>
    <b:InternetSiteTitle>The World Bank</b:InternetSiteTitle>
    <b:Year>2015</b:Year>
    <b:Month>June </b:Month>
    <b:Day>06</b:Day>
    <b:YearAccessed>2015</b:YearAccessed>
    <b:MonthAccessed>August</b:MonthAccessed>
    <b:DayAccessed>10</b:DayAccessed>
    <b:URL>http://blogs.worldbank.org/psd/world-bank-launches-survey-assess-impact-de-risking-remittances</b:URL>
    <b:RefOrder>91</b:RefOrder>
  </b:Source>
  <b:Source>
    <b:Tag>Placeholder1</b:Tag>
    <b:SourceType>Report</b:SourceType>
    <b:Guid>{FAEDA4DE-09A2-41EB-A43D-AB47875E4B4C}</b:Guid>
    <b:Author>
      <b:Author>
        <b:Corporate>Global Center on Cooperative Security</b:Corporate>
      </b:Author>
    </b:Author>
    <b:Title>Understanding Bank Derisking and its Effects on Financial Inclusion</b:Title>
    <b:Year>2015</b:Year>
    <b:Publisher>January</b:Publisher>
    <b:City>London</b:City>
    <b:RefOrder>92</b:RefOrder>
  </b:Source>
  <b:Source>
    <b:Tag>Tha14</b:Tag>
    <b:SourceType>InternetSite</b:SourceType>
    <b:Guid>{2194B352-5871-473D-BC84-E11EFA31B8E1}</b:Guid>
    <b:Title>US banks suddenly close dozens of accouts, Muslim group suspect racial profiling</b:Title>
    <b:Year>2014</b:Year>
    <b:Author>
      <b:Author>
        <b:NameList>
          <b:Person>
            <b:Last>Thayer</b:Last>
            <b:First>Eric</b:First>
          </b:Person>
        </b:NameList>
      </b:Author>
    </b:Author>
    <b:InternetSiteTitle>Reuters</b:InternetSiteTitle>
    <b:Month>Sept</b:Month>
    <b:Day>9</b:Day>
    <b:YearAccessed>2015</b:YearAccessed>
    <b:MonthAccessed>July</b:MonthAccessed>
    <b:DayAccessed>13</b:DayAccessed>
    <b:URL>http://www.rt.com/usa/186156-us-banks-close-muslim-accounts/</b:URL>
    <b:RefOrder>35</b:RefOrder>
  </b:Source>
  <b:Source>
    <b:Tag>Mov14</b:Tag>
    <b:SourceType>InternetSite</b:SourceType>
    <b:Guid>{4754D55D-70F7-4D93-9650-851BF0BA6DAF}</b:Guid>
    <b:Title>Moving with Caution</b:Title>
    <b:InternetSiteTitle>Swift</b:InternetSiteTitle>
    <b:Year>2014</b:Year>
    <b:Month>Jan</b:Month>
    <b:Day>29</b:Day>
    <b:YearAccessed>2015</b:YearAccessed>
    <b:MonthAccessed>July</b:MonthAccessed>
    <b:DayAccessed>17</b:DayAccessed>
    <b:URL>http://www.swift.com/about_swift/shownews?param_dcr=news.data/en/swift_com/2014/dialogue_moving_with_caution.xml</b:URL>
    <b:Author>
      <b:Author>
        <b:Corporate>Swift</b:Corporate>
      </b:Author>
    </b:Author>
    <b:RefOrder>42</b:RefOrder>
  </b:Source>
  <b:Source>
    <b:Tag>Fin14a</b:Tag>
    <b:SourceType>InternetSite</b:SourceType>
    <b:Guid>{9524C49E-E63F-4AFD-894F-9FDB5FCA7BF9}</b:Guid>
    <b:Author>
      <b:Author>
        <b:Corporate>FinCEN</b:Corporate>
      </b:Author>
    </b:Author>
    <b:Title>Statement on Providing Banking Services to Money Services Businesses</b:Title>
    <b:InternetSiteTitle>FinCEN</b:InternetSiteTitle>
    <b:Year>2014</b:Year>
    <b:Month>Nov </b:Month>
    <b:Day>10</b:Day>
    <b:YearAccessed>2015</b:YearAccessed>
    <b:MonthAccessed>July</b:MonthAccessed>
    <b:DayAccessed>6</b:DayAccessed>
    <b:URL>http://www.fincen.gov/news_room/nr/html/20141110.html</b:URL>
    <b:RefOrder>50</b:RefOrder>
  </b:Source>
  <b:Source>
    <b:Tag>Fin13a</b:Tag>
    <b:SourceType>Report</b:SourceType>
    <b:Guid>{20D80BDB-1353-4936-BCDD-5C6D440105A0}</b:Guid>
    <b:Author>
      <b:Author>
        <b:Corporate>Financial Conduct Authority</b:Corporate>
      </b:Author>
    </b:Author>
    <b:Title>Anti-Money Laundering and Anti-Bribery and Corruption Systems and Controls</b:Title>
    <b:Year>2013</b:Year>
    <b:Publisher>FCA</b:Publisher>
    <b:City>London</b:City>
    <b:RefOrder>56</b:RefOrder>
  </b:Source>
  <b:Source>
    <b:Tag>RSB13</b:Tag>
    <b:SourceType>InternetSite</b:SourceType>
    <b:Guid>{22DEAA85-D82F-42D9-B8CC-F7AC7170090F}</b:Guid>
    <b:Title>RSB backtracks on Iranian account closures</b:Title>
    <b:Year>2013</b:Year>
    <b:InternetSiteTitle>Financial Times</b:InternetSiteTitle>
    <b:Month>Dec</b:Month>
    <b:Day>13</b:Day>
    <b:YearAccessed>2015</b:YearAccessed>
    <b:MonthAccessed>June</b:MonthAccessed>
    <b:DayAccessed>12</b:DayAccessed>
    <b:URL>http://www.ft.com/cms/s/0/99b0115a-698d-11e3-aba3-00144feabdc0.html?siteedition=uk</b:URL>
    <b:Author>
      <b:Author>
        <b:NameList>
          <b:Person>
            <b:Last>Moore</b:Last>
            <b:First>Elaine</b:First>
          </b:Person>
        </b:NameList>
      </b:Author>
    </b:Author>
    <b:RefOrder>61</b:RefOrder>
  </b:Source>
  <b:Source>
    <b:Tag>Fin3</b:Tag>
    <b:SourceType>InternetSite</b:SourceType>
    <b:Guid>{BA239BE8-5576-48CA-B257-B0912788ED6F}</b:Guid>
    <b:InternetSiteTitle>Financial Times</b:InternetSiteTitle>
    <b:YearAccessed>3</b:YearAccessed>
    <b:MonthAccessed>August</b:MonthAccessed>
    <b:DayAccessed>2015</b:DayAccessed>
    <b:URL>http://www.ft.com/cms/s/0/99b0115a-698d-11e3-aba3-00144feabdc0.html#axzz3iJCK6Npt</b:URL>
    <b:RefOrder>118</b:RefOrder>
  </b:Source>
  <b:Source>
    <b:Tag>G2014</b:Tag>
    <b:SourceType>Report</b:SourceType>
    <b:Guid>{8203A040-2409-4B8C-AC67-F205131ECFEB}</b:Guid>
    <b:Title>G20 Plan to Facilitate Remittance Flows</b:Title>
    <b:Year>2014</b:Year>
    <b:Author>
      <b:Author>
        <b:Corporate>G20</b:Corporate>
      </b:Author>
    </b:Author>
    <b:Publisher>G20 Org</b:Publisher>
    <b:City>Brisbane</b:City>
    <b:RefOrder>68</b:RefOrder>
  </b:Source>
  <b:Source>
    <b:Tag>Fre14</b:Tag>
    <b:SourceType>Case</b:SourceType>
    <b:Guid>{A3842DFD-3A2F-4EFF-99F1-48330034B8C6}</b:Guid>
    <b:Title>Freeman et al V. HSBC Holdings PLC</b:Title>
    <b:Year>2014</b:Year>
    <b:CaseNumber>1:14-cv-06601</b:CaseNumber>
    <b:Court>New York Eastern</b:Court>
    <b:Month>November</b:Month>
    <b:Day>10</b:Day>
    <b:RefOrder>24</b:RefOrder>
  </b:Source>
  <b:Source>
    <b:Tag>Ber14</b:Tag>
    <b:SourceType>InternetSite</b:SourceType>
    <b:Guid>{E08CA109-CC24-4234-B1C9-F2373A0A5ADA}</b:Guid>
    <b:Title>CIBC closes Concordia student's bank account because he's Iranian</b:Title>
    <b:Year>2014</b:Year>
    <b:Month>December</b:Month>
    <b:Day>14</b:Day>
    <b:Author>
      <b:Author>
        <b:NameList>
          <b:Person>
            <b:Last>Bernstien</b:Last>
            <b:First>Jaela</b:First>
          </b:Person>
        </b:NameList>
      </b:Author>
    </b:Author>
    <b:InternetSiteTitle>CBC News</b:InternetSiteTitle>
    <b:YearAccessed>2015</b:YearAccessed>
    <b:MonthAccessed>June</b:MonthAccessed>
    <b:DayAccessed>12</b:DayAccessed>
    <b:URL>http://www.cbc.ca/news/canada/montreal/cibc-closes-concordia-student-s-bank-account-because-he-s-iranian-1.2865248</b:URL>
    <b:RefOrder>63</b:RefOrder>
  </b:Source>
  <b:Source>
    <b:Tag>Toy08</b:Tag>
    <b:SourceType>Report</b:SourceType>
    <b:Guid>{47D9C34F-F74C-484C-B693-3FAA2B01D7AF}</b:Guid>
    <b:Author>
      <b:Author>
        <b:Corporate>Toynbee Hall</b:Corporate>
      </b:Author>
    </b:Author>
    <b:Title>From Access to Inclusion: An evaluation of the role of Basic Bank Account in promoting financial inclusion</b:Title>
    <b:Year>2008</b:Year>
    <b:Publisher>Calouste Gulbenkian Foundation</b:Publisher>
    <b:City>London</b:City>
    <b:RefOrder>83</b:RefOrder>
  </b:Source>
  <b:Source>
    <b:Tag>Eur08</b:Tag>
    <b:SourceType>Report</b:SourceType>
    <b:Guid>{6717899C-AB70-4D3A-8AEE-48CDEADCB274}</b:Guid>
    <b:Author>
      <b:Author>
        <b:Corporate>European Commission</b:Corporate>
      </b:Author>
    </b:Author>
    <b:Title>Financial Services Provision and Prevention of Financial Exclusion</b:Title>
    <b:Year>2008</b:Year>
    <b:Publisher>European Comission</b:Publisher>
    <b:City>Brussels</b:City>
    <b:RefOrder>75</b:RefOrder>
  </b:Source>
  <b:Source>
    <b:Tag>FXT09</b:Tag>
    <b:SourceType>ArticleInAPeriodical</b:SourceType>
    <b:Guid>{527FAFD3-F74F-4E7F-BCBC-35647FD237F0}</b:Guid>
    <b:Title>FX Trader Magazine</b:Title>
    <b:PeriodicalTitle>Broker Survival Guide: The Impact of New US Regulations and the Private Traders Choice</b:PeriodicalTitle>
    <b:Year>2009</b:Year>
    <b:Month>July - September</b:Month>
    <b:Pages>18</b:Pages>
    <b:RefOrder>1</b:RefOrder>
  </b:Source>
</b:Sources>
</file>

<file path=customXml/itemProps1.xml><?xml version="1.0" encoding="utf-8"?>
<ds:datastoreItem xmlns:ds="http://schemas.openxmlformats.org/officeDocument/2006/customXml" ds:itemID="{DC045A6D-4540-45F8-97EA-111F69CD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18247</Words>
  <Characters>104011</Characters>
  <Application>Microsoft Office Word</Application>
  <DocSecurity>4</DocSecurity>
  <Lines>866</Lines>
  <Paragraphs>244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122014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2015-09-01T14:14:00Z</dcterms:created>
  <dcterms:modified xsi:type="dcterms:W3CDTF">2015-09-01T14:14:00Z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gFAA5ajW4yTOEjt0x0WvHd1ut56/6f6xYrPOU++HQDwvzNaohXVs20P8ywoLP3mRvvscFv42ywR30kjj
WgcxP4mF0KH30rYvW09aMB+9878IavBbqPi5rw5R+LvoENOaDm8TAokXFqCm8a36dsiG5fV0uKQY
KO/bWwVi4ChyYFOZNMusFEC7QK79//+WsG7efM6qWwRWRTqG7YYqaV5fLarYCL2oepxpW8VVjQdB
nSvkyBYYQVVyJHD1J</vt:lpwstr>
  </property>
  <property fmtid="{D5CDD505-2E9C-101B-9397-08002B2CF9AE}" pid="3" name="MAIL_MSG_ID2">
    <vt:lpwstr>4Hvr7s2hefH+/1I/pZc14EqppPaRAW2DBtFrp6qMo649S6fQKTEQWJP1JG2
kMcnCfrCB340aYcC63Da+dGGyqHuxrRnHCjn6A==</vt:lpwstr>
  </property>
  <property fmtid="{D5CDD505-2E9C-101B-9397-08002B2CF9AE}" pid="4" name="RESPONSE_SENDER_NAME">
    <vt:lpwstr>sAAAE34RQVAK31k9tC/hqxcE1zqZyyVz3sxQUB9q8uSDQ/Y=</vt:lpwstr>
  </property>
  <property fmtid="{D5CDD505-2E9C-101B-9397-08002B2CF9AE}" pid="5" name="EMAIL_OWNER_ADDRESS">
    <vt:lpwstr>ABAAv4tRYjpfjUuBzeSg/UXY1lD9lAFtvJEBrgqG38dwtIFRJC3yjbgruNF5JVfzqr0J</vt:lpwstr>
  </property>
</Properties>
</file>