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7A443" w14:textId="336D1678" w:rsidR="005B37C0" w:rsidRPr="00455EB3" w:rsidRDefault="002575EA" w:rsidP="00AB4266">
      <w:pPr>
        <w:pStyle w:val="Title"/>
        <w:jc w:val="both"/>
        <w:rPr>
          <w:rFonts w:ascii="Times New Roman" w:hAnsi="Times New Roman" w:cs="Times New Roman"/>
          <w:sz w:val="36"/>
          <w:szCs w:val="44"/>
        </w:rPr>
      </w:pPr>
      <w:r w:rsidRPr="00455EB3">
        <w:rPr>
          <w:rFonts w:ascii="Times New Roman" w:hAnsi="Times New Roman" w:cs="Times New Roman"/>
          <w:sz w:val="36"/>
          <w:szCs w:val="44"/>
        </w:rPr>
        <w:t xml:space="preserve">The Challenges of Implementing </w:t>
      </w:r>
      <w:r w:rsidR="00B95CAC" w:rsidRPr="00455EB3">
        <w:rPr>
          <w:rFonts w:ascii="Times New Roman" w:hAnsi="Times New Roman" w:cs="Times New Roman"/>
          <w:sz w:val="36"/>
          <w:szCs w:val="44"/>
        </w:rPr>
        <w:t xml:space="preserve">Anti-Money Laundering </w:t>
      </w:r>
      <w:r w:rsidRPr="00455EB3">
        <w:rPr>
          <w:rFonts w:ascii="Times New Roman" w:hAnsi="Times New Roman" w:cs="Times New Roman"/>
          <w:sz w:val="36"/>
          <w:szCs w:val="44"/>
        </w:rPr>
        <w:t>Regulation</w:t>
      </w:r>
      <w:r w:rsidR="00361549" w:rsidRPr="00455EB3">
        <w:rPr>
          <w:rFonts w:ascii="Times New Roman" w:hAnsi="Times New Roman" w:cs="Times New Roman"/>
          <w:sz w:val="36"/>
          <w:szCs w:val="44"/>
        </w:rPr>
        <w:t>:</w:t>
      </w:r>
      <w:r w:rsidRPr="00455EB3">
        <w:rPr>
          <w:rFonts w:ascii="Times New Roman" w:hAnsi="Times New Roman" w:cs="Times New Roman"/>
          <w:sz w:val="36"/>
          <w:szCs w:val="44"/>
        </w:rPr>
        <w:t xml:space="preserve"> An Empirical Analysis</w:t>
      </w:r>
    </w:p>
    <w:p w14:paraId="5F958404" w14:textId="0EE9B48E" w:rsidR="005B37C0" w:rsidRDefault="00AB4266" w:rsidP="00AB4266">
      <w:r>
        <w:t>Dr Ilaria Zavoli and Dr Colin King</w:t>
      </w:r>
      <w:r>
        <w:rPr>
          <w:rStyle w:val="FootnoteReference"/>
        </w:rPr>
        <w:footnoteReference w:id="2"/>
      </w:r>
    </w:p>
    <w:p w14:paraId="36C05732" w14:textId="630319F1" w:rsidR="000971B2" w:rsidRDefault="000971B2" w:rsidP="00AB4266">
      <w:r>
        <w:t xml:space="preserve">Modern Law Review, DOI: </w:t>
      </w:r>
      <w:hyperlink r:id="rId11" w:history="1">
        <w:r w:rsidRPr="000971B2">
          <w:t>10.1111/1468-2230.12628</w:t>
        </w:r>
      </w:hyperlink>
    </w:p>
    <w:p w14:paraId="7D7DA99A" w14:textId="01D09C65" w:rsidR="000971B2" w:rsidRDefault="000971B2" w:rsidP="00AB4266">
      <w:r>
        <w:t>Link:</w:t>
      </w:r>
      <w:hyperlink r:id="rId12" w:history="1">
        <w:r>
          <w:rPr>
            <w:rStyle w:val="Hyperlink"/>
          </w:rPr>
          <w:t>https://onlinelibrary.wiley.com/share/author/JZCV4KEI2XGDUMK6IVI3?target=10.1111/1468-2230.12628</w:t>
        </w:r>
      </w:hyperlink>
    </w:p>
    <w:p w14:paraId="57F971FC" w14:textId="4F1E6FC4" w:rsidR="00AB4266" w:rsidRDefault="00AB4266" w:rsidP="00AB4266"/>
    <w:p w14:paraId="3F7AA187" w14:textId="77777777" w:rsidR="00680BC9" w:rsidRPr="00680BC9" w:rsidRDefault="00680BC9" w:rsidP="00680BC9">
      <w:pPr>
        <w:shd w:val="clear" w:color="auto" w:fill="FFFFFF"/>
        <w:spacing w:line="0" w:lineRule="auto"/>
        <w:rPr>
          <w:rFonts w:ascii="ff3" w:eastAsia="Times New Roman" w:hAnsi="ff3" w:cs="Times New Roman"/>
          <w:color w:val="000000"/>
          <w:sz w:val="54"/>
          <w:szCs w:val="54"/>
          <w:lang w:eastAsia="en-GB"/>
        </w:rPr>
      </w:pPr>
      <w:r w:rsidRPr="00680BC9">
        <w:rPr>
          <w:rFonts w:ascii="ff3" w:eastAsia="Times New Roman" w:hAnsi="ff3" w:cs="Times New Roman"/>
          <w:color w:val="000000"/>
          <w:sz w:val="54"/>
          <w:szCs w:val="54"/>
          <w:lang w:eastAsia="en-GB"/>
        </w:rPr>
        <w:t>We thank Liz David-</w:t>
      </w:r>
      <w:proofErr w:type="spellStart"/>
      <w:proofErr w:type="gramStart"/>
      <w:r w:rsidRPr="00680BC9">
        <w:rPr>
          <w:rFonts w:ascii="ff3" w:eastAsia="Times New Roman" w:hAnsi="ff3" w:cs="Times New Roman"/>
          <w:color w:val="000000"/>
          <w:sz w:val="54"/>
          <w:szCs w:val="54"/>
          <w:lang w:eastAsia="en-GB"/>
        </w:rPr>
        <w:t>Barrett,Saskia</w:t>
      </w:r>
      <w:proofErr w:type="spellEnd"/>
      <w:proofErr w:type="gramEnd"/>
      <w:r w:rsidRPr="00680BC9">
        <w:rPr>
          <w:rFonts w:ascii="ff3" w:eastAsia="Times New Roman" w:hAnsi="ff3" w:cs="Times New Roman"/>
          <w:color w:val="000000"/>
          <w:sz w:val="54"/>
          <w:szCs w:val="54"/>
          <w:lang w:eastAsia="en-GB"/>
        </w:rPr>
        <w:t xml:space="preserve"> </w:t>
      </w:r>
      <w:proofErr w:type="spellStart"/>
      <w:r w:rsidRPr="00680BC9">
        <w:rPr>
          <w:rFonts w:ascii="ff3" w:eastAsia="Times New Roman" w:hAnsi="ff3" w:cs="Times New Roman"/>
          <w:color w:val="000000"/>
          <w:sz w:val="54"/>
          <w:szCs w:val="54"/>
          <w:lang w:eastAsia="en-GB"/>
        </w:rPr>
        <w:t>Hufnagel,Amir</w:t>
      </w:r>
      <w:proofErr w:type="spellEnd"/>
      <w:r w:rsidRPr="00680BC9">
        <w:rPr>
          <w:rFonts w:ascii="ff3" w:eastAsia="Times New Roman" w:hAnsi="ff3" w:cs="Times New Roman"/>
          <w:color w:val="000000"/>
          <w:sz w:val="54"/>
          <w:szCs w:val="54"/>
          <w:lang w:eastAsia="en-GB"/>
        </w:rPr>
        <w:t xml:space="preserve"> Paz-</w:t>
      </w:r>
      <w:proofErr w:type="spellStart"/>
      <w:r w:rsidRPr="00680BC9">
        <w:rPr>
          <w:rFonts w:ascii="ff3" w:eastAsia="Times New Roman" w:hAnsi="ff3" w:cs="Times New Roman"/>
          <w:color w:val="000000"/>
          <w:sz w:val="54"/>
          <w:szCs w:val="54"/>
          <w:lang w:eastAsia="en-GB"/>
        </w:rPr>
        <w:t>Fuchs,Clive</w:t>
      </w:r>
      <w:proofErr w:type="spellEnd"/>
      <w:r w:rsidRPr="00680BC9">
        <w:rPr>
          <w:rFonts w:ascii="ff3" w:eastAsia="Times New Roman" w:hAnsi="ff3" w:cs="Times New Roman"/>
          <w:color w:val="000000"/>
          <w:sz w:val="54"/>
          <w:szCs w:val="54"/>
          <w:lang w:eastAsia="en-GB"/>
        </w:rPr>
        <w:t xml:space="preserve"> Walker, Peter </w:t>
      </w:r>
      <w:proofErr w:type="spellStart"/>
      <w:r w:rsidRPr="00680BC9">
        <w:rPr>
          <w:rFonts w:ascii="ff3" w:eastAsia="Times New Roman" w:hAnsi="ff3" w:cs="Times New Roman"/>
          <w:color w:val="000000"/>
          <w:sz w:val="54"/>
          <w:szCs w:val="54"/>
          <w:lang w:eastAsia="en-GB"/>
        </w:rPr>
        <w:t>Whe</w:t>
      </w:r>
      <w:proofErr w:type="spellEnd"/>
      <w:r w:rsidRPr="00680BC9">
        <w:rPr>
          <w:rFonts w:ascii="ff3" w:eastAsia="Times New Roman" w:hAnsi="ff3" w:cs="Times New Roman"/>
          <w:color w:val="000000"/>
          <w:sz w:val="54"/>
          <w:szCs w:val="54"/>
          <w:lang w:eastAsia="en-GB"/>
        </w:rPr>
        <w:t>-</w:t>
      </w:r>
    </w:p>
    <w:p w14:paraId="5E937F4C" w14:textId="77777777" w:rsidR="00680BC9" w:rsidRPr="00680BC9" w:rsidRDefault="00680BC9" w:rsidP="00680BC9">
      <w:pPr>
        <w:shd w:val="clear" w:color="auto" w:fill="FFFFFF"/>
        <w:spacing w:line="0" w:lineRule="auto"/>
        <w:rPr>
          <w:rFonts w:ascii="ff3" w:eastAsia="Times New Roman" w:hAnsi="ff3" w:cs="Times New Roman"/>
          <w:color w:val="000000"/>
          <w:sz w:val="54"/>
          <w:szCs w:val="54"/>
          <w:lang w:eastAsia="en-GB"/>
        </w:rPr>
      </w:pPr>
      <w:proofErr w:type="spellStart"/>
      <w:r w:rsidRPr="00680BC9">
        <w:rPr>
          <w:rFonts w:ascii="ff3" w:eastAsia="Times New Roman" w:hAnsi="ff3" w:cs="Times New Roman"/>
          <w:color w:val="000000"/>
          <w:sz w:val="54"/>
          <w:szCs w:val="54"/>
          <w:lang w:eastAsia="en-GB"/>
        </w:rPr>
        <w:t>lan</w:t>
      </w:r>
      <w:proofErr w:type="spellEnd"/>
      <w:r w:rsidRPr="00680BC9">
        <w:rPr>
          <w:rFonts w:ascii="ff3" w:eastAsia="Times New Roman" w:hAnsi="ff3" w:cs="Times New Roman"/>
          <w:color w:val="000000"/>
          <w:sz w:val="54"/>
          <w:szCs w:val="54"/>
          <w:lang w:eastAsia="en-GB"/>
        </w:rPr>
        <w:t xml:space="preserve"> and the reviewers for their helpful comments on an earlier draft. This research was supported by</w:t>
      </w:r>
    </w:p>
    <w:p w14:paraId="5B877CD8" w14:textId="77777777" w:rsidR="00680BC9" w:rsidRPr="00680BC9" w:rsidRDefault="00680BC9" w:rsidP="00680BC9">
      <w:pPr>
        <w:shd w:val="clear" w:color="auto" w:fill="FFFFFF"/>
        <w:spacing w:line="0" w:lineRule="auto"/>
        <w:rPr>
          <w:rFonts w:ascii="ff3" w:eastAsia="Times New Roman" w:hAnsi="ff3" w:cs="Times New Roman"/>
          <w:color w:val="000000"/>
          <w:sz w:val="54"/>
          <w:szCs w:val="54"/>
          <w:lang w:eastAsia="en-GB"/>
        </w:rPr>
      </w:pPr>
      <w:r w:rsidRPr="00680BC9">
        <w:rPr>
          <w:rFonts w:ascii="ff3" w:eastAsia="Times New Roman" w:hAnsi="ff3" w:cs="Times New Roman"/>
          <w:color w:val="000000"/>
          <w:sz w:val="54"/>
          <w:szCs w:val="54"/>
          <w:lang w:eastAsia="en-GB"/>
        </w:rPr>
        <w:t>a British Academy ‘Tackling the UK’s International Challenges’ grant (ref: IC160112).</w:t>
      </w:r>
    </w:p>
    <w:p w14:paraId="09997954" w14:textId="77777777" w:rsidR="00680BC9" w:rsidRPr="00680BC9" w:rsidRDefault="00680BC9" w:rsidP="00680BC9">
      <w:pPr>
        <w:shd w:val="clear" w:color="auto" w:fill="FFFFFF"/>
        <w:spacing w:line="0" w:lineRule="auto"/>
        <w:rPr>
          <w:rFonts w:ascii="ff3" w:eastAsia="Times New Roman" w:hAnsi="ff3" w:cs="Times New Roman"/>
          <w:color w:val="000000"/>
          <w:sz w:val="54"/>
          <w:szCs w:val="54"/>
          <w:lang w:eastAsia="en-GB"/>
        </w:rPr>
      </w:pPr>
      <w:r w:rsidRPr="00680BC9">
        <w:rPr>
          <w:rFonts w:ascii="ff3" w:eastAsia="Times New Roman" w:hAnsi="ff3" w:cs="Times New Roman"/>
          <w:color w:val="000000"/>
          <w:sz w:val="54"/>
          <w:szCs w:val="54"/>
          <w:lang w:eastAsia="en-GB"/>
        </w:rPr>
        <w:t>We thank Liz David-</w:t>
      </w:r>
      <w:proofErr w:type="spellStart"/>
      <w:proofErr w:type="gramStart"/>
      <w:r w:rsidRPr="00680BC9">
        <w:rPr>
          <w:rFonts w:ascii="ff3" w:eastAsia="Times New Roman" w:hAnsi="ff3" w:cs="Times New Roman"/>
          <w:color w:val="000000"/>
          <w:sz w:val="54"/>
          <w:szCs w:val="54"/>
          <w:lang w:eastAsia="en-GB"/>
        </w:rPr>
        <w:t>Barrett,Saskia</w:t>
      </w:r>
      <w:proofErr w:type="spellEnd"/>
      <w:proofErr w:type="gramEnd"/>
      <w:r w:rsidRPr="00680BC9">
        <w:rPr>
          <w:rFonts w:ascii="ff3" w:eastAsia="Times New Roman" w:hAnsi="ff3" w:cs="Times New Roman"/>
          <w:color w:val="000000"/>
          <w:sz w:val="54"/>
          <w:szCs w:val="54"/>
          <w:lang w:eastAsia="en-GB"/>
        </w:rPr>
        <w:t xml:space="preserve"> </w:t>
      </w:r>
      <w:proofErr w:type="spellStart"/>
      <w:r w:rsidRPr="00680BC9">
        <w:rPr>
          <w:rFonts w:ascii="ff3" w:eastAsia="Times New Roman" w:hAnsi="ff3" w:cs="Times New Roman"/>
          <w:color w:val="000000"/>
          <w:sz w:val="54"/>
          <w:szCs w:val="54"/>
          <w:lang w:eastAsia="en-GB"/>
        </w:rPr>
        <w:t>Hufnagel,Amir</w:t>
      </w:r>
      <w:proofErr w:type="spellEnd"/>
      <w:r w:rsidRPr="00680BC9">
        <w:rPr>
          <w:rFonts w:ascii="ff3" w:eastAsia="Times New Roman" w:hAnsi="ff3" w:cs="Times New Roman"/>
          <w:color w:val="000000"/>
          <w:sz w:val="54"/>
          <w:szCs w:val="54"/>
          <w:lang w:eastAsia="en-GB"/>
        </w:rPr>
        <w:t xml:space="preserve"> Paz-</w:t>
      </w:r>
      <w:proofErr w:type="spellStart"/>
      <w:r w:rsidRPr="00680BC9">
        <w:rPr>
          <w:rFonts w:ascii="ff3" w:eastAsia="Times New Roman" w:hAnsi="ff3" w:cs="Times New Roman"/>
          <w:color w:val="000000"/>
          <w:sz w:val="54"/>
          <w:szCs w:val="54"/>
          <w:lang w:eastAsia="en-GB"/>
        </w:rPr>
        <w:t>Fuchs,Clive</w:t>
      </w:r>
      <w:proofErr w:type="spellEnd"/>
      <w:r w:rsidRPr="00680BC9">
        <w:rPr>
          <w:rFonts w:ascii="ff3" w:eastAsia="Times New Roman" w:hAnsi="ff3" w:cs="Times New Roman"/>
          <w:color w:val="000000"/>
          <w:sz w:val="54"/>
          <w:szCs w:val="54"/>
          <w:lang w:eastAsia="en-GB"/>
        </w:rPr>
        <w:t xml:space="preserve"> Walker, Peter </w:t>
      </w:r>
      <w:proofErr w:type="spellStart"/>
      <w:r w:rsidRPr="00680BC9">
        <w:rPr>
          <w:rFonts w:ascii="ff3" w:eastAsia="Times New Roman" w:hAnsi="ff3" w:cs="Times New Roman"/>
          <w:color w:val="000000"/>
          <w:sz w:val="54"/>
          <w:szCs w:val="54"/>
          <w:lang w:eastAsia="en-GB"/>
        </w:rPr>
        <w:t>Whe</w:t>
      </w:r>
      <w:proofErr w:type="spellEnd"/>
      <w:r w:rsidRPr="00680BC9">
        <w:rPr>
          <w:rFonts w:ascii="ff3" w:eastAsia="Times New Roman" w:hAnsi="ff3" w:cs="Times New Roman"/>
          <w:color w:val="000000"/>
          <w:sz w:val="54"/>
          <w:szCs w:val="54"/>
          <w:lang w:eastAsia="en-GB"/>
        </w:rPr>
        <w:t>-</w:t>
      </w:r>
    </w:p>
    <w:p w14:paraId="5FD03E2A" w14:textId="77777777" w:rsidR="00680BC9" w:rsidRPr="00680BC9" w:rsidRDefault="00680BC9" w:rsidP="00680BC9">
      <w:pPr>
        <w:shd w:val="clear" w:color="auto" w:fill="FFFFFF"/>
        <w:spacing w:line="0" w:lineRule="auto"/>
        <w:rPr>
          <w:rFonts w:ascii="ff3" w:eastAsia="Times New Roman" w:hAnsi="ff3" w:cs="Times New Roman"/>
          <w:color w:val="000000"/>
          <w:sz w:val="54"/>
          <w:szCs w:val="54"/>
          <w:lang w:eastAsia="en-GB"/>
        </w:rPr>
      </w:pPr>
      <w:proofErr w:type="spellStart"/>
      <w:r w:rsidRPr="00680BC9">
        <w:rPr>
          <w:rFonts w:ascii="ff3" w:eastAsia="Times New Roman" w:hAnsi="ff3" w:cs="Times New Roman"/>
          <w:color w:val="000000"/>
          <w:sz w:val="54"/>
          <w:szCs w:val="54"/>
          <w:lang w:eastAsia="en-GB"/>
        </w:rPr>
        <w:t>lan</w:t>
      </w:r>
      <w:proofErr w:type="spellEnd"/>
      <w:r w:rsidRPr="00680BC9">
        <w:rPr>
          <w:rFonts w:ascii="ff3" w:eastAsia="Times New Roman" w:hAnsi="ff3" w:cs="Times New Roman"/>
          <w:color w:val="000000"/>
          <w:sz w:val="54"/>
          <w:szCs w:val="54"/>
          <w:lang w:eastAsia="en-GB"/>
        </w:rPr>
        <w:t xml:space="preserve"> and the reviewers for their helpful comments on an earlier draft. This research was supported by</w:t>
      </w:r>
    </w:p>
    <w:p w14:paraId="52EDC95E" w14:textId="77777777" w:rsidR="00680BC9" w:rsidRPr="00680BC9" w:rsidRDefault="00680BC9" w:rsidP="00680BC9">
      <w:pPr>
        <w:shd w:val="clear" w:color="auto" w:fill="FFFFFF"/>
        <w:spacing w:line="0" w:lineRule="auto"/>
        <w:rPr>
          <w:rFonts w:ascii="ff3" w:eastAsia="Times New Roman" w:hAnsi="ff3" w:cs="Times New Roman"/>
          <w:color w:val="000000"/>
          <w:sz w:val="54"/>
          <w:szCs w:val="54"/>
          <w:lang w:eastAsia="en-GB"/>
        </w:rPr>
      </w:pPr>
      <w:r w:rsidRPr="00680BC9">
        <w:rPr>
          <w:rFonts w:ascii="ff3" w:eastAsia="Times New Roman" w:hAnsi="ff3" w:cs="Times New Roman"/>
          <w:color w:val="000000"/>
          <w:sz w:val="54"/>
          <w:szCs w:val="54"/>
          <w:lang w:eastAsia="en-GB"/>
        </w:rPr>
        <w:t>a British Academy ‘Tackling the UK’s International Challenges’ grant (ref: IC160112).</w:t>
      </w:r>
    </w:p>
    <w:p w14:paraId="41ADB73B" w14:textId="77777777" w:rsidR="00680BC9" w:rsidRPr="00680BC9" w:rsidRDefault="00680BC9" w:rsidP="00680BC9">
      <w:pPr>
        <w:shd w:val="clear" w:color="auto" w:fill="FFFFFF"/>
        <w:spacing w:line="0" w:lineRule="auto"/>
        <w:rPr>
          <w:rFonts w:ascii="ff3" w:eastAsia="Times New Roman" w:hAnsi="ff3" w:cs="Times New Roman"/>
          <w:color w:val="000000"/>
          <w:sz w:val="54"/>
          <w:szCs w:val="54"/>
          <w:lang w:eastAsia="en-GB"/>
        </w:rPr>
      </w:pPr>
      <w:r w:rsidRPr="00680BC9">
        <w:rPr>
          <w:rFonts w:ascii="ff3" w:eastAsia="Times New Roman" w:hAnsi="ff3" w:cs="Times New Roman"/>
          <w:color w:val="000000"/>
          <w:sz w:val="54"/>
          <w:szCs w:val="54"/>
          <w:lang w:eastAsia="en-GB"/>
        </w:rPr>
        <w:t>We thank Liz David-</w:t>
      </w:r>
      <w:proofErr w:type="spellStart"/>
      <w:proofErr w:type="gramStart"/>
      <w:r w:rsidRPr="00680BC9">
        <w:rPr>
          <w:rFonts w:ascii="ff3" w:eastAsia="Times New Roman" w:hAnsi="ff3" w:cs="Times New Roman"/>
          <w:color w:val="000000"/>
          <w:sz w:val="54"/>
          <w:szCs w:val="54"/>
          <w:lang w:eastAsia="en-GB"/>
        </w:rPr>
        <w:t>Barrett,Saskia</w:t>
      </w:r>
      <w:proofErr w:type="spellEnd"/>
      <w:proofErr w:type="gramEnd"/>
      <w:r w:rsidRPr="00680BC9">
        <w:rPr>
          <w:rFonts w:ascii="ff3" w:eastAsia="Times New Roman" w:hAnsi="ff3" w:cs="Times New Roman"/>
          <w:color w:val="000000"/>
          <w:sz w:val="54"/>
          <w:szCs w:val="54"/>
          <w:lang w:eastAsia="en-GB"/>
        </w:rPr>
        <w:t xml:space="preserve"> </w:t>
      </w:r>
      <w:proofErr w:type="spellStart"/>
      <w:r w:rsidRPr="00680BC9">
        <w:rPr>
          <w:rFonts w:ascii="ff3" w:eastAsia="Times New Roman" w:hAnsi="ff3" w:cs="Times New Roman"/>
          <w:color w:val="000000"/>
          <w:sz w:val="54"/>
          <w:szCs w:val="54"/>
          <w:lang w:eastAsia="en-GB"/>
        </w:rPr>
        <w:t>Hufnagel,Amir</w:t>
      </w:r>
      <w:proofErr w:type="spellEnd"/>
      <w:r w:rsidRPr="00680BC9">
        <w:rPr>
          <w:rFonts w:ascii="ff3" w:eastAsia="Times New Roman" w:hAnsi="ff3" w:cs="Times New Roman"/>
          <w:color w:val="000000"/>
          <w:sz w:val="54"/>
          <w:szCs w:val="54"/>
          <w:lang w:eastAsia="en-GB"/>
        </w:rPr>
        <w:t xml:space="preserve"> Paz-</w:t>
      </w:r>
      <w:proofErr w:type="spellStart"/>
      <w:r w:rsidRPr="00680BC9">
        <w:rPr>
          <w:rFonts w:ascii="ff3" w:eastAsia="Times New Roman" w:hAnsi="ff3" w:cs="Times New Roman"/>
          <w:color w:val="000000"/>
          <w:sz w:val="54"/>
          <w:szCs w:val="54"/>
          <w:lang w:eastAsia="en-GB"/>
        </w:rPr>
        <w:t>Fuchs,Clive</w:t>
      </w:r>
      <w:proofErr w:type="spellEnd"/>
      <w:r w:rsidRPr="00680BC9">
        <w:rPr>
          <w:rFonts w:ascii="ff3" w:eastAsia="Times New Roman" w:hAnsi="ff3" w:cs="Times New Roman"/>
          <w:color w:val="000000"/>
          <w:sz w:val="54"/>
          <w:szCs w:val="54"/>
          <w:lang w:eastAsia="en-GB"/>
        </w:rPr>
        <w:t xml:space="preserve"> Walker, Peter </w:t>
      </w:r>
      <w:proofErr w:type="spellStart"/>
      <w:r w:rsidRPr="00680BC9">
        <w:rPr>
          <w:rFonts w:ascii="ff3" w:eastAsia="Times New Roman" w:hAnsi="ff3" w:cs="Times New Roman"/>
          <w:color w:val="000000"/>
          <w:sz w:val="54"/>
          <w:szCs w:val="54"/>
          <w:lang w:eastAsia="en-GB"/>
        </w:rPr>
        <w:t>Whe</w:t>
      </w:r>
      <w:proofErr w:type="spellEnd"/>
      <w:r w:rsidRPr="00680BC9">
        <w:rPr>
          <w:rFonts w:ascii="ff3" w:eastAsia="Times New Roman" w:hAnsi="ff3" w:cs="Times New Roman"/>
          <w:color w:val="000000"/>
          <w:sz w:val="54"/>
          <w:szCs w:val="54"/>
          <w:lang w:eastAsia="en-GB"/>
        </w:rPr>
        <w:t>-</w:t>
      </w:r>
    </w:p>
    <w:p w14:paraId="405B23A8" w14:textId="77777777" w:rsidR="00680BC9" w:rsidRPr="00680BC9" w:rsidRDefault="00680BC9" w:rsidP="00680BC9">
      <w:pPr>
        <w:shd w:val="clear" w:color="auto" w:fill="FFFFFF"/>
        <w:spacing w:line="0" w:lineRule="auto"/>
        <w:rPr>
          <w:rFonts w:ascii="ff3" w:eastAsia="Times New Roman" w:hAnsi="ff3" w:cs="Times New Roman"/>
          <w:color w:val="000000"/>
          <w:sz w:val="54"/>
          <w:szCs w:val="54"/>
          <w:lang w:eastAsia="en-GB"/>
        </w:rPr>
      </w:pPr>
      <w:proofErr w:type="spellStart"/>
      <w:r w:rsidRPr="00680BC9">
        <w:rPr>
          <w:rFonts w:ascii="ff3" w:eastAsia="Times New Roman" w:hAnsi="ff3" w:cs="Times New Roman"/>
          <w:color w:val="000000"/>
          <w:sz w:val="54"/>
          <w:szCs w:val="54"/>
          <w:lang w:eastAsia="en-GB"/>
        </w:rPr>
        <w:t>lan</w:t>
      </w:r>
      <w:proofErr w:type="spellEnd"/>
      <w:r w:rsidRPr="00680BC9">
        <w:rPr>
          <w:rFonts w:ascii="ff3" w:eastAsia="Times New Roman" w:hAnsi="ff3" w:cs="Times New Roman"/>
          <w:color w:val="000000"/>
          <w:sz w:val="54"/>
          <w:szCs w:val="54"/>
          <w:lang w:eastAsia="en-GB"/>
        </w:rPr>
        <w:t xml:space="preserve"> and the reviewers for their helpful comments on an earlier draft. This research was supported by</w:t>
      </w:r>
    </w:p>
    <w:p w14:paraId="0373B9FA" w14:textId="77777777" w:rsidR="00680BC9" w:rsidRPr="00680BC9" w:rsidRDefault="00680BC9" w:rsidP="00680BC9">
      <w:pPr>
        <w:shd w:val="clear" w:color="auto" w:fill="FFFFFF"/>
        <w:spacing w:line="0" w:lineRule="auto"/>
        <w:rPr>
          <w:rFonts w:ascii="ff3" w:eastAsia="Times New Roman" w:hAnsi="ff3" w:cs="Times New Roman"/>
          <w:color w:val="000000"/>
          <w:sz w:val="54"/>
          <w:szCs w:val="54"/>
          <w:lang w:eastAsia="en-GB"/>
        </w:rPr>
      </w:pPr>
      <w:r w:rsidRPr="00680BC9">
        <w:rPr>
          <w:rFonts w:ascii="ff3" w:eastAsia="Times New Roman" w:hAnsi="ff3" w:cs="Times New Roman"/>
          <w:color w:val="000000"/>
          <w:sz w:val="54"/>
          <w:szCs w:val="54"/>
          <w:lang w:eastAsia="en-GB"/>
        </w:rPr>
        <w:t>a British Academy ‘Tackling the UK’s International Challenges’ grant (ref: IC160112).</w:t>
      </w:r>
    </w:p>
    <w:p w14:paraId="5D12F9A4" w14:textId="368E4ACC" w:rsidR="00680BC9" w:rsidRPr="00680BC9" w:rsidRDefault="00680BC9" w:rsidP="00680BC9">
      <w:pPr>
        <w:jc w:val="both"/>
        <w:rPr>
          <w:i/>
        </w:rPr>
      </w:pPr>
      <w:r w:rsidRPr="00680BC9">
        <w:rPr>
          <w:i/>
        </w:rPr>
        <w:t>We thank Liz David-Barrett,</w:t>
      </w:r>
      <w:r>
        <w:rPr>
          <w:i/>
        </w:rPr>
        <w:t xml:space="preserve"> </w:t>
      </w:r>
      <w:r w:rsidRPr="00680BC9">
        <w:rPr>
          <w:i/>
        </w:rPr>
        <w:t>Saskia Hufnagel,</w:t>
      </w:r>
      <w:r>
        <w:rPr>
          <w:i/>
        </w:rPr>
        <w:t xml:space="preserve"> </w:t>
      </w:r>
      <w:r w:rsidRPr="00680BC9">
        <w:rPr>
          <w:i/>
        </w:rPr>
        <w:t>Amir Paz-Fuchs,</w:t>
      </w:r>
      <w:r>
        <w:rPr>
          <w:i/>
        </w:rPr>
        <w:t xml:space="preserve"> </w:t>
      </w:r>
      <w:bookmarkStart w:id="0" w:name="_GoBack"/>
      <w:bookmarkEnd w:id="0"/>
      <w:r w:rsidRPr="00680BC9">
        <w:rPr>
          <w:i/>
        </w:rPr>
        <w:t>Clive Walker, Peter Whelan and the reviewers for their helpful comments on an earlier draft. This research was supported by a British Academy ‘Tackling the UK’s International Challenges’ grant (ref: IC160112).</w:t>
      </w:r>
    </w:p>
    <w:p w14:paraId="5DB29362" w14:textId="26CD06FF" w:rsidR="00680BC9" w:rsidRDefault="00680BC9" w:rsidP="00AB4266"/>
    <w:p w14:paraId="229229CC" w14:textId="77777777" w:rsidR="00680BC9" w:rsidRPr="00455EB3" w:rsidRDefault="00680BC9" w:rsidP="00AB4266"/>
    <w:p w14:paraId="4E15FC7B" w14:textId="3C83EA54" w:rsidR="00087EAB" w:rsidRPr="00455EB3" w:rsidRDefault="00087EAB" w:rsidP="00AB4266">
      <w:pPr>
        <w:jc w:val="both"/>
        <w:rPr>
          <w:rFonts w:ascii="Times New Roman" w:hAnsi="Times New Roman" w:cs="Times New Roman"/>
          <w:i/>
          <w:iCs/>
        </w:rPr>
      </w:pPr>
      <w:r w:rsidRPr="00455EB3">
        <w:rPr>
          <w:rFonts w:ascii="Times New Roman" w:hAnsi="Times New Roman" w:cs="Times New Roman"/>
          <w:i/>
          <w:iCs/>
        </w:rPr>
        <w:t>Abstract</w:t>
      </w:r>
    </w:p>
    <w:p w14:paraId="2BC164B8" w14:textId="4B94165A" w:rsidR="00087EAB" w:rsidRPr="00455EB3" w:rsidRDefault="00087EAB" w:rsidP="00AB4266">
      <w:pPr>
        <w:jc w:val="both"/>
        <w:rPr>
          <w:rFonts w:ascii="Times New Roman" w:hAnsi="Times New Roman" w:cs="Times New Roman"/>
        </w:rPr>
      </w:pPr>
    </w:p>
    <w:p w14:paraId="5488B664" w14:textId="14931546" w:rsidR="008655DE" w:rsidRPr="00455EB3" w:rsidRDefault="00D2783B" w:rsidP="00AB4266">
      <w:pPr>
        <w:jc w:val="both"/>
        <w:rPr>
          <w:rFonts w:ascii="Times New Roman" w:hAnsi="Times New Roman" w:cs="Times New Roman"/>
        </w:rPr>
      </w:pPr>
      <w:r w:rsidRPr="00455EB3">
        <w:rPr>
          <w:rFonts w:ascii="Times New Roman" w:hAnsi="Times New Roman" w:cs="Times New Roman"/>
        </w:rPr>
        <w:t>For over three decades, money laundering has been an area of concern for policymakers and law enforcement, with significant efforts undertaken at national and international levels to combat it.  Recently, laundering of criminal proceeds using</w:t>
      </w:r>
      <w:r w:rsidR="00D010FD">
        <w:rPr>
          <w:rFonts w:ascii="Times New Roman" w:hAnsi="Times New Roman" w:cs="Times New Roman"/>
        </w:rPr>
        <w:t xml:space="preserve"> real</w:t>
      </w:r>
      <w:r w:rsidRPr="00455EB3">
        <w:rPr>
          <w:rFonts w:ascii="Times New Roman" w:hAnsi="Times New Roman" w:cs="Times New Roman"/>
        </w:rPr>
        <w:t xml:space="preserve"> property has attracted </w:t>
      </w:r>
      <w:r w:rsidR="00BF3C2A" w:rsidRPr="00455EB3">
        <w:rPr>
          <w:rFonts w:ascii="Times New Roman" w:hAnsi="Times New Roman" w:cs="Times New Roman"/>
        </w:rPr>
        <w:t xml:space="preserve">increased </w:t>
      </w:r>
      <w:r w:rsidRPr="00455EB3">
        <w:rPr>
          <w:rFonts w:ascii="Times New Roman" w:hAnsi="Times New Roman" w:cs="Times New Roman"/>
        </w:rPr>
        <w:t xml:space="preserve">attention amongst policymakers. </w:t>
      </w:r>
      <w:r w:rsidR="00EB1FB5" w:rsidRPr="00455EB3">
        <w:rPr>
          <w:rFonts w:ascii="Times New Roman" w:hAnsi="Times New Roman" w:cs="Times New Roman"/>
        </w:rPr>
        <w:t>Various</w:t>
      </w:r>
      <w:r w:rsidR="00CD1AE7" w:rsidRPr="00455EB3">
        <w:rPr>
          <w:rFonts w:ascii="Times New Roman" w:hAnsi="Times New Roman" w:cs="Times New Roman"/>
        </w:rPr>
        <w:t xml:space="preserve"> efforts are </w:t>
      </w:r>
      <w:r w:rsidRPr="00455EB3">
        <w:rPr>
          <w:rFonts w:ascii="Times New Roman" w:hAnsi="Times New Roman" w:cs="Times New Roman"/>
        </w:rPr>
        <w:t xml:space="preserve">now </w:t>
      </w:r>
      <w:r w:rsidR="00CD1AE7" w:rsidRPr="00455EB3">
        <w:rPr>
          <w:rFonts w:ascii="Times New Roman" w:hAnsi="Times New Roman" w:cs="Times New Roman"/>
        </w:rPr>
        <w:t>being undertaken to tackle money laundering in the UK property market,</w:t>
      </w:r>
      <w:r w:rsidR="006A5BBE" w:rsidRPr="00455EB3">
        <w:rPr>
          <w:rFonts w:ascii="Times New Roman" w:hAnsi="Times New Roman" w:cs="Times New Roman"/>
        </w:rPr>
        <w:t xml:space="preserve"> </w:t>
      </w:r>
      <w:r w:rsidR="00183BC4" w:rsidRPr="00455EB3">
        <w:rPr>
          <w:rFonts w:ascii="Times New Roman" w:hAnsi="Times New Roman" w:cs="Times New Roman"/>
        </w:rPr>
        <w:t>but there are</w:t>
      </w:r>
      <w:r w:rsidR="00BD02EE" w:rsidRPr="00455EB3">
        <w:rPr>
          <w:rFonts w:ascii="Times New Roman" w:hAnsi="Times New Roman" w:cs="Times New Roman"/>
        </w:rPr>
        <w:t xml:space="preserve"> still </w:t>
      </w:r>
      <w:r w:rsidR="00183BC4" w:rsidRPr="00455EB3">
        <w:rPr>
          <w:rFonts w:ascii="Times New Roman" w:hAnsi="Times New Roman" w:cs="Times New Roman"/>
        </w:rPr>
        <w:t xml:space="preserve">significant difficulties in its practical implementation. </w:t>
      </w:r>
      <w:r w:rsidR="008655DE" w:rsidRPr="00455EB3">
        <w:rPr>
          <w:rFonts w:ascii="Times New Roman" w:hAnsi="Times New Roman" w:cs="Times New Roman"/>
        </w:rPr>
        <w:t xml:space="preserve">Drawing upon semi-structured interviews with estate agents and compliance officials, this study identifies critical aspects of AML compliance that are particularly problematic for those involved in it. In so doing, this article delivers a new perspective, by analysing data gathered with the first empirical study on the implementation of AML obligations in practice (in the UK property market) since the introduction of the 2017 </w:t>
      </w:r>
      <w:r w:rsidR="00A04EA7" w:rsidRPr="00455EB3">
        <w:rPr>
          <w:rFonts w:ascii="Times New Roman" w:hAnsi="Times New Roman" w:cs="Times New Roman"/>
        </w:rPr>
        <w:t>Money Laundering Regulations</w:t>
      </w:r>
      <w:r w:rsidR="008655DE" w:rsidRPr="00455EB3">
        <w:rPr>
          <w:rFonts w:ascii="Times New Roman" w:hAnsi="Times New Roman" w:cs="Times New Roman"/>
        </w:rPr>
        <w:t>.</w:t>
      </w:r>
    </w:p>
    <w:p w14:paraId="57499BC1" w14:textId="3DE930AD" w:rsidR="000A78CB" w:rsidRPr="00455EB3" w:rsidRDefault="000A78CB" w:rsidP="00AB4266">
      <w:pPr>
        <w:jc w:val="both"/>
        <w:rPr>
          <w:rFonts w:ascii="Times New Roman" w:hAnsi="Times New Roman" w:cs="Times New Roman"/>
        </w:rPr>
      </w:pPr>
    </w:p>
    <w:p w14:paraId="519C3485" w14:textId="52F3654A" w:rsidR="00087EAB" w:rsidRPr="00455EB3" w:rsidRDefault="000A78CB" w:rsidP="00AB4266">
      <w:pPr>
        <w:jc w:val="both"/>
        <w:rPr>
          <w:rFonts w:ascii="Times New Roman" w:hAnsi="Times New Roman" w:cs="Times New Roman"/>
        </w:rPr>
      </w:pPr>
      <w:r w:rsidRPr="00455EB3">
        <w:rPr>
          <w:rFonts w:ascii="Times New Roman" w:hAnsi="Times New Roman" w:cs="Times New Roman"/>
          <w:i/>
          <w:iCs/>
        </w:rPr>
        <w:t>Keywords</w:t>
      </w:r>
      <w:r w:rsidRPr="00455EB3">
        <w:rPr>
          <w:rFonts w:ascii="Times New Roman" w:hAnsi="Times New Roman" w:cs="Times New Roman"/>
        </w:rPr>
        <w:t xml:space="preserve">: anti-money laundering, real estate, compliance, </w:t>
      </w:r>
      <w:r w:rsidR="00FE6D7E" w:rsidRPr="00455EB3">
        <w:rPr>
          <w:rFonts w:ascii="Times New Roman" w:hAnsi="Times New Roman" w:cs="Times New Roman"/>
        </w:rPr>
        <w:t xml:space="preserve">UK, </w:t>
      </w:r>
      <w:r w:rsidR="008E37E8" w:rsidRPr="00455EB3">
        <w:rPr>
          <w:rFonts w:ascii="Times New Roman" w:hAnsi="Times New Roman" w:cs="Times New Roman"/>
        </w:rPr>
        <w:t>regulation</w:t>
      </w:r>
      <w:r w:rsidR="00087EAB" w:rsidRPr="00455EB3">
        <w:rPr>
          <w:rFonts w:ascii="Times New Roman" w:hAnsi="Times New Roman" w:cs="Times New Roman"/>
        </w:rPr>
        <w:br w:type="page"/>
      </w:r>
    </w:p>
    <w:p w14:paraId="0919400A" w14:textId="2EB785FE" w:rsidR="00363EAE" w:rsidRPr="00455EB3" w:rsidRDefault="005B37C0" w:rsidP="00AB4266">
      <w:pPr>
        <w:pStyle w:val="Heading1"/>
        <w:jc w:val="both"/>
        <w:rPr>
          <w:rFonts w:ascii="Times New Roman" w:hAnsi="Times New Roman" w:cs="Times New Roman"/>
          <w:color w:val="auto"/>
        </w:rPr>
      </w:pPr>
      <w:r w:rsidRPr="00455EB3">
        <w:rPr>
          <w:rFonts w:ascii="Times New Roman" w:hAnsi="Times New Roman" w:cs="Times New Roman"/>
          <w:color w:val="auto"/>
        </w:rPr>
        <w:lastRenderedPageBreak/>
        <w:t>Intr</w:t>
      </w:r>
      <w:r w:rsidR="009D60B4" w:rsidRPr="00455EB3">
        <w:rPr>
          <w:rFonts w:ascii="Times New Roman" w:hAnsi="Times New Roman" w:cs="Times New Roman"/>
          <w:color w:val="auto"/>
        </w:rPr>
        <w:t>oduction</w:t>
      </w:r>
    </w:p>
    <w:p w14:paraId="5FDBCE00" w14:textId="58C350B1" w:rsidR="5E2CAE5B" w:rsidRPr="00455EB3" w:rsidRDefault="00D91BD2" w:rsidP="00AB4266">
      <w:pPr>
        <w:jc w:val="both"/>
        <w:rPr>
          <w:rFonts w:ascii="Times New Roman" w:hAnsi="Times New Roman" w:cs="Times New Roman"/>
        </w:rPr>
      </w:pPr>
      <w:r>
        <w:rPr>
          <w:rFonts w:ascii="Times New Roman" w:hAnsi="Times New Roman" w:cs="Times New Roman"/>
        </w:rPr>
        <w:t xml:space="preserve">The creation of any </w:t>
      </w:r>
      <w:r w:rsidR="00B54F30">
        <w:rPr>
          <w:rFonts w:ascii="Times New Roman" w:hAnsi="Times New Roman" w:cs="Times New Roman"/>
        </w:rPr>
        <w:t>a</w:t>
      </w:r>
      <w:r w:rsidR="00B54F30" w:rsidRPr="00455EB3">
        <w:rPr>
          <w:rFonts w:ascii="Times New Roman" w:hAnsi="Times New Roman" w:cs="Times New Roman"/>
        </w:rPr>
        <w:t xml:space="preserve">nti-money laundering </w:t>
      </w:r>
      <w:r w:rsidR="00B54F30">
        <w:rPr>
          <w:rFonts w:ascii="Times New Roman" w:hAnsi="Times New Roman" w:cs="Times New Roman"/>
        </w:rPr>
        <w:t>(</w:t>
      </w:r>
      <w:r>
        <w:rPr>
          <w:rFonts w:ascii="Times New Roman" w:hAnsi="Times New Roman" w:cs="Times New Roman"/>
        </w:rPr>
        <w:t>AML</w:t>
      </w:r>
      <w:r w:rsidR="00B54F30">
        <w:rPr>
          <w:rFonts w:ascii="Times New Roman" w:hAnsi="Times New Roman" w:cs="Times New Roman"/>
        </w:rPr>
        <w:t>)</w:t>
      </w:r>
      <w:r>
        <w:rPr>
          <w:rFonts w:ascii="Times New Roman" w:hAnsi="Times New Roman" w:cs="Times New Roman"/>
        </w:rPr>
        <w:t xml:space="preserve"> regime </w:t>
      </w:r>
      <w:r w:rsidR="00410E24">
        <w:rPr>
          <w:rFonts w:ascii="Times New Roman" w:hAnsi="Times New Roman" w:cs="Times New Roman"/>
        </w:rPr>
        <w:t xml:space="preserve">brings </w:t>
      </w:r>
      <w:r w:rsidR="00D010FD">
        <w:rPr>
          <w:rFonts w:ascii="Times New Roman" w:hAnsi="Times New Roman" w:cs="Times New Roman"/>
        </w:rPr>
        <w:t xml:space="preserve">with it </w:t>
      </w:r>
      <w:r w:rsidR="004F255E">
        <w:rPr>
          <w:rFonts w:ascii="Times New Roman" w:hAnsi="Times New Roman" w:cs="Times New Roman"/>
        </w:rPr>
        <w:t xml:space="preserve">expectations </w:t>
      </w:r>
      <w:r w:rsidR="00D010FD">
        <w:rPr>
          <w:rFonts w:ascii="Times New Roman" w:hAnsi="Times New Roman" w:cs="Times New Roman"/>
        </w:rPr>
        <w:t xml:space="preserve">as to </w:t>
      </w:r>
      <w:r w:rsidR="004F255E">
        <w:rPr>
          <w:rFonts w:ascii="Times New Roman" w:hAnsi="Times New Roman" w:cs="Times New Roman"/>
        </w:rPr>
        <w:t>its outcome</w:t>
      </w:r>
      <w:r w:rsidR="00027AB3">
        <w:rPr>
          <w:rFonts w:ascii="Times New Roman" w:hAnsi="Times New Roman" w:cs="Times New Roman"/>
        </w:rPr>
        <w:t>s</w:t>
      </w:r>
      <w:r w:rsidR="00BD5179">
        <w:rPr>
          <w:rStyle w:val="FootnoteReference"/>
          <w:rFonts w:ascii="Times New Roman" w:hAnsi="Times New Roman" w:cs="Times New Roman"/>
        </w:rPr>
        <w:footnoteReference w:id="3"/>
      </w:r>
      <w:r w:rsidR="004F255E">
        <w:rPr>
          <w:rFonts w:ascii="Times New Roman" w:hAnsi="Times New Roman" w:cs="Times New Roman"/>
        </w:rPr>
        <w:t xml:space="preserve"> and specific issues </w:t>
      </w:r>
      <w:r w:rsidR="00D806E2">
        <w:rPr>
          <w:rFonts w:ascii="Times New Roman" w:hAnsi="Times New Roman" w:cs="Times New Roman"/>
        </w:rPr>
        <w:t xml:space="preserve">with </w:t>
      </w:r>
      <w:r w:rsidR="004F255E">
        <w:rPr>
          <w:rFonts w:ascii="Times New Roman" w:hAnsi="Times New Roman" w:cs="Times New Roman"/>
        </w:rPr>
        <w:t>its implementation in practice</w:t>
      </w:r>
      <w:r w:rsidR="00BD5179">
        <w:rPr>
          <w:rFonts w:ascii="Times New Roman" w:hAnsi="Times New Roman" w:cs="Times New Roman"/>
        </w:rPr>
        <w:t xml:space="preserve">, </w:t>
      </w:r>
      <w:r w:rsidR="001059ED">
        <w:rPr>
          <w:rFonts w:ascii="Times New Roman" w:hAnsi="Times New Roman" w:cs="Times New Roman"/>
        </w:rPr>
        <w:t>including the</w:t>
      </w:r>
      <w:r w:rsidR="00BD5179">
        <w:rPr>
          <w:rFonts w:ascii="Times New Roman" w:hAnsi="Times New Roman" w:cs="Times New Roman"/>
        </w:rPr>
        <w:t xml:space="preserve"> need to have a robust</w:t>
      </w:r>
      <w:r w:rsidR="00673309">
        <w:rPr>
          <w:rFonts w:ascii="Times New Roman" w:hAnsi="Times New Roman" w:cs="Times New Roman"/>
        </w:rPr>
        <w:t xml:space="preserve"> </w:t>
      </w:r>
      <w:r w:rsidR="005567D2">
        <w:rPr>
          <w:rFonts w:ascii="Times New Roman" w:hAnsi="Times New Roman" w:cs="Times New Roman"/>
        </w:rPr>
        <w:t>set of rules and obligations that can</w:t>
      </w:r>
      <w:r w:rsidR="009B0768">
        <w:rPr>
          <w:rFonts w:ascii="Times New Roman" w:hAnsi="Times New Roman" w:cs="Times New Roman"/>
        </w:rPr>
        <w:t xml:space="preserve"> </w:t>
      </w:r>
      <w:r w:rsidR="00673309">
        <w:rPr>
          <w:rFonts w:ascii="Times New Roman" w:hAnsi="Times New Roman" w:cs="Times New Roman"/>
        </w:rPr>
        <w:t xml:space="preserve">be relied upon by </w:t>
      </w:r>
      <w:r w:rsidR="009325EB">
        <w:rPr>
          <w:rFonts w:ascii="Times New Roman" w:hAnsi="Times New Roman" w:cs="Times New Roman"/>
        </w:rPr>
        <w:t>public and private actors.</w:t>
      </w:r>
      <w:r w:rsidR="009325EB">
        <w:rPr>
          <w:rStyle w:val="FootnoteReference"/>
          <w:rFonts w:ascii="Times New Roman" w:hAnsi="Times New Roman" w:cs="Times New Roman"/>
        </w:rPr>
        <w:footnoteReference w:id="4"/>
      </w:r>
      <w:r w:rsidR="009325EB">
        <w:rPr>
          <w:rFonts w:ascii="Times New Roman" w:hAnsi="Times New Roman" w:cs="Times New Roman"/>
        </w:rPr>
        <w:t xml:space="preserve"> </w:t>
      </w:r>
      <w:r w:rsidR="00C80FE5">
        <w:rPr>
          <w:rFonts w:ascii="Times New Roman" w:hAnsi="Times New Roman" w:cs="Times New Roman"/>
        </w:rPr>
        <w:t>In this context, the devel</w:t>
      </w:r>
      <w:r w:rsidR="008659FC">
        <w:rPr>
          <w:rFonts w:ascii="Times New Roman" w:hAnsi="Times New Roman" w:cs="Times New Roman"/>
        </w:rPr>
        <w:t xml:space="preserve">opment of AML in </w:t>
      </w:r>
      <w:r w:rsidR="00505C41">
        <w:rPr>
          <w:rFonts w:ascii="Times New Roman" w:hAnsi="Times New Roman" w:cs="Times New Roman"/>
        </w:rPr>
        <w:t>the UK has seen a varied approach where</w:t>
      </w:r>
      <w:r w:rsidR="002B1D09">
        <w:rPr>
          <w:rFonts w:ascii="Times New Roman" w:hAnsi="Times New Roman" w:cs="Times New Roman"/>
        </w:rPr>
        <w:t>,</w:t>
      </w:r>
      <w:r w:rsidR="00505C41">
        <w:rPr>
          <w:rFonts w:ascii="Times New Roman" w:hAnsi="Times New Roman" w:cs="Times New Roman"/>
        </w:rPr>
        <w:t xml:space="preserve"> although the regulation and provisions are the same</w:t>
      </w:r>
      <w:r w:rsidR="00807F36">
        <w:rPr>
          <w:rFonts w:ascii="Times New Roman" w:hAnsi="Times New Roman" w:cs="Times New Roman"/>
        </w:rPr>
        <w:t xml:space="preserve"> for all </w:t>
      </w:r>
      <w:r w:rsidR="001059ED">
        <w:rPr>
          <w:rFonts w:ascii="Times New Roman" w:hAnsi="Times New Roman" w:cs="Times New Roman"/>
        </w:rPr>
        <w:t xml:space="preserve">regulated </w:t>
      </w:r>
      <w:r w:rsidR="00807F36">
        <w:rPr>
          <w:rFonts w:ascii="Times New Roman" w:hAnsi="Times New Roman" w:cs="Times New Roman"/>
        </w:rPr>
        <w:t xml:space="preserve">sectors (e.g. financial, real estate, </w:t>
      </w:r>
      <w:r w:rsidR="002B1D09">
        <w:rPr>
          <w:rFonts w:ascii="Times New Roman" w:hAnsi="Times New Roman" w:cs="Times New Roman"/>
        </w:rPr>
        <w:t>luxury goods)</w:t>
      </w:r>
      <w:r w:rsidR="00505C41">
        <w:rPr>
          <w:rFonts w:ascii="Times New Roman" w:hAnsi="Times New Roman" w:cs="Times New Roman"/>
        </w:rPr>
        <w:t>, the</w:t>
      </w:r>
      <w:r w:rsidR="00807F36">
        <w:rPr>
          <w:rFonts w:ascii="Times New Roman" w:hAnsi="Times New Roman" w:cs="Times New Roman"/>
        </w:rPr>
        <w:t xml:space="preserve">re </w:t>
      </w:r>
      <w:r w:rsidR="001A5595">
        <w:rPr>
          <w:rFonts w:ascii="Times New Roman" w:hAnsi="Times New Roman" w:cs="Times New Roman"/>
        </w:rPr>
        <w:t xml:space="preserve">are different levels of engagement with </w:t>
      </w:r>
      <w:r w:rsidR="000E7A74">
        <w:rPr>
          <w:rFonts w:ascii="Times New Roman" w:hAnsi="Times New Roman" w:cs="Times New Roman"/>
        </w:rPr>
        <w:t xml:space="preserve">AML </w:t>
      </w:r>
      <w:r w:rsidR="001A5595">
        <w:rPr>
          <w:rFonts w:ascii="Times New Roman" w:hAnsi="Times New Roman" w:cs="Times New Roman"/>
        </w:rPr>
        <w:t xml:space="preserve">rules </w:t>
      </w:r>
      <w:r w:rsidR="00A97151">
        <w:rPr>
          <w:rFonts w:ascii="Times New Roman" w:hAnsi="Times New Roman" w:cs="Times New Roman"/>
        </w:rPr>
        <w:t xml:space="preserve">and </w:t>
      </w:r>
      <w:r w:rsidR="00AC2BB8">
        <w:rPr>
          <w:rFonts w:ascii="Times New Roman" w:hAnsi="Times New Roman" w:cs="Times New Roman"/>
        </w:rPr>
        <w:t xml:space="preserve">mixed </w:t>
      </w:r>
      <w:r w:rsidR="00E37CBC">
        <w:rPr>
          <w:rFonts w:ascii="Times New Roman" w:hAnsi="Times New Roman" w:cs="Times New Roman"/>
        </w:rPr>
        <w:t>result</w:t>
      </w:r>
      <w:r w:rsidR="00D359D7">
        <w:rPr>
          <w:rFonts w:ascii="Times New Roman" w:hAnsi="Times New Roman" w:cs="Times New Roman"/>
        </w:rPr>
        <w:t>s</w:t>
      </w:r>
      <w:r w:rsidR="00E37CBC">
        <w:rPr>
          <w:rFonts w:ascii="Times New Roman" w:hAnsi="Times New Roman" w:cs="Times New Roman"/>
        </w:rPr>
        <w:t xml:space="preserve"> for their implementation. </w:t>
      </w:r>
      <w:r w:rsidR="00C1241F">
        <w:rPr>
          <w:rFonts w:ascii="Times New Roman" w:hAnsi="Times New Roman" w:cs="Times New Roman"/>
        </w:rPr>
        <w:t xml:space="preserve">Moreover, </w:t>
      </w:r>
      <w:r w:rsidR="00564C27">
        <w:rPr>
          <w:rFonts w:ascii="Times New Roman" w:hAnsi="Times New Roman" w:cs="Times New Roman"/>
        </w:rPr>
        <w:t>despite</w:t>
      </w:r>
      <w:r w:rsidR="007B6B4F">
        <w:rPr>
          <w:rFonts w:ascii="Times New Roman" w:hAnsi="Times New Roman" w:cs="Times New Roman"/>
        </w:rPr>
        <w:t xml:space="preserve"> the </w:t>
      </w:r>
      <w:r w:rsidR="00953F03">
        <w:rPr>
          <w:rFonts w:ascii="Times New Roman" w:hAnsi="Times New Roman" w:cs="Times New Roman"/>
        </w:rPr>
        <w:t>comprehensive</w:t>
      </w:r>
      <w:r w:rsidR="004C3359">
        <w:rPr>
          <w:rFonts w:ascii="Times New Roman" w:hAnsi="Times New Roman" w:cs="Times New Roman"/>
        </w:rPr>
        <w:t xml:space="preserve"> </w:t>
      </w:r>
      <w:r w:rsidR="007B6B4F">
        <w:rPr>
          <w:rFonts w:ascii="Times New Roman" w:hAnsi="Times New Roman" w:cs="Times New Roman"/>
        </w:rPr>
        <w:t xml:space="preserve">nature of the UK AML regime, which applies to all designated subjects with no </w:t>
      </w:r>
      <w:r w:rsidR="003319AD">
        <w:rPr>
          <w:rFonts w:ascii="Times New Roman" w:hAnsi="Times New Roman" w:cs="Times New Roman"/>
        </w:rPr>
        <w:t xml:space="preserve">distinction as to the regulatory burden imposed on them, </w:t>
      </w:r>
      <w:r w:rsidR="00C42F9A">
        <w:rPr>
          <w:rFonts w:ascii="Times New Roman" w:hAnsi="Times New Roman" w:cs="Times New Roman"/>
        </w:rPr>
        <w:t xml:space="preserve">some sectors </w:t>
      </w:r>
      <w:r w:rsidR="00670816">
        <w:rPr>
          <w:rFonts w:ascii="Times New Roman" w:hAnsi="Times New Roman" w:cs="Times New Roman"/>
        </w:rPr>
        <w:t>show</w:t>
      </w:r>
      <w:r w:rsidR="004D0299">
        <w:rPr>
          <w:rFonts w:ascii="Times New Roman" w:hAnsi="Times New Roman" w:cs="Times New Roman"/>
        </w:rPr>
        <w:t xml:space="preserve"> more variations</w:t>
      </w:r>
      <w:r w:rsidR="00F45ABA">
        <w:rPr>
          <w:rFonts w:ascii="Times New Roman" w:hAnsi="Times New Roman" w:cs="Times New Roman"/>
        </w:rPr>
        <w:t xml:space="preserve"> than others</w:t>
      </w:r>
      <w:r w:rsidR="004D0299">
        <w:rPr>
          <w:rFonts w:ascii="Times New Roman" w:hAnsi="Times New Roman" w:cs="Times New Roman"/>
        </w:rPr>
        <w:t xml:space="preserve"> as to their </w:t>
      </w:r>
      <w:r w:rsidR="008E5873">
        <w:rPr>
          <w:rFonts w:ascii="Times New Roman" w:hAnsi="Times New Roman" w:cs="Times New Roman"/>
        </w:rPr>
        <w:t>compliance</w:t>
      </w:r>
      <w:r w:rsidR="004D0299">
        <w:rPr>
          <w:rFonts w:ascii="Times New Roman" w:hAnsi="Times New Roman" w:cs="Times New Roman"/>
        </w:rPr>
        <w:t xml:space="preserve"> approaches and responses.</w:t>
      </w:r>
      <w:r w:rsidR="00AF25C7">
        <w:rPr>
          <w:rStyle w:val="FootnoteReference"/>
          <w:rFonts w:ascii="Times New Roman" w:hAnsi="Times New Roman" w:cs="Times New Roman"/>
        </w:rPr>
        <w:footnoteReference w:id="5"/>
      </w:r>
      <w:r w:rsidR="004D0299">
        <w:rPr>
          <w:rFonts w:ascii="Times New Roman" w:hAnsi="Times New Roman" w:cs="Times New Roman"/>
        </w:rPr>
        <w:t xml:space="preserve"> </w:t>
      </w:r>
      <w:r w:rsidR="00FF3952">
        <w:rPr>
          <w:rFonts w:ascii="Times New Roman" w:hAnsi="Times New Roman" w:cs="Times New Roman"/>
        </w:rPr>
        <w:t xml:space="preserve">This is due to the existence of multiple subjects within </w:t>
      </w:r>
      <w:r w:rsidR="00485B68">
        <w:rPr>
          <w:rFonts w:ascii="Times New Roman" w:hAnsi="Times New Roman" w:cs="Times New Roman"/>
        </w:rPr>
        <w:t>a</w:t>
      </w:r>
      <w:r w:rsidR="00FF3952">
        <w:rPr>
          <w:rFonts w:ascii="Times New Roman" w:hAnsi="Times New Roman" w:cs="Times New Roman"/>
        </w:rPr>
        <w:t xml:space="preserve"> </w:t>
      </w:r>
      <w:r w:rsidR="00D52307">
        <w:rPr>
          <w:rFonts w:ascii="Times New Roman" w:hAnsi="Times New Roman" w:cs="Times New Roman"/>
        </w:rPr>
        <w:t xml:space="preserve">single </w:t>
      </w:r>
      <w:r w:rsidR="00FF3952">
        <w:rPr>
          <w:rFonts w:ascii="Times New Roman" w:hAnsi="Times New Roman" w:cs="Times New Roman"/>
        </w:rPr>
        <w:t xml:space="preserve">sector that </w:t>
      </w:r>
      <w:r w:rsidR="00485B68">
        <w:rPr>
          <w:rFonts w:ascii="Times New Roman" w:hAnsi="Times New Roman" w:cs="Times New Roman"/>
        </w:rPr>
        <w:t xml:space="preserve">share </w:t>
      </w:r>
      <w:r w:rsidR="00AB2AAE">
        <w:rPr>
          <w:rFonts w:ascii="Times New Roman" w:hAnsi="Times New Roman" w:cs="Times New Roman"/>
        </w:rPr>
        <w:t xml:space="preserve">the </w:t>
      </w:r>
      <w:r w:rsidR="00FF3952">
        <w:rPr>
          <w:rFonts w:ascii="Times New Roman" w:hAnsi="Times New Roman" w:cs="Times New Roman"/>
        </w:rPr>
        <w:t xml:space="preserve">same AML </w:t>
      </w:r>
      <w:r w:rsidR="00AB2AAE">
        <w:rPr>
          <w:rFonts w:ascii="Times New Roman" w:hAnsi="Times New Roman" w:cs="Times New Roman"/>
        </w:rPr>
        <w:t>obligations</w:t>
      </w:r>
      <w:r w:rsidR="006C5B7E">
        <w:rPr>
          <w:rFonts w:ascii="Times New Roman" w:hAnsi="Times New Roman" w:cs="Times New Roman"/>
        </w:rPr>
        <w:t>,</w:t>
      </w:r>
      <w:r w:rsidR="00AB2AAE">
        <w:rPr>
          <w:rFonts w:ascii="Times New Roman" w:hAnsi="Times New Roman" w:cs="Times New Roman"/>
        </w:rPr>
        <w:t xml:space="preserve"> but </w:t>
      </w:r>
      <w:r w:rsidR="00DC1072">
        <w:rPr>
          <w:rFonts w:ascii="Times New Roman" w:hAnsi="Times New Roman" w:cs="Times New Roman"/>
        </w:rPr>
        <w:t xml:space="preserve">that </w:t>
      </w:r>
      <w:r w:rsidR="00AB2AAE">
        <w:rPr>
          <w:rFonts w:ascii="Times New Roman" w:hAnsi="Times New Roman" w:cs="Times New Roman"/>
        </w:rPr>
        <w:t xml:space="preserve">in fact </w:t>
      </w:r>
      <w:r w:rsidR="00DC1072">
        <w:rPr>
          <w:rFonts w:ascii="Times New Roman" w:hAnsi="Times New Roman" w:cs="Times New Roman"/>
        </w:rPr>
        <w:t>re</w:t>
      </w:r>
      <w:r w:rsidR="00670816">
        <w:rPr>
          <w:rFonts w:ascii="Times New Roman" w:hAnsi="Times New Roman" w:cs="Times New Roman"/>
        </w:rPr>
        <w:t>present very distinctiv</w:t>
      </w:r>
      <w:r w:rsidR="00893E70">
        <w:rPr>
          <w:rFonts w:ascii="Times New Roman" w:hAnsi="Times New Roman" w:cs="Times New Roman"/>
        </w:rPr>
        <w:t>e</w:t>
      </w:r>
      <w:r w:rsidR="00356C66">
        <w:rPr>
          <w:rFonts w:ascii="Times New Roman" w:hAnsi="Times New Roman" w:cs="Times New Roman"/>
        </w:rPr>
        <w:t xml:space="preserve"> </w:t>
      </w:r>
      <w:r w:rsidR="000A2A5E">
        <w:rPr>
          <w:rFonts w:ascii="Times New Roman" w:hAnsi="Times New Roman" w:cs="Times New Roman"/>
        </w:rPr>
        <w:t xml:space="preserve">positions </w:t>
      </w:r>
      <w:r w:rsidR="008A7025">
        <w:rPr>
          <w:rFonts w:ascii="Times New Roman" w:hAnsi="Times New Roman" w:cs="Times New Roman"/>
        </w:rPr>
        <w:t>and, therefore, have quite dissimilar functions</w:t>
      </w:r>
      <w:r w:rsidR="000D0DBF">
        <w:rPr>
          <w:rFonts w:ascii="Times New Roman" w:hAnsi="Times New Roman" w:cs="Times New Roman"/>
        </w:rPr>
        <w:t>.</w:t>
      </w:r>
    </w:p>
    <w:p w14:paraId="23E533BD" w14:textId="4904F602" w:rsidR="5E2CAE5B" w:rsidRPr="00455EB3" w:rsidRDefault="000D0DBF" w:rsidP="00AB4266">
      <w:pPr>
        <w:jc w:val="both"/>
        <w:rPr>
          <w:rFonts w:ascii="Times New Roman" w:hAnsi="Times New Roman" w:cs="Times New Roman"/>
        </w:rPr>
      </w:pPr>
      <w:r>
        <w:rPr>
          <w:rFonts w:ascii="Times New Roman" w:hAnsi="Times New Roman" w:cs="Times New Roman"/>
        </w:rPr>
        <w:tab/>
      </w:r>
      <w:r w:rsidR="00B0441B">
        <w:rPr>
          <w:rFonts w:ascii="Times New Roman" w:hAnsi="Times New Roman" w:cs="Times New Roman"/>
        </w:rPr>
        <w:t>The</w:t>
      </w:r>
      <w:r w:rsidR="000C7EB4">
        <w:rPr>
          <w:rFonts w:ascii="Times New Roman" w:hAnsi="Times New Roman" w:cs="Times New Roman"/>
        </w:rPr>
        <w:t xml:space="preserve">se </w:t>
      </w:r>
      <w:r w:rsidR="00B0441B">
        <w:rPr>
          <w:rFonts w:ascii="Times New Roman" w:hAnsi="Times New Roman" w:cs="Times New Roman"/>
        </w:rPr>
        <w:t xml:space="preserve">elements </w:t>
      </w:r>
      <w:r w:rsidR="000C7EB4">
        <w:rPr>
          <w:rFonts w:ascii="Times New Roman" w:hAnsi="Times New Roman" w:cs="Times New Roman"/>
        </w:rPr>
        <w:t xml:space="preserve">of difference </w:t>
      </w:r>
      <w:r w:rsidR="000E5241">
        <w:rPr>
          <w:rFonts w:ascii="Times New Roman" w:hAnsi="Times New Roman" w:cs="Times New Roman"/>
        </w:rPr>
        <w:t xml:space="preserve">(and perhaps inconsistency) </w:t>
      </w:r>
      <w:r w:rsidR="00110508">
        <w:rPr>
          <w:rFonts w:ascii="Times New Roman" w:hAnsi="Times New Roman" w:cs="Times New Roman"/>
        </w:rPr>
        <w:t xml:space="preserve">across </w:t>
      </w:r>
      <w:r w:rsidR="000C7EB4">
        <w:rPr>
          <w:rFonts w:ascii="Times New Roman" w:hAnsi="Times New Roman" w:cs="Times New Roman"/>
        </w:rPr>
        <w:t xml:space="preserve">and within sectors play an important role in </w:t>
      </w:r>
      <w:r w:rsidR="000E5241">
        <w:rPr>
          <w:rFonts w:ascii="Times New Roman" w:hAnsi="Times New Roman" w:cs="Times New Roman"/>
        </w:rPr>
        <w:t>the implementation of AML regulation</w:t>
      </w:r>
      <w:r w:rsidR="00BA27E9">
        <w:rPr>
          <w:rFonts w:ascii="Times New Roman" w:hAnsi="Times New Roman" w:cs="Times New Roman"/>
        </w:rPr>
        <w:t>,</w:t>
      </w:r>
      <w:r w:rsidR="000E5241">
        <w:rPr>
          <w:rFonts w:ascii="Times New Roman" w:hAnsi="Times New Roman" w:cs="Times New Roman"/>
        </w:rPr>
        <w:t xml:space="preserve"> and </w:t>
      </w:r>
      <w:r w:rsidR="00392DD4">
        <w:rPr>
          <w:rFonts w:ascii="Times New Roman" w:hAnsi="Times New Roman" w:cs="Times New Roman"/>
        </w:rPr>
        <w:t xml:space="preserve">they are particularly evident when considering the real estate </w:t>
      </w:r>
      <w:r w:rsidR="00102E1B">
        <w:rPr>
          <w:rFonts w:ascii="Times New Roman" w:hAnsi="Times New Roman" w:cs="Times New Roman"/>
        </w:rPr>
        <w:t>sector</w:t>
      </w:r>
      <w:r w:rsidR="00392DD4">
        <w:rPr>
          <w:rFonts w:ascii="Times New Roman" w:hAnsi="Times New Roman" w:cs="Times New Roman"/>
        </w:rPr>
        <w:t xml:space="preserve">. Indeed, </w:t>
      </w:r>
      <w:r w:rsidR="0019733B">
        <w:rPr>
          <w:rFonts w:ascii="Times New Roman" w:hAnsi="Times New Roman" w:cs="Times New Roman"/>
        </w:rPr>
        <w:t>estate agents are a</w:t>
      </w:r>
      <w:r w:rsidR="009824ED">
        <w:rPr>
          <w:rFonts w:ascii="Times New Roman" w:hAnsi="Times New Roman" w:cs="Times New Roman"/>
        </w:rPr>
        <w:t xml:space="preserve"> </w:t>
      </w:r>
      <w:r w:rsidR="0019733B">
        <w:rPr>
          <w:rFonts w:ascii="Times New Roman" w:hAnsi="Times New Roman" w:cs="Times New Roman"/>
        </w:rPr>
        <w:t>particularly ap</w:t>
      </w:r>
      <w:r w:rsidR="009824ED">
        <w:rPr>
          <w:rFonts w:ascii="Times New Roman" w:hAnsi="Times New Roman" w:cs="Times New Roman"/>
        </w:rPr>
        <w:t>t</w:t>
      </w:r>
      <w:r w:rsidR="0019733B">
        <w:rPr>
          <w:rFonts w:ascii="Times New Roman" w:hAnsi="Times New Roman" w:cs="Times New Roman"/>
        </w:rPr>
        <w:t xml:space="preserve"> case study given </w:t>
      </w:r>
      <w:r w:rsidR="00110508">
        <w:rPr>
          <w:rFonts w:ascii="Times New Roman" w:hAnsi="Times New Roman" w:cs="Times New Roman"/>
        </w:rPr>
        <w:t>the expanding</w:t>
      </w:r>
      <w:r w:rsidR="00A601EA">
        <w:rPr>
          <w:rFonts w:ascii="Times New Roman" w:hAnsi="Times New Roman" w:cs="Times New Roman"/>
        </w:rPr>
        <w:t xml:space="preserve"> AML demands imposed on </w:t>
      </w:r>
      <w:r w:rsidR="00110508">
        <w:rPr>
          <w:rFonts w:ascii="Times New Roman" w:hAnsi="Times New Roman" w:cs="Times New Roman"/>
        </w:rPr>
        <w:t xml:space="preserve">these </w:t>
      </w:r>
      <w:r w:rsidR="00795D78">
        <w:rPr>
          <w:rFonts w:ascii="Times New Roman" w:hAnsi="Times New Roman" w:cs="Times New Roman"/>
        </w:rPr>
        <w:t>actors</w:t>
      </w:r>
      <w:r w:rsidR="00D1129F">
        <w:rPr>
          <w:rFonts w:ascii="Times New Roman" w:hAnsi="Times New Roman" w:cs="Times New Roman"/>
        </w:rPr>
        <w:t>.</w:t>
      </w:r>
      <w:r w:rsidR="0019733B">
        <w:rPr>
          <w:rStyle w:val="FootnoteReference"/>
          <w:rFonts w:ascii="Times New Roman" w:hAnsi="Times New Roman" w:cs="Times New Roman"/>
        </w:rPr>
        <w:footnoteReference w:id="6"/>
      </w:r>
      <w:r w:rsidR="00D1129F">
        <w:rPr>
          <w:rFonts w:ascii="Times New Roman" w:hAnsi="Times New Roman" w:cs="Times New Roman"/>
        </w:rPr>
        <w:t xml:space="preserve"> </w:t>
      </w:r>
      <w:r w:rsidR="0019733B">
        <w:rPr>
          <w:rFonts w:ascii="Times New Roman" w:hAnsi="Times New Roman" w:cs="Times New Roman"/>
        </w:rPr>
        <w:t>Further</w:t>
      </w:r>
      <w:r w:rsidR="00D1129F">
        <w:rPr>
          <w:rFonts w:ascii="Times New Roman" w:hAnsi="Times New Roman" w:cs="Times New Roman"/>
        </w:rPr>
        <w:t xml:space="preserve">, </w:t>
      </w:r>
      <w:r w:rsidR="00795D78">
        <w:rPr>
          <w:rFonts w:ascii="Times New Roman" w:hAnsi="Times New Roman" w:cs="Times New Roman"/>
        </w:rPr>
        <w:t xml:space="preserve">compared to other sectors, </w:t>
      </w:r>
      <w:r w:rsidR="00D1129F">
        <w:rPr>
          <w:rFonts w:ascii="Times New Roman" w:hAnsi="Times New Roman" w:cs="Times New Roman"/>
        </w:rPr>
        <w:t xml:space="preserve">the real estate </w:t>
      </w:r>
      <w:r w:rsidR="00102E1B">
        <w:rPr>
          <w:rFonts w:ascii="Times New Roman" w:hAnsi="Times New Roman" w:cs="Times New Roman"/>
        </w:rPr>
        <w:t xml:space="preserve">sector </w:t>
      </w:r>
      <w:r w:rsidR="00795D78">
        <w:rPr>
          <w:rFonts w:ascii="Times New Roman" w:hAnsi="Times New Roman" w:cs="Times New Roman"/>
        </w:rPr>
        <w:t xml:space="preserve">includes many subjects who </w:t>
      </w:r>
      <w:r w:rsidR="00BA39ED">
        <w:rPr>
          <w:rFonts w:ascii="Times New Roman" w:hAnsi="Times New Roman" w:cs="Times New Roman"/>
        </w:rPr>
        <w:t>perform very different functions</w:t>
      </w:r>
      <w:r w:rsidR="0019733B">
        <w:rPr>
          <w:rFonts w:ascii="Times New Roman" w:hAnsi="Times New Roman" w:cs="Times New Roman"/>
        </w:rPr>
        <w:t xml:space="preserve"> (such as buying, selling, letting)</w:t>
      </w:r>
      <w:r w:rsidR="003077D1">
        <w:rPr>
          <w:rFonts w:ascii="Times New Roman" w:hAnsi="Times New Roman" w:cs="Times New Roman"/>
        </w:rPr>
        <w:t>.</w:t>
      </w:r>
      <w:r w:rsidR="00D1129F">
        <w:rPr>
          <w:rFonts w:ascii="Times New Roman" w:hAnsi="Times New Roman" w:cs="Times New Roman"/>
        </w:rPr>
        <w:t xml:space="preserve"> </w:t>
      </w:r>
      <w:r w:rsidR="00110508">
        <w:rPr>
          <w:rFonts w:ascii="Times New Roman" w:hAnsi="Times New Roman" w:cs="Times New Roman"/>
        </w:rPr>
        <w:t>As such,</w:t>
      </w:r>
      <w:r w:rsidR="004A310D">
        <w:rPr>
          <w:rFonts w:ascii="Times New Roman" w:hAnsi="Times New Roman" w:cs="Times New Roman"/>
        </w:rPr>
        <w:t xml:space="preserve"> the real estate </w:t>
      </w:r>
      <w:r w:rsidR="00102E1B">
        <w:rPr>
          <w:rFonts w:ascii="Times New Roman" w:hAnsi="Times New Roman" w:cs="Times New Roman"/>
        </w:rPr>
        <w:t xml:space="preserve">sector </w:t>
      </w:r>
      <w:r w:rsidR="00110508">
        <w:rPr>
          <w:rFonts w:ascii="Times New Roman" w:hAnsi="Times New Roman" w:cs="Times New Roman"/>
        </w:rPr>
        <w:t xml:space="preserve">provides important insights </w:t>
      </w:r>
      <w:r w:rsidR="00B92A70">
        <w:rPr>
          <w:rFonts w:ascii="Times New Roman" w:hAnsi="Times New Roman" w:cs="Times New Roman"/>
        </w:rPr>
        <w:t>as</w:t>
      </w:r>
      <w:r w:rsidR="006C01B1">
        <w:rPr>
          <w:rFonts w:ascii="Times New Roman" w:hAnsi="Times New Roman" w:cs="Times New Roman"/>
        </w:rPr>
        <w:t xml:space="preserve"> to the </w:t>
      </w:r>
      <w:r w:rsidR="00A20F3C">
        <w:rPr>
          <w:rFonts w:ascii="Times New Roman" w:hAnsi="Times New Roman" w:cs="Times New Roman"/>
        </w:rPr>
        <w:t>challenges of implementing AML regulation.</w:t>
      </w:r>
      <w:r w:rsidR="00D21C22">
        <w:rPr>
          <w:rFonts w:ascii="Times New Roman" w:hAnsi="Times New Roman" w:cs="Times New Roman"/>
        </w:rPr>
        <w:t xml:space="preserve"> </w:t>
      </w:r>
      <w:r w:rsidR="003857C4">
        <w:rPr>
          <w:rFonts w:ascii="Times New Roman" w:hAnsi="Times New Roman" w:cs="Times New Roman"/>
        </w:rPr>
        <w:t xml:space="preserve">However, despite the potential for </w:t>
      </w:r>
      <w:r w:rsidR="00634C8C">
        <w:rPr>
          <w:rFonts w:ascii="Times New Roman" w:hAnsi="Times New Roman" w:cs="Times New Roman"/>
        </w:rPr>
        <w:t>investigation</w:t>
      </w:r>
      <w:r w:rsidR="00092627">
        <w:rPr>
          <w:rFonts w:ascii="Times New Roman" w:hAnsi="Times New Roman" w:cs="Times New Roman"/>
        </w:rPr>
        <w:t xml:space="preserve">, the literature has </w:t>
      </w:r>
      <w:r w:rsidR="006444DE">
        <w:rPr>
          <w:rFonts w:ascii="Times New Roman" w:hAnsi="Times New Roman" w:cs="Times New Roman"/>
        </w:rPr>
        <w:t xml:space="preserve">considered the real estate </w:t>
      </w:r>
      <w:r w:rsidR="00102E1B">
        <w:rPr>
          <w:rFonts w:ascii="Times New Roman" w:hAnsi="Times New Roman" w:cs="Times New Roman"/>
        </w:rPr>
        <w:t xml:space="preserve">sector </w:t>
      </w:r>
      <w:r w:rsidR="006444DE">
        <w:rPr>
          <w:rFonts w:ascii="Times New Roman" w:hAnsi="Times New Roman" w:cs="Times New Roman"/>
        </w:rPr>
        <w:t xml:space="preserve">only marginally, with </w:t>
      </w:r>
      <w:r w:rsidR="00F940C2">
        <w:rPr>
          <w:rFonts w:ascii="Times New Roman" w:hAnsi="Times New Roman" w:cs="Times New Roman"/>
        </w:rPr>
        <w:t xml:space="preserve">no </w:t>
      </w:r>
      <w:r w:rsidR="005F40B3">
        <w:rPr>
          <w:rFonts w:ascii="Times New Roman" w:hAnsi="Times New Roman" w:cs="Times New Roman"/>
        </w:rPr>
        <w:t xml:space="preserve">empirical </w:t>
      </w:r>
      <w:r w:rsidR="00C94B65">
        <w:rPr>
          <w:rFonts w:ascii="Times New Roman" w:hAnsi="Times New Roman" w:cs="Times New Roman"/>
        </w:rPr>
        <w:t>analysis</w:t>
      </w:r>
      <w:r w:rsidR="00F940C2">
        <w:rPr>
          <w:rFonts w:ascii="Times New Roman" w:hAnsi="Times New Roman" w:cs="Times New Roman"/>
        </w:rPr>
        <w:t xml:space="preserve"> of the challenges that </w:t>
      </w:r>
      <w:r w:rsidR="007809F6">
        <w:rPr>
          <w:rFonts w:ascii="Times New Roman" w:hAnsi="Times New Roman" w:cs="Times New Roman"/>
        </w:rPr>
        <w:t xml:space="preserve">UK AML regulation creates for those </w:t>
      </w:r>
      <w:r w:rsidR="000C48C1">
        <w:rPr>
          <w:rFonts w:ascii="Times New Roman" w:hAnsi="Times New Roman" w:cs="Times New Roman"/>
        </w:rPr>
        <w:t>operating in the sector.</w:t>
      </w:r>
    </w:p>
    <w:p w14:paraId="7E35F479" w14:textId="664AB4EC" w:rsidR="000315F7" w:rsidRDefault="231D7237" w:rsidP="00AB4266">
      <w:pPr>
        <w:ind w:firstLine="720"/>
        <w:jc w:val="both"/>
        <w:rPr>
          <w:rFonts w:ascii="Times New Roman" w:hAnsi="Times New Roman" w:cs="Times New Roman"/>
        </w:rPr>
      </w:pPr>
      <w:r w:rsidRPr="00455EB3">
        <w:rPr>
          <w:rFonts w:ascii="Times New Roman" w:hAnsi="Times New Roman" w:cs="Times New Roman"/>
        </w:rPr>
        <w:t>Drawing upon semi-structured interviews with estate agents and compliance officials, this study provides a better understanding of the dynamics of AML within the UK real estate sector, and it identifies critical aspects of AML compliance that are particularly problematic for those involved in it. In so doing, this article delivers a new perspective, by analysing data gathered with the first empirical study on the implementation of AML obligations in practice (in the UK property market) since the introduction of the 2017 ML Regs.</w:t>
      </w:r>
      <w:r w:rsidRPr="00455EB3">
        <w:rPr>
          <w:rStyle w:val="FootnoteReference"/>
          <w:rFonts w:ascii="Times New Roman" w:hAnsi="Times New Roman" w:cs="Times New Roman"/>
        </w:rPr>
        <w:footnoteReference w:id="7"/>
      </w:r>
      <w:r w:rsidRPr="00455EB3">
        <w:rPr>
          <w:rFonts w:ascii="Times New Roman" w:hAnsi="Times New Roman" w:cs="Times New Roman"/>
        </w:rPr>
        <w:t xml:space="preserve"> The rationale underpinning this analysis, namely the focus on lived realities, draws upon research that demonstrates that compliance with the law is influenced by people’s (subjective) perceptions about the fairness of procedures.</w:t>
      </w:r>
      <w:r w:rsidRPr="00455EB3">
        <w:rPr>
          <w:rStyle w:val="FootnoteReference"/>
          <w:rFonts w:ascii="Times New Roman" w:hAnsi="Times New Roman" w:cs="Times New Roman"/>
        </w:rPr>
        <w:footnoteReference w:id="8"/>
      </w:r>
      <w:r w:rsidRPr="00455EB3">
        <w:rPr>
          <w:rFonts w:ascii="Times New Roman" w:hAnsi="Times New Roman" w:cs="Times New Roman"/>
        </w:rPr>
        <w:t xml:space="preserve"> </w:t>
      </w:r>
      <w:r w:rsidRPr="00455EB3">
        <w:rPr>
          <w:rFonts w:ascii="Times New Roman" w:hAnsi="Times New Roman" w:cs="Times New Roman"/>
        </w:rPr>
        <w:lastRenderedPageBreak/>
        <w:t>Thus, there is significant value in considering the views of those who have personal experiences of the AML regime.</w:t>
      </w:r>
      <w:r w:rsidRPr="00455EB3">
        <w:rPr>
          <w:rStyle w:val="FootnoteReference"/>
          <w:rFonts w:ascii="Times New Roman" w:hAnsi="Times New Roman" w:cs="Times New Roman"/>
        </w:rPr>
        <w:footnoteReference w:id="9"/>
      </w:r>
      <w:r w:rsidRPr="00455EB3">
        <w:rPr>
          <w:rFonts w:ascii="Times New Roman" w:hAnsi="Times New Roman" w:cs="Times New Roman"/>
        </w:rPr>
        <w:t xml:space="preserve"> Given significant concerns as to the effectiveness of AML regulation,</w:t>
      </w:r>
      <w:r w:rsidRPr="00455EB3">
        <w:rPr>
          <w:rStyle w:val="FootnoteReference"/>
          <w:rFonts w:ascii="Times New Roman" w:hAnsi="Times New Roman" w:cs="Times New Roman"/>
        </w:rPr>
        <w:footnoteReference w:id="10"/>
      </w:r>
      <w:r w:rsidRPr="00455EB3">
        <w:rPr>
          <w:rFonts w:ascii="Times New Roman" w:hAnsi="Times New Roman" w:cs="Times New Roman"/>
        </w:rPr>
        <w:t xml:space="preserve"> exploring such experiences is timely.</w:t>
      </w:r>
    </w:p>
    <w:p w14:paraId="41AB97C1" w14:textId="2C703360" w:rsidR="0069497D" w:rsidRPr="00455EB3" w:rsidRDefault="003A0A96" w:rsidP="00AB4266">
      <w:pPr>
        <w:ind w:firstLine="720"/>
        <w:jc w:val="both"/>
        <w:rPr>
          <w:rFonts w:ascii="Times New Roman" w:hAnsi="Times New Roman" w:cs="Times New Roman"/>
        </w:rPr>
      </w:pPr>
      <w:r>
        <w:rPr>
          <w:rFonts w:ascii="Times New Roman" w:hAnsi="Times New Roman" w:cs="Times New Roman"/>
        </w:rPr>
        <w:t>From the foregoing, t</w:t>
      </w:r>
      <w:r w:rsidR="0072640E">
        <w:rPr>
          <w:rFonts w:ascii="Times New Roman" w:hAnsi="Times New Roman" w:cs="Times New Roman"/>
        </w:rPr>
        <w:t xml:space="preserve">his study represents </w:t>
      </w:r>
      <w:r w:rsidR="00F134AC">
        <w:rPr>
          <w:rFonts w:ascii="Times New Roman" w:hAnsi="Times New Roman" w:cs="Times New Roman"/>
        </w:rPr>
        <w:t xml:space="preserve">a </w:t>
      </w:r>
      <w:r w:rsidR="0072640E">
        <w:rPr>
          <w:rFonts w:ascii="Times New Roman" w:hAnsi="Times New Roman" w:cs="Times New Roman"/>
        </w:rPr>
        <w:t>significant examination of AML implementation</w:t>
      </w:r>
      <w:r w:rsidR="00F134AC">
        <w:rPr>
          <w:rFonts w:ascii="Times New Roman" w:hAnsi="Times New Roman" w:cs="Times New Roman"/>
        </w:rPr>
        <w:t>, specifically</w:t>
      </w:r>
      <w:r w:rsidR="0072640E">
        <w:rPr>
          <w:rFonts w:ascii="Times New Roman" w:hAnsi="Times New Roman" w:cs="Times New Roman"/>
        </w:rPr>
        <w:t xml:space="preserve"> in the UK real estate </w:t>
      </w:r>
      <w:r w:rsidR="00102E1B">
        <w:rPr>
          <w:rFonts w:ascii="Times New Roman" w:hAnsi="Times New Roman" w:cs="Times New Roman"/>
        </w:rPr>
        <w:t>sector</w:t>
      </w:r>
      <w:r w:rsidR="0072640E">
        <w:rPr>
          <w:rFonts w:ascii="Times New Roman" w:hAnsi="Times New Roman" w:cs="Times New Roman"/>
        </w:rPr>
        <w:t xml:space="preserve">, which </w:t>
      </w:r>
      <w:r w:rsidR="009B0142">
        <w:rPr>
          <w:rFonts w:ascii="Times New Roman" w:hAnsi="Times New Roman" w:cs="Times New Roman"/>
        </w:rPr>
        <w:t xml:space="preserve">relies upon original </w:t>
      </w:r>
      <w:r w:rsidR="00F134AC">
        <w:rPr>
          <w:rFonts w:ascii="Times New Roman" w:hAnsi="Times New Roman" w:cs="Times New Roman"/>
        </w:rPr>
        <w:t xml:space="preserve">empirical </w:t>
      </w:r>
      <w:r w:rsidR="009B0142">
        <w:rPr>
          <w:rFonts w:ascii="Times New Roman" w:hAnsi="Times New Roman" w:cs="Times New Roman"/>
        </w:rPr>
        <w:t xml:space="preserve">data and </w:t>
      </w:r>
      <w:r w:rsidR="00EA144C">
        <w:rPr>
          <w:rFonts w:ascii="Times New Roman" w:hAnsi="Times New Roman" w:cs="Times New Roman"/>
        </w:rPr>
        <w:t>identif</w:t>
      </w:r>
      <w:r w:rsidR="00F134AC">
        <w:rPr>
          <w:rFonts w:ascii="Times New Roman" w:hAnsi="Times New Roman" w:cs="Times New Roman"/>
        </w:rPr>
        <w:t>ies</w:t>
      </w:r>
      <w:r w:rsidR="00EA144C">
        <w:rPr>
          <w:rFonts w:ascii="Times New Roman" w:hAnsi="Times New Roman" w:cs="Times New Roman"/>
        </w:rPr>
        <w:t xml:space="preserve"> key aspects of AML regulation</w:t>
      </w:r>
      <w:r w:rsidR="00B3489A">
        <w:rPr>
          <w:rFonts w:ascii="Times New Roman" w:hAnsi="Times New Roman" w:cs="Times New Roman"/>
        </w:rPr>
        <w:t xml:space="preserve">, including its </w:t>
      </w:r>
      <w:r w:rsidR="00952197">
        <w:rPr>
          <w:rFonts w:ascii="Times New Roman" w:hAnsi="Times New Roman" w:cs="Times New Roman"/>
        </w:rPr>
        <w:t>limitations and more challenging</w:t>
      </w:r>
      <w:r w:rsidR="00382CCF">
        <w:rPr>
          <w:rFonts w:ascii="Times New Roman" w:hAnsi="Times New Roman" w:cs="Times New Roman"/>
        </w:rPr>
        <w:t xml:space="preserve"> </w:t>
      </w:r>
      <w:r w:rsidR="00F30D3A">
        <w:rPr>
          <w:rFonts w:ascii="Times New Roman" w:hAnsi="Times New Roman" w:cs="Times New Roman"/>
        </w:rPr>
        <w:t>features</w:t>
      </w:r>
      <w:r w:rsidR="00952197">
        <w:rPr>
          <w:rFonts w:ascii="Times New Roman" w:hAnsi="Times New Roman" w:cs="Times New Roman"/>
        </w:rPr>
        <w:t xml:space="preserve"> for </w:t>
      </w:r>
      <w:r w:rsidR="003C3346">
        <w:rPr>
          <w:rFonts w:ascii="Times New Roman" w:hAnsi="Times New Roman" w:cs="Times New Roman"/>
        </w:rPr>
        <w:t>compliance. In this sense, th</w:t>
      </w:r>
      <w:r w:rsidR="00F134AC">
        <w:rPr>
          <w:rFonts w:ascii="Times New Roman" w:hAnsi="Times New Roman" w:cs="Times New Roman"/>
        </w:rPr>
        <w:t>is</w:t>
      </w:r>
      <w:r w:rsidR="003C3346">
        <w:rPr>
          <w:rFonts w:ascii="Times New Roman" w:hAnsi="Times New Roman" w:cs="Times New Roman"/>
        </w:rPr>
        <w:t xml:space="preserve"> research </w:t>
      </w:r>
      <w:r w:rsidR="005A16E2">
        <w:rPr>
          <w:rFonts w:ascii="Times New Roman" w:hAnsi="Times New Roman" w:cs="Times New Roman"/>
        </w:rPr>
        <w:t>provides relevant inputs into the discourse on AML implementation in the UK (</w:t>
      </w:r>
      <w:r w:rsidR="00F134AC">
        <w:rPr>
          <w:rFonts w:ascii="Times New Roman" w:hAnsi="Times New Roman" w:cs="Times New Roman"/>
        </w:rPr>
        <w:t>even beyond the</w:t>
      </w:r>
      <w:r w:rsidR="00F94839">
        <w:rPr>
          <w:rFonts w:ascii="Times New Roman" w:hAnsi="Times New Roman" w:cs="Times New Roman"/>
        </w:rPr>
        <w:t xml:space="preserve"> real estate</w:t>
      </w:r>
      <w:r w:rsidR="00F134AC">
        <w:rPr>
          <w:rFonts w:ascii="Times New Roman" w:hAnsi="Times New Roman" w:cs="Times New Roman"/>
        </w:rPr>
        <w:t xml:space="preserve"> sector</w:t>
      </w:r>
      <w:r w:rsidR="00F94839">
        <w:rPr>
          <w:rFonts w:ascii="Times New Roman" w:hAnsi="Times New Roman" w:cs="Times New Roman"/>
        </w:rPr>
        <w:t xml:space="preserve">) and </w:t>
      </w:r>
      <w:r w:rsidR="00F41C62">
        <w:rPr>
          <w:rFonts w:ascii="Times New Roman" w:hAnsi="Times New Roman" w:cs="Times New Roman"/>
        </w:rPr>
        <w:t xml:space="preserve">for future legislative and policy-oriented initiatives that need to </w:t>
      </w:r>
      <w:proofErr w:type="gramStart"/>
      <w:r w:rsidR="00F41C62">
        <w:rPr>
          <w:rFonts w:ascii="Times New Roman" w:hAnsi="Times New Roman" w:cs="Times New Roman"/>
        </w:rPr>
        <w:t>take into account</w:t>
      </w:r>
      <w:proofErr w:type="gramEnd"/>
      <w:r w:rsidR="00F41C62">
        <w:rPr>
          <w:rFonts w:ascii="Times New Roman" w:hAnsi="Times New Roman" w:cs="Times New Roman"/>
        </w:rPr>
        <w:t xml:space="preserve"> the </w:t>
      </w:r>
      <w:r w:rsidR="00020609">
        <w:rPr>
          <w:rFonts w:ascii="Times New Roman" w:hAnsi="Times New Roman" w:cs="Times New Roman"/>
        </w:rPr>
        <w:t>practice of AML</w:t>
      </w:r>
      <w:r w:rsidR="00F41C62">
        <w:rPr>
          <w:rFonts w:ascii="Times New Roman" w:hAnsi="Times New Roman" w:cs="Times New Roman"/>
        </w:rPr>
        <w:t>.</w:t>
      </w:r>
    </w:p>
    <w:p w14:paraId="6184FD20" w14:textId="10BD78F3" w:rsidR="008D607D" w:rsidRDefault="231D7237" w:rsidP="00AB4266">
      <w:pPr>
        <w:ind w:firstLine="720"/>
        <w:jc w:val="both"/>
      </w:pPr>
      <w:r w:rsidRPr="00455EB3">
        <w:rPr>
          <w:rFonts w:ascii="Times New Roman" w:hAnsi="Times New Roman" w:cs="Times New Roman"/>
        </w:rPr>
        <w:t xml:space="preserve">This article is divided into five parts. The next </w:t>
      </w:r>
      <w:r w:rsidR="00822A6C">
        <w:rPr>
          <w:rFonts w:ascii="Times New Roman" w:hAnsi="Times New Roman" w:cs="Times New Roman"/>
        </w:rPr>
        <w:t>three</w:t>
      </w:r>
      <w:r w:rsidR="00822A6C" w:rsidRPr="00455EB3">
        <w:rPr>
          <w:rFonts w:ascii="Times New Roman" w:hAnsi="Times New Roman" w:cs="Times New Roman"/>
        </w:rPr>
        <w:t xml:space="preserve"> </w:t>
      </w:r>
      <w:r w:rsidRPr="00455EB3">
        <w:rPr>
          <w:rFonts w:ascii="Times New Roman" w:hAnsi="Times New Roman" w:cs="Times New Roman"/>
        </w:rPr>
        <w:t>sections set out, respectively, the</w:t>
      </w:r>
      <w:r w:rsidR="00AE2C47">
        <w:rPr>
          <w:rFonts w:ascii="Times New Roman" w:hAnsi="Times New Roman" w:cs="Times New Roman"/>
        </w:rPr>
        <w:t xml:space="preserve"> theoretical and legislative context of AML in relation to the real estate market, the</w:t>
      </w:r>
      <w:r w:rsidRPr="00455EB3">
        <w:rPr>
          <w:rFonts w:ascii="Times New Roman" w:hAnsi="Times New Roman" w:cs="Times New Roman"/>
        </w:rPr>
        <w:t xml:space="preserve"> methodology used in the study, and the provisions regulating estate agents and the UK AML regime. Then, the article provides a critical examination of two themes that emerged from the interviews relating to the implementation of AML obligations: (i) Customer Due Diligence; and (ii) reporting suspicions. The analysis of these themes provides important insights into the operation of AML in practice. Without wishing to advocate that the views of </w:t>
      </w:r>
      <w:proofErr w:type="spellStart"/>
      <w:r w:rsidRPr="00455EB3">
        <w:rPr>
          <w:rFonts w:ascii="Times New Roman" w:hAnsi="Times New Roman" w:cs="Times New Roman"/>
        </w:rPr>
        <w:t>regulatees</w:t>
      </w:r>
      <w:proofErr w:type="spellEnd"/>
      <w:r w:rsidRPr="00455EB3">
        <w:rPr>
          <w:rFonts w:ascii="Times New Roman" w:hAnsi="Times New Roman" w:cs="Times New Roman"/>
        </w:rPr>
        <w:t xml:space="preserve"> be determinative,</w:t>
      </w:r>
      <w:r w:rsidRPr="00455EB3">
        <w:rPr>
          <w:rStyle w:val="FootnoteReference"/>
          <w:rFonts w:ascii="Times New Roman" w:hAnsi="Times New Roman" w:cs="Times New Roman"/>
        </w:rPr>
        <w:footnoteReference w:id="11"/>
      </w:r>
      <w:r w:rsidRPr="00455EB3">
        <w:rPr>
          <w:rFonts w:ascii="Times New Roman" w:hAnsi="Times New Roman" w:cs="Times New Roman"/>
        </w:rPr>
        <w:t xml:space="preserve"> it is nonetheless valuable to consider the challenges associated with the implementation of regulation from the perspective of these actors. This article demonstrates that practical issues arise in central aspects of the AML regime and, in so doing, it illustrates the (negative) impact of AML obligations on businesses, which creates discrepancies in AML implementation and a sense of frustration among </w:t>
      </w:r>
      <w:proofErr w:type="spellStart"/>
      <w:r w:rsidR="00F134AC">
        <w:rPr>
          <w:rFonts w:ascii="Times New Roman" w:hAnsi="Times New Roman" w:cs="Times New Roman"/>
        </w:rPr>
        <w:t>regulatees</w:t>
      </w:r>
      <w:proofErr w:type="spellEnd"/>
      <w:r w:rsidRPr="00455EB3">
        <w:rPr>
          <w:rFonts w:ascii="Times New Roman" w:hAnsi="Times New Roman" w:cs="Times New Roman"/>
        </w:rPr>
        <w:t xml:space="preserve">. These discrepancies also point out key differences between the law on paper and the law in action, and they reinforce concerns as to the legitimacy of the UK AML regime. In this regard, the practical issues encountered by </w:t>
      </w:r>
      <w:proofErr w:type="spellStart"/>
      <w:r w:rsidRPr="00455EB3">
        <w:rPr>
          <w:rFonts w:ascii="Times New Roman" w:hAnsi="Times New Roman" w:cs="Times New Roman"/>
        </w:rPr>
        <w:t>regulatees</w:t>
      </w:r>
      <w:proofErr w:type="spellEnd"/>
      <w:r w:rsidRPr="00455EB3">
        <w:rPr>
          <w:rFonts w:ascii="Times New Roman" w:hAnsi="Times New Roman" w:cs="Times New Roman"/>
        </w:rPr>
        <w:t xml:space="preserve"> could lead to resistance to AML compliance by estate agents who would otherwise comply with the AML regime.</w:t>
      </w:r>
    </w:p>
    <w:p w14:paraId="6BEFA590" w14:textId="4494A216" w:rsidR="03887DE7" w:rsidRPr="00B5030A" w:rsidRDefault="03887DE7" w:rsidP="00AB4266">
      <w:pPr>
        <w:pStyle w:val="Heading1"/>
        <w:jc w:val="both"/>
        <w:rPr>
          <w:rFonts w:ascii="Times New Roman" w:hAnsi="Times New Roman" w:cs="Times New Roman"/>
          <w:color w:val="000000" w:themeColor="text1"/>
        </w:rPr>
      </w:pPr>
      <w:r w:rsidRPr="00B5030A">
        <w:rPr>
          <w:rFonts w:ascii="Times New Roman" w:hAnsi="Times New Roman" w:cs="Times New Roman"/>
          <w:color w:val="000000" w:themeColor="text1"/>
        </w:rPr>
        <w:lastRenderedPageBreak/>
        <w:t>Contextualising AML in</w:t>
      </w:r>
      <w:r w:rsidR="3168566C" w:rsidRPr="00B5030A">
        <w:rPr>
          <w:rFonts w:ascii="Times New Roman" w:hAnsi="Times New Roman" w:cs="Times New Roman"/>
          <w:color w:val="000000" w:themeColor="text1"/>
        </w:rPr>
        <w:t xml:space="preserve"> the Real Estate Sector</w:t>
      </w:r>
    </w:p>
    <w:p w14:paraId="0A8315EF" w14:textId="1DC3D353" w:rsidR="00A167A4" w:rsidRPr="00455EB3" w:rsidRDefault="00A167A4" w:rsidP="00AB4266">
      <w:pPr>
        <w:jc w:val="both"/>
        <w:rPr>
          <w:rFonts w:ascii="Times New Roman" w:hAnsi="Times New Roman" w:cs="Times New Roman"/>
        </w:rPr>
      </w:pPr>
      <w:r w:rsidRPr="00455EB3">
        <w:rPr>
          <w:rFonts w:ascii="Times New Roman" w:hAnsi="Times New Roman" w:cs="Times New Roman"/>
        </w:rPr>
        <w:t xml:space="preserve">AML </w:t>
      </w:r>
      <w:r w:rsidR="007D49E5" w:rsidRPr="00455EB3">
        <w:rPr>
          <w:rFonts w:ascii="Times New Roman" w:hAnsi="Times New Roman" w:cs="Times New Roman"/>
        </w:rPr>
        <w:t xml:space="preserve">regulations </w:t>
      </w:r>
      <w:r w:rsidRPr="00455EB3">
        <w:rPr>
          <w:rFonts w:ascii="Times New Roman" w:hAnsi="Times New Roman" w:cs="Times New Roman"/>
        </w:rPr>
        <w:t xml:space="preserve">have been in force for over three decades, yet there </w:t>
      </w:r>
      <w:r w:rsidR="00001090" w:rsidRPr="00455EB3">
        <w:rPr>
          <w:rFonts w:ascii="Times New Roman" w:hAnsi="Times New Roman" w:cs="Times New Roman"/>
        </w:rPr>
        <w:t xml:space="preserve">is still </w:t>
      </w:r>
      <w:r w:rsidRPr="00455EB3">
        <w:rPr>
          <w:rFonts w:ascii="Times New Roman" w:hAnsi="Times New Roman" w:cs="Times New Roman"/>
        </w:rPr>
        <w:t>scepticism as to such efforts and their success. The modern AML regime is widely considered to exist since the establishment of the Financial Action Task Force (FATF) in 1989,</w:t>
      </w:r>
      <w:r w:rsidRPr="00455EB3">
        <w:rPr>
          <w:rStyle w:val="FootnoteReference"/>
          <w:rFonts w:ascii="Times New Roman" w:hAnsi="Times New Roman" w:cs="Times New Roman"/>
        </w:rPr>
        <w:footnoteReference w:id="12"/>
      </w:r>
      <w:r w:rsidRPr="00455EB3">
        <w:rPr>
          <w:rFonts w:ascii="Times New Roman" w:hAnsi="Times New Roman" w:cs="Times New Roman"/>
        </w:rPr>
        <w:t xml:space="preserve"> and the issuing of the FATF 40 Recommendations a year later.</w:t>
      </w:r>
      <w:r w:rsidRPr="00455EB3">
        <w:rPr>
          <w:rStyle w:val="FootnoteReference"/>
          <w:rFonts w:ascii="Times New Roman" w:hAnsi="Times New Roman" w:cs="Times New Roman"/>
        </w:rPr>
        <w:footnoteReference w:id="13"/>
      </w:r>
      <w:r w:rsidRPr="00455EB3">
        <w:rPr>
          <w:rFonts w:ascii="Times New Roman" w:hAnsi="Times New Roman" w:cs="Times New Roman"/>
        </w:rPr>
        <w:t xml:space="preserve"> In 1991, the EU issued its </w:t>
      </w:r>
      <w:r w:rsidR="00001090" w:rsidRPr="00455EB3">
        <w:rPr>
          <w:rFonts w:ascii="Times New Roman" w:hAnsi="Times New Roman" w:cs="Times New Roman"/>
        </w:rPr>
        <w:t>F</w:t>
      </w:r>
      <w:r w:rsidRPr="00455EB3">
        <w:rPr>
          <w:rFonts w:ascii="Times New Roman" w:hAnsi="Times New Roman" w:cs="Times New Roman"/>
        </w:rPr>
        <w:t>irst Money Laundering Directive (MLD)</w:t>
      </w:r>
      <w:r w:rsidR="007D49E5" w:rsidRPr="00455EB3">
        <w:rPr>
          <w:rFonts w:ascii="Times New Roman" w:hAnsi="Times New Roman" w:cs="Times New Roman"/>
        </w:rPr>
        <w:t>,</w:t>
      </w:r>
      <w:r w:rsidRPr="00455EB3">
        <w:rPr>
          <w:rStyle w:val="FootnoteReference"/>
          <w:rFonts w:ascii="Times New Roman" w:hAnsi="Times New Roman" w:cs="Times New Roman"/>
        </w:rPr>
        <w:footnoteReference w:id="14"/>
      </w:r>
      <w:r w:rsidR="00F86E01" w:rsidRPr="00455EB3">
        <w:rPr>
          <w:rFonts w:ascii="Times New Roman" w:hAnsi="Times New Roman" w:cs="Times New Roman"/>
        </w:rPr>
        <w:t xml:space="preserve"> </w:t>
      </w:r>
      <w:r w:rsidR="00AA1196" w:rsidRPr="00455EB3">
        <w:rPr>
          <w:rFonts w:ascii="Times New Roman" w:hAnsi="Times New Roman" w:cs="Times New Roman"/>
        </w:rPr>
        <w:t>choosing</w:t>
      </w:r>
      <w:r w:rsidRPr="00455EB3">
        <w:rPr>
          <w:rFonts w:ascii="Times New Roman" w:hAnsi="Times New Roman" w:cs="Times New Roman"/>
        </w:rPr>
        <w:t xml:space="preserve"> a twin-track approach </w:t>
      </w:r>
      <w:r w:rsidR="00001090" w:rsidRPr="00455EB3">
        <w:rPr>
          <w:rFonts w:ascii="Times New Roman" w:hAnsi="Times New Roman" w:cs="Times New Roman"/>
        </w:rPr>
        <w:t xml:space="preserve">based on </w:t>
      </w:r>
      <w:r w:rsidRPr="00455EB3">
        <w:rPr>
          <w:rFonts w:ascii="Times New Roman" w:hAnsi="Times New Roman" w:cs="Times New Roman"/>
        </w:rPr>
        <w:t>criminalisation and prevention of money laundering. When the Second MLD was adopted in 2001,</w:t>
      </w:r>
      <w:r w:rsidRPr="00455EB3">
        <w:rPr>
          <w:rStyle w:val="FootnoteReference"/>
          <w:rFonts w:ascii="Times New Roman" w:hAnsi="Times New Roman" w:cs="Times New Roman"/>
        </w:rPr>
        <w:footnoteReference w:id="15"/>
      </w:r>
      <w:r w:rsidRPr="00455EB3">
        <w:rPr>
          <w:rFonts w:ascii="Times New Roman" w:hAnsi="Times New Roman" w:cs="Times New Roman"/>
        </w:rPr>
        <w:t xml:space="preserve"> AML obligations were extended beyond credit and financial institutions to non-financial businesses and professions. </w:t>
      </w:r>
      <w:r w:rsidR="007D49E5" w:rsidRPr="00455EB3">
        <w:rPr>
          <w:rFonts w:ascii="Times New Roman" w:hAnsi="Times New Roman" w:cs="Times New Roman"/>
        </w:rPr>
        <w:t xml:space="preserve">In </w:t>
      </w:r>
      <w:r w:rsidR="00001090" w:rsidRPr="00455EB3">
        <w:rPr>
          <w:rFonts w:ascii="Times New Roman" w:hAnsi="Times New Roman" w:cs="Times New Roman"/>
        </w:rPr>
        <w:t>particular</w:t>
      </w:r>
      <w:r w:rsidRPr="00455EB3">
        <w:rPr>
          <w:rFonts w:ascii="Times New Roman" w:hAnsi="Times New Roman" w:cs="Times New Roman"/>
        </w:rPr>
        <w:t xml:space="preserve">, Article 1 of the </w:t>
      </w:r>
      <w:r w:rsidR="007D49E5" w:rsidRPr="00455EB3">
        <w:rPr>
          <w:rFonts w:ascii="Times New Roman" w:hAnsi="Times New Roman" w:cs="Times New Roman"/>
        </w:rPr>
        <w:t xml:space="preserve">Second </w:t>
      </w:r>
      <w:r w:rsidRPr="00455EB3">
        <w:rPr>
          <w:rFonts w:ascii="Times New Roman" w:hAnsi="Times New Roman" w:cs="Times New Roman"/>
        </w:rPr>
        <w:t xml:space="preserve">MLD </w:t>
      </w:r>
      <w:r w:rsidR="00AA1196" w:rsidRPr="00455EB3">
        <w:rPr>
          <w:rFonts w:ascii="Times New Roman" w:hAnsi="Times New Roman" w:cs="Times New Roman"/>
        </w:rPr>
        <w:t xml:space="preserve">also </w:t>
      </w:r>
      <w:r w:rsidR="00AE1A88" w:rsidRPr="00455EB3">
        <w:rPr>
          <w:rFonts w:ascii="Times New Roman" w:hAnsi="Times New Roman" w:cs="Times New Roman"/>
        </w:rPr>
        <w:t>included</w:t>
      </w:r>
      <w:r w:rsidRPr="00455EB3">
        <w:rPr>
          <w:rFonts w:ascii="Times New Roman" w:hAnsi="Times New Roman" w:cs="Times New Roman"/>
        </w:rPr>
        <w:t xml:space="preserve"> auditors, external accountants and tax advisors; real estate agents; notaries and other independent legal professionals (in defined circumstances); </w:t>
      </w:r>
      <w:r w:rsidR="00AE1A88" w:rsidRPr="00455EB3">
        <w:rPr>
          <w:rFonts w:ascii="Times New Roman" w:hAnsi="Times New Roman" w:cs="Times New Roman"/>
        </w:rPr>
        <w:t xml:space="preserve">high-value </w:t>
      </w:r>
      <w:r w:rsidRPr="00455EB3">
        <w:rPr>
          <w:rFonts w:ascii="Times New Roman" w:hAnsi="Times New Roman" w:cs="Times New Roman"/>
        </w:rPr>
        <w:t>dealers; and casinos.</w:t>
      </w:r>
      <w:r w:rsidR="007462F3" w:rsidRPr="00455EB3">
        <w:rPr>
          <w:rStyle w:val="FootnoteReference"/>
          <w:rFonts w:ascii="Times New Roman" w:hAnsi="Times New Roman" w:cs="Times New Roman"/>
        </w:rPr>
        <w:footnoteReference w:id="16"/>
      </w:r>
      <w:r w:rsidRPr="00455EB3">
        <w:rPr>
          <w:rFonts w:ascii="Times New Roman" w:hAnsi="Times New Roman" w:cs="Times New Roman"/>
        </w:rPr>
        <w:t xml:space="preserve"> These obligations </w:t>
      </w:r>
      <w:r w:rsidR="00AE1A88" w:rsidRPr="00455EB3">
        <w:rPr>
          <w:rFonts w:ascii="Times New Roman" w:hAnsi="Times New Roman" w:cs="Times New Roman"/>
        </w:rPr>
        <w:t xml:space="preserve">encompassed </w:t>
      </w:r>
      <w:r w:rsidRPr="00455EB3">
        <w:rPr>
          <w:rFonts w:ascii="Times New Roman" w:hAnsi="Times New Roman" w:cs="Times New Roman"/>
        </w:rPr>
        <w:t>carrying out customer due diligence (CDD) and know-your-customer (KYC) checks.</w:t>
      </w:r>
      <w:r w:rsidR="2DFBAB4C" w:rsidRPr="00455EB3">
        <w:rPr>
          <w:rFonts w:ascii="Times New Roman" w:hAnsi="Times New Roman" w:cs="Times New Roman"/>
        </w:rPr>
        <w:t xml:space="preserve"> Further, there are obligations to file suspicious activity reports (SARs) in certain circumstances.</w:t>
      </w:r>
    </w:p>
    <w:p w14:paraId="61ED1B55" w14:textId="2690C02C" w:rsidR="00A167A4" w:rsidRPr="00455EB3" w:rsidRDefault="00A167A4" w:rsidP="00AB4266">
      <w:pPr>
        <w:jc w:val="both"/>
        <w:rPr>
          <w:rFonts w:ascii="Times New Roman" w:hAnsi="Times New Roman" w:cs="Times New Roman"/>
        </w:rPr>
      </w:pPr>
      <w:r w:rsidRPr="00455EB3">
        <w:rPr>
          <w:rFonts w:ascii="Times New Roman" w:hAnsi="Times New Roman" w:cs="Times New Roman"/>
        </w:rPr>
        <w:tab/>
        <w:t xml:space="preserve">Two decades on from the extension of the AML regime to </w:t>
      </w:r>
      <w:r w:rsidR="00363469" w:rsidRPr="00455EB3">
        <w:rPr>
          <w:rFonts w:ascii="Times New Roman" w:hAnsi="Times New Roman" w:cs="Times New Roman"/>
        </w:rPr>
        <w:t>estate agents (</w:t>
      </w:r>
      <w:r w:rsidRPr="00455EB3">
        <w:rPr>
          <w:rFonts w:ascii="Times New Roman" w:hAnsi="Times New Roman" w:cs="Times New Roman"/>
        </w:rPr>
        <w:t>EAs</w:t>
      </w:r>
      <w:r w:rsidR="00363469" w:rsidRPr="00455EB3">
        <w:rPr>
          <w:rFonts w:ascii="Times New Roman" w:hAnsi="Times New Roman" w:cs="Times New Roman"/>
        </w:rPr>
        <w:t>)</w:t>
      </w:r>
      <w:r w:rsidRPr="00455EB3">
        <w:rPr>
          <w:rFonts w:ascii="Times New Roman" w:hAnsi="Times New Roman" w:cs="Times New Roman"/>
        </w:rPr>
        <w:t xml:space="preserve">, there continue to be developments. </w:t>
      </w:r>
      <w:r w:rsidR="00AE1A88" w:rsidRPr="00455EB3">
        <w:rPr>
          <w:rFonts w:ascii="Times New Roman" w:hAnsi="Times New Roman" w:cs="Times New Roman"/>
        </w:rPr>
        <w:t xml:space="preserve">At various times, </w:t>
      </w:r>
      <w:r w:rsidRPr="00455EB3">
        <w:rPr>
          <w:rFonts w:ascii="Times New Roman" w:hAnsi="Times New Roman" w:cs="Times New Roman"/>
        </w:rPr>
        <w:t>AML efforts have been driven by the fight against drugs</w:t>
      </w:r>
      <w:r w:rsidR="00AE1A88" w:rsidRPr="00455EB3">
        <w:rPr>
          <w:rFonts w:ascii="Times New Roman" w:hAnsi="Times New Roman" w:cs="Times New Roman"/>
        </w:rPr>
        <w:t xml:space="preserve"> and </w:t>
      </w:r>
      <w:r w:rsidRPr="00455EB3">
        <w:rPr>
          <w:rFonts w:ascii="Times New Roman" w:hAnsi="Times New Roman" w:cs="Times New Roman"/>
        </w:rPr>
        <w:t xml:space="preserve">organised crime (more generally), but also by anti-corruption and anti-terrorism </w:t>
      </w:r>
      <w:r w:rsidR="00AE1A88" w:rsidRPr="00455EB3">
        <w:rPr>
          <w:rFonts w:ascii="Times New Roman" w:hAnsi="Times New Roman" w:cs="Times New Roman"/>
        </w:rPr>
        <w:t xml:space="preserve">plans </w:t>
      </w:r>
      <w:r w:rsidRPr="00455EB3">
        <w:rPr>
          <w:rFonts w:ascii="Times New Roman" w:hAnsi="Times New Roman" w:cs="Times New Roman"/>
        </w:rPr>
        <w:t xml:space="preserve">(particularly after 9/11). </w:t>
      </w:r>
      <w:r w:rsidR="00001090" w:rsidRPr="00455EB3">
        <w:rPr>
          <w:rFonts w:ascii="Times New Roman" w:hAnsi="Times New Roman" w:cs="Times New Roman"/>
        </w:rPr>
        <w:t>For example, t</w:t>
      </w:r>
      <w:r w:rsidRPr="00455EB3">
        <w:rPr>
          <w:rFonts w:ascii="Times New Roman" w:hAnsi="Times New Roman" w:cs="Times New Roman"/>
        </w:rPr>
        <w:t>he global anti-kleptocracy agenda</w:t>
      </w:r>
      <w:r w:rsidRPr="00455EB3">
        <w:rPr>
          <w:rStyle w:val="FootnoteReference"/>
          <w:rFonts w:ascii="Times New Roman" w:hAnsi="Times New Roman" w:cs="Times New Roman"/>
        </w:rPr>
        <w:footnoteReference w:id="17"/>
      </w:r>
      <w:r w:rsidR="00001090" w:rsidRPr="00455EB3">
        <w:rPr>
          <w:rFonts w:ascii="Times New Roman" w:hAnsi="Times New Roman" w:cs="Times New Roman"/>
        </w:rPr>
        <w:t xml:space="preserve"> </w:t>
      </w:r>
      <w:r w:rsidRPr="00455EB3">
        <w:rPr>
          <w:rFonts w:ascii="Times New Roman" w:hAnsi="Times New Roman" w:cs="Times New Roman"/>
        </w:rPr>
        <w:t xml:space="preserve">has resulted in significant </w:t>
      </w:r>
      <w:r w:rsidR="00AE1A88" w:rsidRPr="00455EB3">
        <w:rPr>
          <w:rFonts w:ascii="Times New Roman" w:hAnsi="Times New Roman" w:cs="Times New Roman"/>
        </w:rPr>
        <w:t>advancements</w:t>
      </w:r>
      <w:r w:rsidRPr="00455EB3">
        <w:rPr>
          <w:rFonts w:ascii="Times New Roman" w:hAnsi="Times New Roman" w:cs="Times New Roman"/>
        </w:rPr>
        <w:t xml:space="preserve">, particularly amongst developed jurisdictions. As Sharman </w:t>
      </w:r>
      <w:r w:rsidR="00001090" w:rsidRPr="00455EB3">
        <w:rPr>
          <w:rFonts w:ascii="Times New Roman" w:hAnsi="Times New Roman" w:cs="Times New Roman"/>
        </w:rPr>
        <w:t>argues</w:t>
      </w:r>
      <w:r w:rsidRPr="00455EB3">
        <w:rPr>
          <w:rFonts w:ascii="Times New Roman" w:hAnsi="Times New Roman" w:cs="Times New Roman"/>
        </w:rPr>
        <w:t>,</w:t>
      </w:r>
    </w:p>
    <w:p w14:paraId="12B45031" w14:textId="77777777" w:rsidR="00AE1A88" w:rsidRPr="00455EB3" w:rsidRDefault="00AE1A88" w:rsidP="00AB4266">
      <w:pPr>
        <w:jc w:val="both"/>
        <w:rPr>
          <w:rFonts w:ascii="Times New Roman" w:hAnsi="Times New Roman" w:cs="Times New Roman"/>
        </w:rPr>
      </w:pPr>
    </w:p>
    <w:p w14:paraId="603E7DD8" w14:textId="7A960FBD" w:rsidR="00A167A4" w:rsidRPr="00455EB3" w:rsidRDefault="00A167A4" w:rsidP="00AB4266">
      <w:pPr>
        <w:ind w:left="567" w:right="521"/>
        <w:jc w:val="both"/>
        <w:rPr>
          <w:rFonts w:ascii="Times New Roman" w:hAnsi="Times New Roman" w:cs="Times New Roman"/>
        </w:rPr>
      </w:pPr>
      <w:r w:rsidRPr="00455EB3">
        <w:rPr>
          <w:rFonts w:ascii="Times New Roman" w:hAnsi="Times New Roman" w:cs="Times New Roman"/>
        </w:rPr>
        <w:t xml:space="preserve">Although many more corrupt leaders get away with their crimes than face justice, the rise of the expectation from shortly after the turn of the century that host countries have a duty to take action to block or seize their illicit funds is a new </w:t>
      </w:r>
      <w:proofErr w:type="gramStart"/>
      <w:r w:rsidRPr="00455EB3">
        <w:rPr>
          <w:rFonts w:ascii="Times New Roman" w:hAnsi="Times New Roman" w:cs="Times New Roman"/>
        </w:rPr>
        <w:t>and in many ways</w:t>
      </w:r>
      <w:proofErr w:type="gramEnd"/>
      <w:r w:rsidRPr="00455EB3">
        <w:rPr>
          <w:rFonts w:ascii="Times New Roman" w:hAnsi="Times New Roman" w:cs="Times New Roman"/>
        </w:rPr>
        <w:t xml:space="preserve"> remarkable development</w:t>
      </w:r>
      <w:r w:rsidR="005C4A8C" w:rsidRPr="00455EB3">
        <w:rPr>
          <w:rFonts w:ascii="Times New Roman" w:hAnsi="Times New Roman" w:cs="Times New Roman"/>
        </w:rPr>
        <w:t>.</w:t>
      </w:r>
      <w:r w:rsidRPr="00455EB3">
        <w:rPr>
          <w:rStyle w:val="FootnoteReference"/>
          <w:rFonts w:ascii="Times New Roman" w:hAnsi="Times New Roman" w:cs="Times New Roman"/>
        </w:rPr>
        <w:footnoteReference w:id="18"/>
      </w:r>
    </w:p>
    <w:p w14:paraId="056BC72E" w14:textId="77777777" w:rsidR="00AE1A88" w:rsidRPr="00455EB3" w:rsidRDefault="00AE1A88" w:rsidP="00AB4266">
      <w:pPr>
        <w:ind w:left="567" w:right="521"/>
        <w:jc w:val="both"/>
        <w:rPr>
          <w:rFonts w:ascii="Times New Roman" w:hAnsi="Times New Roman" w:cs="Times New Roman"/>
        </w:rPr>
      </w:pPr>
    </w:p>
    <w:p w14:paraId="586EABDF" w14:textId="1A29102F" w:rsidR="00A167A4" w:rsidRPr="00455EB3" w:rsidRDefault="00A167A4" w:rsidP="00AB4266">
      <w:pPr>
        <w:jc w:val="both"/>
        <w:rPr>
          <w:rFonts w:ascii="Times New Roman" w:hAnsi="Times New Roman" w:cs="Times New Roman"/>
        </w:rPr>
      </w:pPr>
      <w:r w:rsidRPr="00455EB3">
        <w:rPr>
          <w:rFonts w:ascii="Times New Roman" w:hAnsi="Times New Roman" w:cs="Times New Roman"/>
        </w:rPr>
        <w:lastRenderedPageBreak/>
        <w:t>Confronting the question as to why focus on developed jurisdictions</w:t>
      </w:r>
      <w:r w:rsidR="00D227EB" w:rsidRPr="00455EB3">
        <w:rPr>
          <w:rFonts w:ascii="Times New Roman" w:hAnsi="Times New Roman" w:cs="Times New Roman"/>
        </w:rPr>
        <w:t xml:space="preserve"> (</w:t>
      </w:r>
      <w:r w:rsidRPr="00455EB3">
        <w:rPr>
          <w:rFonts w:ascii="Times New Roman" w:hAnsi="Times New Roman" w:cs="Times New Roman"/>
        </w:rPr>
        <w:t>such as the UK</w:t>
      </w:r>
      <w:r w:rsidR="00D227EB" w:rsidRPr="00455EB3">
        <w:rPr>
          <w:rFonts w:ascii="Times New Roman" w:hAnsi="Times New Roman" w:cs="Times New Roman"/>
        </w:rPr>
        <w:t>)</w:t>
      </w:r>
      <w:r w:rsidRPr="00455EB3">
        <w:rPr>
          <w:rFonts w:ascii="Times New Roman" w:hAnsi="Times New Roman" w:cs="Times New Roman"/>
        </w:rPr>
        <w:t xml:space="preserve">, rather than </w:t>
      </w:r>
      <w:r w:rsidR="00057022" w:rsidRPr="00455EB3">
        <w:rPr>
          <w:rFonts w:ascii="Times New Roman" w:hAnsi="Times New Roman" w:cs="Times New Roman"/>
        </w:rPr>
        <w:t xml:space="preserve">on countries that are </w:t>
      </w:r>
      <w:r w:rsidRPr="00455EB3">
        <w:rPr>
          <w:rFonts w:ascii="Times New Roman" w:hAnsi="Times New Roman" w:cs="Times New Roman"/>
        </w:rPr>
        <w:t xml:space="preserve">the source of corruption, Sharman states: ‘The best guess is that the bigger the financial </w:t>
      </w:r>
      <w:proofErr w:type="spellStart"/>
      <w:r w:rsidRPr="00455EB3">
        <w:rPr>
          <w:rFonts w:ascii="Times New Roman" w:hAnsi="Times New Roman" w:cs="Times New Roman"/>
        </w:rPr>
        <w:t>center</w:t>
      </w:r>
      <w:proofErr w:type="spellEnd"/>
      <w:r w:rsidRPr="00455EB3">
        <w:rPr>
          <w:rFonts w:ascii="Times New Roman" w:hAnsi="Times New Roman" w:cs="Times New Roman"/>
        </w:rPr>
        <w:t>, the more dirty money flows through it, including the proceeds of foreign corruption’</w:t>
      </w:r>
      <w:r w:rsidR="005C4A8C" w:rsidRPr="00455EB3">
        <w:rPr>
          <w:rFonts w:ascii="Times New Roman" w:hAnsi="Times New Roman" w:cs="Times New Roman"/>
        </w:rPr>
        <w:t>.</w:t>
      </w:r>
      <w:r w:rsidRPr="00455EB3">
        <w:rPr>
          <w:rStyle w:val="FootnoteReference"/>
          <w:rFonts w:ascii="Times New Roman" w:hAnsi="Times New Roman" w:cs="Times New Roman"/>
        </w:rPr>
        <w:footnoteReference w:id="19"/>
      </w:r>
      <w:r w:rsidRPr="00455EB3">
        <w:rPr>
          <w:rFonts w:ascii="Times New Roman" w:hAnsi="Times New Roman" w:cs="Times New Roman"/>
        </w:rPr>
        <w:t xml:space="preserve"> </w:t>
      </w:r>
      <w:r w:rsidR="0037363C" w:rsidRPr="00455EB3">
        <w:rPr>
          <w:rFonts w:ascii="Times New Roman" w:hAnsi="Times New Roman" w:cs="Times New Roman"/>
        </w:rPr>
        <w:t>Therefore, i</w:t>
      </w:r>
      <w:r w:rsidRPr="00455EB3">
        <w:rPr>
          <w:rFonts w:ascii="Times New Roman" w:hAnsi="Times New Roman" w:cs="Times New Roman"/>
        </w:rPr>
        <w:t>t is axiomatic that any attempt to tackle grand corruption cannot merely focus on the source, but must also encompass destination (or ‘host’) countries.</w:t>
      </w:r>
    </w:p>
    <w:p w14:paraId="536B9EC7" w14:textId="223AD008" w:rsidR="00984547" w:rsidRPr="00455EB3" w:rsidRDefault="00A167A4" w:rsidP="00AB4266">
      <w:pPr>
        <w:jc w:val="both"/>
        <w:rPr>
          <w:rFonts w:ascii="Times New Roman" w:hAnsi="Times New Roman" w:cs="Times New Roman"/>
        </w:rPr>
      </w:pPr>
      <w:r w:rsidRPr="00455EB3">
        <w:rPr>
          <w:rFonts w:ascii="Times New Roman" w:hAnsi="Times New Roman" w:cs="Times New Roman"/>
        </w:rPr>
        <w:tab/>
        <w:t xml:space="preserve">The anti-corruption agenda is strikingly evident in recent AML developments. For example, </w:t>
      </w:r>
      <w:r w:rsidR="005B37C0" w:rsidRPr="00455EB3">
        <w:rPr>
          <w:rFonts w:ascii="Times New Roman" w:hAnsi="Times New Roman" w:cs="Times New Roman"/>
        </w:rPr>
        <w:t xml:space="preserve">at the </w:t>
      </w:r>
      <w:r w:rsidR="00594E6F" w:rsidRPr="00455EB3">
        <w:rPr>
          <w:rFonts w:ascii="Times New Roman" w:hAnsi="Times New Roman" w:cs="Times New Roman"/>
        </w:rPr>
        <w:t xml:space="preserve">2016 </w:t>
      </w:r>
      <w:r w:rsidR="005B37C0" w:rsidRPr="00455EB3">
        <w:rPr>
          <w:rFonts w:ascii="Times New Roman" w:hAnsi="Times New Roman" w:cs="Times New Roman"/>
        </w:rPr>
        <w:t>Anti-Corruption Summit, the then-UK Prime Minister called for a global movement to tackle illicit financial outflows</w:t>
      </w:r>
      <w:r w:rsidR="00984547" w:rsidRPr="00455EB3">
        <w:rPr>
          <w:rFonts w:ascii="Times New Roman" w:hAnsi="Times New Roman" w:cs="Times New Roman"/>
        </w:rPr>
        <w:t>, in his words</w:t>
      </w:r>
      <w:r w:rsidR="005B37C0" w:rsidRPr="00455EB3">
        <w:rPr>
          <w:rFonts w:ascii="Times New Roman" w:hAnsi="Times New Roman" w:cs="Times New Roman"/>
        </w:rPr>
        <w:t xml:space="preserve"> the problem of ‘people stealing from poor countries and hiding that wealth in rich ones’</w:t>
      </w:r>
      <w:r w:rsidR="005C4A8C" w:rsidRPr="00455EB3">
        <w:rPr>
          <w:rFonts w:ascii="Times New Roman" w:hAnsi="Times New Roman" w:cs="Times New Roman"/>
        </w:rPr>
        <w:t>.</w:t>
      </w:r>
      <w:r w:rsidR="005B37C0" w:rsidRPr="00455EB3">
        <w:rPr>
          <w:rStyle w:val="FootnoteReference"/>
          <w:rFonts w:ascii="Times New Roman" w:hAnsi="Times New Roman" w:cs="Times New Roman"/>
        </w:rPr>
        <w:footnoteReference w:id="20"/>
      </w:r>
      <w:r w:rsidR="00E458FB" w:rsidRPr="00455EB3">
        <w:rPr>
          <w:rFonts w:ascii="Times New Roman" w:hAnsi="Times New Roman" w:cs="Times New Roman"/>
        </w:rPr>
        <w:t xml:space="preserve"> </w:t>
      </w:r>
      <w:r w:rsidR="008A4F14" w:rsidRPr="00455EB3">
        <w:rPr>
          <w:rFonts w:ascii="Times New Roman" w:hAnsi="Times New Roman" w:cs="Times New Roman"/>
        </w:rPr>
        <w:t>H</w:t>
      </w:r>
      <w:r w:rsidR="00984547" w:rsidRPr="00455EB3">
        <w:rPr>
          <w:rFonts w:ascii="Times New Roman" w:hAnsi="Times New Roman" w:cs="Times New Roman"/>
        </w:rPr>
        <w:t xml:space="preserve">e </w:t>
      </w:r>
      <w:r w:rsidR="008A4F14" w:rsidRPr="00455EB3">
        <w:rPr>
          <w:rFonts w:ascii="Times New Roman" w:hAnsi="Times New Roman" w:cs="Times New Roman"/>
        </w:rPr>
        <w:t xml:space="preserve">specifically identified </w:t>
      </w:r>
      <w:r w:rsidR="00984547" w:rsidRPr="00455EB3">
        <w:rPr>
          <w:rFonts w:ascii="Times New Roman" w:hAnsi="Times New Roman" w:cs="Times New Roman"/>
        </w:rPr>
        <w:t xml:space="preserve">the </w:t>
      </w:r>
      <w:r w:rsidR="008A4F14" w:rsidRPr="00455EB3">
        <w:rPr>
          <w:rFonts w:ascii="Times New Roman" w:hAnsi="Times New Roman" w:cs="Times New Roman"/>
        </w:rPr>
        <w:t>property</w:t>
      </w:r>
      <w:r w:rsidR="00984547" w:rsidRPr="00455EB3">
        <w:rPr>
          <w:rFonts w:ascii="Times New Roman" w:hAnsi="Times New Roman" w:cs="Times New Roman"/>
        </w:rPr>
        <w:t xml:space="preserve"> market as a problematic sector, saying</w:t>
      </w:r>
      <w:r w:rsidR="005B37C0" w:rsidRPr="00455EB3">
        <w:rPr>
          <w:rFonts w:ascii="Times New Roman" w:hAnsi="Times New Roman" w:cs="Times New Roman"/>
        </w:rPr>
        <w:t xml:space="preserve"> that the UK should ‘clean up our property market and show that there is no home for the corrupt in Britain’</w:t>
      </w:r>
      <w:r w:rsidR="005C4A8C" w:rsidRPr="00455EB3">
        <w:rPr>
          <w:rFonts w:ascii="Times New Roman" w:hAnsi="Times New Roman" w:cs="Times New Roman"/>
        </w:rPr>
        <w:t>.</w:t>
      </w:r>
      <w:r w:rsidR="005B37C0" w:rsidRPr="00455EB3">
        <w:rPr>
          <w:rStyle w:val="FootnoteReference"/>
          <w:rFonts w:ascii="Times New Roman" w:hAnsi="Times New Roman" w:cs="Times New Roman"/>
        </w:rPr>
        <w:footnoteReference w:id="21"/>
      </w:r>
      <w:r w:rsidR="005B37C0" w:rsidRPr="00455EB3">
        <w:rPr>
          <w:rFonts w:ascii="Times New Roman" w:hAnsi="Times New Roman" w:cs="Times New Roman"/>
        </w:rPr>
        <w:t xml:space="preserve"> His comments followed claims that at least £100 billion is laundered through the UK every year</w:t>
      </w:r>
      <w:r w:rsidR="00962921" w:rsidRPr="00455EB3">
        <w:rPr>
          <w:rFonts w:ascii="Times New Roman" w:hAnsi="Times New Roman" w:cs="Times New Roman"/>
        </w:rPr>
        <w:t>,</w:t>
      </w:r>
      <w:r w:rsidR="005B37C0" w:rsidRPr="00455EB3">
        <w:rPr>
          <w:rStyle w:val="FootnoteReference"/>
          <w:rFonts w:ascii="Times New Roman" w:hAnsi="Times New Roman" w:cs="Times New Roman"/>
        </w:rPr>
        <w:footnoteReference w:id="22"/>
      </w:r>
      <w:r w:rsidR="005B37C0" w:rsidRPr="00455EB3">
        <w:rPr>
          <w:rFonts w:ascii="Times New Roman" w:hAnsi="Times New Roman" w:cs="Times New Roman"/>
        </w:rPr>
        <w:t xml:space="preserve"> and that corrupt capital is widely used to buy property in the UK.</w:t>
      </w:r>
      <w:r w:rsidR="005B37C0" w:rsidRPr="00455EB3">
        <w:rPr>
          <w:rStyle w:val="FootnoteReference"/>
          <w:rFonts w:ascii="Times New Roman" w:hAnsi="Times New Roman" w:cs="Times New Roman"/>
        </w:rPr>
        <w:footnoteReference w:id="23"/>
      </w:r>
      <w:r w:rsidR="00962921" w:rsidRPr="00455EB3">
        <w:rPr>
          <w:rFonts w:ascii="Times New Roman" w:hAnsi="Times New Roman" w:cs="Times New Roman"/>
        </w:rPr>
        <w:t xml:space="preserve"> </w:t>
      </w:r>
      <w:r w:rsidR="00D5212A" w:rsidRPr="00455EB3">
        <w:rPr>
          <w:rFonts w:ascii="Times New Roman" w:hAnsi="Times New Roman" w:cs="Times New Roman"/>
        </w:rPr>
        <w:t xml:space="preserve">The </w:t>
      </w:r>
      <w:r w:rsidR="00360FDF" w:rsidRPr="00455EB3">
        <w:rPr>
          <w:rFonts w:ascii="Times New Roman" w:hAnsi="Times New Roman" w:cs="Times New Roman"/>
        </w:rPr>
        <w:t xml:space="preserve">same year, the Home Affairs Select Committee on </w:t>
      </w:r>
      <w:r w:rsidR="00594E6F" w:rsidRPr="00455EB3">
        <w:rPr>
          <w:rFonts w:ascii="Times New Roman" w:hAnsi="Times New Roman" w:cs="Times New Roman"/>
        </w:rPr>
        <w:t>t</w:t>
      </w:r>
      <w:r w:rsidR="00360FDF" w:rsidRPr="00455EB3">
        <w:rPr>
          <w:rFonts w:ascii="Times New Roman" w:hAnsi="Times New Roman" w:cs="Times New Roman"/>
        </w:rPr>
        <w:t>he</w:t>
      </w:r>
      <w:r w:rsidR="00360FDF" w:rsidRPr="00455EB3">
        <w:rPr>
          <w:rFonts w:ascii="Times New Roman" w:hAnsi="Times New Roman" w:cs="Times New Roman"/>
          <w:i/>
          <w:iCs/>
        </w:rPr>
        <w:t xml:space="preserve"> Proceeds of Crime</w:t>
      </w:r>
      <w:r w:rsidR="005B37C0" w:rsidRPr="00455EB3">
        <w:rPr>
          <w:rFonts w:ascii="Times New Roman" w:hAnsi="Times New Roman" w:cs="Times New Roman"/>
        </w:rPr>
        <w:t xml:space="preserve"> suggested that ‘supervision of the property market is totally inadequate, and that poor enforcement has laid out a welcome mat for money launderers’.</w:t>
      </w:r>
      <w:r w:rsidR="005B37C0" w:rsidRPr="00455EB3">
        <w:rPr>
          <w:rStyle w:val="FootnoteReference"/>
          <w:rFonts w:ascii="Times New Roman" w:hAnsi="Times New Roman" w:cs="Times New Roman"/>
        </w:rPr>
        <w:footnoteReference w:id="24"/>
      </w:r>
    </w:p>
    <w:p w14:paraId="01C5BD25" w14:textId="151AF57E" w:rsidR="005B37C0" w:rsidRPr="00455EB3" w:rsidRDefault="00984547" w:rsidP="00AB4266">
      <w:pPr>
        <w:jc w:val="both"/>
        <w:rPr>
          <w:rFonts w:ascii="Times New Roman" w:hAnsi="Times New Roman" w:cs="Times New Roman"/>
        </w:rPr>
      </w:pPr>
      <w:r w:rsidRPr="00455EB3">
        <w:rPr>
          <w:rFonts w:ascii="Times New Roman" w:hAnsi="Times New Roman" w:cs="Times New Roman"/>
        </w:rPr>
        <w:tab/>
      </w:r>
      <w:r w:rsidR="00A167A4" w:rsidRPr="00455EB3">
        <w:rPr>
          <w:rFonts w:ascii="Times New Roman" w:hAnsi="Times New Roman" w:cs="Times New Roman"/>
        </w:rPr>
        <w:t>More recently</w:t>
      </w:r>
      <w:r w:rsidR="005B37C0" w:rsidRPr="00455EB3">
        <w:rPr>
          <w:rFonts w:ascii="Times New Roman" w:hAnsi="Times New Roman" w:cs="Times New Roman"/>
        </w:rPr>
        <w:t xml:space="preserve">, there have been notable legal and policy responses to address, </w:t>
      </w:r>
      <w:r w:rsidR="005B37C0" w:rsidRPr="00455EB3">
        <w:rPr>
          <w:rFonts w:ascii="Times New Roman" w:hAnsi="Times New Roman" w:cs="Times New Roman"/>
          <w:i/>
          <w:iCs/>
        </w:rPr>
        <w:t>inter alia</w:t>
      </w:r>
      <w:r w:rsidR="005B37C0" w:rsidRPr="00455EB3">
        <w:rPr>
          <w:rFonts w:ascii="Times New Roman" w:hAnsi="Times New Roman" w:cs="Times New Roman"/>
        </w:rPr>
        <w:t xml:space="preserve">, money laundering in the </w:t>
      </w:r>
      <w:r w:rsidR="003346A5" w:rsidRPr="00455EB3">
        <w:rPr>
          <w:rFonts w:ascii="Times New Roman" w:hAnsi="Times New Roman" w:cs="Times New Roman"/>
        </w:rPr>
        <w:t xml:space="preserve">UK </w:t>
      </w:r>
      <w:r w:rsidR="005B37C0" w:rsidRPr="00455EB3">
        <w:rPr>
          <w:rFonts w:ascii="Times New Roman" w:hAnsi="Times New Roman" w:cs="Times New Roman"/>
        </w:rPr>
        <w:t>property market</w:t>
      </w:r>
      <w:r w:rsidR="004D656A" w:rsidRPr="00455EB3">
        <w:rPr>
          <w:rFonts w:ascii="Times New Roman" w:hAnsi="Times New Roman" w:cs="Times New Roman"/>
        </w:rPr>
        <w:t>. These</w:t>
      </w:r>
      <w:r w:rsidR="005B37C0" w:rsidRPr="00455EB3">
        <w:rPr>
          <w:rFonts w:ascii="Times New Roman" w:hAnsi="Times New Roman" w:cs="Times New Roman"/>
        </w:rPr>
        <w:t xml:space="preserve"> includ</w:t>
      </w:r>
      <w:r w:rsidR="004D656A" w:rsidRPr="00455EB3">
        <w:rPr>
          <w:rFonts w:ascii="Times New Roman" w:hAnsi="Times New Roman" w:cs="Times New Roman"/>
        </w:rPr>
        <w:t>e</w:t>
      </w:r>
      <w:r w:rsidR="005B37C0" w:rsidRPr="00455EB3">
        <w:rPr>
          <w:rFonts w:ascii="Times New Roman" w:hAnsi="Times New Roman" w:cs="Times New Roman"/>
        </w:rPr>
        <w:t xml:space="preserve"> the expansion of the ‘Flag It Up’ campaign to the property sector;</w:t>
      </w:r>
      <w:r w:rsidR="005B37C0" w:rsidRPr="00455EB3">
        <w:rPr>
          <w:rStyle w:val="FootnoteReference"/>
          <w:rFonts w:ascii="Times New Roman" w:hAnsi="Times New Roman" w:cs="Times New Roman"/>
        </w:rPr>
        <w:footnoteReference w:id="25"/>
      </w:r>
      <w:r w:rsidR="005B37C0" w:rsidRPr="00455EB3">
        <w:rPr>
          <w:rFonts w:ascii="Times New Roman" w:hAnsi="Times New Roman" w:cs="Times New Roman"/>
        </w:rPr>
        <w:t xml:space="preserve"> the enactment of unexplained wealth orders (UWOs);</w:t>
      </w:r>
      <w:r w:rsidR="005B37C0" w:rsidRPr="00455EB3">
        <w:rPr>
          <w:rStyle w:val="FootnoteReference"/>
          <w:rFonts w:ascii="Times New Roman" w:hAnsi="Times New Roman" w:cs="Times New Roman"/>
        </w:rPr>
        <w:footnoteReference w:id="26"/>
      </w:r>
      <w:r w:rsidR="005B37C0" w:rsidRPr="00455EB3">
        <w:rPr>
          <w:rFonts w:ascii="Times New Roman" w:hAnsi="Times New Roman" w:cs="Times New Roman"/>
        </w:rPr>
        <w:t xml:space="preserve"> </w:t>
      </w:r>
      <w:r w:rsidR="006E68C5" w:rsidRPr="00455EB3">
        <w:rPr>
          <w:rFonts w:ascii="Times New Roman" w:hAnsi="Times New Roman" w:cs="Times New Roman"/>
        </w:rPr>
        <w:t xml:space="preserve">the introduction of </w:t>
      </w:r>
      <w:r w:rsidR="005B37C0" w:rsidRPr="00455EB3">
        <w:rPr>
          <w:rFonts w:ascii="Times New Roman" w:hAnsi="Times New Roman" w:cs="Times New Roman"/>
        </w:rPr>
        <w:t>new Money Laundering Regulations (ML Regs);</w:t>
      </w:r>
      <w:r w:rsidR="005B37C0" w:rsidRPr="00455EB3">
        <w:rPr>
          <w:rStyle w:val="FootnoteReference"/>
          <w:rFonts w:ascii="Times New Roman" w:hAnsi="Times New Roman" w:cs="Times New Roman"/>
        </w:rPr>
        <w:footnoteReference w:id="27"/>
      </w:r>
      <w:r w:rsidR="005B37C0" w:rsidRPr="00455EB3">
        <w:rPr>
          <w:rFonts w:ascii="Times New Roman" w:hAnsi="Times New Roman" w:cs="Times New Roman"/>
        </w:rPr>
        <w:t xml:space="preserve"> </w:t>
      </w:r>
      <w:r w:rsidR="00962921" w:rsidRPr="00455EB3">
        <w:rPr>
          <w:rFonts w:ascii="Times New Roman" w:hAnsi="Times New Roman" w:cs="Times New Roman"/>
        </w:rPr>
        <w:t xml:space="preserve">a </w:t>
      </w:r>
      <w:r w:rsidR="005B37C0" w:rsidRPr="00455EB3">
        <w:rPr>
          <w:rFonts w:ascii="Times New Roman" w:hAnsi="Times New Roman" w:cs="Times New Roman"/>
        </w:rPr>
        <w:t>greater focus on professional enablers;</w:t>
      </w:r>
      <w:r w:rsidR="005B37C0" w:rsidRPr="00455EB3">
        <w:rPr>
          <w:rStyle w:val="FootnoteReference"/>
          <w:rFonts w:ascii="Times New Roman" w:hAnsi="Times New Roman" w:cs="Times New Roman"/>
        </w:rPr>
        <w:footnoteReference w:id="28"/>
      </w:r>
      <w:r w:rsidR="005B37C0" w:rsidRPr="00455EB3">
        <w:rPr>
          <w:rFonts w:ascii="Times New Roman" w:hAnsi="Times New Roman" w:cs="Times New Roman"/>
        </w:rPr>
        <w:t xml:space="preserve"> </w:t>
      </w:r>
      <w:r w:rsidR="0040396B" w:rsidRPr="00455EB3">
        <w:rPr>
          <w:rFonts w:ascii="Times New Roman" w:hAnsi="Times New Roman" w:cs="Times New Roman"/>
        </w:rPr>
        <w:t xml:space="preserve">and </w:t>
      </w:r>
      <w:r w:rsidR="005B37C0" w:rsidRPr="00455EB3">
        <w:rPr>
          <w:rFonts w:ascii="Times New Roman" w:hAnsi="Times New Roman" w:cs="Times New Roman"/>
        </w:rPr>
        <w:t>updates to the People of Significant Control (PSC) Register</w:t>
      </w:r>
      <w:r w:rsidR="006E68C5" w:rsidRPr="00455EB3">
        <w:rPr>
          <w:rFonts w:ascii="Times New Roman" w:hAnsi="Times New Roman" w:cs="Times New Roman"/>
        </w:rPr>
        <w:t>.</w:t>
      </w:r>
      <w:r w:rsidR="005B37C0" w:rsidRPr="00455EB3">
        <w:rPr>
          <w:rStyle w:val="FootnoteReference"/>
          <w:rFonts w:ascii="Times New Roman" w:hAnsi="Times New Roman" w:cs="Times New Roman"/>
        </w:rPr>
        <w:footnoteReference w:id="29"/>
      </w:r>
      <w:r w:rsidR="005B37C0" w:rsidRPr="00455EB3">
        <w:rPr>
          <w:rFonts w:ascii="Times New Roman" w:hAnsi="Times New Roman" w:cs="Times New Roman"/>
        </w:rPr>
        <w:t xml:space="preserve"> </w:t>
      </w:r>
      <w:r w:rsidR="005B3519" w:rsidRPr="00455EB3">
        <w:rPr>
          <w:rFonts w:ascii="Times New Roman" w:hAnsi="Times New Roman" w:cs="Times New Roman"/>
        </w:rPr>
        <w:t>Clearly</w:t>
      </w:r>
      <w:r w:rsidR="00595893" w:rsidRPr="00455EB3">
        <w:rPr>
          <w:rFonts w:ascii="Times New Roman" w:hAnsi="Times New Roman" w:cs="Times New Roman"/>
        </w:rPr>
        <w:t>,</w:t>
      </w:r>
      <w:r w:rsidR="005B37C0" w:rsidRPr="00455EB3">
        <w:rPr>
          <w:rFonts w:ascii="Times New Roman" w:hAnsi="Times New Roman" w:cs="Times New Roman"/>
        </w:rPr>
        <w:t xml:space="preserve"> significant efforts are being undertaken </w:t>
      </w:r>
      <w:r w:rsidR="00C708A3" w:rsidRPr="00455EB3">
        <w:rPr>
          <w:rFonts w:ascii="Times New Roman" w:hAnsi="Times New Roman" w:cs="Times New Roman"/>
        </w:rPr>
        <w:t xml:space="preserve">to tackle </w:t>
      </w:r>
      <w:r w:rsidR="00C708A3" w:rsidRPr="00455EB3">
        <w:rPr>
          <w:rFonts w:ascii="Times New Roman" w:hAnsi="Times New Roman" w:cs="Times New Roman"/>
        </w:rPr>
        <w:lastRenderedPageBreak/>
        <w:t xml:space="preserve">money laundering </w:t>
      </w:r>
      <w:r w:rsidR="005B37C0" w:rsidRPr="00455EB3">
        <w:rPr>
          <w:rFonts w:ascii="Times New Roman" w:hAnsi="Times New Roman" w:cs="Times New Roman"/>
        </w:rPr>
        <w:t xml:space="preserve">in relation to the </w:t>
      </w:r>
      <w:r w:rsidR="00C708A3" w:rsidRPr="00455EB3">
        <w:rPr>
          <w:rFonts w:ascii="Times New Roman" w:hAnsi="Times New Roman" w:cs="Times New Roman"/>
        </w:rPr>
        <w:t xml:space="preserve">UK </w:t>
      </w:r>
      <w:r w:rsidR="005B37C0" w:rsidRPr="00455EB3">
        <w:rPr>
          <w:rFonts w:ascii="Times New Roman" w:hAnsi="Times New Roman" w:cs="Times New Roman"/>
        </w:rPr>
        <w:t>property market</w:t>
      </w:r>
      <w:r w:rsidR="00C504FC" w:rsidRPr="00455EB3">
        <w:rPr>
          <w:rFonts w:ascii="Times New Roman" w:hAnsi="Times New Roman" w:cs="Times New Roman"/>
        </w:rPr>
        <w:t>,</w:t>
      </w:r>
      <w:r w:rsidR="005B37C0" w:rsidRPr="00455EB3">
        <w:rPr>
          <w:rStyle w:val="FootnoteReference"/>
          <w:rFonts w:ascii="Times New Roman" w:hAnsi="Times New Roman" w:cs="Times New Roman"/>
        </w:rPr>
        <w:footnoteReference w:id="30"/>
      </w:r>
      <w:r w:rsidR="005B37C0" w:rsidRPr="00455EB3">
        <w:rPr>
          <w:rFonts w:ascii="Times New Roman" w:hAnsi="Times New Roman" w:cs="Times New Roman"/>
        </w:rPr>
        <w:t xml:space="preserve"> </w:t>
      </w:r>
      <w:r w:rsidR="000D42AE" w:rsidRPr="00455EB3">
        <w:rPr>
          <w:rFonts w:ascii="Times New Roman" w:hAnsi="Times New Roman" w:cs="Times New Roman"/>
        </w:rPr>
        <w:t xml:space="preserve">and similar efforts are being </w:t>
      </w:r>
      <w:r w:rsidR="00C708A3" w:rsidRPr="00455EB3">
        <w:rPr>
          <w:rFonts w:ascii="Times New Roman" w:hAnsi="Times New Roman" w:cs="Times New Roman"/>
        </w:rPr>
        <w:t xml:space="preserve">made </w:t>
      </w:r>
      <w:r w:rsidR="000D42AE" w:rsidRPr="00455EB3">
        <w:rPr>
          <w:rFonts w:ascii="Times New Roman" w:hAnsi="Times New Roman" w:cs="Times New Roman"/>
        </w:rPr>
        <w:t xml:space="preserve">in other </w:t>
      </w:r>
      <w:r w:rsidR="009D60B4" w:rsidRPr="00455EB3">
        <w:rPr>
          <w:rFonts w:ascii="Times New Roman" w:hAnsi="Times New Roman" w:cs="Times New Roman"/>
        </w:rPr>
        <w:t>jurisdictions</w:t>
      </w:r>
      <w:r w:rsidR="00C504FC" w:rsidRPr="00455EB3">
        <w:rPr>
          <w:rFonts w:ascii="Times New Roman" w:hAnsi="Times New Roman" w:cs="Times New Roman"/>
        </w:rPr>
        <w:t xml:space="preserve"> (</w:t>
      </w:r>
      <w:r w:rsidR="00EF0C4B" w:rsidRPr="00455EB3">
        <w:rPr>
          <w:rFonts w:ascii="Times New Roman" w:hAnsi="Times New Roman" w:cs="Times New Roman"/>
        </w:rPr>
        <w:t>e.g.</w:t>
      </w:r>
      <w:r w:rsidR="00C504FC" w:rsidRPr="00455EB3">
        <w:rPr>
          <w:rFonts w:ascii="Times New Roman" w:hAnsi="Times New Roman" w:cs="Times New Roman"/>
        </w:rPr>
        <w:t xml:space="preserve"> Australia</w:t>
      </w:r>
      <w:r w:rsidR="003346A5" w:rsidRPr="00455EB3">
        <w:rPr>
          <w:rFonts w:ascii="Times New Roman" w:hAnsi="Times New Roman" w:cs="Times New Roman"/>
        </w:rPr>
        <w:t xml:space="preserve">, </w:t>
      </w:r>
      <w:r w:rsidR="00C504FC" w:rsidRPr="00455EB3">
        <w:rPr>
          <w:rFonts w:ascii="Times New Roman" w:hAnsi="Times New Roman" w:cs="Times New Roman"/>
        </w:rPr>
        <w:t>Canada</w:t>
      </w:r>
      <w:r w:rsidR="003346A5" w:rsidRPr="00455EB3">
        <w:rPr>
          <w:rFonts w:ascii="Times New Roman" w:hAnsi="Times New Roman" w:cs="Times New Roman"/>
        </w:rPr>
        <w:t>, and the US</w:t>
      </w:r>
      <w:r w:rsidR="00C504FC" w:rsidRPr="00455EB3">
        <w:rPr>
          <w:rFonts w:ascii="Times New Roman" w:hAnsi="Times New Roman" w:cs="Times New Roman"/>
        </w:rPr>
        <w:t>)</w:t>
      </w:r>
      <w:r w:rsidR="009D60B4" w:rsidRPr="00455EB3">
        <w:rPr>
          <w:rFonts w:ascii="Times New Roman" w:hAnsi="Times New Roman" w:cs="Times New Roman"/>
        </w:rPr>
        <w:t>.</w:t>
      </w:r>
      <w:r w:rsidR="009D60B4" w:rsidRPr="00455EB3">
        <w:rPr>
          <w:rStyle w:val="FootnoteReference"/>
          <w:rFonts w:ascii="Times New Roman" w:hAnsi="Times New Roman" w:cs="Times New Roman"/>
        </w:rPr>
        <w:footnoteReference w:id="31"/>
      </w:r>
    </w:p>
    <w:p w14:paraId="38699B6F" w14:textId="7EB324EE" w:rsidR="00335CC1" w:rsidRPr="00455EB3" w:rsidRDefault="006E68C5" w:rsidP="00AB4266">
      <w:pPr>
        <w:jc w:val="both"/>
        <w:rPr>
          <w:rFonts w:ascii="Times New Roman" w:hAnsi="Times New Roman" w:cs="Times New Roman"/>
        </w:rPr>
      </w:pPr>
      <w:r w:rsidRPr="00455EB3">
        <w:rPr>
          <w:rFonts w:ascii="Times New Roman" w:hAnsi="Times New Roman" w:cs="Times New Roman"/>
        </w:rPr>
        <w:tab/>
      </w:r>
      <w:r w:rsidR="0041758A" w:rsidRPr="00455EB3">
        <w:rPr>
          <w:rFonts w:ascii="Times New Roman" w:hAnsi="Times New Roman" w:cs="Times New Roman"/>
        </w:rPr>
        <w:t>T</w:t>
      </w:r>
      <w:r w:rsidR="005B37C0" w:rsidRPr="00455EB3">
        <w:rPr>
          <w:rFonts w:ascii="Times New Roman" w:hAnsi="Times New Roman" w:cs="Times New Roman"/>
        </w:rPr>
        <w:t xml:space="preserve">he amount of money involved in property transactions and the inherent vulnerabilities of the real estate sector to </w:t>
      </w:r>
      <w:r w:rsidR="00C504FC" w:rsidRPr="00455EB3">
        <w:rPr>
          <w:rFonts w:ascii="Times New Roman" w:hAnsi="Times New Roman" w:cs="Times New Roman"/>
        </w:rPr>
        <w:t xml:space="preserve">money </w:t>
      </w:r>
      <w:r w:rsidR="005B37C0" w:rsidRPr="00455EB3">
        <w:rPr>
          <w:rFonts w:ascii="Times New Roman" w:hAnsi="Times New Roman" w:cs="Times New Roman"/>
        </w:rPr>
        <w:t xml:space="preserve">laundering </w:t>
      </w:r>
      <w:r w:rsidR="002113D6" w:rsidRPr="00455EB3">
        <w:rPr>
          <w:rFonts w:ascii="Times New Roman" w:hAnsi="Times New Roman" w:cs="Times New Roman"/>
        </w:rPr>
        <w:t>have</w:t>
      </w:r>
      <w:r w:rsidR="005B37C0" w:rsidRPr="00455EB3">
        <w:rPr>
          <w:rFonts w:ascii="Times New Roman" w:hAnsi="Times New Roman" w:cs="Times New Roman"/>
        </w:rPr>
        <w:t xml:space="preserve"> give</w:t>
      </w:r>
      <w:r w:rsidR="002113D6" w:rsidRPr="00455EB3">
        <w:rPr>
          <w:rFonts w:ascii="Times New Roman" w:hAnsi="Times New Roman" w:cs="Times New Roman"/>
        </w:rPr>
        <w:t>n</w:t>
      </w:r>
      <w:r w:rsidR="005B37C0" w:rsidRPr="00455EB3">
        <w:rPr>
          <w:rFonts w:ascii="Times New Roman" w:hAnsi="Times New Roman" w:cs="Times New Roman"/>
        </w:rPr>
        <w:t xml:space="preserve"> rise to concern</w:t>
      </w:r>
      <w:r w:rsidR="00107558" w:rsidRPr="00455EB3">
        <w:rPr>
          <w:rFonts w:ascii="Times New Roman" w:hAnsi="Times New Roman" w:cs="Times New Roman"/>
        </w:rPr>
        <w:t>s</w:t>
      </w:r>
      <w:r w:rsidR="005B37C0" w:rsidRPr="00455EB3">
        <w:rPr>
          <w:rFonts w:ascii="Times New Roman" w:hAnsi="Times New Roman" w:cs="Times New Roman"/>
        </w:rPr>
        <w:t xml:space="preserve"> that it is all too easy to launder money through property.</w:t>
      </w:r>
      <w:r w:rsidR="005B37C0" w:rsidRPr="00455EB3">
        <w:rPr>
          <w:rStyle w:val="FootnoteReference"/>
          <w:rFonts w:ascii="Times New Roman" w:hAnsi="Times New Roman" w:cs="Times New Roman"/>
        </w:rPr>
        <w:footnoteReference w:id="32"/>
      </w:r>
      <w:r w:rsidR="00B04EDA" w:rsidRPr="00455EB3">
        <w:rPr>
          <w:rFonts w:ascii="Times New Roman" w:hAnsi="Times New Roman" w:cs="Times New Roman"/>
        </w:rPr>
        <w:t xml:space="preserve"> </w:t>
      </w:r>
      <w:r w:rsidR="00595893" w:rsidRPr="00455EB3">
        <w:rPr>
          <w:rFonts w:ascii="Times New Roman" w:hAnsi="Times New Roman" w:cs="Times New Roman"/>
        </w:rPr>
        <w:t>In this sense, unsurprisingly the property market has been seen as a key area for AML regulation</w:t>
      </w:r>
      <w:r w:rsidR="005B3519" w:rsidRPr="00455EB3">
        <w:rPr>
          <w:rFonts w:ascii="Times New Roman" w:hAnsi="Times New Roman" w:cs="Times New Roman"/>
        </w:rPr>
        <w:t>.</w:t>
      </w:r>
      <w:r w:rsidR="00595893" w:rsidRPr="00455EB3">
        <w:rPr>
          <w:rFonts w:ascii="Times New Roman" w:hAnsi="Times New Roman" w:cs="Times New Roman"/>
        </w:rPr>
        <w:t xml:space="preserve"> </w:t>
      </w:r>
      <w:r w:rsidR="00686CEF" w:rsidRPr="00455EB3">
        <w:rPr>
          <w:rFonts w:ascii="Times New Roman" w:hAnsi="Times New Roman" w:cs="Times New Roman"/>
        </w:rPr>
        <w:t xml:space="preserve">This </w:t>
      </w:r>
      <w:r w:rsidR="00A97B15" w:rsidRPr="00455EB3">
        <w:rPr>
          <w:rFonts w:ascii="Times New Roman" w:hAnsi="Times New Roman" w:cs="Times New Roman"/>
        </w:rPr>
        <w:t xml:space="preserve">fact </w:t>
      </w:r>
      <w:r w:rsidR="00686CEF" w:rsidRPr="00455EB3">
        <w:rPr>
          <w:rFonts w:ascii="Times New Roman" w:hAnsi="Times New Roman" w:cs="Times New Roman"/>
        </w:rPr>
        <w:t xml:space="preserve">accords with the view that </w:t>
      </w:r>
      <w:r w:rsidR="002113D6" w:rsidRPr="00455EB3">
        <w:rPr>
          <w:rFonts w:ascii="Times New Roman" w:hAnsi="Times New Roman" w:cs="Times New Roman"/>
        </w:rPr>
        <w:t>‘the intersection of licit and illicit markets, and the dependence of illicit markets on the former, have invited regulatory intervention in furtherance of crime control’</w:t>
      </w:r>
      <w:r w:rsidR="005C4A8C" w:rsidRPr="00455EB3">
        <w:rPr>
          <w:rFonts w:ascii="Times New Roman" w:hAnsi="Times New Roman" w:cs="Times New Roman"/>
        </w:rPr>
        <w:t>.</w:t>
      </w:r>
      <w:r w:rsidR="002113D6" w:rsidRPr="00455EB3">
        <w:rPr>
          <w:rStyle w:val="FootnoteReference"/>
          <w:rFonts w:ascii="Times New Roman" w:hAnsi="Times New Roman" w:cs="Times New Roman"/>
        </w:rPr>
        <w:footnoteReference w:id="33"/>
      </w:r>
      <w:r w:rsidR="002113D6" w:rsidRPr="00455EB3">
        <w:rPr>
          <w:rFonts w:ascii="Times New Roman" w:hAnsi="Times New Roman" w:cs="Times New Roman"/>
        </w:rPr>
        <w:t xml:space="preserve"> </w:t>
      </w:r>
      <w:r w:rsidR="00AD685D" w:rsidRPr="00455EB3">
        <w:rPr>
          <w:rFonts w:ascii="Times New Roman" w:hAnsi="Times New Roman" w:cs="Times New Roman"/>
        </w:rPr>
        <w:t>Regulatory strategies cannot, however, be viewed in isolation:</w:t>
      </w:r>
      <w:r w:rsidR="00D36A2B" w:rsidRPr="00455EB3">
        <w:rPr>
          <w:rFonts w:ascii="Times New Roman" w:hAnsi="Times New Roman" w:cs="Times New Roman"/>
        </w:rPr>
        <w:t xml:space="preserve"> </w:t>
      </w:r>
      <w:r w:rsidR="00E25921" w:rsidRPr="00455EB3">
        <w:rPr>
          <w:rFonts w:ascii="Times New Roman" w:hAnsi="Times New Roman" w:cs="Times New Roman"/>
        </w:rPr>
        <w:t>regulation ‘</w:t>
      </w:r>
      <w:r w:rsidR="00B04EDA" w:rsidRPr="00455EB3">
        <w:rPr>
          <w:rFonts w:ascii="Times New Roman" w:hAnsi="Times New Roman" w:cs="Times New Roman"/>
        </w:rPr>
        <w:t>operates in a world where the law is imperfect, enforcement and compliance costly, resources limited, and the regulator has discretion’</w:t>
      </w:r>
      <w:r w:rsidR="005C4A8C" w:rsidRPr="00455EB3">
        <w:rPr>
          <w:rFonts w:ascii="Times New Roman" w:hAnsi="Times New Roman" w:cs="Times New Roman"/>
        </w:rPr>
        <w:t>.</w:t>
      </w:r>
      <w:r w:rsidR="00B04EDA" w:rsidRPr="00455EB3">
        <w:rPr>
          <w:rStyle w:val="FootnoteReference"/>
          <w:rFonts w:ascii="Times New Roman" w:hAnsi="Times New Roman" w:cs="Times New Roman"/>
        </w:rPr>
        <w:footnoteReference w:id="34"/>
      </w:r>
      <w:r w:rsidR="00B04EDA" w:rsidRPr="00455EB3">
        <w:rPr>
          <w:rFonts w:ascii="Times New Roman" w:hAnsi="Times New Roman" w:cs="Times New Roman"/>
        </w:rPr>
        <w:t xml:space="preserve"> </w:t>
      </w:r>
      <w:r w:rsidR="00BA450A" w:rsidRPr="00455EB3">
        <w:rPr>
          <w:rFonts w:ascii="Times New Roman" w:hAnsi="Times New Roman" w:cs="Times New Roman"/>
        </w:rPr>
        <w:t xml:space="preserve">So, while </w:t>
      </w:r>
      <w:r w:rsidR="00E25921" w:rsidRPr="00455EB3">
        <w:rPr>
          <w:rFonts w:ascii="Times New Roman" w:hAnsi="Times New Roman" w:cs="Times New Roman"/>
        </w:rPr>
        <w:t>the AML r</w:t>
      </w:r>
      <w:r w:rsidR="00B04EDA" w:rsidRPr="00455EB3">
        <w:rPr>
          <w:rFonts w:ascii="Times New Roman" w:hAnsi="Times New Roman" w:cs="Times New Roman"/>
        </w:rPr>
        <w:t>egime might have laudable objective</w:t>
      </w:r>
      <w:r w:rsidR="00C504FC" w:rsidRPr="00455EB3">
        <w:rPr>
          <w:rFonts w:ascii="Times New Roman" w:hAnsi="Times New Roman" w:cs="Times New Roman"/>
        </w:rPr>
        <w:t>s</w:t>
      </w:r>
      <w:r w:rsidR="00B04EDA" w:rsidRPr="00455EB3">
        <w:rPr>
          <w:rFonts w:ascii="Times New Roman" w:hAnsi="Times New Roman" w:cs="Times New Roman"/>
        </w:rPr>
        <w:t>,</w:t>
      </w:r>
      <w:r w:rsidR="00B04EDA" w:rsidRPr="00455EB3">
        <w:rPr>
          <w:rStyle w:val="FootnoteReference"/>
          <w:rFonts w:ascii="Times New Roman" w:hAnsi="Times New Roman" w:cs="Times New Roman"/>
        </w:rPr>
        <w:footnoteReference w:id="35"/>
      </w:r>
      <w:r w:rsidR="00E25921" w:rsidRPr="00455EB3">
        <w:rPr>
          <w:rFonts w:ascii="Times New Roman" w:hAnsi="Times New Roman" w:cs="Times New Roman"/>
        </w:rPr>
        <w:t xml:space="preserve"> there are significant difficulties in</w:t>
      </w:r>
      <w:r w:rsidR="00026BFA" w:rsidRPr="00455EB3">
        <w:rPr>
          <w:rFonts w:ascii="Times New Roman" w:hAnsi="Times New Roman" w:cs="Times New Roman"/>
        </w:rPr>
        <w:t xml:space="preserve"> its </w:t>
      </w:r>
      <w:r w:rsidR="001704CF" w:rsidRPr="00455EB3">
        <w:rPr>
          <w:rFonts w:ascii="Times New Roman" w:hAnsi="Times New Roman" w:cs="Times New Roman"/>
        </w:rPr>
        <w:t xml:space="preserve">practical </w:t>
      </w:r>
      <w:r w:rsidR="00026BFA" w:rsidRPr="00455EB3">
        <w:rPr>
          <w:rFonts w:ascii="Times New Roman" w:hAnsi="Times New Roman" w:cs="Times New Roman"/>
        </w:rPr>
        <w:t>implementation</w:t>
      </w:r>
      <w:r w:rsidR="00E25921" w:rsidRPr="00455EB3">
        <w:rPr>
          <w:rFonts w:ascii="Times New Roman" w:hAnsi="Times New Roman" w:cs="Times New Roman"/>
        </w:rPr>
        <w:t xml:space="preserve">. </w:t>
      </w:r>
      <w:r w:rsidR="00AD685D" w:rsidRPr="00455EB3">
        <w:rPr>
          <w:rFonts w:ascii="Times New Roman" w:hAnsi="Times New Roman" w:cs="Times New Roman"/>
        </w:rPr>
        <w:t>Furthermore</w:t>
      </w:r>
      <w:r w:rsidR="00E25921" w:rsidRPr="00455EB3">
        <w:rPr>
          <w:rFonts w:ascii="Times New Roman" w:hAnsi="Times New Roman" w:cs="Times New Roman"/>
        </w:rPr>
        <w:t xml:space="preserve">, </w:t>
      </w:r>
      <w:r w:rsidR="005B37C0" w:rsidRPr="00455EB3">
        <w:rPr>
          <w:rFonts w:ascii="Times New Roman" w:hAnsi="Times New Roman" w:cs="Times New Roman"/>
        </w:rPr>
        <w:t xml:space="preserve">there has been criticism that the AML regime imposes onerous and uncertain obligations on </w:t>
      </w:r>
      <w:r w:rsidR="00E25921" w:rsidRPr="00455EB3">
        <w:rPr>
          <w:rFonts w:ascii="Times New Roman" w:hAnsi="Times New Roman" w:cs="Times New Roman"/>
        </w:rPr>
        <w:t>private actors</w:t>
      </w:r>
      <w:r w:rsidR="00026BFA" w:rsidRPr="00455EB3">
        <w:rPr>
          <w:rFonts w:ascii="Times New Roman" w:hAnsi="Times New Roman" w:cs="Times New Roman"/>
        </w:rPr>
        <w:t xml:space="preserve"> and </w:t>
      </w:r>
      <w:r w:rsidR="00C501E5" w:rsidRPr="00455EB3">
        <w:rPr>
          <w:rFonts w:ascii="Times New Roman" w:hAnsi="Times New Roman" w:cs="Times New Roman"/>
        </w:rPr>
        <w:t xml:space="preserve">that </w:t>
      </w:r>
      <w:r w:rsidR="00026BFA" w:rsidRPr="00455EB3">
        <w:rPr>
          <w:rFonts w:ascii="Times New Roman" w:hAnsi="Times New Roman" w:cs="Times New Roman"/>
        </w:rPr>
        <w:t>there is a lack of proper support for them by national agencies and institutions</w:t>
      </w:r>
      <w:r w:rsidR="00E25921" w:rsidRPr="00455EB3">
        <w:rPr>
          <w:rFonts w:ascii="Times New Roman" w:hAnsi="Times New Roman" w:cs="Times New Roman"/>
        </w:rPr>
        <w:t>.</w:t>
      </w:r>
      <w:r w:rsidR="00A167A4" w:rsidRPr="00455EB3">
        <w:rPr>
          <w:rStyle w:val="FootnoteReference"/>
          <w:rFonts w:ascii="Times New Roman" w:hAnsi="Times New Roman" w:cs="Times New Roman"/>
        </w:rPr>
        <w:footnoteReference w:id="36"/>
      </w:r>
      <w:r w:rsidR="00293AB1" w:rsidRPr="00455EB3">
        <w:rPr>
          <w:rFonts w:ascii="Times New Roman" w:hAnsi="Times New Roman" w:cs="Times New Roman"/>
        </w:rPr>
        <w:t xml:space="preserve"> </w:t>
      </w:r>
      <w:r w:rsidR="00335CC1" w:rsidRPr="00455EB3">
        <w:rPr>
          <w:rFonts w:ascii="Times New Roman" w:hAnsi="Times New Roman" w:cs="Times New Roman"/>
        </w:rPr>
        <w:t xml:space="preserve">In the same sense, concerns have been </w:t>
      </w:r>
      <w:r w:rsidR="00BF0682" w:rsidRPr="00455EB3">
        <w:rPr>
          <w:rFonts w:ascii="Times New Roman" w:hAnsi="Times New Roman" w:cs="Times New Roman"/>
        </w:rPr>
        <w:t xml:space="preserve">expressed </w:t>
      </w:r>
      <w:r w:rsidR="00335CC1" w:rsidRPr="00455EB3">
        <w:rPr>
          <w:rFonts w:ascii="Times New Roman" w:hAnsi="Times New Roman" w:cs="Times New Roman"/>
        </w:rPr>
        <w:t xml:space="preserve">as to the fact that </w:t>
      </w:r>
      <w:r w:rsidR="00293AB1" w:rsidRPr="00455EB3">
        <w:rPr>
          <w:rFonts w:ascii="Times New Roman" w:hAnsi="Times New Roman" w:cs="Times New Roman"/>
        </w:rPr>
        <w:t>AML regulation has resulted in private actors engag</w:t>
      </w:r>
      <w:r w:rsidR="00713D4A" w:rsidRPr="00455EB3">
        <w:rPr>
          <w:rFonts w:ascii="Times New Roman" w:hAnsi="Times New Roman" w:cs="Times New Roman"/>
        </w:rPr>
        <w:t>ing i</w:t>
      </w:r>
      <w:r w:rsidR="00293AB1" w:rsidRPr="00455EB3">
        <w:rPr>
          <w:rFonts w:ascii="Times New Roman" w:hAnsi="Times New Roman" w:cs="Times New Roman"/>
        </w:rPr>
        <w:t>n de-risking (and de-banking) of customers.</w:t>
      </w:r>
      <w:r w:rsidR="00293AB1" w:rsidRPr="00455EB3">
        <w:rPr>
          <w:rStyle w:val="FootnoteReference"/>
          <w:rFonts w:ascii="Times New Roman" w:hAnsi="Times New Roman" w:cs="Times New Roman"/>
        </w:rPr>
        <w:footnoteReference w:id="37"/>
      </w:r>
    </w:p>
    <w:p w14:paraId="7F136F8E" w14:textId="76FD4851" w:rsidR="000855CC" w:rsidRPr="00455EB3" w:rsidRDefault="00335CC1" w:rsidP="00AB4266">
      <w:pPr>
        <w:jc w:val="both"/>
        <w:rPr>
          <w:rFonts w:ascii="Times New Roman" w:hAnsi="Times New Roman" w:cs="Times New Roman"/>
        </w:rPr>
      </w:pPr>
      <w:r w:rsidRPr="00455EB3">
        <w:rPr>
          <w:rFonts w:ascii="Times New Roman" w:hAnsi="Times New Roman" w:cs="Times New Roman"/>
        </w:rPr>
        <w:tab/>
      </w:r>
      <w:r w:rsidR="00D36A2B" w:rsidRPr="00455EB3">
        <w:rPr>
          <w:rFonts w:ascii="Times New Roman" w:hAnsi="Times New Roman" w:cs="Times New Roman"/>
        </w:rPr>
        <w:t>Given this context, a</w:t>
      </w:r>
      <w:r w:rsidR="008346C0" w:rsidRPr="00455EB3">
        <w:rPr>
          <w:rFonts w:ascii="Times New Roman" w:hAnsi="Times New Roman" w:cs="Times New Roman"/>
        </w:rPr>
        <w:t>n</w:t>
      </w:r>
      <w:r w:rsidR="00AF6D99" w:rsidRPr="00455EB3">
        <w:rPr>
          <w:rFonts w:ascii="Times New Roman" w:hAnsi="Times New Roman" w:cs="Times New Roman"/>
        </w:rPr>
        <w:t xml:space="preserve"> extensive literature </w:t>
      </w:r>
      <w:r w:rsidR="008346C0" w:rsidRPr="00455EB3">
        <w:rPr>
          <w:rFonts w:ascii="Times New Roman" w:hAnsi="Times New Roman" w:cs="Times New Roman"/>
        </w:rPr>
        <w:t xml:space="preserve">exists </w:t>
      </w:r>
      <w:r w:rsidR="00AF6D99" w:rsidRPr="00455EB3">
        <w:rPr>
          <w:rFonts w:ascii="Times New Roman" w:hAnsi="Times New Roman" w:cs="Times New Roman"/>
        </w:rPr>
        <w:t xml:space="preserve">on AML, </w:t>
      </w:r>
      <w:r w:rsidR="007D6B3D" w:rsidRPr="00455EB3">
        <w:rPr>
          <w:rFonts w:ascii="Times New Roman" w:hAnsi="Times New Roman" w:cs="Times New Roman"/>
        </w:rPr>
        <w:t xml:space="preserve">mainly </w:t>
      </w:r>
      <w:r w:rsidR="00AF6D99" w:rsidRPr="00455EB3">
        <w:rPr>
          <w:rFonts w:ascii="Times New Roman" w:hAnsi="Times New Roman" w:cs="Times New Roman"/>
        </w:rPr>
        <w:t xml:space="preserve">focusing on the </w:t>
      </w:r>
      <w:r w:rsidR="00E700E8" w:rsidRPr="00455EB3">
        <w:rPr>
          <w:rFonts w:ascii="Times New Roman" w:hAnsi="Times New Roman" w:cs="Times New Roman"/>
        </w:rPr>
        <w:t xml:space="preserve">financial </w:t>
      </w:r>
      <w:r w:rsidR="00AF6D99" w:rsidRPr="00455EB3">
        <w:rPr>
          <w:rFonts w:ascii="Times New Roman" w:hAnsi="Times New Roman" w:cs="Times New Roman"/>
        </w:rPr>
        <w:t>sector.</w:t>
      </w:r>
      <w:r w:rsidR="00AF6D99" w:rsidRPr="00455EB3">
        <w:rPr>
          <w:rStyle w:val="FootnoteReference"/>
          <w:rFonts w:ascii="Times New Roman" w:hAnsi="Times New Roman" w:cs="Times New Roman"/>
        </w:rPr>
        <w:footnoteReference w:id="38"/>
      </w:r>
      <w:r w:rsidR="00AF6D99" w:rsidRPr="00455EB3">
        <w:rPr>
          <w:rFonts w:ascii="Times New Roman" w:hAnsi="Times New Roman" w:cs="Times New Roman"/>
        </w:rPr>
        <w:t xml:space="preserve"> Moreover, </w:t>
      </w:r>
      <w:r w:rsidR="00D36A2B" w:rsidRPr="00455EB3">
        <w:rPr>
          <w:rFonts w:ascii="Times New Roman" w:hAnsi="Times New Roman" w:cs="Times New Roman"/>
        </w:rPr>
        <w:t xml:space="preserve">as already recalled, </w:t>
      </w:r>
      <w:r w:rsidR="00AF6D99" w:rsidRPr="00455EB3">
        <w:rPr>
          <w:rFonts w:ascii="Times New Roman" w:hAnsi="Times New Roman" w:cs="Times New Roman"/>
        </w:rPr>
        <w:t>international and national legislation</w:t>
      </w:r>
      <w:r w:rsidR="00295A6A" w:rsidRPr="00455EB3">
        <w:rPr>
          <w:rFonts w:ascii="Times New Roman" w:hAnsi="Times New Roman" w:cs="Times New Roman"/>
        </w:rPr>
        <w:t>s</w:t>
      </w:r>
      <w:r w:rsidR="00AF6D99" w:rsidRPr="00455EB3">
        <w:rPr>
          <w:rFonts w:ascii="Times New Roman" w:hAnsi="Times New Roman" w:cs="Times New Roman"/>
        </w:rPr>
        <w:t xml:space="preserve"> </w:t>
      </w:r>
      <w:r w:rsidR="00295A6A" w:rsidRPr="00455EB3">
        <w:rPr>
          <w:rFonts w:ascii="Times New Roman" w:hAnsi="Times New Roman" w:cs="Times New Roman"/>
        </w:rPr>
        <w:t xml:space="preserve">have </w:t>
      </w:r>
      <w:r w:rsidR="00AF6D99" w:rsidRPr="00455EB3">
        <w:rPr>
          <w:rFonts w:ascii="Times New Roman" w:hAnsi="Times New Roman" w:cs="Times New Roman"/>
        </w:rPr>
        <w:t>increasingly imposed obligations on different sectors and the actors involved in them, including lawyers, accountants and estate agents.</w:t>
      </w:r>
      <w:r w:rsidR="00AF6D99" w:rsidRPr="00455EB3">
        <w:rPr>
          <w:rStyle w:val="FootnoteReference"/>
          <w:rFonts w:ascii="Times New Roman" w:hAnsi="Times New Roman" w:cs="Times New Roman"/>
        </w:rPr>
        <w:footnoteReference w:id="39"/>
      </w:r>
      <w:r w:rsidR="00AF6D99" w:rsidRPr="00455EB3">
        <w:rPr>
          <w:rFonts w:ascii="Times New Roman" w:hAnsi="Times New Roman" w:cs="Times New Roman"/>
        </w:rPr>
        <w:t xml:space="preserve"> However, policymakers often overlook the practical difficulties in implementing AML </w:t>
      </w:r>
      <w:r w:rsidR="007966CC" w:rsidRPr="00455EB3">
        <w:rPr>
          <w:rFonts w:ascii="Times New Roman" w:hAnsi="Times New Roman" w:cs="Times New Roman"/>
        </w:rPr>
        <w:t>regulation</w:t>
      </w:r>
      <w:r w:rsidR="008346C0" w:rsidRPr="00455EB3">
        <w:rPr>
          <w:rFonts w:ascii="Times New Roman" w:hAnsi="Times New Roman" w:cs="Times New Roman"/>
        </w:rPr>
        <w:t xml:space="preserve">. </w:t>
      </w:r>
      <w:r w:rsidR="005B37C0" w:rsidRPr="00455EB3">
        <w:rPr>
          <w:rFonts w:ascii="Times New Roman" w:hAnsi="Times New Roman" w:cs="Times New Roman"/>
        </w:rPr>
        <w:t xml:space="preserve">Amidst concern as to the extent of and vulnerabilities to money laundering in the </w:t>
      </w:r>
      <w:r w:rsidR="00026BFA" w:rsidRPr="00455EB3">
        <w:rPr>
          <w:rFonts w:ascii="Times New Roman" w:hAnsi="Times New Roman" w:cs="Times New Roman"/>
        </w:rPr>
        <w:t>UK</w:t>
      </w:r>
      <w:r w:rsidR="008346C0" w:rsidRPr="00455EB3">
        <w:rPr>
          <w:rFonts w:ascii="Times New Roman" w:hAnsi="Times New Roman" w:cs="Times New Roman"/>
        </w:rPr>
        <w:t xml:space="preserve"> </w:t>
      </w:r>
      <w:r w:rsidR="005B37C0" w:rsidRPr="00455EB3">
        <w:rPr>
          <w:rFonts w:ascii="Times New Roman" w:hAnsi="Times New Roman" w:cs="Times New Roman"/>
        </w:rPr>
        <w:t xml:space="preserve">property market, </w:t>
      </w:r>
      <w:r w:rsidR="00001090" w:rsidRPr="00455EB3">
        <w:rPr>
          <w:rFonts w:ascii="Times New Roman" w:hAnsi="Times New Roman" w:cs="Times New Roman"/>
        </w:rPr>
        <w:t>this article</w:t>
      </w:r>
      <w:r w:rsidR="00D36A2B" w:rsidRPr="00455EB3">
        <w:rPr>
          <w:rFonts w:ascii="Times New Roman" w:hAnsi="Times New Roman" w:cs="Times New Roman"/>
        </w:rPr>
        <w:t xml:space="preserve"> focuses on</w:t>
      </w:r>
      <w:r w:rsidR="00001090" w:rsidRPr="00455EB3">
        <w:rPr>
          <w:rFonts w:ascii="Times New Roman" w:hAnsi="Times New Roman" w:cs="Times New Roman"/>
        </w:rPr>
        <w:t xml:space="preserve"> the implementation of AML </w:t>
      </w:r>
      <w:r w:rsidR="006F5A49" w:rsidRPr="00455EB3">
        <w:rPr>
          <w:rFonts w:ascii="Times New Roman" w:hAnsi="Times New Roman" w:cs="Times New Roman"/>
        </w:rPr>
        <w:t xml:space="preserve">regulation </w:t>
      </w:r>
      <w:r w:rsidR="00001090" w:rsidRPr="00455EB3">
        <w:rPr>
          <w:rFonts w:ascii="Times New Roman" w:hAnsi="Times New Roman" w:cs="Times New Roman"/>
        </w:rPr>
        <w:t xml:space="preserve">in </w:t>
      </w:r>
      <w:r w:rsidR="006F5A49" w:rsidRPr="00455EB3">
        <w:rPr>
          <w:rFonts w:ascii="Times New Roman" w:hAnsi="Times New Roman" w:cs="Times New Roman"/>
        </w:rPr>
        <w:t xml:space="preserve">the </w:t>
      </w:r>
      <w:r w:rsidR="00001090" w:rsidRPr="00455EB3">
        <w:rPr>
          <w:rFonts w:ascii="Times New Roman" w:hAnsi="Times New Roman" w:cs="Times New Roman"/>
        </w:rPr>
        <w:t xml:space="preserve">UK real estate sector, </w:t>
      </w:r>
      <w:r w:rsidR="00001090" w:rsidRPr="00455EB3">
        <w:rPr>
          <w:rFonts w:ascii="Times New Roman" w:hAnsi="Times New Roman" w:cs="Times New Roman"/>
        </w:rPr>
        <w:lastRenderedPageBreak/>
        <w:t>examining th</w:t>
      </w:r>
      <w:r w:rsidR="006F5A49" w:rsidRPr="00455EB3">
        <w:rPr>
          <w:rFonts w:ascii="Times New Roman" w:hAnsi="Times New Roman" w:cs="Times New Roman"/>
        </w:rPr>
        <w:t>e obligations</w:t>
      </w:r>
      <w:r w:rsidR="00001090" w:rsidRPr="00455EB3">
        <w:rPr>
          <w:rFonts w:ascii="Times New Roman" w:hAnsi="Times New Roman" w:cs="Times New Roman"/>
        </w:rPr>
        <w:t xml:space="preserve"> imposed upon estate agents and </w:t>
      </w:r>
      <w:r w:rsidR="00AA3796" w:rsidRPr="00455EB3">
        <w:rPr>
          <w:rFonts w:ascii="Times New Roman" w:hAnsi="Times New Roman" w:cs="Times New Roman"/>
        </w:rPr>
        <w:t xml:space="preserve">their implementation </w:t>
      </w:r>
      <w:r w:rsidR="00001090" w:rsidRPr="00455EB3">
        <w:rPr>
          <w:rFonts w:ascii="Times New Roman" w:hAnsi="Times New Roman" w:cs="Times New Roman"/>
        </w:rPr>
        <w:t>in practice.</w:t>
      </w:r>
    </w:p>
    <w:p w14:paraId="7DCB4436" w14:textId="77777777" w:rsidR="000855CC" w:rsidRPr="00455EB3" w:rsidRDefault="000855CC" w:rsidP="00AB4266">
      <w:pPr>
        <w:jc w:val="both"/>
        <w:rPr>
          <w:rFonts w:ascii="Times New Roman" w:hAnsi="Times New Roman" w:cs="Times New Roman"/>
        </w:rPr>
      </w:pPr>
    </w:p>
    <w:p w14:paraId="04C4EF4B" w14:textId="65638F3F" w:rsidR="00BE1961" w:rsidRPr="008C6D99" w:rsidRDefault="00BE1961" w:rsidP="00AB4266">
      <w:pPr>
        <w:pStyle w:val="Heading1"/>
        <w:jc w:val="both"/>
        <w:rPr>
          <w:rFonts w:ascii="Times New Roman" w:hAnsi="Times New Roman" w:cs="Times New Roman"/>
          <w:color w:val="auto"/>
        </w:rPr>
      </w:pPr>
      <w:r w:rsidRPr="00455EB3">
        <w:rPr>
          <w:rFonts w:ascii="Times New Roman" w:hAnsi="Times New Roman" w:cs="Times New Roman"/>
          <w:color w:val="auto"/>
        </w:rPr>
        <w:t>Methods</w:t>
      </w:r>
    </w:p>
    <w:p w14:paraId="0019FCD5" w14:textId="5B5BE7CD" w:rsidR="00172695" w:rsidRPr="00455EB3" w:rsidRDefault="0000119C" w:rsidP="00AB4266">
      <w:pPr>
        <w:jc w:val="both"/>
        <w:rPr>
          <w:rFonts w:ascii="Times New Roman" w:hAnsi="Times New Roman" w:cs="Times New Roman"/>
        </w:rPr>
      </w:pPr>
      <w:r w:rsidRPr="00455EB3">
        <w:rPr>
          <w:rFonts w:ascii="Times New Roman" w:hAnsi="Times New Roman" w:cs="Times New Roman"/>
        </w:rPr>
        <w:t xml:space="preserve">There is an extensive literature on regulation and compliance, traditionally </w:t>
      </w:r>
      <w:r w:rsidR="005A34BA" w:rsidRPr="00455EB3">
        <w:rPr>
          <w:rFonts w:ascii="Times New Roman" w:hAnsi="Times New Roman" w:cs="Times New Roman"/>
        </w:rPr>
        <w:t xml:space="preserve">looking at </w:t>
      </w:r>
      <w:r w:rsidRPr="00455EB3">
        <w:rPr>
          <w:rFonts w:ascii="Times New Roman" w:hAnsi="Times New Roman" w:cs="Times New Roman"/>
        </w:rPr>
        <w:t xml:space="preserve">the perspective of regulators </w:t>
      </w:r>
      <w:r w:rsidR="005A34BA" w:rsidRPr="00455EB3">
        <w:rPr>
          <w:rFonts w:ascii="Times New Roman" w:hAnsi="Times New Roman" w:cs="Times New Roman"/>
        </w:rPr>
        <w:t>(</w:t>
      </w:r>
      <w:r w:rsidRPr="00455EB3">
        <w:rPr>
          <w:rFonts w:ascii="Times New Roman" w:hAnsi="Times New Roman" w:cs="Times New Roman"/>
        </w:rPr>
        <w:t>and how they might ensure compliance</w:t>
      </w:r>
      <w:r w:rsidRPr="00455EB3">
        <w:rPr>
          <w:rStyle w:val="FootnoteReference"/>
          <w:rFonts w:ascii="Times New Roman" w:hAnsi="Times New Roman" w:cs="Times New Roman"/>
        </w:rPr>
        <w:footnoteReference w:id="40"/>
      </w:r>
      <w:r w:rsidR="005A34BA" w:rsidRPr="00455EB3">
        <w:rPr>
          <w:rFonts w:ascii="Times New Roman" w:hAnsi="Times New Roman" w:cs="Times New Roman"/>
        </w:rPr>
        <w:t>)</w:t>
      </w:r>
      <w:r w:rsidRPr="00455EB3">
        <w:rPr>
          <w:rFonts w:ascii="Times New Roman" w:hAnsi="Times New Roman" w:cs="Times New Roman"/>
        </w:rPr>
        <w:t xml:space="preserve"> and regulatory failure</w:t>
      </w:r>
      <w:r w:rsidR="005A34BA" w:rsidRPr="00455EB3">
        <w:rPr>
          <w:rFonts w:ascii="Times New Roman" w:hAnsi="Times New Roman" w:cs="Times New Roman"/>
        </w:rPr>
        <w:t>s</w:t>
      </w:r>
      <w:r w:rsidRPr="00455EB3">
        <w:rPr>
          <w:rFonts w:ascii="Times New Roman" w:hAnsi="Times New Roman" w:cs="Times New Roman"/>
        </w:rPr>
        <w:t>.</w:t>
      </w:r>
      <w:r w:rsidRPr="00455EB3">
        <w:rPr>
          <w:rStyle w:val="FootnoteReference"/>
          <w:rFonts w:ascii="Times New Roman" w:hAnsi="Times New Roman" w:cs="Times New Roman"/>
        </w:rPr>
        <w:footnoteReference w:id="41"/>
      </w:r>
      <w:r w:rsidRPr="00455EB3">
        <w:rPr>
          <w:rFonts w:ascii="Times New Roman" w:hAnsi="Times New Roman" w:cs="Times New Roman"/>
        </w:rPr>
        <w:t xml:space="preserve"> </w:t>
      </w:r>
      <w:r w:rsidR="005A34BA" w:rsidRPr="00455EB3">
        <w:rPr>
          <w:rFonts w:ascii="Times New Roman" w:hAnsi="Times New Roman" w:cs="Times New Roman"/>
        </w:rPr>
        <w:t>A less investigated aspect is</w:t>
      </w:r>
      <w:r w:rsidRPr="00455EB3">
        <w:rPr>
          <w:rFonts w:ascii="Times New Roman" w:hAnsi="Times New Roman" w:cs="Times New Roman"/>
        </w:rPr>
        <w:t xml:space="preserve"> the conceptual ‘flipside’ of traditional regulatory studies,</w:t>
      </w:r>
      <w:r w:rsidRPr="00455EB3">
        <w:rPr>
          <w:rStyle w:val="FootnoteReference"/>
          <w:rFonts w:ascii="Times New Roman" w:hAnsi="Times New Roman" w:cs="Times New Roman"/>
        </w:rPr>
        <w:footnoteReference w:id="42"/>
      </w:r>
      <w:r w:rsidRPr="00455EB3">
        <w:rPr>
          <w:rFonts w:ascii="Times New Roman" w:hAnsi="Times New Roman" w:cs="Times New Roman"/>
        </w:rPr>
        <w:t xml:space="preserve"> namely ‘how individuals within organizations who enact compliance day-to-day actually interpret and respond to regulation’</w:t>
      </w:r>
      <w:r w:rsidR="00D83110" w:rsidRPr="00455EB3">
        <w:rPr>
          <w:rFonts w:ascii="Times New Roman" w:hAnsi="Times New Roman" w:cs="Times New Roman"/>
        </w:rPr>
        <w:t>.</w:t>
      </w:r>
      <w:r w:rsidRPr="00455EB3">
        <w:rPr>
          <w:rStyle w:val="FootnoteReference"/>
          <w:rFonts w:ascii="Times New Roman" w:hAnsi="Times New Roman" w:cs="Times New Roman"/>
        </w:rPr>
        <w:footnoteReference w:id="43"/>
      </w:r>
      <w:r w:rsidRPr="00455EB3">
        <w:rPr>
          <w:rFonts w:ascii="Times New Roman" w:hAnsi="Times New Roman" w:cs="Times New Roman"/>
        </w:rPr>
        <w:t xml:space="preserve"> </w:t>
      </w:r>
      <w:r w:rsidR="005A34BA" w:rsidRPr="00455EB3">
        <w:rPr>
          <w:rFonts w:ascii="Times New Roman" w:hAnsi="Times New Roman" w:cs="Times New Roman"/>
        </w:rPr>
        <w:t>However, t</w:t>
      </w:r>
      <w:r w:rsidRPr="00455EB3">
        <w:rPr>
          <w:rFonts w:ascii="Times New Roman" w:hAnsi="Times New Roman" w:cs="Times New Roman"/>
        </w:rPr>
        <w:t>here is</w:t>
      </w:r>
      <w:r w:rsidR="005A34BA" w:rsidRPr="00455EB3">
        <w:rPr>
          <w:rFonts w:ascii="Times New Roman" w:hAnsi="Times New Roman" w:cs="Times New Roman"/>
        </w:rPr>
        <w:t xml:space="preserve"> </w:t>
      </w:r>
      <w:r w:rsidRPr="00455EB3">
        <w:rPr>
          <w:rFonts w:ascii="Times New Roman" w:hAnsi="Times New Roman" w:cs="Times New Roman"/>
        </w:rPr>
        <w:t xml:space="preserve">increased realisation </w:t>
      </w:r>
      <w:r w:rsidR="005A34BA" w:rsidRPr="00455EB3">
        <w:rPr>
          <w:rFonts w:ascii="Times New Roman" w:hAnsi="Times New Roman" w:cs="Times New Roman"/>
        </w:rPr>
        <w:t xml:space="preserve">of the learning value gained from the </w:t>
      </w:r>
      <w:r w:rsidRPr="00455EB3">
        <w:rPr>
          <w:rFonts w:ascii="Times New Roman" w:hAnsi="Times New Roman" w:cs="Times New Roman"/>
        </w:rPr>
        <w:t xml:space="preserve">experiences of private actors in the implementation of regulation in practice, </w:t>
      </w:r>
      <w:r w:rsidR="005A34BA" w:rsidRPr="00455EB3">
        <w:rPr>
          <w:rFonts w:ascii="Times New Roman" w:hAnsi="Times New Roman" w:cs="Times New Roman"/>
        </w:rPr>
        <w:t xml:space="preserve">considering </w:t>
      </w:r>
      <w:r w:rsidR="00BA3252" w:rsidRPr="00455EB3">
        <w:rPr>
          <w:rFonts w:ascii="Times New Roman" w:hAnsi="Times New Roman" w:cs="Times New Roman"/>
        </w:rPr>
        <w:t xml:space="preserve">the </w:t>
      </w:r>
      <w:r w:rsidR="00DA7484" w:rsidRPr="00455EB3">
        <w:rPr>
          <w:rFonts w:ascii="Times New Roman" w:hAnsi="Times New Roman" w:cs="Times New Roman"/>
        </w:rPr>
        <w:t xml:space="preserve">pressing </w:t>
      </w:r>
      <w:r w:rsidR="005A34BA" w:rsidRPr="00455EB3">
        <w:rPr>
          <w:rFonts w:ascii="Times New Roman" w:hAnsi="Times New Roman" w:cs="Times New Roman"/>
        </w:rPr>
        <w:t xml:space="preserve">issues </w:t>
      </w:r>
      <w:r w:rsidR="00BA3252" w:rsidRPr="00455EB3">
        <w:rPr>
          <w:rFonts w:ascii="Times New Roman" w:hAnsi="Times New Roman" w:cs="Times New Roman"/>
        </w:rPr>
        <w:t xml:space="preserve">affecting </w:t>
      </w:r>
      <w:r w:rsidRPr="00455EB3">
        <w:rPr>
          <w:rFonts w:ascii="Times New Roman" w:hAnsi="Times New Roman" w:cs="Times New Roman"/>
        </w:rPr>
        <w:t>compliance. Indeed, compliance is ‘fundamentally linked with the social and structural contexts of individual compliance agents’</w:t>
      </w:r>
      <w:r w:rsidR="00D83110" w:rsidRPr="00455EB3">
        <w:rPr>
          <w:rFonts w:ascii="Times New Roman" w:hAnsi="Times New Roman" w:cs="Times New Roman"/>
        </w:rPr>
        <w:t>.</w:t>
      </w:r>
      <w:r w:rsidRPr="00455EB3">
        <w:rPr>
          <w:rStyle w:val="FootnoteReference"/>
          <w:rFonts w:ascii="Times New Roman" w:hAnsi="Times New Roman" w:cs="Times New Roman"/>
        </w:rPr>
        <w:footnoteReference w:id="44"/>
      </w:r>
      <w:r w:rsidRPr="00455EB3">
        <w:rPr>
          <w:rFonts w:ascii="Times New Roman" w:hAnsi="Times New Roman" w:cs="Times New Roman"/>
        </w:rPr>
        <w:t xml:space="preserve"> </w:t>
      </w:r>
      <w:r w:rsidR="005A34BA" w:rsidRPr="00455EB3">
        <w:rPr>
          <w:rFonts w:ascii="Times New Roman" w:hAnsi="Times New Roman" w:cs="Times New Roman"/>
        </w:rPr>
        <w:t>In the context of AML, a</w:t>
      </w:r>
      <w:r w:rsidRPr="00455EB3">
        <w:rPr>
          <w:rFonts w:ascii="Times New Roman" w:hAnsi="Times New Roman" w:cs="Times New Roman"/>
        </w:rPr>
        <w:t xml:space="preserve">n example of this is </w:t>
      </w:r>
      <w:proofErr w:type="spellStart"/>
      <w:r w:rsidRPr="00455EB3">
        <w:rPr>
          <w:rFonts w:ascii="Times New Roman" w:hAnsi="Times New Roman" w:cs="Times New Roman"/>
        </w:rPr>
        <w:t>Iafolla’s</w:t>
      </w:r>
      <w:proofErr w:type="spellEnd"/>
      <w:r w:rsidRPr="00455EB3">
        <w:rPr>
          <w:rFonts w:ascii="Times New Roman" w:hAnsi="Times New Roman" w:cs="Times New Roman"/>
        </w:rPr>
        <w:t xml:space="preserve"> research on how bank employees exercise discretion in deciding whether a particular transaction is ‘risky’</w:t>
      </w:r>
      <w:r w:rsidR="005A34BA" w:rsidRPr="00455EB3">
        <w:rPr>
          <w:rFonts w:ascii="Times New Roman" w:hAnsi="Times New Roman" w:cs="Times New Roman"/>
        </w:rPr>
        <w:t>.</w:t>
      </w:r>
      <w:r w:rsidR="005A34BA" w:rsidRPr="00455EB3">
        <w:rPr>
          <w:rStyle w:val="FootnoteReference"/>
          <w:rFonts w:ascii="Times New Roman" w:hAnsi="Times New Roman" w:cs="Times New Roman"/>
        </w:rPr>
        <w:footnoteReference w:id="45"/>
      </w:r>
      <w:r w:rsidR="005A34BA" w:rsidRPr="00455EB3">
        <w:rPr>
          <w:rFonts w:ascii="Times New Roman" w:hAnsi="Times New Roman" w:cs="Times New Roman"/>
        </w:rPr>
        <w:t xml:space="preserve"> With this research</w:t>
      </w:r>
      <w:r w:rsidR="0018789D" w:rsidRPr="00455EB3">
        <w:rPr>
          <w:rFonts w:ascii="Times New Roman" w:hAnsi="Times New Roman" w:cs="Times New Roman"/>
        </w:rPr>
        <w:t>,</w:t>
      </w:r>
      <w:r w:rsidRPr="00455EB3">
        <w:rPr>
          <w:rFonts w:ascii="Times New Roman" w:hAnsi="Times New Roman" w:cs="Times New Roman"/>
        </w:rPr>
        <w:t xml:space="preserve"> she demonstrates how personally-held ideas can influence the decision</w:t>
      </w:r>
      <w:r w:rsidR="00BF18EC" w:rsidRPr="00455EB3">
        <w:rPr>
          <w:rFonts w:ascii="Times New Roman" w:hAnsi="Times New Roman" w:cs="Times New Roman"/>
        </w:rPr>
        <w:t xml:space="preserve"> of</w:t>
      </w:r>
      <w:r w:rsidRPr="00455EB3">
        <w:rPr>
          <w:rFonts w:ascii="Times New Roman" w:hAnsi="Times New Roman" w:cs="Times New Roman"/>
        </w:rPr>
        <w:t xml:space="preserve"> whether to report a transaction to the compliance department.</w:t>
      </w:r>
      <w:r w:rsidRPr="00455EB3">
        <w:rPr>
          <w:rStyle w:val="FootnoteReference"/>
          <w:rFonts w:ascii="Times New Roman" w:hAnsi="Times New Roman" w:cs="Times New Roman"/>
        </w:rPr>
        <w:footnoteReference w:id="46"/>
      </w:r>
      <w:r w:rsidRPr="00455EB3">
        <w:rPr>
          <w:rFonts w:ascii="Times New Roman" w:hAnsi="Times New Roman" w:cs="Times New Roman"/>
        </w:rPr>
        <w:t xml:space="preserve"> Similarly, </w:t>
      </w:r>
      <w:r w:rsidR="00F75D5A" w:rsidRPr="00455EB3">
        <w:rPr>
          <w:rFonts w:ascii="Times New Roman" w:hAnsi="Times New Roman" w:cs="Times New Roman"/>
        </w:rPr>
        <w:t xml:space="preserve">in analysing </w:t>
      </w:r>
      <w:r w:rsidR="004C6521" w:rsidRPr="00455EB3">
        <w:rPr>
          <w:rFonts w:ascii="Times New Roman" w:hAnsi="Times New Roman" w:cs="Times New Roman"/>
        </w:rPr>
        <w:t xml:space="preserve">the </w:t>
      </w:r>
      <w:r w:rsidR="00B55429" w:rsidRPr="00455EB3">
        <w:rPr>
          <w:rFonts w:ascii="Times New Roman" w:hAnsi="Times New Roman" w:cs="Times New Roman"/>
        </w:rPr>
        <w:t>views of money laundering compliance officers</w:t>
      </w:r>
      <w:r w:rsidR="009A71CF" w:rsidRPr="00455EB3">
        <w:rPr>
          <w:rFonts w:ascii="Times New Roman" w:hAnsi="Times New Roman" w:cs="Times New Roman"/>
        </w:rPr>
        <w:t>,</w:t>
      </w:r>
      <w:r w:rsidR="006B35FA" w:rsidRPr="00455EB3">
        <w:rPr>
          <w:rFonts w:ascii="Times New Roman" w:hAnsi="Times New Roman" w:cs="Times New Roman"/>
        </w:rPr>
        <w:t xml:space="preserve"> </w:t>
      </w:r>
      <w:proofErr w:type="spellStart"/>
      <w:r w:rsidR="00F75D5A" w:rsidRPr="00455EB3">
        <w:rPr>
          <w:rFonts w:ascii="Times New Roman" w:hAnsi="Times New Roman" w:cs="Times New Roman"/>
        </w:rPr>
        <w:t>Verhage</w:t>
      </w:r>
      <w:proofErr w:type="spellEnd"/>
      <w:r w:rsidR="00F75D5A" w:rsidRPr="00455EB3">
        <w:rPr>
          <w:rFonts w:ascii="Times New Roman" w:hAnsi="Times New Roman" w:cs="Times New Roman"/>
        </w:rPr>
        <w:t xml:space="preserve"> </w:t>
      </w:r>
      <w:r w:rsidR="006B35FA" w:rsidRPr="00455EB3">
        <w:rPr>
          <w:rFonts w:ascii="Times New Roman" w:hAnsi="Times New Roman" w:cs="Times New Roman"/>
        </w:rPr>
        <w:t>show</w:t>
      </w:r>
      <w:r w:rsidR="00F75D5A" w:rsidRPr="00455EB3">
        <w:rPr>
          <w:rFonts w:ascii="Times New Roman" w:hAnsi="Times New Roman" w:cs="Times New Roman"/>
        </w:rPr>
        <w:t>s</w:t>
      </w:r>
      <w:r w:rsidR="006B35FA" w:rsidRPr="00455EB3">
        <w:rPr>
          <w:rFonts w:ascii="Times New Roman" w:hAnsi="Times New Roman" w:cs="Times New Roman"/>
        </w:rPr>
        <w:t xml:space="preserve"> how </w:t>
      </w:r>
      <w:r w:rsidR="005A331F" w:rsidRPr="00455EB3">
        <w:rPr>
          <w:rFonts w:ascii="Times New Roman" w:hAnsi="Times New Roman" w:cs="Times New Roman"/>
        </w:rPr>
        <w:t xml:space="preserve">compliance </w:t>
      </w:r>
      <w:r w:rsidR="002C00CF" w:rsidRPr="00455EB3">
        <w:rPr>
          <w:rFonts w:ascii="Times New Roman" w:hAnsi="Times New Roman" w:cs="Times New Roman"/>
        </w:rPr>
        <w:t xml:space="preserve">‘remains a battle between commercial interests on the one hand, and </w:t>
      </w:r>
      <w:r w:rsidR="001C547B" w:rsidRPr="00455EB3">
        <w:rPr>
          <w:rFonts w:ascii="Times New Roman" w:hAnsi="Times New Roman" w:cs="Times New Roman"/>
        </w:rPr>
        <w:t>rule observance on the other’</w:t>
      </w:r>
      <w:r w:rsidR="004237BA" w:rsidRPr="00455EB3">
        <w:rPr>
          <w:rFonts w:ascii="Times New Roman" w:hAnsi="Times New Roman" w:cs="Times New Roman"/>
        </w:rPr>
        <w:t>,</w:t>
      </w:r>
      <w:r w:rsidR="005A34BA" w:rsidRPr="00455EB3">
        <w:rPr>
          <w:rStyle w:val="FootnoteReference"/>
          <w:rFonts w:ascii="Times New Roman" w:hAnsi="Times New Roman" w:cs="Times New Roman"/>
        </w:rPr>
        <w:footnoteReference w:id="47"/>
      </w:r>
      <w:r w:rsidR="004237BA" w:rsidRPr="00455EB3">
        <w:rPr>
          <w:rFonts w:ascii="Times New Roman" w:hAnsi="Times New Roman" w:cs="Times New Roman"/>
        </w:rPr>
        <w:t xml:space="preserve"> and it does not </w:t>
      </w:r>
      <w:r w:rsidR="00A54335" w:rsidRPr="00455EB3">
        <w:rPr>
          <w:rFonts w:ascii="Times New Roman" w:hAnsi="Times New Roman" w:cs="Times New Roman"/>
        </w:rPr>
        <w:t>necessarily aim at preventing money laundering risks.</w:t>
      </w:r>
      <w:r w:rsidR="00E51DFC" w:rsidRPr="00455EB3">
        <w:rPr>
          <w:rStyle w:val="FootnoteReference"/>
          <w:rFonts w:ascii="Times New Roman" w:hAnsi="Times New Roman" w:cs="Times New Roman"/>
        </w:rPr>
        <w:footnoteReference w:id="48"/>
      </w:r>
    </w:p>
    <w:p w14:paraId="584CC5D0" w14:textId="76B94215" w:rsidR="0000119C" w:rsidRPr="00455EB3" w:rsidRDefault="0000119C" w:rsidP="00AB4266">
      <w:pPr>
        <w:ind w:firstLine="720"/>
        <w:jc w:val="both"/>
        <w:rPr>
          <w:rFonts w:ascii="Times New Roman" w:hAnsi="Times New Roman" w:cs="Times New Roman"/>
        </w:rPr>
      </w:pPr>
      <w:r w:rsidRPr="00455EB3">
        <w:rPr>
          <w:rFonts w:ascii="Times New Roman" w:hAnsi="Times New Roman" w:cs="Times New Roman"/>
        </w:rPr>
        <w:t xml:space="preserve">By focusing on </w:t>
      </w:r>
      <w:r w:rsidR="00A05E61" w:rsidRPr="00455EB3">
        <w:rPr>
          <w:rFonts w:ascii="Times New Roman" w:hAnsi="Times New Roman" w:cs="Times New Roman"/>
        </w:rPr>
        <w:t>the UK real estate sector</w:t>
      </w:r>
      <w:r w:rsidRPr="00455EB3">
        <w:rPr>
          <w:rFonts w:ascii="Times New Roman" w:hAnsi="Times New Roman" w:cs="Times New Roman"/>
        </w:rPr>
        <w:t>, this article offers new insights into the operation of AML. There are advantages</w:t>
      </w:r>
      <w:r w:rsidR="004F2977" w:rsidRPr="00455EB3">
        <w:rPr>
          <w:rFonts w:ascii="Times New Roman" w:hAnsi="Times New Roman" w:cs="Times New Roman"/>
        </w:rPr>
        <w:t xml:space="preserve"> </w:t>
      </w:r>
      <w:r w:rsidRPr="00455EB3">
        <w:rPr>
          <w:rFonts w:ascii="Times New Roman" w:hAnsi="Times New Roman" w:cs="Times New Roman"/>
        </w:rPr>
        <w:t xml:space="preserve">to looking at AML compliance from the perspective of the regulated. Indeed, EAs can offer practical insights and suggestions for improving the AML regime. </w:t>
      </w:r>
      <w:r w:rsidR="00447D7A" w:rsidRPr="00455EB3">
        <w:rPr>
          <w:rFonts w:ascii="Times New Roman" w:hAnsi="Times New Roman" w:cs="Times New Roman"/>
        </w:rPr>
        <w:t xml:space="preserve">However, it should be recognised </w:t>
      </w:r>
      <w:r w:rsidRPr="00455EB3">
        <w:rPr>
          <w:rFonts w:ascii="Times New Roman" w:hAnsi="Times New Roman" w:cs="Times New Roman"/>
        </w:rPr>
        <w:t xml:space="preserve">that the narratives presented here must be approached </w:t>
      </w:r>
      <w:r w:rsidR="00447D7A" w:rsidRPr="00455EB3">
        <w:rPr>
          <w:rFonts w:ascii="Times New Roman" w:hAnsi="Times New Roman" w:cs="Times New Roman"/>
        </w:rPr>
        <w:t>critically</w:t>
      </w:r>
      <w:r w:rsidRPr="00455EB3">
        <w:rPr>
          <w:rFonts w:ascii="Times New Roman" w:hAnsi="Times New Roman" w:cs="Times New Roman"/>
        </w:rPr>
        <w:t xml:space="preserve">. Indeed, there is a widely portrayed view of EAs as self-interested actors who will do anything for their own benefit and who must be </w:t>
      </w:r>
      <w:r w:rsidRPr="00455EB3">
        <w:rPr>
          <w:rFonts w:ascii="Times New Roman" w:hAnsi="Times New Roman" w:cs="Times New Roman"/>
        </w:rPr>
        <w:lastRenderedPageBreak/>
        <w:t>held accountable.</w:t>
      </w:r>
      <w:r w:rsidRPr="00455EB3">
        <w:rPr>
          <w:rStyle w:val="FootnoteReference"/>
          <w:rFonts w:ascii="Times New Roman" w:hAnsi="Times New Roman" w:cs="Times New Roman"/>
        </w:rPr>
        <w:footnoteReference w:id="49"/>
      </w:r>
      <w:r w:rsidRPr="00455EB3">
        <w:rPr>
          <w:rFonts w:ascii="Times New Roman" w:hAnsi="Times New Roman" w:cs="Times New Roman"/>
        </w:rPr>
        <w:t xml:space="preserve"> Almost invariably, such reports reinforce views that there are weaknesses in regulation, such as the AML regime, and that more needs to be done. Nonetheless, it is </w:t>
      </w:r>
      <w:r w:rsidR="00305838" w:rsidRPr="00455EB3">
        <w:rPr>
          <w:rFonts w:ascii="Times New Roman" w:hAnsi="Times New Roman" w:cs="Times New Roman"/>
        </w:rPr>
        <w:t xml:space="preserve">essential </w:t>
      </w:r>
      <w:r w:rsidRPr="00455EB3">
        <w:rPr>
          <w:rFonts w:ascii="Times New Roman" w:hAnsi="Times New Roman" w:cs="Times New Roman"/>
        </w:rPr>
        <w:t>to consider grievances expressed by EAs (and other private actors) as to the practical difficulties involved in AML compliance. Indeed, ‘Ignoring an individual’s grievances or concerns is unlikely to foster a sense that the authority has used procedural justice’</w:t>
      </w:r>
      <w:r w:rsidR="006C0F79" w:rsidRPr="00455EB3">
        <w:rPr>
          <w:rFonts w:ascii="Times New Roman" w:hAnsi="Times New Roman" w:cs="Times New Roman"/>
        </w:rPr>
        <w:t>.</w:t>
      </w:r>
      <w:r w:rsidRPr="00455EB3">
        <w:rPr>
          <w:rStyle w:val="FootnoteReference"/>
          <w:rFonts w:ascii="Times New Roman" w:hAnsi="Times New Roman" w:cs="Times New Roman"/>
        </w:rPr>
        <w:footnoteReference w:id="50"/>
      </w:r>
      <w:r w:rsidRPr="00455EB3">
        <w:rPr>
          <w:rFonts w:ascii="Times New Roman" w:hAnsi="Times New Roman" w:cs="Times New Roman"/>
        </w:rPr>
        <w:t xml:space="preserve"> Moreover, private actors are more likely to comply where they feel that they are treated fairly in the operation of the AML regime.</w:t>
      </w:r>
      <w:r w:rsidR="00D41499" w:rsidRPr="00455EB3">
        <w:rPr>
          <w:rStyle w:val="FootnoteReference"/>
          <w:rFonts w:ascii="Times New Roman" w:hAnsi="Times New Roman" w:cs="Times New Roman"/>
        </w:rPr>
        <w:footnoteReference w:id="51"/>
      </w:r>
    </w:p>
    <w:p w14:paraId="6B9E1973" w14:textId="75439BB0" w:rsidR="000D6FA0" w:rsidRPr="00455EB3" w:rsidRDefault="00BE1961" w:rsidP="00AB4266">
      <w:pPr>
        <w:ind w:firstLine="720"/>
        <w:jc w:val="both"/>
        <w:rPr>
          <w:rFonts w:ascii="Times New Roman" w:hAnsi="Times New Roman" w:cs="Times New Roman"/>
        </w:rPr>
      </w:pPr>
      <w:r w:rsidRPr="00455EB3">
        <w:rPr>
          <w:rFonts w:ascii="Times New Roman" w:hAnsi="Times New Roman" w:cs="Times New Roman"/>
        </w:rPr>
        <w:t xml:space="preserve">This article employs a mixed methodology that includes doctrinal and empirical research. In particular, the article presents an analysis of the existing UK AML legislation and relevant policies alongside a critical examination of qualitative data. In this regard, seventeen semi-structured interviews were conducted with </w:t>
      </w:r>
      <w:r w:rsidR="00524418" w:rsidRPr="00455EB3">
        <w:rPr>
          <w:rFonts w:ascii="Times New Roman" w:hAnsi="Times New Roman" w:cs="Times New Roman"/>
        </w:rPr>
        <w:t>EAs</w:t>
      </w:r>
      <w:r w:rsidR="00524418" w:rsidRPr="00455EB3" w:rsidDel="00524418">
        <w:rPr>
          <w:rFonts w:ascii="Times New Roman" w:hAnsi="Times New Roman" w:cs="Times New Roman"/>
        </w:rPr>
        <w:t xml:space="preserve"> </w:t>
      </w:r>
      <w:r w:rsidRPr="00455EB3">
        <w:rPr>
          <w:rFonts w:ascii="Times New Roman" w:hAnsi="Times New Roman" w:cs="Times New Roman"/>
        </w:rPr>
        <w:t>and compliance officials.</w:t>
      </w:r>
      <w:r w:rsidR="00A61B7D" w:rsidRPr="00455EB3">
        <w:rPr>
          <w:rStyle w:val="FootnoteReference"/>
          <w:rFonts w:ascii="Times New Roman" w:hAnsi="Times New Roman" w:cs="Times New Roman"/>
        </w:rPr>
        <w:footnoteReference w:id="52"/>
      </w:r>
      <w:r w:rsidRPr="00455EB3">
        <w:rPr>
          <w:rFonts w:ascii="Times New Roman" w:hAnsi="Times New Roman" w:cs="Times New Roman"/>
        </w:rPr>
        <w:t xml:space="preserve"> To ensure diverse perspectives, we contacted a range of potential participant</w:t>
      </w:r>
      <w:r w:rsidR="00524418" w:rsidRPr="00455EB3">
        <w:rPr>
          <w:rFonts w:ascii="Times New Roman" w:hAnsi="Times New Roman" w:cs="Times New Roman"/>
        </w:rPr>
        <w:t>s,</w:t>
      </w:r>
      <w:r w:rsidRPr="00455EB3">
        <w:rPr>
          <w:rFonts w:ascii="Times New Roman" w:hAnsi="Times New Roman" w:cs="Times New Roman"/>
        </w:rPr>
        <w:t xml:space="preserve"> from large, multi-office agencies to smaller local agencies, including both buying and selling agents.</w:t>
      </w:r>
      <w:r w:rsidR="5DD5C608" w:rsidRPr="00455EB3">
        <w:rPr>
          <w:rFonts w:ascii="Times New Roman" w:hAnsi="Times New Roman" w:cs="Times New Roman"/>
        </w:rPr>
        <w:t xml:space="preserve"> We recognise that seventeen interviews are not generalisable to the entire industry, however, alongside the caveats mentioned below, this number did enable us to gain </w:t>
      </w:r>
      <w:r w:rsidR="27F1F049" w:rsidRPr="00455EB3">
        <w:rPr>
          <w:rFonts w:ascii="Times New Roman" w:hAnsi="Times New Roman" w:cs="Times New Roman"/>
        </w:rPr>
        <w:t>some</w:t>
      </w:r>
      <w:r w:rsidR="5DD5C608" w:rsidRPr="00455EB3">
        <w:rPr>
          <w:rFonts w:ascii="Times New Roman" w:hAnsi="Times New Roman" w:cs="Times New Roman"/>
        </w:rPr>
        <w:t xml:space="preserve"> practical insight into the</w:t>
      </w:r>
      <w:r w:rsidR="3844BCC5" w:rsidRPr="00455EB3">
        <w:rPr>
          <w:rFonts w:ascii="Times New Roman" w:hAnsi="Times New Roman" w:cs="Times New Roman"/>
        </w:rPr>
        <w:t xml:space="preserve"> operation of AML obligations </w:t>
      </w:r>
      <w:r w:rsidR="620EE72B" w:rsidRPr="00455EB3">
        <w:rPr>
          <w:rFonts w:ascii="Times New Roman" w:hAnsi="Times New Roman" w:cs="Times New Roman"/>
        </w:rPr>
        <w:t>by private actors who are seen as</w:t>
      </w:r>
      <w:r w:rsidR="4C12D304" w:rsidRPr="00455EB3">
        <w:rPr>
          <w:rFonts w:ascii="Times New Roman" w:hAnsi="Times New Roman" w:cs="Times New Roman"/>
        </w:rPr>
        <w:t xml:space="preserve"> </w:t>
      </w:r>
      <w:r w:rsidR="3F13AB8E" w:rsidRPr="00455EB3">
        <w:rPr>
          <w:rFonts w:ascii="Times New Roman" w:eastAsia="Times New Roman" w:hAnsi="Times New Roman" w:cs="Times New Roman"/>
        </w:rPr>
        <w:t>‘the first line of defence’</w:t>
      </w:r>
      <w:r w:rsidR="3844BCC5" w:rsidRPr="00455EB3">
        <w:rPr>
          <w:rFonts w:ascii="Times New Roman" w:hAnsi="Times New Roman" w:cs="Times New Roman"/>
        </w:rPr>
        <w:t>.</w:t>
      </w:r>
      <w:r w:rsidRPr="00725267">
        <w:rPr>
          <w:rFonts w:ascii="Times New Roman" w:hAnsi="Times New Roman" w:cs="Times New Roman"/>
          <w:vertAlign w:val="superscript"/>
        </w:rPr>
        <w:footnoteReference w:id="53"/>
      </w:r>
      <w:r w:rsidRPr="00455EB3">
        <w:rPr>
          <w:rFonts w:ascii="Times New Roman" w:hAnsi="Times New Roman" w:cs="Times New Roman"/>
        </w:rPr>
        <w:t xml:space="preserve"> The interviews lasted an average of one hour</w:t>
      </w:r>
      <w:r w:rsidR="00FE3E6D" w:rsidRPr="00455EB3">
        <w:rPr>
          <w:rFonts w:ascii="Times New Roman" w:hAnsi="Times New Roman" w:cs="Times New Roman"/>
        </w:rPr>
        <w:t>.</w:t>
      </w:r>
      <w:r w:rsidRPr="00455EB3">
        <w:rPr>
          <w:rFonts w:ascii="Times New Roman" w:hAnsi="Times New Roman" w:cs="Times New Roman"/>
        </w:rPr>
        <w:t xml:space="preserve"> </w:t>
      </w:r>
      <w:r w:rsidR="00305838" w:rsidRPr="00455EB3">
        <w:rPr>
          <w:rFonts w:ascii="Times New Roman" w:hAnsi="Times New Roman" w:cs="Times New Roman"/>
        </w:rPr>
        <w:t xml:space="preserve">Twelve </w:t>
      </w:r>
      <w:r w:rsidRPr="00455EB3">
        <w:rPr>
          <w:rFonts w:ascii="Times New Roman" w:hAnsi="Times New Roman" w:cs="Times New Roman"/>
        </w:rPr>
        <w:t xml:space="preserve">interviews were audio-recorded and transcribed, while for the other </w:t>
      </w:r>
      <w:r w:rsidR="00305838" w:rsidRPr="00455EB3">
        <w:rPr>
          <w:rFonts w:ascii="Times New Roman" w:hAnsi="Times New Roman" w:cs="Times New Roman"/>
        </w:rPr>
        <w:t xml:space="preserve">five </w:t>
      </w:r>
      <w:r w:rsidRPr="00455EB3">
        <w:rPr>
          <w:rFonts w:ascii="Times New Roman" w:hAnsi="Times New Roman" w:cs="Times New Roman"/>
        </w:rPr>
        <w:t>interviews</w:t>
      </w:r>
      <w:r w:rsidR="00BA357A" w:rsidRPr="00455EB3">
        <w:rPr>
          <w:rFonts w:ascii="Times New Roman" w:hAnsi="Times New Roman" w:cs="Times New Roman"/>
        </w:rPr>
        <w:t>,</w:t>
      </w:r>
      <w:r w:rsidRPr="00455EB3">
        <w:rPr>
          <w:rFonts w:ascii="Times New Roman" w:hAnsi="Times New Roman" w:cs="Times New Roman"/>
        </w:rPr>
        <w:t xml:space="preserve"> </w:t>
      </w:r>
      <w:r w:rsidR="000D6FA0" w:rsidRPr="00455EB3">
        <w:rPr>
          <w:rFonts w:ascii="Times New Roman" w:hAnsi="Times New Roman" w:cs="Times New Roman"/>
        </w:rPr>
        <w:t xml:space="preserve">the interviewer took </w:t>
      </w:r>
      <w:r w:rsidRPr="00455EB3">
        <w:rPr>
          <w:rFonts w:ascii="Times New Roman" w:hAnsi="Times New Roman" w:cs="Times New Roman"/>
        </w:rPr>
        <w:t>detailed notes. The interviews’ content was subsequently analysed using NVIVO, focusing on both specific aspects peculiar to each interview and shared key themes that emerged from the whole sample of interviews.</w:t>
      </w:r>
      <w:r w:rsidRPr="00725267">
        <w:rPr>
          <w:rFonts w:ascii="Times New Roman" w:hAnsi="Times New Roman" w:cs="Times New Roman"/>
          <w:vertAlign w:val="superscript"/>
        </w:rPr>
        <w:footnoteReference w:id="54"/>
      </w:r>
    </w:p>
    <w:p w14:paraId="7282396A" w14:textId="6270E251" w:rsidR="00BE1961" w:rsidRPr="00455EB3" w:rsidRDefault="00BE1961" w:rsidP="00AB4266">
      <w:pPr>
        <w:ind w:firstLine="720"/>
        <w:jc w:val="both"/>
        <w:rPr>
          <w:rFonts w:ascii="Times New Roman" w:hAnsi="Times New Roman" w:cs="Times New Roman"/>
        </w:rPr>
      </w:pPr>
      <w:r w:rsidRPr="00455EB3">
        <w:rPr>
          <w:rFonts w:ascii="Times New Roman" w:hAnsi="Times New Roman" w:cs="Times New Roman"/>
        </w:rPr>
        <w:t>We deliberately decided not to interview law enforcement officials or regulators for this project,</w:t>
      </w:r>
      <w:r w:rsidRPr="00455EB3">
        <w:rPr>
          <w:rStyle w:val="FootnoteReference"/>
          <w:rFonts w:ascii="Times New Roman" w:hAnsi="Times New Roman" w:cs="Times New Roman"/>
        </w:rPr>
        <w:footnoteReference w:id="55"/>
      </w:r>
      <w:r w:rsidRPr="00455EB3">
        <w:rPr>
          <w:rFonts w:ascii="Times New Roman" w:hAnsi="Times New Roman" w:cs="Times New Roman"/>
        </w:rPr>
        <w:t xml:space="preserve"> as the focus was on the perspectives of those subject to regulation and how they apply AML rules. Two further caveats must be acknowledged: access and bias/validity.</w:t>
      </w:r>
      <w:r w:rsidRPr="00455EB3">
        <w:rPr>
          <w:rStyle w:val="FootnoteReference"/>
          <w:rFonts w:ascii="Times New Roman" w:hAnsi="Times New Roman" w:cs="Times New Roman"/>
        </w:rPr>
        <w:footnoteReference w:id="56"/>
      </w:r>
      <w:r w:rsidRPr="00455EB3">
        <w:rPr>
          <w:rFonts w:ascii="Times New Roman" w:hAnsi="Times New Roman" w:cs="Times New Roman"/>
        </w:rPr>
        <w:t xml:space="preserve"> First, it was not entirely straightforward to gain access to potential interviewees. While contact details of estate agencies are available online, the topic of </w:t>
      </w:r>
      <w:r w:rsidRPr="00455EB3">
        <w:rPr>
          <w:rFonts w:ascii="Times New Roman" w:hAnsi="Times New Roman" w:cs="Times New Roman"/>
        </w:rPr>
        <w:lastRenderedPageBreak/>
        <w:t>AML-research tends to arouse suspicion. Some agencies that we contacted did not respond to our emails, while others responded but declined to take part.</w:t>
      </w:r>
      <w:r w:rsidRPr="00455EB3">
        <w:rPr>
          <w:rStyle w:val="FootnoteReference"/>
          <w:rFonts w:ascii="Times New Roman" w:hAnsi="Times New Roman" w:cs="Times New Roman"/>
        </w:rPr>
        <w:footnoteReference w:id="57"/>
      </w:r>
      <w:r w:rsidRPr="00455EB3">
        <w:rPr>
          <w:rFonts w:ascii="Times New Roman" w:hAnsi="Times New Roman" w:cs="Times New Roman"/>
        </w:rPr>
        <w:t xml:space="preserve"> Second, the fact that a particular agent did/did not participate in this study does not imply that they are/are not compliant with AML obligations. In this regard, it must be recognised that where a particular individual is knowingly involved in ML, then that person would be unlikely to be willing to participate in this study.</w:t>
      </w:r>
    </w:p>
    <w:p w14:paraId="7CFB8125" w14:textId="77777777" w:rsidR="00243E82" w:rsidRPr="00455EB3" w:rsidRDefault="00243E82" w:rsidP="00AB4266">
      <w:pPr>
        <w:jc w:val="both"/>
        <w:rPr>
          <w:rFonts w:ascii="Times New Roman" w:hAnsi="Times New Roman" w:cs="Times New Roman"/>
        </w:rPr>
      </w:pPr>
    </w:p>
    <w:p w14:paraId="29D8E806" w14:textId="33F59B5D" w:rsidR="0025590E" w:rsidRPr="0025590E" w:rsidRDefault="00B52376" w:rsidP="00AB4266">
      <w:pPr>
        <w:pStyle w:val="Heading1"/>
        <w:jc w:val="both"/>
        <w:rPr>
          <w:rFonts w:ascii="Times New Roman" w:hAnsi="Times New Roman" w:cs="Times New Roman"/>
          <w:color w:val="auto"/>
        </w:rPr>
      </w:pPr>
      <w:r w:rsidRPr="00455EB3">
        <w:rPr>
          <w:rFonts w:ascii="Times New Roman" w:hAnsi="Times New Roman" w:cs="Times New Roman"/>
          <w:color w:val="auto"/>
        </w:rPr>
        <w:t>Regulation of estate a</w:t>
      </w:r>
      <w:r w:rsidR="00243E82" w:rsidRPr="00455EB3">
        <w:rPr>
          <w:rFonts w:ascii="Times New Roman" w:hAnsi="Times New Roman" w:cs="Times New Roman"/>
          <w:color w:val="auto"/>
        </w:rPr>
        <w:t>gents</w:t>
      </w:r>
      <w:r w:rsidR="00D97B14" w:rsidRPr="00455EB3">
        <w:rPr>
          <w:rFonts w:ascii="Times New Roman" w:hAnsi="Times New Roman" w:cs="Times New Roman"/>
          <w:color w:val="auto"/>
        </w:rPr>
        <w:t xml:space="preserve"> and the UK anti-money laundering framework</w:t>
      </w:r>
    </w:p>
    <w:p w14:paraId="42EDC1B2" w14:textId="65B29273" w:rsidR="00243E82" w:rsidRPr="00455EB3" w:rsidRDefault="00243E82" w:rsidP="00AB4266">
      <w:pPr>
        <w:jc w:val="both"/>
        <w:rPr>
          <w:rFonts w:ascii="Times New Roman" w:hAnsi="Times New Roman" w:cs="Times New Roman"/>
        </w:rPr>
      </w:pPr>
      <w:r w:rsidRPr="00455EB3">
        <w:rPr>
          <w:rFonts w:ascii="Times New Roman" w:hAnsi="Times New Roman" w:cs="Times New Roman"/>
        </w:rPr>
        <w:t>There are many reasons why regulation in a particular sector or profession might be desirable.</w:t>
      </w:r>
      <w:r w:rsidRPr="00455EB3">
        <w:rPr>
          <w:rStyle w:val="FootnoteReference"/>
          <w:rFonts w:ascii="Times New Roman" w:hAnsi="Times New Roman" w:cs="Times New Roman"/>
        </w:rPr>
        <w:footnoteReference w:id="58"/>
      </w:r>
      <w:r w:rsidRPr="00455EB3">
        <w:rPr>
          <w:rFonts w:ascii="Times New Roman" w:hAnsi="Times New Roman" w:cs="Times New Roman"/>
        </w:rPr>
        <w:t xml:space="preserve"> For example, where a situation calls for skill or expertise in dealing with a task, then insistence upon a certain standard of skill might be necessary. The medical profession is an obvious exampl</w:t>
      </w:r>
      <w:r w:rsidR="00B555B3" w:rsidRPr="00455EB3">
        <w:rPr>
          <w:rFonts w:ascii="Times New Roman" w:hAnsi="Times New Roman" w:cs="Times New Roman"/>
        </w:rPr>
        <w:t>e:</w:t>
      </w:r>
      <w:r w:rsidRPr="00455EB3">
        <w:rPr>
          <w:rFonts w:ascii="Times New Roman" w:hAnsi="Times New Roman" w:cs="Times New Roman"/>
        </w:rPr>
        <w:t xml:space="preserve"> it makes sense to regulate the profession to ensure high standards and quality of care for patients. </w:t>
      </w:r>
      <w:r w:rsidR="00127F8E" w:rsidRPr="00455EB3">
        <w:rPr>
          <w:rFonts w:ascii="Times New Roman" w:hAnsi="Times New Roman" w:cs="Times New Roman"/>
        </w:rPr>
        <w:t xml:space="preserve">On the other hand, </w:t>
      </w:r>
      <w:r w:rsidRPr="00455EB3">
        <w:rPr>
          <w:rFonts w:ascii="Times New Roman" w:hAnsi="Times New Roman" w:cs="Times New Roman"/>
        </w:rPr>
        <w:t>there are also reasons not to require regulation, such as</w:t>
      </w:r>
      <w:r w:rsidR="00E55E62" w:rsidRPr="00455EB3">
        <w:rPr>
          <w:rFonts w:ascii="Times New Roman" w:hAnsi="Times New Roman" w:cs="Times New Roman"/>
        </w:rPr>
        <w:t>, for instance,</w:t>
      </w:r>
      <w:r w:rsidRPr="00455EB3">
        <w:rPr>
          <w:rFonts w:ascii="Times New Roman" w:hAnsi="Times New Roman" w:cs="Times New Roman"/>
        </w:rPr>
        <w:t xml:space="preserve"> entry restrictions into a sector or increased costs. Debates as to the regulation of </w:t>
      </w:r>
      <w:r w:rsidR="00E55E62" w:rsidRPr="00455EB3">
        <w:rPr>
          <w:rFonts w:ascii="Times New Roman" w:hAnsi="Times New Roman" w:cs="Times New Roman"/>
        </w:rPr>
        <w:t>EAs</w:t>
      </w:r>
      <w:r w:rsidRPr="00455EB3">
        <w:rPr>
          <w:rStyle w:val="FootnoteReference"/>
          <w:rFonts w:ascii="Times New Roman" w:hAnsi="Times New Roman" w:cs="Times New Roman"/>
        </w:rPr>
        <w:footnoteReference w:id="59"/>
      </w:r>
      <w:r w:rsidRPr="00455EB3">
        <w:rPr>
          <w:rFonts w:ascii="Times New Roman" w:hAnsi="Times New Roman" w:cs="Times New Roman"/>
        </w:rPr>
        <w:t xml:space="preserve"> (or</w:t>
      </w:r>
      <w:r w:rsidR="01A1CD25" w:rsidRPr="00455EB3">
        <w:rPr>
          <w:rFonts w:ascii="Times New Roman" w:hAnsi="Times New Roman" w:cs="Times New Roman"/>
        </w:rPr>
        <w:t xml:space="preserve"> ‘</w:t>
      </w:r>
      <w:r w:rsidRPr="00455EB3">
        <w:rPr>
          <w:rFonts w:ascii="Times New Roman" w:hAnsi="Times New Roman" w:cs="Times New Roman"/>
        </w:rPr>
        <w:t>estate agency work</w:t>
      </w:r>
      <w:r w:rsidR="602C70C2" w:rsidRPr="00455EB3">
        <w:rPr>
          <w:rFonts w:ascii="Times New Roman" w:hAnsi="Times New Roman" w:cs="Times New Roman"/>
        </w:rPr>
        <w:t>’</w:t>
      </w:r>
      <w:r w:rsidR="051E012E" w:rsidRPr="00455EB3">
        <w:rPr>
          <w:rFonts w:ascii="Times New Roman" w:hAnsi="Times New Roman" w:cs="Times New Roman"/>
        </w:rPr>
        <w:t>, which is the term used in the Estate Agents Act 1979</w:t>
      </w:r>
      <w:r w:rsidRPr="00455EB3">
        <w:rPr>
          <w:rFonts w:ascii="Times New Roman" w:hAnsi="Times New Roman" w:cs="Times New Roman"/>
        </w:rPr>
        <w:t xml:space="preserve">) have been ongoing for quite some time, and </w:t>
      </w:r>
      <w:r w:rsidR="00E55E62" w:rsidRPr="00455EB3">
        <w:rPr>
          <w:rFonts w:ascii="Times New Roman" w:hAnsi="Times New Roman" w:cs="Times New Roman"/>
        </w:rPr>
        <w:t xml:space="preserve">they </w:t>
      </w:r>
      <w:r w:rsidRPr="00455EB3">
        <w:rPr>
          <w:rFonts w:ascii="Times New Roman" w:hAnsi="Times New Roman" w:cs="Times New Roman"/>
        </w:rPr>
        <w:t>have demonstrated motivations of regulatory capture, public interest, and/or asymmetric information.</w:t>
      </w:r>
      <w:r w:rsidRPr="00455EB3">
        <w:rPr>
          <w:rStyle w:val="FootnoteReference"/>
          <w:rFonts w:ascii="Times New Roman" w:hAnsi="Times New Roman" w:cs="Times New Roman"/>
        </w:rPr>
        <w:footnoteReference w:id="60"/>
      </w:r>
      <w:r w:rsidRPr="00455EB3">
        <w:rPr>
          <w:rFonts w:ascii="Times New Roman" w:hAnsi="Times New Roman" w:cs="Times New Roman"/>
        </w:rPr>
        <w:t xml:space="preserve"> </w:t>
      </w:r>
      <w:r w:rsidR="00B76DF7" w:rsidRPr="00455EB3">
        <w:rPr>
          <w:rFonts w:ascii="Times New Roman" w:hAnsi="Times New Roman" w:cs="Times New Roman"/>
        </w:rPr>
        <w:t>Nowadays</w:t>
      </w:r>
      <w:r w:rsidRPr="00455EB3">
        <w:rPr>
          <w:rFonts w:ascii="Times New Roman" w:hAnsi="Times New Roman" w:cs="Times New Roman"/>
        </w:rPr>
        <w:t xml:space="preserve">, </w:t>
      </w:r>
      <w:r w:rsidR="00B76DF7" w:rsidRPr="00455EB3">
        <w:rPr>
          <w:rFonts w:ascii="Times New Roman" w:hAnsi="Times New Roman" w:cs="Times New Roman"/>
        </w:rPr>
        <w:t xml:space="preserve">EAs </w:t>
      </w:r>
      <w:r w:rsidRPr="00455EB3">
        <w:rPr>
          <w:rFonts w:ascii="Times New Roman" w:hAnsi="Times New Roman" w:cs="Times New Roman"/>
        </w:rPr>
        <w:t>are subject to a myriad of regulation</w:t>
      </w:r>
      <w:r w:rsidR="003F34BF" w:rsidRPr="00455EB3">
        <w:rPr>
          <w:rFonts w:ascii="Times New Roman" w:hAnsi="Times New Roman" w:cs="Times New Roman"/>
        </w:rPr>
        <w:t>s</w:t>
      </w:r>
      <w:r w:rsidRPr="00BB57BE">
        <w:rPr>
          <w:rFonts w:ascii="Times New Roman" w:hAnsi="Times New Roman" w:cs="Times New Roman"/>
          <w:vertAlign w:val="superscript"/>
        </w:rPr>
        <w:footnoteReference w:id="61"/>
      </w:r>
      <w:r w:rsidRPr="00BB57BE">
        <w:rPr>
          <w:rFonts w:ascii="Times New Roman" w:hAnsi="Times New Roman" w:cs="Times New Roman"/>
          <w:vertAlign w:val="superscript"/>
        </w:rPr>
        <w:t xml:space="preserve"> </w:t>
      </w:r>
      <w:r w:rsidRPr="00455EB3">
        <w:rPr>
          <w:rFonts w:ascii="Times New Roman" w:hAnsi="Times New Roman" w:cs="Times New Roman"/>
        </w:rPr>
        <w:t>(</w:t>
      </w:r>
      <w:r w:rsidR="00B76DF7" w:rsidRPr="00455EB3">
        <w:rPr>
          <w:rFonts w:ascii="Times New Roman" w:hAnsi="Times New Roman" w:cs="Times New Roman"/>
        </w:rPr>
        <w:t>al</w:t>
      </w:r>
      <w:r w:rsidRPr="00455EB3">
        <w:rPr>
          <w:rFonts w:ascii="Times New Roman" w:hAnsi="Times New Roman" w:cs="Times New Roman"/>
        </w:rPr>
        <w:t xml:space="preserve">though </w:t>
      </w:r>
      <w:r w:rsidR="00B76DF7" w:rsidRPr="00455EB3">
        <w:rPr>
          <w:rFonts w:ascii="Times New Roman" w:hAnsi="Times New Roman" w:cs="Times New Roman"/>
        </w:rPr>
        <w:t xml:space="preserve">some </w:t>
      </w:r>
      <w:r w:rsidR="003C0240" w:rsidRPr="00455EB3">
        <w:rPr>
          <w:rFonts w:ascii="Times New Roman" w:hAnsi="Times New Roman" w:cs="Times New Roman"/>
        </w:rPr>
        <w:t xml:space="preserve">still </w:t>
      </w:r>
      <w:r w:rsidR="00E229DF" w:rsidRPr="00455EB3">
        <w:rPr>
          <w:rFonts w:ascii="Times New Roman" w:hAnsi="Times New Roman" w:cs="Times New Roman"/>
        </w:rPr>
        <w:t xml:space="preserve">describe this sector as </w:t>
      </w:r>
      <w:r w:rsidRPr="00455EB3">
        <w:rPr>
          <w:rFonts w:ascii="Times New Roman" w:hAnsi="Times New Roman" w:cs="Times New Roman"/>
        </w:rPr>
        <w:t>a ‘Wild West’ habited by ‘rogues’</w:t>
      </w:r>
      <w:r w:rsidRPr="00455EB3">
        <w:rPr>
          <w:rStyle w:val="FootnoteReference"/>
          <w:rFonts w:ascii="Times New Roman" w:hAnsi="Times New Roman" w:cs="Times New Roman"/>
        </w:rPr>
        <w:footnoteReference w:id="62"/>
      </w:r>
      <w:r w:rsidRPr="00455EB3">
        <w:rPr>
          <w:rFonts w:ascii="Times New Roman" w:hAnsi="Times New Roman" w:cs="Times New Roman"/>
        </w:rPr>
        <w:t>).</w:t>
      </w:r>
    </w:p>
    <w:p w14:paraId="38FA86E9" w14:textId="2BE6E7DA" w:rsidR="00D97B14" w:rsidRPr="00455EB3" w:rsidRDefault="00243E82" w:rsidP="00AB4266">
      <w:pPr>
        <w:ind w:firstLine="720"/>
        <w:jc w:val="both"/>
        <w:rPr>
          <w:rFonts w:ascii="Times New Roman" w:hAnsi="Times New Roman" w:cs="Times New Roman"/>
        </w:rPr>
      </w:pPr>
      <w:r w:rsidRPr="00455EB3">
        <w:rPr>
          <w:rFonts w:ascii="Times New Roman" w:hAnsi="Times New Roman" w:cs="Times New Roman"/>
        </w:rPr>
        <w:t xml:space="preserve">One aspect of regulation that is </w:t>
      </w:r>
      <w:r w:rsidR="00AD783C" w:rsidRPr="00455EB3">
        <w:rPr>
          <w:rFonts w:ascii="Times New Roman" w:hAnsi="Times New Roman" w:cs="Times New Roman"/>
        </w:rPr>
        <w:t xml:space="preserve">particularly relevant </w:t>
      </w:r>
      <w:r w:rsidR="00582AAE" w:rsidRPr="00455EB3">
        <w:rPr>
          <w:rFonts w:ascii="Times New Roman" w:hAnsi="Times New Roman" w:cs="Times New Roman"/>
        </w:rPr>
        <w:t xml:space="preserve">for the work of </w:t>
      </w:r>
      <w:r w:rsidRPr="00455EB3">
        <w:rPr>
          <w:rFonts w:ascii="Times New Roman" w:hAnsi="Times New Roman" w:cs="Times New Roman"/>
        </w:rPr>
        <w:t xml:space="preserve">EAs is AML. As noted </w:t>
      </w:r>
      <w:r w:rsidR="0074526D">
        <w:rPr>
          <w:rFonts w:ascii="Times New Roman" w:hAnsi="Times New Roman" w:cs="Times New Roman"/>
        </w:rPr>
        <w:t xml:space="preserve">earlier, </w:t>
      </w:r>
      <w:r w:rsidRPr="00455EB3">
        <w:rPr>
          <w:rFonts w:ascii="Times New Roman" w:hAnsi="Times New Roman" w:cs="Times New Roman"/>
        </w:rPr>
        <w:t xml:space="preserve">there is </w:t>
      </w:r>
      <w:r w:rsidR="00EC65A2" w:rsidRPr="00455EB3">
        <w:rPr>
          <w:rFonts w:ascii="Times New Roman" w:hAnsi="Times New Roman" w:cs="Times New Roman"/>
        </w:rPr>
        <w:t xml:space="preserve">a </w:t>
      </w:r>
      <w:r w:rsidRPr="00455EB3">
        <w:rPr>
          <w:rFonts w:ascii="Times New Roman" w:hAnsi="Times New Roman" w:cs="Times New Roman"/>
        </w:rPr>
        <w:t xml:space="preserve">significant focus on the property market as a destination for </w:t>
      </w:r>
      <w:r w:rsidRPr="00455EB3">
        <w:rPr>
          <w:rFonts w:ascii="Times New Roman" w:hAnsi="Times New Roman" w:cs="Times New Roman"/>
        </w:rPr>
        <w:lastRenderedPageBreak/>
        <w:t>laundering criminal proceeds.</w:t>
      </w:r>
      <w:r w:rsidRPr="00455EB3">
        <w:rPr>
          <w:rStyle w:val="FootnoteReference"/>
          <w:rFonts w:ascii="Times New Roman" w:hAnsi="Times New Roman" w:cs="Times New Roman"/>
        </w:rPr>
        <w:footnoteReference w:id="63"/>
      </w:r>
      <w:r w:rsidRPr="00455EB3">
        <w:rPr>
          <w:rFonts w:ascii="Times New Roman" w:hAnsi="Times New Roman" w:cs="Times New Roman"/>
        </w:rPr>
        <w:t xml:space="preserve"> Here, public interest aspects of regulation are strikingly evident</w:t>
      </w:r>
      <w:r w:rsidR="008B6B7A" w:rsidRPr="00455EB3">
        <w:rPr>
          <w:rFonts w:ascii="Times New Roman" w:hAnsi="Times New Roman" w:cs="Times New Roman"/>
        </w:rPr>
        <w:t>. F</w:t>
      </w:r>
      <w:r w:rsidRPr="00455EB3">
        <w:rPr>
          <w:rFonts w:ascii="Times New Roman" w:hAnsi="Times New Roman" w:cs="Times New Roman"/>
        </w:rPr>
        <w:t xml:space="preserve">or example, it can be argued that EAs are at the front line and are </w:t>
      </w:r>
      <w:r w:rsidR="00EC65A2" w:rsidRPr="00455EB3">
        <w:rPr>
          <w:rFonts w:ascii="Times New Roman" w:hAnsi="Times New Roman" w:cs="Times New Roman"/>
        </w:rPr>
        <w:t>well-</w:t>
      </w:r>
      <w:r w:rsidRPr="00455EB3">
        <w:rPr>
          <w:rFonts w:ascii="Times New Roman" w:hAnsi="Times New Roman" w:cs="Times New Roman"/>
        </w:rPr>
        <w:t xml:space="preserve">positioned to contribute to AML efforts; EAs are under a moral obligation to do so; and the importance of AML justifies the imposition of legal obligations. Such arguments are prevalent and indeed are </w:t>
      </w:r>
      <w:r w:rsidR="008B6B7A" w:rsidRPr="00455EB3">
        <w:rPr>
          <w:rFonts w:ascii="Times New Roman" w:hAnsi="Times New Roman" w:cs="Times New Roman"/>
        </w:rPr>
        <w:t xml:space="preserve">also </w:t>
      </w:r>
      <w:r w:rsidRPr="00455EB3">
        <w:rPr>
          <w:rFonts w:ascii="Times New Roman" w:hAnsi="Times New Roman" w:cs="Times New Roman"/>
        </w:rPr>
        <w:t>extended to other sectors.</w:t>
      </w:r>
      <w:r w:rsidRPr="00455EB3">
        <w:rPr>
          <w:rStyle w:val="FootnoteReference"/>
          <w:rFonts w:ascii="Times New Roman" w:hAnsi="Times New Roman" w:cs="Times New Roman"/>
        </w:rPr>
        <w:footnoteReference w:id="64"/>
      </w:r>
      <w:r w:rsidRPr="00455EB3">
        <w:rPr>
          <w:rFonts w:ascii="Times New Roman" w:hAnsi="Times New Roman" w:cs="Times New Roman"/>
        </w:rPr>
        <w:t xml:space="preserve"> This article thus considers the perspective from the other side,</w:t>
      </w:r>
      <w:r w:rsidRPr="00455EB3">
        <w:rPr>
          <w:rStyle w:val="FootnoteReference"/>
          <w:rFonts w:ascii="Times New Roman" w:hAnsi="Times New Roman" w:cs="Times New Roman"/>
        </w:rPr>
        <w:footnoteReference w:id="65"/>
      </w:r>
      <w:r w:rsidRPr="00455EB3">
        <w:rPr>
          <w:rFonts w:ascii="Times New Roman" w:hAnsi="Times New Roman" w:cs="Times New Roman"/>
        </w:rPr>
        <w:t xml:space="preserve"> to examine practical obstacles to </w:t>
      </w:r>
      <w:r w:rsidR="006D427E" w:rsidRPr="00455EB3">
        <w:rPr>
          <w:rFonts w:ascii="Times New Roman" w:hAnsi="Times New Roman" w:cs="Times New Roman"/>
        </w:rPr>
        <w:t xml:space="preserve">the </w:t>
      </w:r>
      <w:r w:rsidRPr="00455EB3">
        <w:rPr>
          <w:rFonts w:ascii="Times New Roman" w:hAnsi="Times New Roman" w:cs="Times New Roman"/>
        </w:rPr>
        <w:t>implementation of AML in practice. Before considering the empirical findings</w:t>
      </w:r>
      <w:r w:rsidR="003A3145" w:rsidRPr="00455EB3">
        <w:rPr>
          <w:rFonts w:ascii="Times New Roman" w:hAnsi="Times New Roman" w:cs="Times New Roman"/>
        </w:rPr>
        <w:t xml:space="preserve"> of this study</w:t>
      </w:r>
      <w:r w:rsidRPr="00455EB3">
        <w:rPr>
          <w:rFonts w:ascii="Times New Roman" w:hAnsi="Times New Roman" w:cs="Times New Roman"/>
        </w:rPr>
        <w:t xml:space="preserve">, it is important to </w:t>
      </w:r>
      <w:r w:rsidR="008D22F7" w:rsidRPr="00455EB3">
        <w:rPr>
          <w:rFonts w:ascii="Times New Roman" w:hAnsi="Times New Roman" w:cs="Times New Roman"/>
        </w:rPr>
        <w:t xml:space="preserve">recall some </w:t>
      </w:r>
      <w:r w:rsidR="00B96E09" w:rsidRPr="00455EB3">
        <w:rPr>
          <w:rFonts w:ascii="Times New Roman" w:hAnsi="Times New Roman" w:cs="Times New Roman"/>
        </w:rPr>
        <w:t xml:space="preserve">aspects of </w:t>
      </w:r>
      <w:r w:rsidRPr="00455EB3">
        <w:rPr>
          <w:rFonts w:ascii="Times New Roman" w:hAnsi="Times New Roman" w:cs="Times New Roman"/>
        </w:rPr>
        <w:t xml:space="preserve">the </w:t>
      </w:r>
      <w:r w:rsidR="00F06D22" w:rsidRPr="00455EB3">
        <w:rPr>
          <w:rFonts w:ascii="Times New Roman" w:hAnsi="Times New Roman" w:cs="Times New Roman"/>
        </w:rPr>
        <w:t xml:space="preserve">applicable </w:t>
      </w:r>
      <w:r w:rsidRPr="00455EB3">
        <w:rPr>
          <w:rFonts w:ascii="Times New Roman" w:hAnsi="Times New Roman" w:cs="Times New Roman"/>
        </w:rPr>
        <w:t>AML regime</w:t>
      </w:r>
      <w:r w:rsidR="00190D20" w:rsidRPr="00455EB3">
        <w:rPr>
          <w:rFonts w:ascii="Times New Roman" w:hAnsi="Times New Roman" w:cs="Times New Roman"/>
        </w:rPr>
        <w:t xml:space="preserve"> that will also </w:t>
      </w:r>
      <w:r w:rsidR="00F7429F" w:rsidRPr="00455EB3">
        <w:rPr>
          <w:rFonts w:ascii="Times New Roman" w:hAnsi="Times New Roman" w:cs="Times New Roman"/>
        </w:rPr>
        <w:t xml:space="preserve">be critical for </w:t>
      </w:r>
      <w:r w:rsidR="009C0613" w:rsidRPr="00455EB3">
        <w:rPr>
          <w:rFonts w:ascii="Times New Roman" w:hAnsi="Times New Roman" w:cs="Times New Roman"/>
        </w:rPr>
        <w:t>the analysis of our data</w:t>
      </w:r>
      <w:r w:rsidRPr="00455EB3">
        <w:rPr>
          <w:rFonts w:ascii="Times New Roman" w:hAnsi="Times New Roman" w:cs="Times New Roman"/>
        </w:rPr>
        <w:t>.</w:t>
      </w:r>
    </w:p>
    <w:p w14:paraId="14766D42" w14:textId="6ABEDDE6" w:rsidR="005B37C0" w:rsidRPr="00455EB3" w:rsidRDefault="005B37C0" w:rsidP="00AB4266">
      <w:pPr>
        <w:ind w:firstLine="720"/>
        <w:jc w:val="both"/>
        <w:rPr>
          <w:rFonts w:ascii="Times New Roman" w:hAnsi="Times New Roman" w:cs="Times New Roman"/>
        </w:rPr>
      </w:pPr>
      <w:r w:rsidRPr="00455EB3">
        <w:rPr>
          <w:rFonts w:ascii="Times New Roman" w:hAnsi="Times New Roman" w:cs="Times New Roman"/>
        </w:rPr>
        <w:t>The UK AML regime encompasses both a repressive (i</w:t>
      </w:r>
      <w:r w:rsidR="0076760C">
        <w:rPr>
          <w:rFonts w:ascii="Times New Roman" w:hAnsi="Times New Roman" w:cs="Times New Roman"/>
        </w:rPr>
        <w:t>.</w:t>
      </w:r>
      <w:r w:rsidRPr="00455EB3">
        <w:rPr>
          <w:rFonts w:ascii="Times New Roman" w:hAnsi="Times New Roman" w:cs="Times New Roman"/>
        </w:rPr>
        <w:t>e</w:t>
      </w:r>
      <w:r w:rsidR="0076760C">
        <w:rPr>
          <w:rFonts w:ascii="Times New Roman" w:hAnsi="Times New Roman" w:cs="Times New Roman"/>
        </w:rPr>
        <w:t>.</w:t>
      </w:r>
      <w:r w:rsidRPr="00455EB3">
        <w:rPr>
          <w:rFonts w:ascii="Times New Roman" w:hAnsi="Times New Roman" w:cs="Times New Roman"/>
        </w:rPr>
        <w:t xml:space="preserve"> criminal law) and a preventive approach.</w:t>
      </w:r>
      <w:r w:rsidRPr="00455EB3">
        <w:rPr>
          <w:rStyle w:val="FootnoteReference"/>
          <w:rFonts w:ascii="Times New Roman" w:hAnsi="Times New Roman" w:cs="Times New Roman"/>
        </w:rPr>
        <w:footnoteReference w:id="66"/>
      </w:r>
      <w:r w:rsidRPr="00455EB3">
        <w:rPr>
          <w:rFonts w:ascii="Times New Roman" w:hAnsi="Times New Roman" w:cs="Times New Roman"/>
        </w:rPr>
        <w:t xml:space="preserve"> The key </w:t>
      </w:r>
      <w:r w:rsidR="00D77AC9" w:rsidRPr="00455EB3">
        <w:rPr>
          <w:rFonts w:ascii="Times New Roman" w:hAnsi="Times New Roman" w:cs="Times New Roman"/>
        </w:rPr>
        <w:t xml:space="preserve">criminal law </w:t>
      </w:r>
      <w:r w:rsidRPr="00455EB3">
        <w:rPr>
          <w:rFonts w:ascii="Times New Roman" w:hAnsi="Times New Roman" w:cs="Times New Roman"/>
        </w:rPr>
        <w:t>legislation today is the Proceeds of Crime Act 2002</w:t>
      </w:r>
      <w:r w:rsidR="00D93DC0" w:rsidRPr="00455EB3">
        <w:rPr>
          <w:rFonts w:ascii="Times New Roman" w:hAnsi="Times New Roman" w:cs="Times New Roman"/>
        </w:rPr>
        <w:t xml:space="preserve"> (POCA)</w:t>
      </w:r>
      <w:r w:rsidRPr="00455EB3">
        <w:rPr>
          <w:rFonts w:ascii="Times New Roman" w:hAnsi="Times New Roman" w:cs="Times New Roman"/>
        </w:rPr>
        <w:t>.</w:t>
      </w:r>
      <w:r w:rsidRPr="00455EB3">
        <w:rPr>
          <w:rStyle w:val="FootnoteReference"/>
          <w:rFonts w:ascii="Times New Roman" w:hAnsi="Times New Roman" w:cs="Times New Roman"/>
        </w:rPr>
        <w:footnoteReference w:id="67"/>
      </w:r>
      <w:r w:rsidRPr="00455EB3">
        <w:rPr>
          <w:rFonts w:ascii="Times New Roman" w:hAnsi="Times New Roman" w:cs="Times New Roman"/>
        </w:rPr>
        <w:t xml:space="preserve"> The principal money laundering offences are: concealing, disguising, converting, transferring or removing from the jurisdiction criminal property;</w:t>
      </w:r>
      <w:r w:rsidRPr="00455EB3">
        <w:rPr>
          <w:rStyle w:val="FootnoteReference"/>
          <w:rFonts w:ascii="Times New Roman" w:hAnsi="Times New Roman" w:cs="Times New Roman"/>
        </w:rPr>
        <w:footnoteReference w:id="68"/>
      </w:r>
      <w:r w:rsidRPr="00455EB3">
        <w:rPr>
          <w:rFonts w:ascii="Times New Roman" w:hAnsi="Times New Roman" w:cs="Times New Roman"/>
        </w:rPr>
        <w:t xml:space="preserve"> entering into or becoming concerned in an arrangement which she knows or suspects facilitates (by whatever means) the acquisition, retention, use or control of criminal property by or on behalf of another person;</w:t>
      </w:r>
      <w:r w:rsidRPr="00455EB3">
        <w:rPr>
          <w:rStyle w:val="FootnoteReference"/>
          <w:rFonts w:ascii="Times New Roman" w:hAnsi="Times New Roman" w:cs="Times New Roman"/>
        </w:rPr>
        <w:footnoteReference w:id="69"/>
      </w:r>
      <w:r w:rsidRPr="00455EB3">
        <w:rPr>
          <w:rFonts w:ascii="Times New Roman" w:hAnsi="Times New Roman" w:cs="Times New Roman"/>
        </w:rPr>
        <w:t xml:space="preserve"> and acquiring, using, or having possession of criminal property.</w:t>
      </w:r>
      <w:r w:rsidRPr="00455EB3">
        <w:rPr>
          <w:rStyle w:val="FootnoteReference"/>
          <w:rFonts w:ascii="Times New Roman" w:hAnsi="Times New Roman" w:cs="Times New Roman"/>
        </w:rPr>
        <w:footnoteReference w:id="70"/>
      </w:r>
      <w:r w:rsidRPr="00455EB3">
        <w:rPr>
          <w:rFonts w:ascii="Times New Roman" w:hAnsi="Times New Roman" w:cs="Times New Roman"/>
        </w:rPr>
        <w:t xml:space="preserve"> </w:t>
      </w:r>
      <w:r w:rsidR="00962617" w:rsidRPr="00455EB3">
        <w:rPr>
          <w:rFonts w:ascii="Times New Roman" w:hAnsi="Times New Roman" w:cs="Times New Roman"/>
        </w:rPr>
        <w:t>In addition</w:t>
      </w:r>
      <w:r w:rsidRPr="00455EB3">
        <w:rPr>
          <w:rFonts w:ascii="Times New Roman" w:hAnsi="Times New Roman" w:cs="Times New Roman"/>
        </w:rPr>
        <w:t>, there are secondary offences concerned with ‘failing to disclose’ and ‘tipping off’.</w:t>
      </w:r>
      <w:r w:rsidRPr="00455EB3">
        <w:rPr>
          <w:rStyle w:val="FootnoteReference"/>
          <w:rFonts w:ascii="Times New Roman" w:hAnsi="Times New Roman" w:cs="Times New Roman"/>
        </w:rPr>
        <w:footnoteReference w:id="71"/>
      </w:r>
      <w:r w:rsidRPr="00455EB3">
        <w:rPr>
          <w:rFonts w:ascii="Times New Roman" w:hAnsi="Times New Roman" w:cs="Times New Roman"/>
        </w:rPr>
        <w:t xml:space="preserve"> Alongside POCA, </w:t>
      </w:r>
      <w:r w:rsidR="00D93DC0" w:rsidRPr="00455EB3">
        <w:rPr>
          <w:rFonts w:ascii="Times New Roman" w:hAnsi="Times New Roman" w:cs="Times New Roman"/>
        </w:rPr>
        <w:t xml:space="preserve">another important piece of legislation is </w:t>
      </w:r>
      <w:r w:rsidRPr="00455EB3">
        <w:rPr>
          <w:rFonts w:ascii="Times New Roman" w:hAnsi="Times New Roman" w:cs="Times New Roman"/>
        </w:rPr>
        <w:t xml:space="preserve">the </w:t>
      </w:r>
      <w:r w:rsidR="00C60F02" w:rsidRPr="00455EB3">
        <w:rPr>
          <w:rFonts w:ascii="Times New Roman" w:hAnsi="Times New Roman" w:cs="Times New Roman"/>
        </w:rPr>
        <w:t>ML Regs</w:t>
      </w:r>
      <w:r w:rsidRPr="00455EB3">
        <w:rPr>
          <w:rFonts w:ascii="Times New Roman" w:hAnsi="Times New Roman" w:cs="Times New Roman"/>
        </w:rPr>
        <w:t xml:space="preserve"> 2017.</w:t>
      </w:r>
      <w:r w:rsidRPr="00455EB3">
        <w:rPr>
          <w:rStyle w:val="FootnoteReference"/>
          <w:rFonts w:ascii="Times New Roman" w:hAnsi="Times New Roman" w:cs="Times New Roman"/>
        </w:rPr>
        <w:footnoteReference w:id="72"/>
      </w:r>
      <w:r w:rsidRPr="00455EB3">
        <w:rPr>
          <w:rFonts w:ascii="Times New Roman" w:hAnsi="Times New Roman" w:cs="Times New Roman"/>
        </w:rPr>
        <w:t xml:space="preserve"> These Regulations contain key provisions </w:t>
      </w:r>
      <w:r w:rsidR="006D427E" w:rsidRPr="00455EB3">
        <w:rPr>
          <w:rFonts w:ascii="Times New Roman" w:hAnsi="Times New Roman" w:cs="Times New Roman"/>
        </w:rPr>
        <w:t>concerning</w:t>
      </w:r>
      <w:r w:rsidRPr="00455EB3">
        <w:rPr>
          <w:rFonts w:ascii="Times New Roman" w:hAnsi="Times New Roman" w:cs="Times New Roman"/>
        </w:rPr>
        <w:t xml:space="preserve"> the AML regime, including: identifying the ‘relevant persons’ that the Regulations apply to;</w:t>
      </w:r>
      <w:r w:rsidRPr="00455EB3">
        <w:rPr>
          <w:rStyle w:val="FootnoteReference"/>
          <w:rFonts w:ascii="Times New Roman" w:hAnsi="Times New Roman" w:cs="Times New Roman"/>
        </w:rPr>
        <w:footnoteReference w:id="73"/>
      </w:r>
      <w:r w:rsidRPr="00455EB3">
        <w:rPr>
          <w:rFonts w:ascii="Times New Roman" w:hAnsi="Times New Roman" w:cs="Times New Roman"/>
        </w:rPr>
        <w:t xml:space="preserve"> specifying risk assessment steps and policies, controls and procedures that must be taken or put in place by ‘relevant persons’;</w:t>
      </w:r>
      <w:r w:rsidRPr="00455EB3">
        <w:rPr>
          <w:rStyle w:val="FootnoteReference"/>
          <w:rFonts w:ascii="Times New Roman" w:hAnsi="Times New Roman" w:cs="Times New Roman"/>
        </w:rPr>
        <w:footnoteReference w:id="74"/>
      </w:r>
      <w:r w:rsidRPr="00455EB3">
        <w:rPr>
          <w:rFonts w:ascii="Times New Roman" w:hAnsi="Times New Roman" w:cs="Times New Roman"/>
        </w:rPr>
        <w:t xml:space="preserve"> providing for training requirements;</w:t>
      </w:r>
      <w:r w:rsidRPr="00455EB3">
        <w:rPr>
          <w:rStyle w:val="FootnoteReference"/>
          <w:rFonts w:ascii="Times New Roman" w:hAnsi="Times New Roman" w:cs="Times New Roman"/>
        </w:rPr>
        <w:footnoteReference w:id="75"/>
      </w:r>
      <w:r w:rsidRPr="00455EB3">
        <w:rPr>
          <w:rFonts w:ascii="Times New Roman" w:hAnsi="Times New Roman" w:cs="Times New Roman"/>
        </w:rPr>
        <w:t xml:space="preserve"> requiring customer due diligence (CDD) measures;</w:t>
      </w:r>
      <w:r w:rsidRPr="00455EB3">
        <w:rPr>
          <w:rStyle w:val="FootnoteReference"/>
          <w:rFonts w:ascii="Times New Roman" w:hAnsi="Times New Roman" w:cs="Times New Roman"/>
        </w:rPr>
        <w:footnoteReference w:id="76"/>
      </w:r>
      <w:r w:rsidRPr="00455EB3">
        <w:rPr>
          <w:rFonts w:ascii="Times New Roman" w:hAnsi="Times New Roman" w:cs="Times New Roman"/>
        </w:rPr>
        <w:t xml:space="preserve"> and providing for reliance </w:t>
      </w:r>
      <w:r w:rsidR="00F351E3" w:rsidRPr="00455EB3">
        <w:rPr>
          <w:rFonts w:ascii="Times New Roman" w:hAnsi="Times New Roman" w:cs="Times New Roman"/>
        </w:rPr>
        <w:t xml:space="preserve">on </w:t>
      </w:r>
      <w:r w:rsidR="000551CC" w:rsidRPr="00455EB3">
        <w:rPr>
          <w:rFonts w:ascii="Times New Roman" w:hAnsi="Times New Roman" w:cs="Times New Roman"/>
        </w:rPr>
        <w:t>third-</w:t>
      </w:r>
      <w:r w:rsidRPr="00455EB3">
        <w:rPr>
          <w:rFonts w:ascii="Times New Roman" w:hAnsi="Times New Roman" w:cs="Times New Roman"/>
        </w:rPr>
        <w:t>party CDD checks</w:t>
      </w:r>
      <w:r w:rsidRPr="00455EB3">
        <w:rPr>
          <w:rStyle w:val="FootnoteReference"/>
          <w:rFonts w:ascii="Times New Roman" w:hAnsi="Times New Roman" w:cs="Times New Roman"/>
        </w:rPr>
        <w:footnoteReference w:id="77"/>
      </w:r>
      <w:r w:rsidRPr="00455EB3">
        <w:rPr>
          <w:rFonts w:ascii="Times New Roman" w:hAnsi="Times New Roman" w:cs="Times New Roman"/>
        </w:rPr>
        <w:t xml:space="preserve"> as well as for maintaining records.</w:t>
      </w:r>
      <w:r w:rsidRPr="00455EB3">
        <w:rPr>
          <w:rStyle w:val="FootnoteReference"/>
          <w:rFonts w:ascii="Times New Roman" w:hAnsi="Times New Roman" w:cs="Times New Roman"/>
        </w:rPr>
        <w:footnoteReference w:id="78"/>
      </w:r>
      <w:r w:rsidRPr="00455EB3">
        <w:rPr>
          <w:rFonts w:ascii="Times New Roman" w:hAnsi="Times New Roman" w:cs="Times New Roman"/>
        </w:rPr>
        <w:t xml:space="preserve"> There are also specific provisions concerning supervision and registration;</w:t>
      </w:r>
      <w:r w:rsidRPr="00455EB3">
        <w:rPr>
          <w:rStyle w:val="FootnoteReference"/>
          <w:rFonts w:ascii="Times New Roman" w:hAnsi="Times New Roman" w:cs="Times New Roman"/>
        </w:rPr>
        <w:footnoteReference w:id="79"/>
      </w:r>
      <w:r w:rsidRPr="00455EB3">
        <w:rPr>
          <w:rFonts w:ascii="Times New Roman" w:hAnsi="Times New Roman" w:cs="Times New Roman"/>
        </w:rPr>
        <w:t xml:space="preserve"> information gathering and investigatory powers;</w:t>
      </w:r>
      <w:r w:rsidRPr="00455EB3">
        <w:rPr>
          <w:rStyle w:val="FootnoteReference"/>
          <w:rFonts w:ascii="Times New Roman" w:hAnsi="Times New Roman" w:cs="Times New Roman"/>
        </w:rPr>
        <w:footnoteReference w:id="80"/>
      </w:r>
      <w:r w:rsidRPr="00455EB3">
        <w:rPr>
          <w:rFonts w:ascii="Times New Roman" w:hAnsi="Times New Roman" w:cs="Times New Roman"/>
        </w:rPr>
        <w:t xml:space="preserve"> and enforcement.</w:t>
      </w:r>
      <w:r w:rsidRPr="00455EB3">
        <w:rPr>
          <w:rStyle w:val="FootnoteReference"/>
          <w:rFonts w:ascii="Times New Roman" w:hAnsi="Times New Roman" w:cs="Times New Roman"/>
        </w:rPr>
        <w:footnoteReference w:id="81"/>
      </w:r>
    </w:p>
    <w:p w14:paraId="42F052B8" w14:textId="7EE1AED2" w:rsidR="00D77AC9" w:rsidRPr="00455EB3" w:rsidRDefault="00D93DC0" w:rsidP="00AB4266">
      <w:pPr>
        <w:jc w:val="both"/>
        <w:rPr>
          <w:rFonts w:ascii="Times New Roman" w:hAnsi="Times New Roman" w:cs="Times New Roman"/>
        </w:rPr>
      </w:pPr>
      <w:r w:rsidRPr="00455EB3">
        <w:rPr>
          <w:rFonts w:ascii="Times New Roman" w:hAnsi="Times New Roman" w:cs="Times New Roman"/>
        </w:rPr>
        <w:lastRenderedPageBreak/>
        <w:tab/>
      </w:r>
      <w:r w:rsidR="00C60F02" w:rsidRPr="00455EB3">
        <w:rPr>
          <w:rFonts w:ascii="Times New Roman" w:hAnsi="Times New Roman" w:cs="Times New Roman"/>
        </w:rPr>
        <w:t>As previously indicated, t</w:t>
      </w:r>
      <w:r w:rsidR="005B37C0" w:rsidRPr="00455EB3">
        <w:rPr>
          <w:rFonts w:ascii="Times New Roman" w:hAnsi="Times New Roman" w:cs="Times New Roman"/>
        </w:rPr>
        <w:t xml:space="preserve">he objective of this </w:t>
      </w:r>
      <w:r w:rsidRPr="00455EB3">
        <w:rPr>
          <w:rFonts w:ascii="Times New Roman" w:hAnsi="Times New Roman" w:cs="Times New Roman"/>
        </w:rPr>
        <w:t>article</w:t>
      </w:r>
      <w:r w:rsidR="005B37C0" w:rsidRPr="00455EB3">
        <w:rPr>
          <w:rFonts w:ascii="Times New Roman" w:hAnsi="Times New Roman" w:cs="Times New Roman"/>
        </w:rPr>
        <w:t xml:space="preserve"> </w:t>
      </w:r>
      <w:r w:rsidRPr="00455EB3">
        <w:rPr>
          <w:rFonts w:ascii="Times New Roman" w:hAnsi="Times New Roman" w:cs="Times New Roman"/>
        </w:rPr>
        <w:t xml:space="preserve">is </w:t>
      </w:r>
      <w:r w:rsidR="005B37C0" w:rsidRPr="00455EB3">
        <w:rPr>
          <w:rFonts w:ascii="Times New Roman" w:hAnsi="Times New Roman" w:cs="Times New Roman"/>
        </w:rPr>
        <w:t xml:space="preserve">to </w:t>
      </w:r>
      <w:r w:rsidR="00AD1176" w:rsidRPr="00455EB3">
        <w:rPr>
          <w:rFonts w:ascii="Times New Roman" w:hAnsi="Times New Roman" w:cs="Times New Roman"/>
        </w:rPr>
        <w:t xml:space="preserve">examine </w:t>
      </w:r>
      <w:r w:rsidR="005B37C0" w:rsidRPr="00455EB3">
        <w:rPr>
          <w:rFonts w:ascii="Times New Roman" w:hAnsi="Times New Roman" w:cs="Times New Roman"/>
        </w:rPr>
        <w:t xml:space="preserve">how </w:t>
      </w:r>
      <w:r w:rsidR="000D647D" w:rsidRPr="00455EB3">
        <w:rPr>
          <w:rFonts w:ascii="Times New Roman" w:hAnsi="Times New Roman" w:cs="Times New Roman"/>
        </w:rPr>
        <w:t>the</w:t>
      </w:r>
      <w:r w:rsidR="005B37C0" w:rsidRPr="00455EB3">
        <w:rPr>
          <w:rFonts w:ascii="Times New Roman" w:hAnsi="Times New Roman" w:cs="Times New Roman"/>
        </w:rPr>
        <w:t xml:space="preserve"> AML regime operates in practice, informed by experiences of estate agents and compliance officials. This focus is deliberate: in recent years</w:t>
      </w:r>
      <w:r w:rsidR="006D427E" w:rsidRPr="00455EB3">
        <w:rPr>
          <w:rFonts w:ascii="Times New Roman" w:hAnsi="Times New Roman" w:cs="Times New Roman"/>
        </w:rPr>
        <w:t>,</w:t>
      </w:r>
      <w:r w:rsidR="005B37C0" w:rsidRPr="00455EB3">
        <w:rPr>
          <w:rFonts w:ascii="Times New Roman" w:hAnsi="Times New Roman" w:cs="Times New Roman"/>
        </w:rPr>
        <w:t xml:space="preserve"> there has been significant policy discourse emphasising the role of professional enablers or gatekeepers in facilitating </w:t>
      </w:r>
      <w:r w:rsidR="00C60F02" w:rsidRPr="00455EB3">
        <w:rPr>
          <w:rFonts w:ascii="Times New Roman" w:hAnsi="Times New Roman" w:cs="Times New Roman"/>
        </w:rPr>
        <w:t>money laundering</w:t>
      </w:r>
      <w:r w:rsidR="005B37C0" w:rsidRPr="00455EB3">
        <w:rPr>
          <w:rFonts w:ascii="Times New Roman" w:hAnsi="Times New Roman" w:cs="Times New Roman"/>
        </w:rPr>
        <w:t>. For example, the 2017 UK National Risk Assessment (NRA) noted the threat of money launderers ‘exploiting UK and overseas financial and professional services industries’</w:t>
      </w:r>
      <w:bookmarkStart w:id="1" w:name="_Ref22473868"/>
      <w:r w:rsidR="00F76A5C" w:rsidRPr="00455EB3">
        <w:rPr>
          <w:rFonts w:ascii="Times New Roman" w:hAnsi="Times New Roman" w:cs="Times New Roman"/>
        </w:rPr>
        <w:t>.</w:t>
      </w:r>
      <w:r w:rsidR="005B37C0" w:rsidRPr="00455EB3">
        <w:rPr>
          <w:rStyle w:val="FootnoteReference"/>
          <w:rFonts w:ascii="Times New Roman" w:hAnsi="Times New Roman" w:cs="Times New Roman"/>
        </w:rPr>
        <w:footnoteReference w:id="82"/>
      </w:r>
      <w:bookmarkEnd w:id="1"/>
      <w:r w:rsidR="005B37C0" w:rsidRPr="00455EB3">
        <w:rPr>
          <w:rFonts w:ascii="Times New Roman" w:hAnsi="Times New Roman" w:cs="Times New Roman"/>
        </w:rPr>
        <w:t xml:space="preserve"> Specifically</w:t>
      </w:r>
      <w:r w:rsidR="006D427E" w:rsidRPr="00455EB3">
        <w:rPr>
          <w:rFonts w:ascii="Times New Roman" w:hAnsi="Times New Roman" w:cs="Times New Roman"/>
        </w:rPr>
        <w:t>,</w:t>
      </w:r>
      <w:r w:rsidR="005B37C0" w:rsidRPr="00455EB3">
        <w:rPr>
          <w:rFonts w:ascii="Times New Roman" w:hAnsi="Times New Roman" w:cs="Times New Roman"/>
        </w:rPr>
        <w:t xml:space="preserve"> in relation to </w:t>
      </w:r>
      <w:r w:rsidR="00D90365" w:rsidRPr="00455EB3">
        <w:rPr>
          <w:rFonts w:ascii="Times New Roman" w:hAnsi="Times New Roman" w:cs="Times New Roman"/>
        </w:rPr>
        <w:t>EAs</w:t>
      </w:r>
      <w:r w:rsidR="005B37C0" w:rsidRPr="00455EB3">
        <w:rPr>
          <w:rFonts w:ascii="Times New Roman" w:hAnsi="Times New Roman" w:cs="Times New Roman"/>
        </w:rPr>
        <w:t xml:space="preserve">, the NRA identified key risks such as being used to help buy and sell property to launder criminal funds; complicit agents helping criminals buy or sell property; perceived low understanding of risks in the sector, and low compliance with the ML </w:t>
      </w:r>
      <w:r w:rsidR="00D90365" w:rsidRPr="00455EB3">
        <w:rPr>
          <w:rFonts w:ascii="Times New Roman" w:hAnsi="Times New Roman" w:cs="Times New Roman"/>
        </w:rPr>
        <w:t>Regs</w:t>
      </w:r>
      <w:r w:rsidR="005B37C0" w:rsidRPr="00455EB3">
        <w:rPr>
          <w:rFonts w:ascii="Times New Roman" w:hAnsi="Times New Roman" w:cs="Times New Roman"/>
        </w:rPr>
        <w:t>.</w:t>
      </w:r>
      <w:r w:rsidR="005B37C0" w:rsidRPr="00455EB3">
        <w:rPr>
          <w:rStyle w:val="FootnoteReference"/>
          <w:rFonts w:ascii="Times New Roman" w:hAnsi="Times New Roman" w:cs="Times New Roman"/>
        </w:rPr>
        <w:footnoteReference w:id="83"/>
      </w:r>
      <w:r w:rsidR="005B37C0" w:rsidRPr="00455EB3">
        <w:rPr>
          <w:rFonts w:ascii="Times New Roman" w:hAnsi="Times New Roman" w:cs="Times New Roman"/>
        </w:rPr>
        <w:t xml:space="preserve"> </w:t>
      </w:r>
      <w:r w:rsidR="00A10C5C" w:rsidRPr="00455EB3">
        <w:rPr>
          <w:rFonts w:ascii="Times New Roman" w:hAnsi="Times New Roman" w:cs="Times New Roman"/>
        </w:rPr>
        <w:t>The FATF expressed similar sentiments in its 2018 Evaluation: ‘Estate agent businesses do not have a significant understanding of their risks or how to effectively mitigate them’,</w:t>
      </w:r>
      <w:r w:rsidR="00A10C5C" w:rsidRPr="00455EB3">
        <w:rPr>
          <w:rStyle w:val="FootnoteReference"/>
          <w:rFonts w:ascii="Times New Roman" w:hAnsi="Times New Roman" w:cs="Times New Roman"/>
        </w:rPr>
        <w:footnoteReference w:id="84"/>
      </w:r>
      <w:r w:rsidR="00A10C5C" w:rsidRPr="00455EB3">
        <w:rPr>
          <w:rFonts w:ascii="Times New Roman" w:hAnsi="Times New Roman" w:cs="Times New Roman"/>
        </w:rPr>
        <w:t xml:space="preserve"> </w:t>
      </w:r>
      <w:r w:rsidR="001F2BE6" w:rsidRPr="00455EB3">
        <w:rPr>
          <w:rFonts w:ascii="Times New Roman" w:hAnsi="Times New Roman" w:cs="Times New Roman"/>
        </w:rPr>
        <w:t>al</w:t>
      </w:r>
      <w:r w:rsidR="00A10C5C" w:rsidRPr="00455EB3">
        <w:rPr>
          <w:rFonts w:ascii="Times New Roman" w:hAnsi="Times New Roman" w:cs="Times New Roman"/>
        </w:rPr>
        <w:t>though it did also note that compliance standards have improved.</w:t>
      </w:r>
      <w:r w:rsidR="00A10C5C" w:rsidRPr="00455EB3">
        <w:rPr>
          <w:rStyle w:val="FootnoteReference"/>
          <w:rFonts w:ascii="Times New Roman" w:hAnsi="Times New Roman" w:cs="Times New Roman"/>
        </w:rPr>
        <w:footnoteReference w:id="85"/>
      </w:r>
    </w:p>
    <w:p w14:paraId="258D6325" w14:textId="40AE43D2" w:rsidR="000855CC" w:rsidRPr="00455EB3" w:rsidRDefault="00D77AC9" w:rsidP="00AB4266">
      <w:pPr>
        <w:jc w:val="both"/>
        <w:rPr>
          <w:rFonts w:ascii="Times New Roman" w:hAnsi="Times New Roman" w:cs="Times New Roman"/>
        </w:rPr>
      </w:pPr>
      <w:r w:rsidRPr="00455EB3">
        <w:rPr>
          <w:rFonts w:ascii="Times New Roman" w:hAnsi="Times New Roman" w:cs="Times New Roman"/>
        </w:rPr>
        <w:tab/>
      </w:r>
      <w:r w:rsidR="001627CF" w:rsidRPr="00455EB3">
        <w:rPr>
          <w:rFonts w:ascii="Times New Roman" w:hAnsi="Times New Roman" w:cs="Times New Roman"/>
        </w:rPr>
        <w:t xml:space="preserve">When examining the UK AML framework, a key aspect that emerges is the role </w:t>
      </w:r>
      <w:r w:rsidR="00630A6C" w:rsidRPr="00455EB3">
        <w:rPr>
          <w:rFonts w:ascii="Times New Roman" w:hAnsi="Times New Roman" w:cs="Times New Roman"/>
        </w:rPr>
        <w:t xml:space="preserve">of </w:t>
      </w:r>
      <w:r w:rsidR="001627CF" w:rsidRPr="00455EB3">
        <w:rPr>
          <w:rFonts w:ascii="Times New Roman" w:hAnsi="Times New Roman" w:cs="Times New Roman"/>
        </w:rPr>
        <w:t xml:space="preserve">and </w:t>
      </w:r>
      <w:r w:rsidR="00630A6C" w:rsidRPr="00455EB3">
        <w:rPr>
          <w:rFonts w:ascii="Times New Roman" w:hAnsi="Times New Roman" w:cs="Times New Roman"/>
        </w:rPr>
        <w:t xml:space="preserve">the </w:t>
      </w:r>
      <w:r w:rsidR="001627CF" w:rsidRPr="00455EB3">
        <w:rPr>
          <w:rFonts w:ascii="Times New Roman" w:hAnsi="Times New Roman" w:cs="Times New Roman"/>
        </w:rPr>
        <w:t xml:space="preserve">function attributed to </w:t>
      </w:r>
      <w:r w:rsidR="00A10C5C" w:rsidRPr="00455EB3">
        <w:rPr>
          <w:rFonts w:ascii="Times New Roman" w:hAnsi="Times New Roman" w:cs="Times New Roman"/>
        </w:rPr>
        <w:t>private actors</w:t>
      </w:r>
      <w:r w:rsidR="001627CF" w:rsidRPr="00455EB3">
        <w:rPr>
          <w:rFonts w:ascii="Times New Roman" w:hAnsi="Times New Roman" w:cs="Times New Roman"/>
        </w:rPr>
        <w:t>. Indeed, a</w:t>
      </w:r>
      <w:r w:rsidR="005B37C0" w:rsidRPr="00455EB3">
        <w:rPr>
          <w:rFonts w:ascii="Times New Roman" w:hAnsi="Times New Roman" w:cs="Times New Roman"/>
        </w:rPr>
        <w:t>longside other private actors, estate agents have been enlisted in ‘policing’ activities (specifically ‘following-the-money’ strategies to tackle crime).</w:t>
      </w:r>
      <w:r w:rsidR="00AD1176" w:rsidRPr="00455EB3">
        <w:rPr>
          <w:rStyle w:val="FootnoteReference"/>
          <w:rFonts w:ascii="Times New Roman" w:hAnsi="Times New Roman" w:cs="Times New Roman"/>
        </w:rPr>
        <w:footnoteReference w:id="86"/>
      </w:r>
      <w:r w:rsidR="005B37C0" w:rsidRPr="00455EB3">
        <w:rPr>
          <w:rFonts w:ascii="Times New Roman" w:hAnsi="Times New Roman" w:cs="Times New Roman"/>
        </w:rPr>
        <w:t xml:space="preserve"> </w:t>
      </w:r>
      <w:r w:rsidR="0B8478B0" w:rsidRPr="00455EB3">
        <w:rPr>
          <w:rFonts w:ascii="Times New Roman" w:hAnsi="Times New Roman" w:cs="Times New Roman"/>
        </w:rPr>
        <w:t>This</w:t>
      </w:r>
      <w:r w:rsidR="001073BF" w:rsidRPr="00455EB3">
        <w:rPr>
          <w:rFonts w:ascii="Times New Roman" w:hAnsi="Times New Roman" w:cs="Times New Roman"/>
        </w:rPr>
        <w:t xml:space="preserve"> </w:t>
      </w:r>
      <w:r w:rsidR="005B37C0" w:rsidRPr="00455EB3">
        <w:rPr>
          <w:rFonts w:ascii="Times New Roman" w:hAnsi="Times New Roman" w:cs="Times New Roman"/>
        </w:rPr>
        <w:t>is particularly evident in the AML context, where private actors are expected to conduct checks on their clients and to report suspicions to law enforcement</w:t>
      </w:r>
      <w:r w:rsidR="00D93DC0" w:rsidRPr="00455EB3">
        <w:rPr>
          <w:rFonts w:ascii="Times New Roman" w:hAnsi="Times New Roman" w:cs="Times New Roman"/>
        </w:rPr>
        <w:t xml:space="preserve"> agencies</w:t>
      </w:r>
      <w:r w:rsidR="005B37C0" w:rsidRPr="00455EB3">
        <w:rPr>
          <w:rFonts w:ascii="Times New Roman" w:hAnsi="Times New Roman" w:cs="Times New Roman"/>
        </w:rPr>
        <w:t>.</w:t>
      </w:r>
      <w:r w:rsidR="000B6075" w:rsidRPr="00455EB3">
        <w:rPr>
          <w:rStyle w:val="FootnoteReference"/>
          <w:rFonts w:ascii="Times New Roman" w:hAnsi="Times New Roman" w:cs="Times New Roman"/>
        </w:rPr>
        <w:footnoteReference w:id="87"/>
      </w:r>
      <w:r w:rsidR="005B37C0" w:rsidRPr="00455EB3">
        <w:rPr>
          <w:rFonts w:ascii="Times New Roman" w:hAnsi="Times New Roman" w:cs="Times New Roman"/>
        </w:rPr>
        <w:t xml:space="preserve"> For many, AML requirements are seen as a form of government outsourcing</w:t>
      </w:r>
      <w:r w:rsidR="00896521" w:rsidRPr="00455EB3">
        <w:rPr>
          <w:rFonts w:ascii="Times New Roman" w:hAnsi="Times New Roman" w:cs="Times New Roman"/>
        </w:rPr>
        <w:t xml:space="preserve"> of regulatory responsibility</w:t>
      </w:r>
      <w:r w:rsidR="00605220" w:rsidRPr="00455EB3">
        <w:rPr>
          <w:rFonts w:ascii="Times New Roman" w:hAnsi="Times New Roman" w:cs="Times New Roman"/>
        </w:rPr>
        <w:t>,</w:t>
      </w:r>
      <w:r w:rsidR="005B37C0" w:rsidRPr="00455EB3">
        <w:rPr>
          <w:rStyle w:val="FootnoteReference"/>
          <w:rFonts w:ascii="Times New Roman" w:hAnsi="Times New Roman" w:cs="Times New Roman"/>
        </w:rPr>
        <w:footnoteReference w:id="88"/>
      </w:r>
      <w:r w:rsidR="005B37C0" w:rsidRPr="00455EB3">
        <w:rPr>
          <w:rFonts w:ascii="Times New Roman" w:hAnsi="Times New Roman" w:cs="Times New Roman"/>
        </w:rPr>
        <w:t xml:space="preserve"> </w:t>
      </w:r>
      <w:r w:rsidR="00605220" w:rsidRPr="00455EB3">
        <w:rPr>
          <w:rFonts w:ascii="Times New Roman" w:hAnsi="Times New Roman" w:cs="Times New Roman"/>
        </w:rPr>
        <w:t>o</w:t>
      </w:r>
      <w:r w:rsidR="001073BF" w:rsidRPr="00455EB3">
        <w:rPr>
          <w:rFonts w:ascii="Times New Roman" w:hAnsi="Times New Roman" w:cs="Times New Roman"/>
        </w:rPr>
        <w:t>r</w:t>
      </w:r>
      <w:r w:rsidR="005B37C0" w:rsidRPr="00455EB3">
        <w:rPr>
          <w:rFonts w:ascii="Times New Roman" w:hAnsi="Times New Roman" w:cs="Times New Roman"/>
        </w:rPr>
        <w:t xml:space="preserve">, as the UK AML/CTF Action Plan </w:t>
      </w:r>
      <w:r w:rsidR="001073BF" w:rsidRPr="00455EB3">
        <w:rPr>
          <w:rFonts w:ascii="Times New Roman" w:hAnsi="Times New Roman" w:cs="Times New Roman"/>
        </w:rPr>
        <w:t>puts it, the private sector is ‘the first line of defence’.</w:t>
      </w:r>
      <w:r w:rsidR="005B37C0" w:rsidRPr="00455EB3">
        <w:rPr>
          <w:rStyle w:val="FootnoteReference"/>
          <w:rFonts w:ascii="Times New Roman" w:hAnsi="Times New Roman" w:cs="Times New Roman"/>
        </w:rPr>
        <w:footnoteReference w:id="89"/>
      </w:r>
      <w:r w:rsidR="005B37C0" w:rsidRPr="00455EB3">
        <w:rPr>
          <w:rFonts w:ascii="Times New Roman" w:hAnsi="Times New Roman" w:cs="Times New Roman"/>
        </w:rPr>
        <w:t xml:space="preserve"> </w:t>
      </w:r>
      <w:r w:rsidR="00A10C5C" w:rsidRPr="00455EB3">
        <w:rPr>
          <w:rFonts w:ascii="Times New Roman" w:hAnsi="Times New Roman" w:cs="Times New Roman"/>
        </w:rPr>
        <w:t xml:space="preserve">Thus, </w:t>
      </w:r>
      <w:r w:rsidR="00444CD0" w:rsidRPr="00455EB3">
        <w:rPr>
          <w:rFonts w:ascii="Times New Roman" w:hAnsi="Times New Roman" w:cs="Times New Roman"/>
        </w:rPr>
        <w:t xml:space="preserve">the </w:t>
      </w:r>
      <w:r w:rsidR="00284E17">
        <w:rPr>
          <w:rFonts w:ascii="Times New Roman" w:hAnsi="Times New Roman" w:cs="Times New Roman"/>
        </w:rPr>
        <w:t>rest</w:t>
      </w:r>
      <w:r w:rsidR="00444CD0" w:rsidRPr="00455EB3">
        <w:rPr>
          <w:rFonts w:ascii="Times New Roman" w:hAnsi="Times New Roman" w:cs="Times New Roman"/>
        </w:rPr>
        <w:t xml:space="preserve"> of </w:t>
      </w:r>
      <w:r w:rsidR="00A10C5C" w:rsidRPr="00455EB3">
        <w:rPr>
          <w:rFonts w:ascii="Times New Roman" w:hAnsi="Times New Roman" w:cs="Times New Roman"/>
        </w:rPr>
        <w:t>this article</w:t>
      </w:r>
      <w:r w:rsidR="008423EC" w:rsidRPr="00455EB3">
        <w:rPr>
          <w:rFonts w:ascii="Times New Roman" w:hAnsi="Times New Roman" w:cs="Times New Roman"/>
        </w:rPr>
        <w:t xml:space="preserve"> examine</w:t>
      </w:r>
      <w:r w:rsidR="00605220" w:rsidRPr="00455EB3">
        <w:rPr>
          <w:rFonts w:ascii="Times New Roman" w:hAnsi="Times New Roman" w:cs="Times New Roman"/>
        </w:rPr>
        <w:t>s</w:t>
      </w:r>
      <w:r w:rsidR="008423EC" w:rsidRPr="00455EB3">
        <w:rPr>
          <w:rFonts w:ascii="Times New Roman" w:hAnsi="Times New Roman" w:cs="Times New Roman"/>
        </w:rPr>
        <w:t xml:space="preserve"> how this ‘first line of defence’ operates in practice, from the perspective of those </w:t>
      </w:r>
      <w:r w:rsidR="00605220" w:rsidRPr="00455EB3">
        <w:rPr>
          <w:rFonts w:ascii="Times New Roman" w:hAnsi="Times New Roman" w:cs="Times New Roman"/>
        </w:rPr>
        <w:t xml:space="preserve">doing </w:t>
      </w:r>
      <w:r w:rsidR="008423EC" w:rsidRPr="00455EB3">
        <w:rPr>
          <w:rFonts w:ascii="Times New Roman" w:hAnsi="Times New Roman" w:cs="Times New Roman"/>
        </w:rPr>
        <w:t>AML</w:t>
      </w:r>
      <w:r w:rsidR="00605220" w:rsidRPr="00455EB3">
        <w:rPr>
          <w:rFonts w:ascii="Times New Roman" w:hAnsi="Times New Roman" w:cs="Times New Roman"/>
        </w:rPr>
        <w:t>.</w:t>
      </w:r>
    </w:p>
    <w:p w14:paraId="5A32A5C4" w14:textId="77777777" w:rsidR="008B120B" w:rsidRPr="00455EB3" w:rsidRDefault="008B120B" w:rsidP="00AB4266">
      <w:pPr>
        <w:jc w:val="both"/>
        <w:rPr>
          <w:rFonts w:ascii="Times New Roman" w:hAnsi="Times New Roman" w:cs="Times New Roman"/>
        </w:rPr>
      </w:pPr>
    </w:p>
    <w:p w14:paraId="3405AD99" w14:textId="30C27EB3" w:rsidR="00914B8C" w:rsidRPr="00D342C0" w:rsidRDefault="00186EC1" w:rsidP="00AB4266">
      <w:pPr>
        <w:pStyle w:val="Heading1"/>
        <w:jc w:val="both"/>
        <w:rPr>
          <w:rFonts w:ascii="Times New Roman" w:hAnsi="Times New Roman" w:cs="Times New Roman"/>
          <w:color w:val="auto"/>
        </w:rPr>
      </w:pPr>
      <w:r w:rsidRPr="00455EB3">
        <w:rPr>
          <w:rFonts w:ascii="Times New Roman" w:hAnsi="Times New Roman" w:cs="Times New Roman"/>
          <w:color w:val="auto"/>
        </w:rPr>
        <w:t>C</w:t>
      </w:r>
      <w:r w:rsidR="005B37C0" w:rsidRPr="00455EB3">
        <w:rPr>
          <w:rFonts w:ascii="Times New Roman" w:hAnsi="Times New Roman" w:cs="Times New Roman"/>
          <w:color w:val="auto"/>
        </w:rPr>
        <w:t>ustomer Due Diligence</w:t>
      </w:r>
    </w:p>
    <w:p w14:paraId="6072BC52" w14:textId="6460A8CA" w:rsidR="00914B8C" w:rsidRPr="004E5BA2" w:rsidRDefault="0044298A" w:rsidP="00AB4266">
      <w:pPr>
        <w:pStyle w:val="Heading2"/>
        <w:jc w:val="both"/>
        <w:rPr>
          <w:rFonts w:ascii="Times New Roman" w:hAnsi="Times New Roman" w:cs="Times New Roman"/>
          <w:color w:val="auto"/>
        </w:rPr>
      </w:pPr>
      <w:r w:rsidRPr="00455EB3">
        <w:rPr>
          <w:rFonts w:ascii="Times New Roman" w:hAnsi="Times New Roman" w:cs="Times New Roman"/>
          <w:color w:val="auto"/>
        </w:rPr>
        <w:t>Doing CDD</w:t>
      </w:r>
    </w:p>
    <w:p w14:paraId="6C38FBB6" w14:textId="06CF52D9" w:rsidR="006E6E8A" w:rsidRPr="00455EB3" w:rsidRDefault="006E6E8A" w:rsidP="00AB4266">
      <w:pPr>
        <w:jc w:val="both"/>
        <w:rPr>
          <w:rFonts w:ascii="Times New Roman" w:hAnsi="Times New Roman" w:cs="Times New Roman"/>
        </w:rPr>
      </w:pPr>
      <w:r w:rsidRPr="00455EB3">
        <w:rPr>
          <w:rFonts w:ascii="Times New Roman" w:hAnsi="Times New Roman" w:cs="Times New Roman"/>
        </w:rPr>
        <w:t xml:space="preserve">The </w:t>
      </w:r>
      <w:r w:rsidR="00474A95" w:rsidRPr="00455EB3">
        <w:rPr>
          <w:rFonts w:ascii="Times New Roman" w:hAnsi="Times New Roman" w:cs="Times New Roman"/>
        </w:rPr>
        <w:t>role of private actors</w:t>
      </w:r>
      <w:r w:rsidRPr="00455EB3">
        <w:rPr>
          <w:rFonts w:ascii="Times New Roman" w:hAnsi="Times New Roman" w:cs="Times New Roman"/>
        </w:rPr>
        <w:t xml:space="preserve"> is starkly evidenced in obligations to conduct CDD checks and to report any suspicions (concerning customers or specific transactions) to </w:t>
      </w:r>
      <w:r w:rsidR="00DC5340" w:rsidRPr="00455EB3">
        <w:rPr>
          <w:rFonts w:ascii="Times New Roman" w:hAnsi="Times New Roman" w:cs="Times New Roman"/>
        </w:rPr>
        <w:t xml:space="preserve">the </w:t>
      </w:r>
      <w:r w:rsidRPr="00455EB3">
        <w:rPr>
          <w:rFonts w:ascii="Times New Roman" w:hAnsi="Times New Roman" w:cs="Times New Roman"/>
        </w:rPr>
        <w:t xml:space="preserve">authorities. </w:t>
      </w:r>
      <w:r w:rsidRPr="00455EB3">
        <w:rPr>
          <w:rFonts w:ascii="Times New Roman" w:hAnsi="Times New Roman" w:cs="Times New Roman"/>
        </w:rPr>
        <w:lastRenderedPageBreak/>
        <w:t>For example, where a relevant person is required to conduct CDD checks,</w:t>
      </w:r>
      <w:r w:rsidRPr="00455EB3">
        <w:rPr>
          <w:rStyle w:val="FootnoteReference"/>
          <w:rFonts w:ascii="Times New Roman" w:hAnsi="Times New Roman" w:cs="Times New Roman"/>
        </w:rPr>
        <w:footnoteReference w:id="90"/>
      </w:r>
      <w:r w:rsidRPr="00455EB3">
        <w:rPr>
          <w:rFonts w:ascii="Times New Roman" w:hAnsi="Times New Roman" w:cs="Times New Roman"/>
        </w:rPr>
        <w:t xml:space="preserve"> </w:t>
      </w:r>
      <w:r w:rsidR="00E761A1" w:rsidRPr="00455EB3">
        <w:rPr>
          <w:rFonts w:ascii="Times New Roman" w:hAnsi="Times New Roman" w:cs="Times New Roman"/>
        </w:rPr>
        <w:t>the obligations are to:</w:t>
      </w:r>
    </w:p>
    <w:p w14:paraId="3225E5B7" w14:textId="77777777" w:rsidR="00821141" w:rsidRPr="00455EB3" w:rsidRDefault="00821141" w:rsidP="00AB4266">
      <w:pPr>
        <w:jc w:val="both"/>
        <w:rPr>
          <w:rFonts w:ascii="Times New Roman" w:hAnsi="Times New Roman" w:cs="Times New Roman"/>
        </w:rPr>
      </w:pPr>
    </w:p>
    <w:p w14:paraId="611D7026" w14:textId="7E20B759" w:rsidR="006E6E8A" w:rsidRPr="00455EB3" w:rsidRDefault="006E6E8A" w:rsidP="00AB4266">
      <w:pPr>
        <w:pStyle w:val="NoSpacing"/>
        <w:ind w:left="567" w:right="521"/>
        <w:jc w:val="both"/>
        <w:rPr>
          <w:rFonts w:ascii="Times New Roman" w:hAnsi="Times New Roman" w:cs="Times New Roman"/>
          <w:lang w:eastAsia="en-GB"/>
        </w:rPr>
      </w:pPr>
      <w:r w:rsidRPr="00455EB3">
        <w:rPr>
          <w:rFonts w:ascii="Times New Roman" w:hAnsi="Times New Roman" w:cs="Times New Roman"/>
          <w:lang w:eastAsia="en-GB"/>
        </w:rPr>
        <w:t>(a) identify the customer unless the identity of that customer is known to, and has been verified by, the relevant person;</w:t>
      </w:r>
    </w:p>
    <w:p w14:paraId="41644589" w14:textId="77777777" w:rsidR="006E6E8A" w:rsidRPr="00455EB3" w:rsidRDefault="006E6E8A" w:rsidP="00AB4266">
      <w:pPr>
        <w:pStyle w:val="NoSpacing"/>
        <w:ind w:left="567" w:right="521"/>
        <w:jc w:val="both"/>
        <w:rPr>
          <w:rFonts w:ascii="Times New Roman" w:hAnsi="Times New Roman" w:cs="Times New Roman"/>
          <w:lang w:eastAsia="en-GB"/>
        </w:rPr>
      </w:pPr>
      <w:r w:rsidRPr="00455EB3">
        <w:rPr>
          <w:rFonts w:ascii="Times New Roman" w:hAnsi="Times New Roman" w:cs="Times New Roman"/>
          <w:lang w:eastAsia="en-GB"/>
        </w:rPr>
        <w:t>(b) verify the customer’s identity unless the customer’s identity has already been verified by the relevant person; and</w:t>
      </w:r>
    </w:p>
    <w:p w14:paraId="3ECC698B" w14:textId="4826CADE" w:rsidR="006E6E8A" w:rsidRPr="00455EB3" w:rsidRDefault="006E6E8A" w:rsidP="00AB4266">
      <w:pPr>
        <w:pStyle w:val="NoSpacing"/>
        <w:ind w:left="567" w:right="521"/>
        <w:jc w:val="both"/>
        <w:rPr>
          <w:rFonts w:ascii="Times New Roman" w:hAnsi="Times New Roman" w:cs="Times New Roman"/>
        </w:rPr>
      </w:pPr>
      <w:r w:rsidRPr="00455EB3">
        <w:rPr>
          <w:rFonts w:ascii="Times New Roman" w:hAnsi="Times New Roman" w:cs="Times New Roman"/>
          <w:lang w:eastAsia="en-GB"/>
        </w:rPr>
        <w:t>(c) assess, and where appropriate obtain information on, the purpose and intended nature of the business relationship or occasional transaction.</w:t>
      </w:r>
      <w:r w:rsidRPr="00455EB3">
        <w:rPr>
          <w:rStyle w:val="FootnoteReference"/>
          <w:rFonts w:ascii="Times New Roman" w:hAnsi="Times New Roman" w:cs="Times New Roman"/>
        </w:rPr>
        <w:footnoteReference w:id="91"/>
      </w:r>
    </w:p>
    <w:p w14:paraId="42F9CBFE" w14:textId="77777777" w:rsidR="006E6E8A" w:rsidRPr="00455EB3" w:rsidRDefault="006E6E8A" w:rsidP="00AB4266">
      <w:pPr>
        <w:pStyle w:val="NoSpacing"/>
        <w:ind w:left="567" w:right="521"/>
        <w:jc w:val="both"/>
        <w:rPr>
          <w:rFonts w:ascii="Times New Roman" w:hAnsi="Times New Roman" w:cs="Times New Roman"/>
          <w:lang w:eastAsia="en-GB"/>
        </w:rPr>
      </w:pPr>
    </w:p>
    <w:p w14:paraId="4471F085" w14:textId="7C8ECC59" w:rsidR="009E2B10" w:rsidRPr="00455EB3" w:rsidRDefault="006E6E8A" w:rsidP="00AB4266">
      <w:pPr>
        <w:jc w:val="both"/>
        <w:rPr>
          <w:rFonts w:ascii="Times New Roman" w:hAnsi="Times New Roman" w:cs="Times New Roman"/>
        </w:rPr>
      </w:pPr>
      <w:r w:rsidRPr="00455EB3">
        <w:rPr>
          <w:rFonts w:ascii="Times New Roman" w:hAnsi="Times New Roman" w:cs="Times New Roman"/>
        </w:rPr>
        <w:t>In addition, the relevant person must conduct ongoing monitoring of a business relationship, including scrutiny of transactions and undertaking reviews of records and keeping documentation up-to-date.</w:t>
      </w:r>
      <w:r w:rsidRPr="00455EB3">
        <w:rPr>
          <w:rStyle w:val="FootnoteReference"/>
          <w:rFonts w:ascii="Times New Roman" w:hAnsi="Times New Roman" w:cs="Times New Roman"/>
        </w:rPr>
        <w:footnoteReference w:id="92"/>
      </w:r>
      <w:r w:rsidRPr="00455EB3">
        <w:rPr>
          <w:rFonts w:ascii="Times New Roman" w:hAnsi="Times New Roman" w:cs="Times New Roman"/>
        </w:rPr>
        <w:t xml:space="preserve"> Thus, </w:t>
      </w:r>
      <w:r w:rsidR="007E13AF" w:rsidRPr="00455EB3">
        <w:rPr>
          <w:rFonts w:ascii="Times New Roman" w:hAnsi="Times New Roman" w:cs="Times New Roman"/>
        </w:rPr>
        <w:t>th</w:t>
      </w:r>
      <w:r w:rsidR="00BB7118" w:rsidRPr="00455EB3">
        <w:rPr>
          <w:rFonts w:ascii="Times New Roman" w:hAnsi="Times New Roman" w:cs="Times New Roman"/>
        </w:rPr>
        <w:t>is</w:t>
      </w:r>
      <w:r w:rsidR="007E13AF" w:rsidRPr="00455EB3">
        <w:rPr>
          <w:rFonts w:ascii="Times New Roman" w:hAnsi="Times New Roman" w:cs="Times New Roman"/>
        </w:rPr>
        <w:t xml:space="preserve"> level of scrutiny </w:t>
      </w:r>
      <w:r w:rsidR="00F81FD7" w:rsidRPr="00455EB3">
        <w:rPr>
          <w:rFonts w:ascii="Times New Roman" w:hAnsi="Times New Roman" w:cs="Times New Roman"/>
        </w:rPr>
        <w:t xml:space="preserve">can </w:t>
      </w:r>
      <w:r w:rsidR="007E13AF" w:rsidRPr="00455EB3">
        <w:rPr>
          <w:rFonts w:ascii="Times New Roman" w:hAnsi="Times New Roman" w:cs="Times New Roman"/>
        </w:rPr>
        <w:t xml:space="preserve">change </w:t>
      </w:r>
      <w:r w:rsidRPr="00455EB3">
        <w:rPr>
          <w:rFonts w:ascii="Times New Roman" w:hAnsi="Times New Roman" w:cs="Times New Roman"/>
        </w:rPr>
        <w:t xml:space="preserve">the relationship between </w:t>
      </w:r>
      <w:r w:rsidR="00080C18" w:rsidRPr="00455EB3">
        <w:rPr>
          <w:rFonts w:ascii="Times New Roman" w:hAnsi="Times New Roman" w:cs="Times New Roman"/>
        </w:rPr>
        <w:t xml:space="preserve">the </w:t>
      </w:r>
      <w:r w:rsidRPr="00455EB3">
        <w:rPr>
          <w:rFonts w:ascii="Times New Roman" w:hAnsi="Times New Roman" w:cs="Times New Roman"/>
        </w:rPr>
        <w:t>company</w:t>
      </w:r>
      <w:r w:rsidR="00ED0C29" w:rsidRPr="00455EB3">
        <w:rPr>
          <w:rFonts w:ascii="Times New Roman" w:hAnsi="Times New Roman" w:cs="Times New Roman"/>
        </w:rPr>
        <w:t xml:space="preserve"> and </w:t>
      </w:r>
      <w:r w:rsidR="008E0F70" w:rsidRPr="00455EB3">
        <w:rPr>
          <w:rFonts w:ascii="Times New Roman" w:hAnsi="Times New Roman" w:cs="Times New Roman"/>
        </w:rPr>
        <w:t xml:space="preserve">its </w:t>
      </w:r>
      <w:r w:rsidRPr="00455EB3">
        <w:rPr>
          <w:rFonts w:ascii="Times New Roman" w:hAnsi="Times New Roman" w:cs="Times New Roman"/>
        </w:rPr>
        <w:t>client</w:t>
      </w:r>
      <w:r w:rsidR="00ED0C29" w:rsidRPr="00455EB3">
        <w:rPr>
          <w:rFonts w:ascii="Times New Roman" w:hAnsi="Times New Roman" w:cs="Times New Roman"/>
        </w:rPr>
        <w:t>s</w:t>
      </w:r>
      <w:r w:rsidR="008E0F70" w:rsidRPr="00455EB3">
        <w:rPr>
          <w:rFonts w:ascii="Times New Roman" w:hAnsi="Times New Roman" w:cs="Times New Roman"/>
        </w:rPr>
        <w:t xml:space="preserve">, </w:t>
      </w:r>
      <w:r w:rsidR="00341F17" w:rsidRPr="00455EB3">
        <w:rPr>
          <w:rFonts w:ascii="Times New Roman" w:hAnsi="Times New Roman" w:cs="Times New Roman"/>
        </w:rPr>
        <w:t xml:space="preserve">with a shift from </w:t>
      </w:r>
      <w:r w:rsidR="0067357F" w:rsidRPr="00455EB3">
        <w:rPr>
          <w:rFonts w:ascii="Times New Roman" w:hAnsi="Times New Roman" w:cs="Times New Roman"/>
        </w:rPr>
        <w:t>‘</w:t>
      </w:r>
      <w:r w:rsidR="008E0F70" w:rsidRPr="00455EB3">
        <w:rPr>
          <w:rFonts w:ascii="Times New Roman" w:hAnsi="Times New Roman" w:cs="Times New Roman"/>
        </w:rPr>
        <w:t>trust</w:t>
      </w:r>
      <w:r w:rsidR="0067357F" w:rsidRPr="00455EB3">
        <w:rPr>
          <w:rFonts w:ascii="Times New Roman" w:hAnsi="Times New Roman" w:cs="Times New Roman"/>
        </w:rPr>
        <w:t>’</w:t>
      </w:r>
      <w:r w:rsidR="008E0F70" w:rsidRPr="00455EB3">
        <w:rPr>
          <w:rFonts w:ascii="Times New Roman" w:hAnsi="Times New Roman" w:cs="Times New Roman"/>
        </w:rPr>
        <w:t xml:space="preserve"> </w:t>
      </w:r>
      <w:r w:rsidR="00341F17" w:rsidRPr="00455EB3">
        <w:rPr>
          <w:rFonts w:ascii="Times New Roman" w:hAnsi="Times New Roman" w:cs="Times New Roman"/>
        </w:rPr>
        <w:t>to</w:t>
      </w:r>
      <w:r w:rsidR="00E860FA" w:rsidRPr="00455EB3">
        <w:rPr>
          <w:rFonts w:ascii="Times New Roman" w:hAnsi="Times New Roman" w:cs="Times New Roman"/>
        </w:rPr>
        <w:t xml:space="preserve"> </w:t>
      </w:r>
      <w:r w:rsidRPr="00455EB3">
        <w:rPr>
          <w:rFonts w:ascii="Times New Roman" w:hAnsi="Times New Roman" w:cs="Times New Roman"/>
        </w:rPr>
        <w:t>‘suspicion’</w:t>
      </w:r>
      <w:r w:rsidRPr="00455EB3">
        <w:rPr>
          <w:rStyle w:val="FootnoteReference"/>
          <w:rFonts w:ascii="Times New Roman" w:hAnsi="Times New Roman" w:cs="Times New Roman"/>
        </w:rPr>
        <w:footnoteReference w:id="93"/>
      </w:r>
      <w:r w:rsidR="00A809E3">
        <w:rPr>
          <w:rFonts w:ascii="Times New Roman" w:hAnsi="Times New Roman" w:cs="Times New Roman"/>
        </w:rPr>
        <w:t xml:space="preserve"> </w:t>
      </w:r>
      <w:r w:rsidR="00E860FA" w:rsidRPr="00455EB3">
        <w:rPr>
          <w:rFonts w:ascii="Times New Roman" w:hAnsi="Times New Roman" w:cs="Times New Roman"/>
        </w:rPr>
        <w:t xml:space="preserve">and </w:t>
      </w:r>
      <w:r w:rsidR="00157204" w:rsidRPr="00455EB3">
        <w:rPr>
          <w:rFonts w:ascii="Times New Roman" w:hAnsi="Times New Roman" w:cs="Times New Roman"/>
        </w:rPr>
        <w:t>with potential client alienation.</w:t>
      </w:r>
      <w:r w:rsidR="00157204" w:rsidRPr="00455EB3">
        <w:rPr>
          <w:rStyle w:val="FootnoteReference"/>
          <w:rFonts w:ascii="Times New Roman" w:hAnsi="Times New Roman" w:cs="Times New Roman"/>
        </w:rPr>
        <w:footnoteReference w:id="94"/>
      </w:r>
    </w:p>
    <w:p w14:paraId="4227F6FB" w14:textId="3F7D75A9" w:rsidR="00D44784" w:rsidRPr="00455EB3" w:rsidRDefault="00821141" w:rsidP="00AB4266">
      <w:pPr>
        <w:ind w:firstLine="720"/>
        <w:jc w:val="both"/>
        <w:rPr>
          <w:rFonts w:ascii="Times New Roman" w:hAnsi="Times New Roman" w:cs="Times New Roman"/>
        </w:rPr>
      </w:pPr>
      <w:r w:rsidRPr="00455EB3">
        <w:rPr>
          <w:rFonts w:ascii="Times New Roman" w:hAnsi="Times New Roman" w:cs="Times New Roman"/>
        </w:rPr>
        <w:t xml:space="preserve">As a consequence, </w:t>
      </w:r>
      <w:r w:rsidR="00665364" w:rsidRPr="00455EB3">
        <w:rPr>
          <w:rFonts w:ascii="Times New Roman" w:hAnsi="Times New Roman" w:cs="Times New Roman"/>
        </w:rPr>
        <w:t>it is unsurprising that CDD requirements impact EAs</w:t>
      </w:r>
      <w:r w:rsidR="00ED47EE" w:rsidRPr="00455EB3">
        <w:rPr>
          <w:rFonts w:ascii="Times New Roman" w:hAnsi="Times New Roman" w:cs="Times New Roman"/>
        </w:rPr>
        <w:t>’ practice</w:t>
      </w:r>
      <w:r w:rsidR="00665364" w:rsidRPr="00455EB3">
        <w:rPr>
          <w:rFonts w:ascii="Times New Roman" w:hAnsi="Times New Roman" w:cs="Times New Roman"/>
        </w:rPr>
        <w:t xml:space="preserve"> and their business. </w:t>
      </w:r>
      <w:r w:rsidR="00061D0B" w:rsidRPr="00455EB3">
        <w:rPr>
          <w:rFonts w:ascii="Times New Roman" w:hAnsi="Times New Roman" w:cs="Times New Roman"/>
        </w:rPr>
        <w:t>O</w:t>
      </w:r>
      <w:r w:rsidR="000234ED" w:rsidRPr="00455EB3">
        <w:rPr>
          <w:rFonts w:ascii="Times New Roman" w:hAnsi="Times New Roman" w:cs="Times New Roman"/>
        </w:rPr>
        <w:t>ur data show</w:t>
      </w:r>
      <w:r w:rsidR="00596A5D" w:rsidRPr="00455EB3">
        <w:rPr>
          <w:rFonts w:ascii="Times New Roman" w:hAnsi="Times New Roman" w:cs="Times New Roman"/>
        </w:rPr>
        <w:t>s</w:t>
      </w:r>
      <w:r w:rsidR="000234ED" w:rsidRPr="00455EB3">
        <w:rPr>
          <w:rFonts w:ascii="Times New Roman" w:hAnsi="Times New Roman" w:cs="Times New Roman"/>
        </w:rPr>
        <w:t xml:space="preserve"> that </w:t>
      </w:r>
      <w:r w:rsidR="00665364" w:rsidRPr="00455EB3">
        <w:rPr>
          <w:rFonts w:ascii="Times New Roman" w:hAnsi="Times New Roman" w:cs="Times New Roman"/>
        </w:rPr>
        <w:t xml:space="preserve">there was some disquiet </w:t>
      </w:r>
      <w:r w:rsidR="008302EB" w:rsidRPr="00455EB3">
        <w:rPr>
          <w:rFonts w:ascii="Times New Roman" w:hAnsi="Times New Roman" w:cs="Times New Roman"/>
        </w:rPr>
        <w:t xml:space="preserve">among EAs </w:t>
      </w:r>
      <w:r w:rsidR="005A331E" w:rsidRPr="00455EB3">
        <w:rPr>
          <w:rFonts w:ascii="Times New Roman" w:hAnsi="Times New Roman" w:cs="Times New Roman"/>
        </w:rPr>
        <w:t xml:space="preserve">about </w:t>
      </w:r>
      <w:r w:rsidR="00665364" w:rsidRPr="00455EB3">
        <w:rPr>
          <w:rFonts w:ascii="Times New Roman" w:hAnsi="Times New Roman" w:cs="Times New Roman"/>
        </w:rPr>
        <w:t>ask</w:t>
      </w:r>
      <w:r w:rsidR="005A331E" w:rsidRPr="00455EB3">
        <w:rPr>
          <w:rFonts w:ascii="Times New Roman" w:hAnsi="Times New Roman" w:cs="Times New Roman"/>
        </w:rPr>
        <w:t>ing</w:t>
      </w:r>
      <w:r w:rsidR="00665364" w:rsidRPr="00455EB3">
        <w:rPr>
          <w:rFonts w:ascii="Times New Roman" w:hAnsi="Times New Roman" w:cs="Times New Roman"/>
        </w:rPr>
        <w:t xml:space="preserve"> for relevant documentation from people that </w:t>
      </w:r>
      <w:r w:rsidR="00145614" w:rsidRPr="00455EB3">
        <w:rPr>
          <w:rFonts w:ascii="Times New Roman" w:hAnsi="Times New Roman" w:cs="Times New Roman"/>
        </w:rPr>
        <w:t xml:space="preserve">they know </w:t>
      </w:r>
      <w:r w:rsidR="00665364" w:rsidRPr="00455EB3">
        <w:rPr>
          <w:rFonts w:ascii="Times New Roman" w:hAnsi="Times New Roman" w:cs="Times New Roman"/>
        </w:rPr>
        <w:t xml:space="preserve">well, </w:t>
      </w:r>
      <w:r w:rsidR="00341A67" w:rsidRPr="00455EB3">
        <w:rPr>
          <w:rFonts w:ascii="Times New Roman" w:hAnsi="Times New Roman" w:cs="Times New Roman"/>
        </w:rPr>
        <w:t>sometimes</w:t>
      </w:r>
      <w:r w:rsidR="00665364" w:rsidRPr="00455EB3">
        <w:rPr>
          <w:rFonts w:ascii="Times New Roman" w:hAnsi="Times New Roman" w:cs="Times New Roman"/>
        </w:rPr>
        <w:t xml:space="preserve"> for many years.</w:t>
      </w:r>
      <w:r w:rsidR="00665364" w:rsidRPr="00455EB3">
        <w:rPr>
          <w:rStyle w:val="FootnoteReference"/>
          <w:rFonts w:ascii="Times New Roman" w:hAnsi="Times New Roman" w:cs="Times New Roman"/>
        </w:rPr>
        <w:footnoteReference w:id="95"/>
      </w:r>
      <w:r w:rsidR="00665364" w:rsidRPr="00455EB3">
        <w:rPr>
          <w:rFonts w:ascii="Times New Roman" w:hAnsi="Times New Roman" w:cs="Times New Roman"/>
        </w:rPr>
        <w:t xml:space="preserve"> </w:t>
      </w:r>
      <w:r w:rsidR="00151CB4" w:rsidRPr="00455EB3">
        <w:rPr>
          <w:rFonts w:ascii="Times New Roman" w:hAnsi="Times New Roman" w:cs="Times New Roman"/>
        </w:rPr>
        <w:t xml:space="preserve">To avoid </w:t>
      </w:r>
      <w:r w:rsidR="009B5C22" w:rsidRPr="00455EB3">
        <w:rPr>
          <w:rFonts w:ascii="Times New Roman" w:hAnsi="Times New Roman" w:cs="Times New Roman"/>
        </w:rPr>
        <w:t>jeopardis</w:t>
      </w:r>
      <w:r w:rsidR="00EF32EA" w:rsidRPr="00455EB3">
        <w:rPr>
          <w:rFonts w:ascii="Times New Roman" w:hAnsi="Times New Roman" w:cs="Times New Roman"/>
        </w:rPr>
        <w:t>ing</w:t>
      </w:r>
      <w:r w:rsidR="009B5C22" w:rsidRPr="00455EB3">
        <w:rPr>
          <w:rFonts w:ascii="Times New Roman" w:hAnsi="Times New Roman" w:cs="Times New Roman"/>
        </w:rPr>
        <w:t xml:space="preserve"> thei</w:t>
      </w:r>
      <w:r w:rsidR="00786038" w:rsidRPr="00455EB3">
        <w:rPr>
          <w:rFonts w:ascii="Times New Roman" w:hAnsi="Times New Roman" w:cs="Times New Roman"/>
        </w:rPr>
        <w:t>r business</w:t>
      </w:r>
      <w:r w:rsidR="00061D0B" w:rsidRPr="00455EB3">
        <w:rPr>
          <w:rFonts w:ascii="Times New Roman" w:hAnsi="Times New Roman" w:cs="Times New Roman"/>
        </w:rPr>
        <w:t>, some</w:t>
      </w:r>
      <w:r w:rsidR="000F6EA0" w:rsidRPr="00455EB3">
        <w:rPr>
          <w:rFonts w:ascii="Times New Roman" w:hAnsi="Times New Roman" w:cs="Times New Roman"/>
        </w:rPr>
        <w:t xml:space="preserve"> interviewees</w:t>
      </w:r>
      <w:r w:rsidR="00061D0B" w:rsidRPr="00455EB3">
        <w:rPr>
          <w:rFonts w:ascii="Times New Roman" w:hAnsi="Times New Roman" w:cs="Times New Roman"/>
        </w:rPr>
        <w:t xml:space="preserve"> </w:t>
      </w:r>
      <w:r w:rsidR="00786038" w:rsidRPr="00455EB3">
        <w:rPr>
          <w:rFonts w:ascii="Times New Roman" w:hAnsi="Times New Roman" w:cs="Times New Roman"/>
        </w:rPr>
        <w:t xml:space="preserve">referred to </w:t>
      </w:r>
      <w:r w:rsidR="00564D00" w:rsidRPr="00455EB3">
        <w:rPr>
          <w:rFonts w:ascii="Times New Roman" w:hAnsi="Times New Roman" w:cs="Times New Roman"/>
        </w:rPr>
        <w:t>methods they adopted</w:t>
      </w:r>
      <w:r w:rsidR="00940B2D" w:rsidRPr="00455EB3">
        <w:rPr>
          <w:rFonts w:ascii="Times New Roman" w:hAnsi="Times New Roman" w:cs="Times New Roman"/>
        </w:rPr>
        <w:t xml:space="preserve"> to balance the need for checks with </w:t>
      </w:r>
      <w:r w:rsidR="00D74F91" w:rsidRPr="00455EB3">
        <w:rPr>
          <w:rFonts w:ascii="Times New Roman" w:hAnsi="Times New Roman" w:cs="Times New Roman"/>
        </w:rPr>
        <w:t>the maintenance of a trustworthy relationship with their clients.</w:t>
      </w:r>
      <w:r w:rsidR="00940B2D" w:rsidRPr="00455EB3">
        <w:rPr>
          <w:rFonts w:ascii="Times New Roman" w:hAnsi="Times New Roman" w:cs="Times New Roman"/>
        </w:rPr>
        <w:t xml:space="preserve"> </w:t>
      </w:r>
      <w:r w:rsidR="000F6EA0" w:rsidRPr="00455EB3">
        <w:rPr>
          <w:rFonts w:ascii="Times New Roman" w:hAnsi="Times New Roman" w:cs="Times New Roman"/>
        </w:rPr>
        <w:t xml:space="preserve">For instance, one EA </w:t>
      </w:r>
      <w:r w:rsidR="00665364" w:rsidRPr="00455EB3">
        <w:rPr>
          <w:rFonts w:ascii="Times New Roman" w:hAnsi="Times New Roman" w:cs="Times New Roman"/>
        </w:rPr>
        <w:t xml:space="preserve">spoke of </w:t>
      </w:r>
      <w:r w:rsidR="00896521" w:rsidRPr="00455EB3">
        <w:rPr>
          <w:rFonts w:ascii="Times New Roman" w:hAnsi="Times New Roman" w:cs="Times New Roman"/>
        </w:rPr>
        <w:t xml:space="preserve">exercising discretion to use </w:t>
      </w:r>
      <w:r w:rsidR="00665364" w:rsidRPr="00455EB3">
        <w:rPr>
          <w:rFonts w:ascii="Times New Roman" w:hAnsi="Times New Roman" w:cs="Times New Roman"/>
        </w:rPr>
        <w:t>a more light-touch approach (or simplified due diligence) where, for example, ‘the lady is 92 and we’ve got evidence of the fact she’s lived in that house for 42 years’.</w:t>
      </w:r>
      <w:r w:rsidR="00665364" w:rsidRPr="00455EB3">
        <w:rPr>
          <w:rStyle w:val="FootnoteReference"/>
          <w:rFonts w:ascii="Times New Roman" w:hAnsi="Times New Roman" w:cs="Times New Roman"/>
        </w:rPr>
        <w:footnoteReference w:id="96"/>
      </w:r>
      <w:r w:rsidR="00665364" w:rsidRPr="00455EB3">
        <w:rPr>
          <w:rFonts w:ascii="Times New Roman" w:hAnsi="Times New Roman" w:cs="Times New Roman"/>
        </w:rPr>
        <w:t xml:space="preserve"> Another </w:t>
      </w:r>
      <w:r w:rsidR="009E2B10" w:rsidRPr="00455EB3">
        <w:rPr>
          <w:rFonts w:ascii="Times New Roman" w:hAnsi="Times New Roman" w:cs="Times New Roman"/>
        </w:rPr>
        <w:t xml:space="preserve">interviewee </w:t>
      </w:r>
      <w:r w:rsidR="00665364" w:rsidRPr="00455EB3">
        <w:rPr>
          <w:rFonts w:ascii="Times New Roman" w:hAnsi="Times New Roman" w:cs="Times New Roman"/>
        </w:rPr>
        <w:t xml:space="preserve">stated that they still go through relevant checks with someone that they </w:t>
      </w:r>
      <w:r w:rsidR="007308F7" w:rsidRPr="00455EB3">
        <w:rPr>
          <w:rFonts w:ascii="Times New Roman" w:hAnsi="Times New Roman" w:cs="Times New Roman"/>
        </w:rPr>
        <w:t xml:space="preserve">have </w:t>
      </w:r>
      <w:r w:rsidR="00665364" w:rsidRPr="00455EB3">
        <w:rPr>
          <w:rFonts w:ascii="Times New Roman" w:hAnsi="Times New Roman" w:cs="Times New Roman"/>
        </w:rPr>
        <w:t>know</w:t>
      </w:r>
      <w:r w:rsidR="007308F7" w:rsidRPr="00455EB3">
        <w:rPr>
          <w:rFonts w:ascii="Times New Roman" w:hAnsi="Times New Roman" w:cs="Times New Roman"/>
        </w:rPr>
        <w:t>n</w:t>
      </w:r>
      <w:r w:rsidR="00665364" w:rsidRPr="00455EB3">
        <w:rPr>
          <w:rFonts w:ascii="Times New Roman" w:hAnsi="Times New Roman" w:cs="Times New Roman"/>
        </w:rPr>
        <w:t>, personally or professionally, for many years</w:t>
      </w:r>
      <w:r w:rsidR="0098409D" w:rsidRPr="00455EB3">
        <w:rPr>
          <w:rFonts w:ascii="Times New Roman" w:hAnsi="Times New Roman" w:cs="Times New Roman"/>
        </w:rPr>
        <w:t>,</w:t>
      </w:r>
      <w:r w:rsidR="00665364" w:rsidRPr="00455EB3">
        <w:rPr>
          <w:rFonts w:ascii="Times New Roman" w:hAnsi="Times New Roman" w:cs="Times New Roman"/>
        </w:rPr>
        <w:t xml:space="preserve"> but that </w:t>
      </w:r>
      <w:r w:rsidR="0098409D" w:rsidRPr="00455EB3">
        <w:rPr>
          <w:rFonts w:ascii="Times New Roman" w:hAnsi="Times New Roman" w:cs="Times New Roman"/>
        </w:rPr>
        <w:t xml:space="preserve">this person </w:t>
      </w:r>
      <w:r w:rsidR="00665364" w:rsidRPr="00455EB3">
        <w:rPr>
          <w:rFonts w:ascii="Times New Roman" w:hAnsi="Times New Roman" w:cs="Times New Roman"/>
        </w:rPr>
        <w:t>would be ‘in a different category’ and would not set off alarm bells.</w:t>
      </w:r>
      <w:r w:rsidR="00665364" w:rsidRPr="00455EB3">
        <w:rPr>
          <w:rStyle w:val="FootnoteReference"/>
          <w:rFonts w:ascii="Times New Roman" w:hAnsi="Times New Roman" w:cs="Times New Roman"/>
        </w:rPr>
        <w:footnoteReference w:id="97"/>
      </w:r>
      <w:r w:rsidR="0096732A" w:rsidRPr="00455EB3">
        <w:rPr>
          <w:rFonts w:ascii="Times New Roman" w:hAnsi="Times New Roman" w:cs="Times New Roman"/>
        </w:rPr>
        <w:t xml:space="preserve"> </w:t>
      </w:r>
      <w:r w:rsidR="00065C2A" w:rsidRPr="00455EB3">
        <w:rPr>
          <w:rFonts w:ascii="Times New Roman" w:hAnsi="Times New Roman" w:cs="Times New Roman"/>
        </w:rPr>
        <w:t xml:space="preserve">Moreover, </w:t>
      </w:r>
      <w:r w:rsidR="008E4B3C" w:rsidRPr="00455EB3">
        <w:rPr>
          <w:rFonts w:ascii="Times New Roman" w:hAnsi="Times New Roman" w:cs="Times New Roman"/>
        </w:rPr>
        <w:t xml:space="preserve">even </w:t>
      </w:r>
      <w:r w:rsidR="00EC6462" w:rsidRPr="00455EB3">
        <w:rPr>
          <w:rFonts w:ascii="Times New Roman" w:hAnsi="Times New Roman" w:cs="Times New Roman"/>
        </w:rPr>
        <w:t xml:space="preserve">when </w:t>
      </w:r>
      <w:r w:rsidR="00D44784" w:rsidRPr="00455EB3">
        <w:rPr>
          <w:rFonts w:ascii="Times New Roman" w:hAnsi="Times New Roman" w:cs="Times New Roman"/>
        </w:rPr>
        <w:t xml:space="preserve">EAs </w:t>
      </w:r>
      <w:r w:rsidR="00EC6462" w:rsidRPr="00455EB3">
        <w:rPr>
          <w:rFonts w:ascii="Times New Roman" w:hAnsi="Times New Roman" w:cs="Times New Roman"/>
        </w:rPr>
        <w:t xml:space="preserve">require more details on a customer, </w:t>
      </w:r>
      <w:r w:rsidR="008E4B3C" w:rsidRPr="00455EB3">
        <w:rPr>
          <w:rFonts w:ascii="Times New Roman" w:hAnsi="Times New Roman" w:cs="Times New Roman"/>
        </w:rPr>
        <w:t xml:space="preserve">alternative </w:t>
      </w:r>
      <w:r w:rsidR="005F3000" w:rsidRPr="00455EB3">
        <w:rPr>
          <w:rFonts w:ascii="Times New Roman" w:hAnsi="Times New Roman" w:cs="Times New Roman"/>
        </w:rPr>
        <w:t>approaches</w:t>
      </w:r>
      <w:r w:rsidR="008E4B3C" w:rsidRPr="00455EB3">
        <w:rPr>
          <w:rFonts w:ascii="Times New Roman" w:hAnsi="Times New Roman" w:cs="Times New Roman"/>
        </w:rPr>
        <w:t xml:space="preserve"> </w:t>
      </w:r>
      <w:r w:rsidR="00EF32EA" w:rsidRPr="00455EB3">
        <w:rPr>
          <w:rFonts w:ascii="Times New Roman" w:hAnsi="Times New Roman" w:cs="Times New Roman"/>
        </w:rPr>
        <w:t>are</w:t>
      </w:r>
      <w:r w:rsidR="008E4B3C" w:rsidRPr="00455EB3">
        <w:rPr>
          <w:rFonts w:ascii="Times New Roman" w:hAnsi="Times New Roman" w:cs="Times New Roman"/>
        </w:rPr>
        <w:t xml:space="preserve"> </w:t>
      </w:r>
      <w:r w:rsidR="005F3000" w:rsidRPr="00455EB3">
        <w:rPr>
          <w:rFonts w:ascii="Times New Roman" w:hAnsi="Times New Roman" w:cs="Times New Roman"/>
        </w:rPr>
        <w:t>used</w:t>
      </w:r>
      <w:r w:rsidR="00D44784" w:rsidRPr="00455EB3">
        <w:rPr>
          <w:rFonts w:ascii="Times New Roman" w:hAnsi="Times New Roman" w:cs="Times New Roman"/>
        </w:rPr>
        <w:t xml:space="preserve">. For instance, </w:t>
      </w:r>
      <w:r w:rsidR="00065C2A" w:rsidRPr="00455EB3">
        <w:rPr>
          <w:rFonts w:ascii="Times New Roman" w:hAnsi="Times New Roman" w:cs="Times New Roman"/>
        </w:rPr>
        <w:t>some interviewees spoke about the use of internet searches and LinkedIn (and even Facebook) to find further information.</w:t>
      </w:r>
      <w:r w:rsidR="00065C2A" w:rsidRPr="00455EB3">
        <w:rPr>
          <w:rStyle w:val="FootnoteReference"/>
          <w:rFonts w:ascii="Times New Roman" w:hAnsi="Times New Roman" w:cs="Times New Roman"/>
        </w:rPr>
        <w:footnoteReference w:id="98"/>
      </w:r>
      <w:r w:rsidR="05C0605D" w:rsidRPr="00455EB3">
        <w:rPr>
          <w:rStyle w:val="FootnoteReference"/>
          <w:rFonts w:ascii="Times New Roman" w:hAnsi="Times New Roman" w:cs="Times New Roman"/>
        </w:rPr>
        <w:t xml:space="preserve">  </w:t>
      </w:r>
      <w:r w:rsidR="05C0605D" w:rsidRPr="00455EB3">
        <w:rPr>
          <w:rFonts w:ascii="Times New Roman" w:hAnsi="Times New Roman" w:cs="Times New Roman"/>
        </w:rPr>
        <w:t>Thus, EAs appear to adopt a pragmatic</w:t>
      </w:r>
      <w:r w:rsidR="55D73DD9" w:rsidRPr="00455EB3">
        <w:rPr>
          <w:rFonts w:ascii="Times New Roman" w:hAnsi="Times New Roman" w:cs="Times New Roman"/>
        </w:rPr>
        <w:t>, indeed flexible,</w:t>
      </w:r>
      <w:r w:rsidR="05C0605D" w:rsidRPr="00455EB3">
        <w:rPr>
          <w:rFonts w:ascii="Times New Roman" w:hAnsi="Times New Roman" w:cs="Times New Roman"/>
        </w:rPr>
        <w:t xml:space="preserve"> approach depending on the circumstances of particular situations</w:t>
      </w:r>
      <w:r w:rsidR="38BD4EF8" w:rsidRPr="00455EB3">
        <w:rPr>
          <w:rFonts w:ascii="Times New Roman" w:hAnsi="Times New Roman" w:cs="Times New Roman"/>
        </w:rPr>
        <w:t>.</w:t>
      </w:r>
    </w:p>
    <w:p w14:paraId="463DDC25" w14:textId="52BFA689" w:rsidR="00D44784" w:rsidRPr="00455EB3" w:rsidRDefault="00665364" w:rsidP="00AB4266">
      <w:pPr>
        <w:ind w:firstLine="720"/>
        <w:jc w:val="both"/>
        <w:rPr>
          <w:rFonts w:ascii="Times New Roman" w:hAnsi="Times New Roman" w:cs="Times New Roman"/>
          <w:lang w:val="en-US"/>
        </w:rPr>
      </w:pPr>
      <w:r w:rsidRPr="00455EB3">
        <w:rPr>
          <w:rFonts w:ascii="Times New Roman" w:hAnsi="Times New Roman" w:cs="Times New Roman"/>
        </w:rPr>
        <w:t>Nonetheless, it was stressed that CDD must still be done</w:t>
      </w:r>
      <w:r w:rsidR="006A1A9E" w:rsidRPr="00455EB3">
        <w:rPr>
          <w:rFonts w:ascii="Times New Roman" w:hAnsi="Times New Roman" w:cs="Times New Roman"/>
        </w:rPr>
        <w:t>,</w:t>
      </w:r>
      <w:r w:rsidR="00821141" w:rsidRPr="00455EB3">
        <w:rPr>
          <w:rStyle w:val="FootnoteReference"/>
          <w:rFonts w:ascii="Times New Roman" w:hAnsi="Times New Roman" w:cs="Times New Roman"/>
        </w:rPr>
        <w:footnoteReference w:id="99"/>
      </w:r>
      <w:r w:rsidRPr="00455EB3">
        <w:rPr>
          <w:rFonts w:ascii="Times New Roman" w:hAnsi="Times New Roman" w:cs="Times New Roman"/>
        </w:rPr>
        <w:t xml:space="preserve"> </w:t>
      </w:r>
      <w:r w:rsidR="006A1A9E" w:rsidRPr="00455EB3">
        <w:rPr>
          <w:rFonts w:ascii="Times New Roman" w:hAnsi="Times New Roman" w:cs="Times New Roman"/>
        </w:rPr>
        <w:t xml:space="preserve">and </w:t>
      </w:r>
      <w:r w:rsidR="00EF32EA" w:rsidRPr="00455EB3">
        <w:rPr>
          <w:rFonts w:ascii="Times New Roman" w:hAnsi="Times New Roman" w:cs="Times New Roman"/>
        </w:rPr>
        <w:t xml:space="preserve">that </w:t>
      </w:r>
      <w:r w:rsidR="006A1A9E" w:rsidRPr="00455EB3">
        <w:rPr>
          <w:rFonts w:ascii="Times New Roman" w:hAnsi="Times New Roman" w:cs="Times New Roman"/>
        </w:rPr>
        <w:t>legitimate buyers would usually do their utmost to provide all requested information.</w:t>
      </w:r>
      <w:r w:rsidR="006A1A9E" w:rsidRPr="00455EB3">
        <w:rPr>
          <w:rStyle w:val="FootnoteReference"/>
          <w:rFonts w:ascii="Times New Roman" w:hAnsi="Times New Roman" w:cs="Times New Roman"/>
        </w:rPr>
        <w:footnoteReference w:id="100"/>
      </w:r>
      <w:r w:rsidR="006A1A9E" w:rsidRPr="00455EB3">
        <w:rPr>
          <w:rFonts w:ascii="Times New Roman" w:hAnsi="Times New Roman" w:cs="Times New Roman"/>
        </w:rPr>
        <w:t xml:space="preserve"> </w:t>
      </w:r>
      <w:r w:rsidR="00BC5D29" w:rsidRPr="00455EB3">
        <w:rPr>
          <w:rFonts w:ascii="Times New Roman" w:hAnsi="Times New Roman" w:cs="Times New Roman"/>
        </w:rPr>
        <w:t>In this regard, some</w:t>
      </w:r>
      <w:r w:rsidR="006A1A9E" w:rsidRPr="00455EB3">
        <w:rPr>
          <w:rFonts w:ascii="Times New Roman" w:hAnsi="Times New Roman" w:cs="Times New Roman"/>
        </w:rPr>
        <w:t xml:space="preserve"> </w:t>
      </w:r>
      <w:r w:rsidR="0098409D" w:rsidRPr="00455EB3">
        <w:rPr>
          <w:rFonts w:ascii="Times New Roman" w:hAnsi="Times New Roman" w:cs="Times New Roman"/>
        </w:rPr>
        <w:t>EAs</w:t>
      </w:r>
      <w:r w:rsidRPr="00455EB3">
        <w:rPr>
          <w:rFonts w:ascii="Times New Roman" w:hAnsi="Times New Roman" w:cs="Times New Roman"/>
        </w:rPr>
        <w:t xml:space="preserve"> mentioned</w:t>
      </w:r>
      <w:r w:rsidR="00BC5D29" w:rsidRPr="00455EB3">
        <w:rPr>
          <w:rFonts w:ascii="Times New Roman" w:hAnsi="Times New Roman" w:cs="Times New Roman"/>
        </w:rPr>
        <w:t xml:space="preserve"> the fact</w:t>
      </w:r>
      <w:r w:rsidRPr="00455EB3">
        <w:rPr>
          <w:rFonts w:ascii="Times New Roman" w:hAnsi="Times New Roman" w:cs="Times New Roman"/>
        </w:rPr>
        <w:t xml:space="preserve"> that the prevalence of </w:t>
      </w:r>
      <w:r w:rsidR="006C4AED" w:rsidRPr="00455EB3">
        <w:rPr>
          <w:rFonts w:ascii="Times New Roman" w:hAnsi="Times New Roman" w:cs="Times New Roman"/>
        </w:rPr>
        <w:t xml:space="preserve">CDD </w:t>
      </w:r>
      <w:r w:rsidRPr="00455EB3">
        <w:rPr>
          <w:rFonts w:ascii="Times New Roman" w:hAnsi="Times New Roman" w:cs="Times New Roman"/>
        </w:rPr>
        <w:t>checks nowadays means that most people understand that AML checks are being carried out and that some clients (e</w:t>
      </w:r>
      <w:r w:rsidR="004A27C0">
        <w:rPr>
          <w:rFonts w:ascii="Times New Roman" w:hAnsi="Times New Roman" w:cs="Times New Roman"/>
        </w:rPr>
        <w:t>.</w:t>
      </w:r>
      <w:r w:rsidRPr="00455EB3">
        <w:rPr>
          <w:rFonts w:ascii="Times New Roman" w:hAnsi="Times New Roman" w:cs="Times New Roman"/>
        </w:rPr>
        <w:t>g</w:t>
      </w:r>
      <w:r w:rsidR="004A27C0">
        <w:rPr>
          <w:rFonts w:ascii="Times New Roman" w:hAnsi="Times New Roman" w:cs="Times New Roman"/>
        </w:rPr>
        <w:t>.</w:t>
      </w:r>
      <w:r w:rsidRPr="00455EB3">
        <w:rPr>
          <w:rFonts w:ascii="Times New Roman" w:hAnsi="Times New Roman" w:cs="Times New Roman"/>
        </w:rPr>
        <w:t xml:space="preserve"> those who work in financial services) might </w:t>
      </w:r>
      <w:r w:rsidR="007A3664">
        <w:rPr>
          <w:rFonts w:ascii="Times New Roman" w:hAnsi="Times New Roman" w:cs="Times New Roman"/>
        </w:rPr>
        <w:t>consider</w:t>
      </w:r>
      <w:r w:rsidR="007A3664" w:rsidRPr="00455EB3">
        <w:rPr>
          <w:rFonts w:ascii="Times New Roman" w:hAnsi="Times New Roman" w:cs="Times New Roman"/>
        </w:rPr>
        <w:t xml:space="preserve"> </w:t>
      </w:r>
      <w:r w:rsidRPr="00455EB3">
        <w:rPr>
          <w:rFonts w:ascii="Times New Roman" w:hAnsi="Times New Roman" w:cs="Times New Roman"/>
        </w:rPr>
        <w:t xml:space="preserve">it peculiar if they were not asked </w:t>
      </w:r>
      <w:r w:rsidRPr="00455EB3">
        <w:rPr>
          <w:rFonts w:ascii="Times New Roman" w:hAnsi="Times New Roman" w:cs="Times New Roman"/>
        </w:rPr>
        <w:lastRenderedPageBreak/>
        <w:t>for relevant documentation.</w:t>
      </w:r>
      <w:r w:rsidR="00821141" w:rsidRPr="00455EB3">
        <w:rPr>
          <w:rStyle w:val="FootnoteReference"/>
          <w:rFonts w:ascii="Times New Roman" w:hAnsi="Times New Roman" w:cs="Times New Roman"/>
        </w:rPr>
        <w:footnoteReference w:id="101"/>
      </w:r>
      <w:r w:rsidR="00496CB0" w:rsidRPr="00455EB3">
        <w:rPr>
          <w:rFonts w:ascii="Times New Roman" w:hAnsi="Times New Roman" w:cs="Times New Roman"/>
        </w:rPr>
        <w:t xml:space="preserve"> However, difficulties might arise in doing CDD checks, especially w</w:t>
      </w:r>
      <w:r w:rsidR="00AA2C8B" w:rsidRPr="00455EB3">
        <w:rPr>
          <w:rFonts w:ascii="Times New Roman" w:hAnsi="Times New Roman" w:cs="Times New Roman"/>
        </w:rPr>
        <w:t>ith specific categories of customers, like foreign buyers</w:t>
      </w:r>
      <w:r w:rsidR="006A6914" w:rsidRPr="00455EB3">
        <w:rPr>
          <w:rFonts w:ascii="Times New Roman" w:hAnsi="Times New Roman" w:cs="Times New Roman"/>
        </w:rPr>
        <w:t>. Indeed, s</w:t>
      </w:r>
      <w:r w:rsidR="00457A03" w:rsidRPr="00455EB3">
        <w:rPr>
          <w:rFonts w:ascii="Times New Roman" w:hAnsi="Times New Roman" w:cs="Times New Roman"/>
        </w:rPr>
        <w:t xml:space="preserve">ome interviewees </w:t>
      </w:r>
      <w:r w:rsidR="0044298A" w:rsidRPr="00455EB3">
        <w:rPr>
          <w:rFonts w:ascii="Times New Roman" w:hAnsi="Times New Roman" w:cs="Times New Roman"/>
        </w:rPr>
        <w:t>mentioned difficulties with doing CDD checks on foreign buyers, for example</w:t>
      </w:r>
      <w:r w:rsidR="007A3664">
        <w:rPr>
          <w:rFonts w:ascii="Times New Roman" w:hAnsi="Times New Roman" w:cs="Times New Roman"/>
        </w:rPr>
        <w:t>,</w:t>
      </w:r>
      <w:r w:rsidR="0044298A" w:rsidRPr="00455EB3">
        <w:rPr>
          <w:rFonts w:ascii="Times New Roman" w:hAnsi="Times New Roman" w:cs="Times New Roman"/>
        </w:rPr>
        <w:t xml:space="preserve"> </w:t>
      </w:r>
      <w:r w:rsidR="0038012E" w:rsidRPr="00455EB3">
        <w:rPr>
          <w:rFonts w:ascii="Times New Roman" w:hAnsi="Times New Roman" w:cs="Times New Roman"/>
        </w:rPr>
        <w:t xml:space="preserve">because </w:t>
      </w:r>
      <w:r w:rsidR="0044298A" w:rsidRPr="00455EB3">
        <w:rPr>
          <w:rFonts w:ascii="Times New Roman" w:hAnsi="Times New Roman" w:cs="Times New Roman"/>
        </w:rPr>
        <w:t xml:space="preserve">there </w:t>
      </w:r>
      <w:r w:rsidR="0038012E" w:rsidRPr="00455EB3">
        <w:rPr>
          <w:rFonts w:ascii="Times New Roman" w:hAnsi="Times New Roman" w:cs="Times New Roman"/>
        </w:rPr>
        <w:t xml:space="preserve">might be </w:t>
      </w:r>
      <w:r w:rsidR="0044298A" w:rsidRPr="00455EB3">
        <w:rPr>
          <w:rFonts w:ascii="Times New Roman" w:hAnsi="Times New Roman" w:cs="Times New Roman"/>
        </w:rPr>
        <w:t>no face-to-face contact.</w:t>
      </w:r>
      <w:r w:rsidR="0044298A" w:rsidRPr="00455EB3">
        <w:rPr>
          <w:rStyle w:val="FootnoteReference"/>
          <w:rFonts w:ascii="Times New Roman" w:hAnsi="Times New Roman" w:cs="Times New Roman"/>
        </w:rPr>
        <w:footnoteReference w:id="102"/>
      </w:r>
      <w:r w:rsidR="0044298A" w:rsidRPr="00455EB3">
        <w:rPr>
          <w:rFonts w:ascii="Times New Roman" w:hAnsi="Times New Roman" w:cs="Times New Roman"/>
        </w:rPr>
        <w:t xml:space="preserve"> A related difficulty is where documentation might be fake: </w:t>
      </w:r>
      <w:r w:rsidR="00821141" w:rsidRPr="00455EB3">
        <w:rPr>
          <w:rFonts w:ascii="Times New Roman" w:hAnsi="Times New Roman" w:cs="Times New Roman"/>
        </w:rPr>
        <w:t>‘</w:t>
      </w:r>
      <w:r w:rsidR="0044298A" w:rsidRPr="00455EB3">
        <w:rPr>
          <w:rFonts w:ascii="Times New Roman" w:hAnsi="Times New Roman" w:cs="Times New Roman"/>
          <w:lang w:val="en-US"/>
        </w:rPr>
        <w:t>It is absurd to put the obligation on estate agents to check whether a passport is fake. What if it is Russian and it is in Cyrillic’</w:t>
      </w:r>
      <w:r w:rsidR="000617B6" w:rsidRPr="00455EB3">
        <w:rPr>
          <w:rFonts w:ascii="Times New Roman" w:hAnsi="Times New Roman" w:cs="Times New Roman"/>
          <w:lang w:val="en-US"/>
        </w:rPr>
        <w:t>.</w:t>
      </w:r>
      <w:r w:rsidR="0044298A" w:rsidRPr="00455EB3">
        <w:rPr>
          <w:rStyle w:val="FootnoteReference"/>
          <w:rFonts w:ascii="Times New Roman" w:hAnsi="Times New Roman" w:cs="Times New Roman"/>
          <w:lang w:val="en-US"/>
        </w:rPr>
        <w:footnoteReference w:id="103"/>
      </w:r>
      <w:r w:rsidR="0044298A" w:rsidRPr="00455EB3">
        <w:rPr>
          <w:rFonts w:ascii="Times New Roman" w:hAnsi="Times New Roman" w:cs="Times New Roman"/>
          <w:lang w:val="en-US"/>
        </w:rPr>
        <w:t xml:space="preserve"> </w:t>
      </w:r>
      <w:r w:rsidR="008A7768" w:rsidRPr="00455EB3">
        <w:rPr>
          <w:rFonts w:ascii="Times New Roman" w:hAnsi="Times New Roman" w:cs="Times New Roman"/>
          <w:lang w:val="en-US"/>
        </w:rPr>
        <w:t xml:space="preserve">Therefore, </w:t>
      </w:r>
      <w:r w:rsidR="0044298A" w:rsidRPr="00455EB3">
        <w:rPr>
          <w:rFonts w:ascii="Times New Roman" w:hAnsi="Times New Roman" w:cs="Times New Roman"/>
          <w:lang w:val="en-US"/>
        </w:rPr>
        <w:t xml:space="preserve">EAs </w:t>
      </w:r>
      <w:r w:rsidR="00FE6781" w:rsidRPr="00455EB3">
        <w:rPr>
          <w:rFonts w:ascii="Times New Roman" w:hAnsi="Times New Roman" w:cs="Times New Roman"/>
          <w:lang w:val="en-US"/>
        </w:rPr>
        <w:t>seem to be</w:t>
      </w:r>
      <w:r w:rsidR="0044298A" w:rsidRPr="00455EB3">
        <w:rPr>
          <w:rFonts w:ascii="Times New Roman" w:hAnsi="Times New Roman" w:cs="Times New Roman"/>
          <w:lang w:val="en-US"/>
        </w:rPr>
        <w:t xml:space="preserve"> placed in a position of vulnerability</w:t>
      </w:r>
      <w:r w:rsidR="0044298A" w:rsidRPr="00455EB3">
        <w:rPr>
          <w:rStyle w:val="FootnoteReference"/>
          <w:rFonts w:ascii="Times New Roman" w:hAnsi="Times New Roman" w:cs="Times New Roman"/>
          <w:lang w:val="en-US"/>
        </w:rPr>
        <w:footnoteReference w:id="104"/>
      </w:r>
      <w:r w:rsidR="0044298A" w:rsidRPr="00455EB3">
        <w:rPr>
          <w:rFonts w:ascii="Times New Roman" w:hAnsi="Times New Roman" w:cs="Times New Roman"/>
          <w:lang w:val="en-US"/>
        </w:rPr>
        <w:t xml:space="preserve"> </w:t>
      </w:r>
      <w:r w:rsidR="00887BD4" w:rsidRPr="00455EB3">
        <w:rPr>
          <w:rFonts w:ascii="Times New Roman" w:hAnsi="Times New Roman" w:cs="Times New Roman"/>
          <w:lang w:val="en-US"/>
        </w:rPr>
        <w:t xml:space="preserve">because they </w:t>
      </w:r>
      <w:r w:rsidR="00EF32EA" w:rsidRPr="00455EB3">
        <w:rPr>
          <w:rFonts w:ascii="Times New Roman" w:hAnsi="Times New Roman" w:cs="Times New Roman"/>
          <w:lang w:val="en-US"/>
        </w:rPr>
        <w:t>are required</w:t>
      </w:r>
      <w:r w:rsidR="00887BD4" w:rsidRPr="00455EB3">
        <w:rPr>
          <w:rFonts w:ascii="Times New Roman" w:hAnsi="Times New Roman" w:cs="Times New Roman"/>
          <w:lang w:val="en-US"/>
        </w:rPr>
        <w:t xml:space="preserve"> to </w:t>
      </w:r>
      <w:r w:rsidR="0044298A" w:rsidRPr="00455EB3">
        <w:rPr>
          <w:rFonts w:ascii="Times New Roman" w:hAnsi="Times New Roman" w:cs="Times New Roman"/>
          <w:lang w:val="en-US"/>
        </w:rPr>
        <w:t xml:space="preserve">conduct CDD </w:t>
      </w:r>
      <w:r w:rsidR="00D85528" w:rsidRPr="00455EB3">
        <w:rPr>
          <w:rFonts w:ascii="Times New Roman" w:hAnsi="Times New Roman" w:cs="Times New Roman"/>
          <w:lang w:val="en-US"/>
        </w:rPr>
        <w:t>checks but</w:t>
      </w:r>
      <w:r w:rsidR="0044298A" w:rsidRPr="00455EB3">
        <w:rPr>
          <w:rFonts w:ascii="Times New Roman" w:hAnsi="Times New Roman" w:cs="Times New Roman"/>
          <w:lang w:val="en-US"/>
        </w:rPr>
        <w:t xml:space="preserve"> </w:t>
      </w:r>
      <w:r w:rsidR="00EF32EA" w:rsidRPr="00455EB3">
        <w:rPr>
          <w:rFonts w:ascii="Times New Roman" w:hAnsi="Times New Roman" w:cs="Times New Roman"/>
          <w:lang w:val="en-US"/>
        </w:rPr>
        <w:t xml:space="preserve">are </w:t>
      </w:r>
      <w:r w:rsidR="0044298A" w:rsidRPr="00455EB3">
        <w:rPr>
          <w:rFonts w:ascii="Times New Roman" w:hAnsi="Times New Roman" w:cs="Times New Roman"/>
          <w:lang w:val="en-US"/>
        </w:rPr>
        <w:t xml:space="preserve">confronted with significant </w:t>
      </w:r>
      <w:r w:rsidR="00D93BFE" w:rsidRPr="00455EB3">
        <w:rPr>
          <w:rFonts w:ascii="Times New Roman" w:hAnsi="Times New Roman" w:cs="Times New Roman"/>
          <w:lang w:val="en-US"/>
        </w:rPr>
        <w:t xml:space="preserve">practical </w:t>
      </w:r>
      <w:r w:rsidR="0044298A" w:rsidRPr="00455EB3">
        <w:rPr>
          <w:rFonts w:ascii="Times New Roman" w:hAnsi="Times New Roman" w:cs="Times New Roman"/>
          <w:lang w:val="en-US"/>
        </w:rPr>
        <w:t>obstacles to compliance.</w:t>
      </w:r>
      <w:r w:rsidR="030B3198" w:rsidRPr="00455EB3">
        <w:rPr>
          <w:rFonts w:ascii="Times New Roman" w:hAnsi="Times New Roman" w:cs="Times New Roman"/>
          <w:lang w:val="en-US"/>
        </w:rPr>
        <w:t xml:space="preserve"> </w:t>
      </w:r>
      <w:r w:rsidR="00D42CF6" w:rsidRPr="00455EB3">
        <w:rPr>
          <w:rFonts w:ascii="Times New Roman" w:hAnsi="Times New Roman" w:cs="Times New Roman"/>
          <w:lang w:val="en-US"/>
        </w:rPr>
        <w:t>P</w:t>
      </w:r>
      <w:r w:rsidR="030B3198" w:rsidRPr="00455EB3">
        <w:rPr>
          <w:rFonts w:ascii="Times New Roman" w:hAnsi="Times New Roman" w:cs="Times New Roman"/>
          <w:lang w:val="en-US"/>
        </w:rPr>
        <w:t>ractical obstacles were a recurring theme in this research; wh</w:t>
      </w:r>
      <w:r w:rsidR="6C0E835B" w:rsidRPr="00455EB3">
        <w:rPr>
          <w:rFonts w:ascii="Times New Roman" w:hAnsi="Times New Roman" w:cs="Times New Roman"/>
          <w:lang w:val="en-US"/>
        </w:rPr>
        <w:t>ile many participants expressed positive support for the AML regime, such support is impacted by its operation in practice</w:t>
      </w:r>
      <w:r w:rsidR="469D13E3" w:rsidRPr="00455EB3">
        <w:rPr>
          <w:rFonts w:ascii="Times New Roman" w:hAnsi="Times New Roman" w:cs="Times New Roman"/>
          <w:lang w:val="en-US"/>
        </w:rPr>
        <w:t>, and the expectations imposed on pr</w:t>
      </w:r>
      <w:r w:rsidR="3D5BC939" w:rsidRPr="00455EB3">
        <w:rPr>
          <w:rFonts w:ascii="Times New Roman" w:hAnsi="Times New Roman" w:cs="Times New Roman"/>
          <w:lang w:val="en-US"/>
        </w:rPr>
        <w:t>i</w:t>
      </w:r>
      <w:r w:rsidR="469D13E3" w:rsidRPr="00455EB3">
        <w:rPr>
          <w:rFonts w:ascii="Times New Roman" w:hAnsi="Times New Roman" w:cs="Times New Roman"/>
          <w:lang w:val="en-US"/>
        </w:rPr>
        <w:t xml:space="preserve">vate actors. </w:t>
      </w:r>
      <w:r w:rsidR="398E4C5E" w:rsidRPr="00455EB3">
        <w:rPr>
          <w:rFonts w:ascii="Times New Roman" w:hAnsi="Times New Roman" w:cs="Times New Roman"/>
          <w:lang w:val="en-US"/>
        </w:rPr>
        <w:t xml:space="preserve">Not only do practical obstacles make it more </w:t>
      </w:r>
      <w:r w:rsidR="00DE5C3D">
        <w:rPr>
          <w:rFonts w:ascii="Times New Roman" w:hAnsi="Times New Roman" w:cs="Times New Roman"/>
          <w:lang w:val="en-US"/>
        </w:rPr>
        <w:t>challenging</w:t>
      </w:r>
      <w:r w:rsidR="00DE5C3D" w:rsidRPr="00455EB3">
        <w:rPr>
          <w:rFonts w:ascii="Times New Roman" w:hAnsi="Times New Roman" w:cs="Times New Roman"/>
          <w:lang w:val="en-US"/>
        </w:rPr>
        <w:t xml:space="preserve"> </w:t>
      </w:r>
      <w:r w:rsidR="398E4C5E" w:rsidRPr="00455EB3">
        <w:rPr>
          <w:rFonts w:ascii="Times New Roman" w:hAnsi="Times New Roman" w:cs="Times New Roman"/>
          <w:lang w:val="en-US"/>
        </w:rPr>
        <w:t>to comply with legal obligations, there are additional costs</w:t>
      </w:r>
      <w:r w:rsidR="7E548885" w:rsidRPr="00455EB3">
        <w:rPr>
          <w:rFonts w:ascii="Times New Roman" w:hAnsi="Times New Roman" w:cs="Times New Roman"/>
          <w:lang w:val="en-US"/>
        </w:rPr>
        <w:t>, and also opportunity costs, for businesses (as will be discussed in later section</w:t>
      </w:r>
      <w:r w:rsidR="4D600C9D" w:rsidRPr="00455EB3">
        <w:rPr>
          <w:rFonts w:ascii="Times New Roman" w:hAnsi="Times New Roman" w:cs="Times New Roman"/>
          <w:lang w:val="en-US"/>
        </w:rPr>
        <w:t>s</w:t>
      </w:r>
      <w:r w:rsidR="7E548885" w:rsidRPr="00455EB3">
        <w:rPr>
          <w:rFonts w:ascii="Times New Roman" w:hAnsi="Times New Roman" w:cs="Times New Roman"/>
          <w:lang w:val="en-US"/>
        </w:rPr>
        <w:t xml:space="preserve">). </w:t>
      </w:r>
    </w:p>
    <w:p w14:paraId="5CBCCF6C" w14:textId="7DC9DF66" w:rsidR="0044298A" w:rsidRPr="00455EB3" w:rsidRDefault="0DBCBC01" w:rsidP="00AB4266">
      <w:pPr>
        <w:ind w:firstLine="720"/>
        <w:jc w:val="both"/>
        <w:rPr>
          <w:rFonts w:ascii="Times New Roman" w:hAnsi="Times New Roman" w:cs="Times New Roman"/>
          <w:lang w:val="en-US"/>
        </w:rPr>
      </w:pPr>
      <w:r w:rsidRPr="00455EB3">
        <w:rPr>
          <w:rFonts w:ascii="Times New Roman" w:hAnsi="Times New Roman" w:cs="Times New Roman"/>
          <w:lang w:val="en-US"/>
        </w:rPr>
        <w:t>One</w:t>
      </w:r>
      <w:r w:rsidR="009E4560" w:rsidRPr="00455EB3">
        <w:rPr>
          <w:rFonts w:ascii="Times New Roman" w:hAnsi="Times New Roman" w:cs="Times New Roman"/>
          <w:lang w:val="en-US"/>
        </w:rPr>
        <w:t xml:space="preserve"> </w:t>
      </w:r>
      <w:r w:rsidR="0044298A" w:rsidRPr="00455EB3">
        <w:rPr>
          <w:rFonts w:ascii="Times New Roman" w:hAnsi="Times New Roman" w:cs="Times New Roman"/>
          <w:lang w:val="en-US"/>
        </w:rPr>
        <w:t>particular difficulty relates not necessarily to a person’s identity or proof of funds</w:t>
      </w:r>
      <w:r w:rsidR="006248F9" w:rsidRPr="00455EB3">
        <w:rPr>
          <w:rFonts w:ascii="Times New Roman" w:hAnsi="Times New Roman" w:cs="Times New Roman"/>
          <w:lang w:val="en-US"/>
        </w:rPr>
        <w:t>,</w:t>
      </w:r>
      <w:r w:rsidR="0044298A" w:rsidRPr="00455EB3">
        <w:rPr>
          <w:rFonts w:ascii="Times New Roman" w:hAnsi="Times New Roman" w:cs="Times New Roman"/>
          <w:lang w:val="en-US"/>
        </w:rPr>
        <w:t xml:space="preserve"> </w:t>
      </w:r>
      <w:r w:rsidR="00EF32EA" w:rsidRPr="00455EB3">
        <w:rPr>
          <w:rFonts w:ascii="Times New Roman" w:hAnsi="Times New Roman" w:cs="Times New Roman"/>
          <w:lang w:val="en-US"/>
        </w:rPr>
        <w:t xml:space="preserve">but </w:t>
      </w:r>
      <w:r w:rsidR="0044298A" w:rsidRPr="00455EB3">
        <w:rPr>
          <w:rFonts w:ascii="Times New Roman" w:hAnsi="Times New Roman" w:cs="Times New Roman"/>
          <w:lang w:val="en-US"/>
        </w:rPr>
        <w:t>rather</w:t>
      </w:r>
      <w:r w:rsidR="00EF32EA" w:rsidRPr="00455EB3">
        <w:rPr>
          <w:rFonts w:ascii="Times New Roman" w:hAnsi="Times New Roman" w:cs="Times New Roman"/>
          <w:lang w:val="en-US"/>
        </w:rPr>
        <w:t xml:space="preserve"> to</w:t>
      </w:r>
      <w:r w:rsidR="0044298A" w:rsidRPr="00455EB3">
        <w:rPr>
          <w:rFonts w:ascii="Times New Roman" w:hAnsi="Times New Roman" w:cs="Times New Roman"/>
          <w:lang w:val="en-US"/>
        </w:rPr>
        <w:t xml:space="preserve"> the source of funds.</w:t>
      </w:r>
      <w:r w:rsidR="0044298A" w:rsidRPr="00455EB3">
        <w:rPr>
          <w:rStyle w:val="FootnoteReference"/>
          <w:rFonts w:ascii="Times New Roman" w:hAnsi="Times New Roman" w:cs="Times New Roman"/>
          <w:lang w:val="en-US"/>
        </w:rPr>
        <w:footnoteReference w:id="105"/>
      </w:r>
      <w:r w:rsidR="0044298A" w:rsidRPr="00455EB3">
        <w:rPr>
          <w:rFonts w:ascii="Times New Roman" w:hAnsi="Times New Roman" w:cs="Times New Roman"/>
          <w:lang w:val="en-US"/>
        </w:rPr>
        <w:t xml:space="preserve"> </w:t>
      </w:r>
      <w:r w:rsidR="006248F9" w:rsidRPr="00455EB3">
        <w:rPr>
          <w:rFonts w:ascii="Times New Roman" w:hAnsi="Times New Roman" w:cs="Times New Roman"/>
          <w:lang w:val="en-US"/>
        </w:rPr>
        <w:t>By definition,</w:t>
      </w:r>
      <w:r w:rsidR="006248F9" w:rsidRPr="00455EB3" w:rsidDel="006248F9">
        <w:rPr>
          <w:rFonts w:ascii="Times New Roman" w:hAnsi="Times New Roman" w:cs="Times New Roman"/>
          <w:lang w:val="en-US"/>
        </w:rPr>
        <w:t xml:space="preserve"> </w:t>
      </w:r>
      <w:r w:rsidR="006248F9" w:rsidRPr="00455EB3">
        <w:rPr>
          <w:rFonts w:ascii="Times New Roman" w:hAnsi="Times New Roman" w:cs="Times New Roman"/>
          <w:lang w:val="en-US"/>
        </w:rPr>
        <w:t>a</w:t>
      </w:r>
      <w:r w:rsidR="0044298A" w:rsidRPr="00455EB3">
        <w:rPr>
          <w:rFonts w:ascii="Times New Roman" w:hAnsi="Times New Roman" w:cs="Times New Roman"/>
          <w:lang w:val="en-US"/>
        </w:rPr>
        <w:t xml:space="preserve"> money launderer </w:t>
      </w:r>
      <w:r w:rsidR="0031576D" w:rsidRPr="00455EB3">
        <w:rPr>
          <w:rFonts w:ascii="Times New Roman" w:hAnsi="Times New Roman" w:cs="Times New Roman"/>
          <w:lang w:val="en-US"/>
        </w:rPr>
        <w:t>would</w:t>
      </w:r>
      <w:r w:rsidR="0044298A" w:rsidRPr="00455EB3">
        <w:rPr>
          <w:rFonts w:ascii="Times New Roman" w:hAnsi="Times New Roman" w:cs="Times New Roman"/>
          <w:lang w:val="en-US"/>
        </w:rPr>
        <w:t xml:space="preserve"> have money available to launder. Thus, it will often require a judg</w:t>
      </w:r>
      <w:r w:rsidR="00DE5BCB" w:rsidRPr="00455EB3">
        <w:rPr>
          <w:rFonts w:ascii="Times New Roman" w:hAnsi="Times New Roman" w:cs="Times New Roman"/>
          <w:lang w:val="en-US"/>
        </w:rPr>
        <w:t>e</w:t>
      </w:r>
      <w:r w:rsidR="0044298A" w:rsidRPr="00455EB3">
        <w:rPr>
          <w:rFonts w:ascii="Times New Roman" w:hAnsi="Times New Roman" w:cs="Times New Roman"/>
          <w:lang w:val="en-US"/>
        </w:rPr>
        <w:t>ment call by EAs:</w:t>
      </w:r>
    </w:p>
    <w:p w14:paraId="7B37DD6C" w14:textId="77777777" w:rsidR="00821141" w:rsidRPr="00455EB3" w:rsidRDefault="00821141" w:rsidP="00AB4266">
      <w:pPr>
        <w:jc w:val="both"/>
        <w:rPr>
          <w:rFonts w:ascii="Times New Roman" w:hAnsi="Times New Roman" w:cs="Times New Roman"/>
          <w:lang w:val="en-US"/>
        </w:rPr>
      </w:pPr>
    </w:p>
    <w:p w14:paraId="526E382D" w14:textId="6174FC25" w:rsidR="0044298A" w:rsidRPr="00455EB3" w:rsidRDefault="0044298A" w:rsidP="00AB4266">
      <w:pPr>
        <w:ind w:left="567" w:right="521"/>
        <w:jc w:val="both"/>
        <w:rPr>
          <w:rFonts w:ascii="Times New Roman" w:hAnsi="Times New Roman" w:cs="Times New Roman"/>
          <w:lang w:val="en-US"/>
        </w:rPr>
      </w:pPr>
      <w:proofErr w:type="gramStart"/>
      <w:r w:rsidRPr="00455EB3">
        <w:rPr>
          <w:rFonts w:ascii="Times New Roman" w:hAnsi="Times New Roman" w:cs="Times New Roman"/>
          <w:lang w:val="en-US"/>
        </w:rPr>
        <w:t>Often</w:t>
      </w:r>
      <w:proofErr w:type="gramEnd"/>
      <w:r w:rsidRPr="00455EB3">
        <w:rPr>
          <w:rFonts w:ascii="Times New Roman" w:hAnsi="Times New Roman" w:cs="Times New Roman"/>
          <w:lang w:val="en-US"/>
        </w:rPr>
        <w:t xml:space="preserve"> they’ll see a bank statement which has got a couple million quid in it, but of course there’s no evidence to suggest where that money came from. It may have gone in 5 minutes before you saw it, it might go out 5 minutes afterwards. It’s really building up a picture, carrying out a risk assessment as to whether this person you’re dealing with, you think they are likely to have 2 million legitimate pounds in their pocket and that of course is a judgment call.</w:t>
      </w:r>
      <w:r w:rsidRPr="00455EB3">
        <w:rPr>
          <w:rStyle w:val="FootnoteReference"/>
          <w:rFonts w:ascii="Times New Roman" w:hAnsi="Times New Roman" w:cs="Times New Roman"/>
          <w:lang w:val="en-US"/>
        </w:rPr>
        <w:footnoteReference w:id="106"/>
      </w:r>
    </w:p>
    <w:p w14:paraId="2F93ACBD" w14:textId="77777777" w:rsidR="00821141" w:rsidRPr="00455EB3" w:rsidRDefault="00821141" w:rsidP="00AB4266">
      <w:pPr>
        <w:ind w:left="567" w:right="521"/>
        <w:jc w:val="both"/>
        <w:rPr>
          <w:rFonts w:ascii="Times New Roman" w:hAnsi="Times New Roman" w:cs="Times New Roman"/>
          <w:lang w:val="en-US"/>
        </w:rPr>
      </w:pPr>
    </w:p>
    <w:p w14:paraId="696DFD4C" w14:textId="23371DA9" w:rsidR="0044298A" w:rsidRPr="00455EB3" w:rsidRDefault="0044298A" w:rsidP="00AB4266">
      <w:pPr>
        <w:jc w:val="both"/>
        <w:rPr>
          <w:rFonts w:ascii="Times New Roman" w:hAnsi="Times New Roman" w:cs="Times New Roman"/>
        </w:rPr>
      </w:pPr>
      <w:r w:rsidRPr="00455EB3">
        <w:rPr>
          <w:rFonts w:ascii="Times New Roman" w:hAnsi="Times New Roman" w:cs="Times New Roman"/>
          <w:lang w:val="en-US"/>
        </w:rPr>
        <w:t>This focus on making judg</w:t>
      </w:r>
      <w:r w:rsidR="00DE5BCB" w:rsidRPr="00455EB3">
        <w:rPr>
          <w:rFonts w:ascii="Times New Roman" w:hAnsi="Times New Roman" w:cs="Times New Roman"/>
          <w:lang w:val="en-US"/>
        </w:rPr>
        <w:t>e</w:t>
      </w:r>
      <w:r w:rsidRPr="00455EB3">
        <w:rPr>
          <w:rFonts w:ascii="Times New Roman" w:hAnsi="Times New Roman" w:cs="Times New Roman"/>
          <w:lang w:val="en-US"/>
        </w:rPr>
        <w:t xml:space="preserve">ment calls aligns with previous research </w:t>
      </w:r>
      <w:r w:rsidR="00821141" w:rsidRPr="00455EB3">
        <w:rPr>
          <w:rFonts w:ascii="Times New Roman" w:hAnsi="Times New Roman" w:cs="Times New Roman"/>
          <w:lang w:val="en-US"/>
        </w:rPr>
        <w:t xml:space="preserve">conducted </w:t>
      </w:r>
      <w:r w:rsidRPr="00455EB3">
        <w:rPr>
          <w:rFonts w:ascii="Times New Roman" w:hAnsi="Times New Roman" w:cs="Times New Roman"/>
          <w:lang w:val="en-US"/>
        </w:rPr>
        <w:t>by Gill and Taylor</w:t>
      </w:r>
      <w:r w:rsidR="007D199F" w:rsidRPr="00455EB3">
        <w:rPr>
          <w:rFonts w:ascii="Times New Roman" w:hAnsi="Times New Roman" w:cs="Times New Roman"/>
          <w:lang w:val="en-US"/>
        </w:rPr>
        <w:t>.</w:t>
      </w:r>
      <w:r w:rsidR="00FD122B" w:rsidRPr="00455EB3">
        <w:rPr>
          <w:rFonts w:ascii="Times New Roman" w:hAnsi="Times New Roman" w:cs="Times New Roman"/>
          <w:lang w:val="en-US"/>
        </w:rPr>
        <w:t xml:space="preserve"> </w:t>
      </w:r>
      <w:r w:rsidR="007D199F" w:rsidRPr="00455EB3">
        <w:rPr>
          <w:rFonts w:ascii="Times New Roman" w:hAnsi="Times New Roman" w:cs="Times New Roman"/>
          <w:lang w:val="en-US"/>
        </w:rPr>
        <w:t>They</w:t>
      </w:r>
      <w:r w:rsidRPr="00455EB3">
        <w:rPr>
          <w:rFonts w:ascii="Times New Roman" w:hAnsi="Times New Roman" w:cs="Times New Roman"/>
          <w:lang w:val="en-US"/>
        </w:rPr>
        <w:t xml:space="preserve"> state that regulated companies have to assess the evidence available to them and to make ‘a very difficult judgment’ (especially in the context of financially excluded individuals).</w:t>
      </w:r>
      <w:r w:rsidRPr="00455EB3">
        <w:rPr>
          <w:rStyle w:val="FootnoteReference"/>
          <w:rFonts w:ascii="Times New Roman" w:hAnsi="Times New Roman" w:cs="Times New Roman"/>
          <w:lang w:val="en-US"/>
        </w:rPr>
        <w:footnoteReference w:id="107"/>
      </w:r>
      <w:r w:rsidRPr="00455EB3">
        <w:rPr>
          <w:rFonts w:ascii="Times New Roman" w:hAnsi="Times New Roman" w:cs="Times New Roman"/>
          <w:lang w:val="en-US"/>
        </w:rPr>
        <w:t xml:space="preserve"> </w:t>
      </w:r>
      <w:r w:rsidR="00C21D17" w:rsidRPr="00455EB3">
        <w:rPr>
          <w:rFonts w:ascii="Times New Roman" w:hAnsi="Times New Roman" w:cs="Times New Roman"/>
          <w:lang w:val="en-US"/>
        </w:rPr>
        <w:t xml:space="preserve">Moreover, as </w:t>
      </w:r>
      <w:proofErr w:type="spellStart"/>
      <w:r w:rsidR="003745ED" w:rsidRPr="00455EB3">
        <w:rPr>
          <w:rFonts w:ascii="Times New Roman" w:hAnsi="Times New Roman" w:cs="Times New Roman"/>
          <w:lang w:val="en-US"/>
        </w:rPr>
        <w:t>Gelemerova</w:t>
      </w:r>
      <w:proofErr w:type="spellEnd"/>
      <w:r w:rsidR="003745ED" w:rsidRPr="00455EB3">
        <w:rPr>
          <w:rFonts w:ascii="Times New Roman" w:hAnsi="Times New Roman" w:cs="Times New Roman"/>
          <w:lang w:val="en-US"/>
        </w:rPr>
        <w:t xml:space="preserve"> notes, judgement calls are inherently subjective and often involve considerations of striking a balance, as part of a risk assessment/ risk management approach.</w:t>
      </w:r>
      <w:r w:rsidR="003745ED" w:rsidRPr="00455EB3">
        <w:rPr>
          <w:rStyle w:val="FootnoteReference"/>
          <w:rFonts w:ascii="Times New Roman" w:hAnsi="Times New Roman" w:cs="Times New Roman"/>
          <w:lang w:val="en-US"/>
        </w:rPr>
        <w:footnoteReference w:id="108"/>
      </w:r>
      <w:r w:rsidR="003745ED" w:rsidRPr="00455EB3">
        <w:rPr>
          <w:rFonts w:ascii="Times New Roman" w:hAnsi="Times New Roman" w:cs="Times New Roman"/>
          <w:lang w:val="en-US"/>
        </w:rPr>
        <w:t xml:space="preserve"> </w:t>
      </w:r>
      <w:r w:rsidRPr="00455EB3">
        <w:rPr>
          <w:rFonts w:ascii="Times New Roman" w:hAnsi="Times New Roman" w:cs="Times New Roman"/>
          <w:lang w:val="en-US"/>
        </w:rPr>
        <w:t xml:space="preserve">Furthermore, </w:t>
      </w:r>
      <w:r w:rsidR="00DC6811" w:rsidRPr="00455EB3">
        <w:rPr>
          <w:rFonts w:ascii="Times New Roman" w:hAnsi="Times New Roman" w:cs="Times New Roman"/>
          <w:lang w:val="en-US"/>
        </w:rPr>
        <w:t>the</w:t>
      </w:r>
      <w:r w:rsidRPr="00455EB3">
        <w:rPr>
          <w:rFonts w:ascii="Times New Roman" w:hAnsi="Times New Roman" w:cs="Times New Roman"/>
          <w:lang w:val="en-US"/>
        </w:rPr>
        <w:t xml:space="preserve"> judg</w:t>
      </w:r>
      <w:r w:rsidR="00DE5BCB" w:rsidRPr="00455EB3">
        <w:rPr>
          <w:rFonts w:ascii="Times New Roman" w:hAnsi="Times New Roman" w:cs="Times New Roman"/>
          <w:lang w:val="en-US"/>
        </w:rPr>
        <w:t>e</w:t>
      </w:r>
      <w:r w:rsidRPr="00455EB3">
        <w:rPr>
          <w:rFonts w:ascii="Times New Roman" w:hAnsi="Times New Roman" w:cs="Times New Roman"/>
          <w:lang w:val="en-US"/>
        </w:rPr>
        <w:t xml:space="preserve">ment can be influenced by </w:t>
      </w:r>
      <w:r w:rsidR="0080589D">
        <w:rPr>
          <w:rFonts w:ascii="Times New Roman" w:hAnsi="Times New Roman" w:cs="Times New Roman"/>
          <w:lang w:val="en-US"/>
        </w:rPr>
        <w:t>broa</w:t>
      </w:r>
      <w:r w:rsidR="0080589D" w:rsidRPr="00455EB3">
        <w:rPr>
          <w:rFonts w:ascii="Times New Roman" w:hAnsi="Times New Roman" w:cs="Times New Roman"/>
          <w:lang w:val="en-US"/>
        </w:rPr>
        <w:t xml:space="preserve">der </w:t>
      </w:r>
      <w:r w:rsidRPr="00455EB3">
        <w:rPr>
          <w:rFonts w:ascii="Times New Roman" w:hAnsi="Times New Roman" w:cs="Times New Roman"/>
          <w:lang w:val="en-US"/>
        </w:rPr>
        <w:t xml:space="preserve">considerations, </w:t>
      </w:r>
      <w:r w:rsidR="00095DC5" w:rsidRPr="00455EB3">
        <w:rPr>
          <w:rFonts w:ascii="Times New Roman" w:hAnsi="Times New Roman" w:cs="Times New Roman"/>
          <w:lang w:val="en-US"/>
        </w:rPr>
        <w:t xml:space="preserve">like the perception of a </w:t>
      </w:r>
      <w:r w:rsidRPr="00455EB3">
        <w:rPr>
          <w:rFonts w:ascii="Times New Roman" w:hAnsi="Times New Roman" w:cs="Times New Roman"/>
          <w:lang w:val="en-US"/>
        </w:rPr>
        <w:t xml:space="preserve">person as ‘out of place’ </w:t>
      </w:r>
      <w:r w:rsidR="00310737" w:rsidRPr="00455EB3">
        <w:rPr>
          <w:rFonts w:ascii="Times New Roman" w:hAnsi="Times New Roman" w:cs="Times New Roman"/>
          <w:lang w:val="en-US"/>
        </w:rPr>
        <w:t>in a</w:t>
      </w:r>
      <w:r w:rsidRPr="00455EB3">
        <w:rPr>
          <w:rFonts w:ascii="Times New Roman" w:hAnsi="Times New Roman" w:cs="Times New Roman"/>
          <w:lang w:val="en-US"/>
        </w:rPr>
        <w:t xml:space="preserve"> particular transaction.</w:t>
      </w:r>
      <w:r w:rsidRPr="00455EB3">
        <w:rPr>
          <w:rStyle w:val="FootnoteReference"/>
          <w:rFonts w:ascii="Times New Roman" w:hAnsi="Times New Roman" w:cs="Times New Roman"/>
          <w:lang w:val="en-US"/>
        </w:rPr>
        <w:footnoteReference w:id="109"/>
      </w:r>
      <w:r w:rsidRPr="00455EB3">
        <w:rPr>
          <w:rFonts w:ascii="Times New Roman" w:hAnsi="Times New Roman" w:cs="Times New Roman"/>
          <w:lang w:val="en-US"/>
        </w:rPr>
        <w:t xml:space="preserve"> This</w:t>
      </w:r>
      <w:r w:rsidR="008E5B5A" w:rsidRPr="00455EB3">
        <w:rPr>
          <w:rFonts w:ascii="Times New Roman" w:hAnsi="Times New Roman" w:cs="Times New Roman"/>
          <w:lang w:val="en-US"/>
        </w:rPr>
        <w:t xml:space="preserve"> </w:t>
      </w:r>
      <w:r w:rsidR="00374C3B" w:rsidRPr="00455EB3">
        <w:rPr>
          <w:rFonts w:ascii="Times New Roman" w:hAnsi="Times New Roman" w:cs="Times New Roman"/>
          <w:lang w:val="en-US"/>
        </w:rPr>
        <w:t>multifaceted</w:t>
      </w:r>
      <w:r w:rsidR="007C545D" w:rsidRPr="00455EB3">
        <w:rPr>
          <w:rFonts w:ascii="Times New Roman" w:hAnsi="Times New Roman" w:cs="Times New Roman"/>
          <w:lang w:val="en-US"/>
        </w:rPr>
        <w:t xml:space="preserve"> sway </w:t>
      </w:r>
      <w:r w:rsidRPr="00455EB3">
        <w:rPr>
          <w:rFonts w:ascii="Times New Roman" w:hAnsi="Times New Roman" w:cs="Times New Roman"/>
          <w:lang w:val="en-US"/>
        </w:rPr>
        <w:t xml:space="preserve">is particularly important in the context of </w:t>
      </w:r>
      <w:r w:rsidRPr="00455EB3">
        <w:rPr>
          <w:rFonts w:ascii="Times New Roman" w:hAnsi="Times New Roman" w:cs="Times New Roman"/>
        </w:rPr>
        <w:t>risk-</w:t>
      </w:r>
      <w:r w:rsidR="007D199F" w:rsidRPr="00455EB3">
        <w:rPr>
          <w:rFonts w:ascii="Times New Roman" w:hAnsi="Times New Roman" w:cs="Times New Roman"/>
        </w:rPr>
        <w:t xml:space="preserve"> </w:t>
      </w:r>
      <w:r w:rsidRPr="00455EB3">
        <w:rPr>
          <w:rFonts w:ascii="Times New Roman" w:hAnsi="Times New Roman" w:cs="Times New Roman"/>
        </w:rPr>
        <w:t>management, given the potential for false positives (</w:t>
      </w:r>
      <w:r w:rsidR="00E60BC1" w:rsidRPr="00455EB3">
        <w:rPr>
          <w:rFonts w:ascii="Times New Roman" w:hAnsi="Times New Roman" w:cs="Times New Roman"/>
        </w:rPr>
        <w:t>i</w:t>
      </w:r>
      <w:r w:rsidR="00E60BC1">
        <w:rPr>
          <w:rFonts w:ascii="Times New Roman" w:hAnsi="Times New Roman" w:cs="Times New Roman"/>
        </w:rPr>
        <w:t>.e.</w:t>
      </w:r>
      <w:r w:rsidR="00E60BC1" w:rsidRPr="00455EB3">
        <w:rPr>
          <w:rFonts w:ascii="Times New Roman" w:hAnsi="Times New Roman" w:cs="Times New Roman"/>
        </w:rPr>
        <w:t xml:space="preserve"> </w:t>
      </w:r>
      <w:r w:rsidRPr="00455EB3">
        <w:rPr>
          <w:rFonts w:ascii="Times New Roman" w:hAnsi="Times New Roman" w:cs="Times New Roman"/>
        </w:rPr>
        <w:t>wrongly identifying a risk and acting upon that) and false negatives (</w:t>
      </w:r>
      <w:r w:rsidR="00E60BC1" w:rsidRPr="00455EB3">
        <w:rPr>
          <w:rFonts w:ascii="Times New Roman" w:hAnsi="Times New Roman" w:cs="Times New Roman"/>
        </w:rPr>
        <w:t>i</w:t>
      </w:r>
      <w:r w:rsidR="00E60BC1">
        <w:rPr>
          <w:rFonts w:ascii="Times New Roman" w:hAnsi="Times New Roman" w:cs="Times New Roman"/>
        </w:rPr>
        <w:t>.e.</w:t>
      </w:r>
      <w:r w:rsidR="00E60BC1" w:rsidRPr="00455EB3">
        <w:rPr>
          <w:rFonts w:ascii="Times New Roman" w:hAnsi="Times New Roman" w:cs="Times New Roman"/>
        </w:rPr>
        <w:t xml:space="preserve"> </w:t>
      </w:r>
      <w:r w:rsidRPr="00455EB3">
        <w:rPr>
          <w:rFonts w:ascii="Times New Roman" w:hAnsi="Times New Roman" w:cs="Times New Roman"/>
        </w:rPr>
        <w:t xml:space="preserve">failing to identify a risk and failing to take </w:t>
      </w:r>
      <w:r w:rsidRPr="00455EB3">
        <w:rPr>
          <w:rFonts w:ascii="Times New Roman" w:hAnsi="Times New Roman" w:cs="Times New Roman"/>
        </w:rPr>
        <w:lastRenderedPageBreak/>
        <w:t>appropriate action).</w:t>
      </w:r>
      <w:r w:rsidRPr="00455EB3">
        <w:rPr>
          <w:rStyle w:val="FootnoteReference"/>
          <w:rFonts w:ascii="Times New Roman" w:hAnsi="Times New Roman" w:cs="Times New Roman"/>
        </w:rPr>
        <w:footnoteReference w:id="110"/>
      </w:r>
      <w:r w:rsidR="14D44B2E" w:rsidRPr="00455EB3">
        <w:rPr>
          <w:rFonts w:ascii="Times New Roman" w:hAnsi="Times New Roman" w:cs="Times New Roman"/>
        </w:rPr>
        <w:t xml:space="preserve"> Moreover, the costs of a wrong judgment call can be significant: losing commission on, say</w:t>
      </w:r>
      <w:r w:rsidR="2948E30E" w:rsidRPr="00455EB3">
        <w:rPr>
          <w:rFonts w:ascii="Times New Roman" w:hAnsi="Times New Roman" w:cs="Times New Roman"/>
        </w:rPr>
        <w:t>, a £2 million transaction (as alluded to in the above quote)</w:t>
      </w:r>
      <w:r w:rsidR="048B9353" w:rsidRPr="00455EB3">
        <w:rPr>
          <w:rFonts w:ascii="Times New Roman" w:hAnsi="Times New Roman" w:cs="Times New Roman"/>
        </w:rPr>
        <w:t xml:space="preserve"> in the case of a false positive,</w:t>
      </w:r>
      <w:r w:rsidR="2948E30E" w:rsidRPr="00455EB3">
        <w:rPr>
          <w:rFonts w:ascii="Times New Roman" w:hAnsi="Times New Roman" w:cs="Times New Roman"/>
        </w:rPr>
        <w:t xml:space="preserve"> or being caught up in a money laundering investigation and/or media scandal</w:t>
      </w:r>
      <w:r w:rsidR="01FC7135" w:rsidRPr="00455EB3">
        <w:rPr>
          <w:rFonts w:ascii="Times New Roman" w:hAnsi="Times New Roman" w:cs="Times New Roman"/>
        </w:rPr>
        <w:t xml:space="preserve"> in the case of a false negative</w:t>
      </w:r>
      <w:r w:rsidR="2948E30E" w:rsidRPr="00455EB3">
        <w:rPr>
          <w:rFonts w:ascii="Times New Roman" w:hAnsi="Times New Roman" w:cs="Times New Roman"/>
        </w:rPr>
        <w:t>.</w:t>
      </w:r>
    </w:p>
    <w:p w14:paraId="1CEDC391" w14:textId="3FCF5A2D" w:rsidR="0044298A" w:rsidRPr="00455EB3" w:rsidRDefault="00821141" w:rsidP="00AB4266">
      <w:pPr>
        <w:jc w:val="both"/>
        <w:rPr>
          <w:rFonts w:ascii="Times New Roman" w:hAnsi="Times New Roman" w:cs="Times New Roman"/>
        </w:rPr>
      </w:pPr>
      <w:r w:rsidRPr="00455EB3">
        <w:rPr>
          <w:rFonts w:ascii="Times New Roman" w:hAnsi="Times New Roman" w:cs="Times New Roman"/>
        </w:rPr>
        <w:tab/>
      </w:r>
      <w:r w:rsidR="00127E9D" w:rsidRPr="00455EB3">
        <w:rPr>
          <w:rFonts w:ascii="Times New Roman" w:hAnsi="Times New Roman" w:cs="Times New Roman"/>
        </w:rPr>
        <w:t xml:space="preserve">Finally, </w:t>
      </w:r>
      <w:r w:rsidR="006F160F" w:rsidRPr="00455EB3">
        <w:rPr>
          <w:rFonts w:ascii="Times New Roman" w:hAnsi="Times New Roman" w:cs="Times New Roman"/>
        </w:rPr>
        <w:t>amongst</w:t>
      </w:r>
      <w:r w:rsidR="00A8334B" w:rsidRPr="00455EB3">
        <w:rPr>
          <w:rFonts w:ascii="Times New Roman" w:hAnsi="Times New Roman" w:cs="Times New Roman"/>
        </w:rPr>
        <w:t xml:space="preserve"> </w:t>
      </w:r>
      <w:r w:rsidR="006F160F" w:rsidRPr="00455EB3">
        <w:rPr>
          <w:rFonts w:ascii="Times New Roman" w:hAnsi="Times New Roman" w:cs="Times New Roman"/>
        </w:rPr>
        <w:t xml:space="preserve">our interviewees </w:t>
      </w:r>
      <w:r w:rsidR="00127E9D" w:rsidRPr="00455EB3">
        <w:rPr>
          <w:rFonts w:ascii="Times New Roman" w:hAnsi="Times New Roman" w:cs="Times New Roman"/>
        </w:rPr>
        <w:t xml:space="preserve">a significant criticism </w:t>
      </w:r>
      <w:r w:rsidR="00991635" w:rsidRPr="00455EB3">
        <w:rPr>
          <w:rFonts w:ascii="Times New Roman" w:hAnsi="Times New Roman" w:cs="Times New Roman"/>
        </w:rPr>
        <w:t>of how CDD operates</w:t>
      </w:r>
      <w:r w:rsidR="00127E9D" w:rsidRPr="00455EB3">
        <w:rPr>
          <w:rFonts w:ascii="Times New Roman" w:hAnsi="Times New Roman" w:cs="Times New Roman"/>
        </w:rPr>
        <w:t xml:space="preserve"> concerns </w:t>
      </w:r>
      <w:r w:rsidR="00E04653" w:rsidRPr="00455EB3">
        <w:rPr>
          <w:rFonts w:ascii="Times New Roman" w:hAnsi="Times New Roman" w:cs="Times New Roman"/>
        </w:rPr>
        <w:t>the doubling</w:t>
      </w:r>
      <w:r w:rsidR="00EC57FE" w:rsidRPr="00455EB3">
        <w:rPr>
          <w:rFonts w:ascii="Times New Roman" w:hAnsi="Times New Roman" w:cs="Times New Roman"/>
        </w:rPr>
        <w:t>-</w:t>
      </w:r>
      <w:r w:rsidR="00E04653" w:rsidRPr="00455EB3">
        <w:rPr>
          <w:rFonts w:ascii="Times New Roman" w:hAnsi="Times New Roman" w:cs="Times New Roman"/>
        </w:rPr>
        <w:t xml:space="preserve"> or tripling-up of checks </w:t>
      </w:r>
      <w:r w:rsidR="00EC57FE" w:rsidRPr="00455EB3">
        <w:rPr>
          <w:rFonts w:ascii="Times New Roman" w:hAnsi="Times New Roman" w:cs="Times New Roman"/>
        </w:rPr>
        <w:t>-</w:t>
      </w:r>
      <w:r w:rsidR="00E04653" w:rsidRPr="00455EB3">
        <w:rPr>
          <w:rFonts w:ascii="Times New Roman" w:hAnsi="Times New Roman" w:cs="Times New Roman"/>
        </w:rPr>
        <w:t xml:space="preserve"> for example, CDD being done by a bank</w:t>
      </w:r>
      <w:r w:rsidRPr="00455EB3">
        <w:rPr>
          <w:rFonts w:ascii="Times New Roman" w:hAnsi="Times New Roman" w:cs="Times New Roman"/>
        </w:rPr>
        <w:t>,</w:t>
      </w:r>
      <w:r w:rsidR="00E04653" w:rsidRPr="00455EB3">
        <w:rPr>
          <w:rFonts w:ascii="Times New Roman" w:hAnsi="Times New Roman" w:cs="Times New Roman"/>
        </w:rPr>
        <w:t xml:space="preserve"> a solicitor</w:t>
      </w:r>
      <w:r w:rsidRPr="00455EB3">
        <w:rPr>
          <w:rFonts w:ascii="Times New Roman" w:hAnsi="Times New Roman" w:cs="Times New Roman"/>
        </w:rPr>
        <w:t>,</w:t>
      </w:r>
      <w:r w:rsidR="00E04653" w:rsidRPr="00455EB3">
        <w:rPr>
          <w:rFonts w:ascii="Times New Roman" w:hAnsi="Times New Roman" w:cs="Times New Roman"/>
        </w:rPr>
        <w:t xml:space="preserve"> and an EA</w:t>
      </w:r>
      <w:r w:rsidRPr="00455EB3">
        <w:rPr>
          <w:rFonts w:ascii="Times New Roman" w:hAnsi="Times New Roman" w:cs="Times New Roman"/>
        </w:rPr>
        <w:t>,</w:t>
      </w:r>
      <w:r w:rsidR="00E04653" w:rsidRPr="00455EB3">
        <w:rPr>
          <w:rStyle w:val="FootnoteReference"/>
          <w:rFonts w:ascii="Times New Roman" w:hAnsi="Times New Roman" w:cs="Times New Roman"/>
        </w:rPr>
        <w:footnoteReference w:id="111"/>
      </w:r>
      <w:r w:rsidR="00E04653" w:rsidRPr="00455EB3">
        <w:rPr>
          <w:rFonts w:ascii="Times New Roman" w:hAnsi="Times New Roman" w:cs="Times New Roman"/>
        </w:rPr>
        <w:t xml:space="preserve"> </w:t>
      </w:r>
      <w:r w:rsidRPr="00455EB3">
        <w:rPr>
          <w:rFonts w:ascii="Times New Roman" w:hAnsi="Times New Roman" w:cs="Times New Roman"/>
        </w:rPr>
        <w:t xml:space="preserve">costing </w:t>
      </w:r>
      <w:r w:rsidR="00E04653" w:rsidRPr="00455EB3">
        <w:rPr>
          <w:rFonts w:ascii="Times New Roman" w:hAnsi="Times New Roman" w:cs="Times New Roman"/>
        </w:rPr>
        <w:t>time</w:t>
      </w:r>
      <w:r w:rsidR="00E854F6" w:rsidRPr="00455EB3">
        <w:rPr>
          <w:rFonts w:ascii="Times New Roman" w:hAnsi="Times New Roman" w:cs="Times New Roman"/>
        </w:rPr>
        <w:t xml:space="preserve"> and </w:t>
      </w:r>
      <w:r w:rsidR="00E04653" w:rsidRPr="00455EB3">
        <w:rPr>
          <w:rFonts w:ascii="Times New Roman" w:hAnsi="Times New Roman" w:cs="Times New Roman"/>
        </w:rPr>
        <w:t xml:space="preserve">money every time. </w:t>
      </w:r>
      <w:r w:rsidRPr="00455EB3">
        <w:rPr>
          <w:rFonts w:ascii="Times New Roman" w:hAnsi="Times New Roman" w:cs="Times New Roman"/>
        </w:rPr>
        <w:t>A</w:t>
      </w:r>
      <w:r w:rsidR="00E04653" w:rsidRPr="00455EB3">
        <w:rPr>
          <w:rFonts w:ascii="Times New Roman" w:hAnsi="Times New Roman" w:cs="Times New Roman"/>
        </w:rPr>
        <w:t xml:space="preserve">s suggested by some interviewees, </w:t>
      </w:r>
      <w:r w:rsidRPr="00455EB3">
        <w:rPr>
          <w:rFonts w:ascii="Times New Roman" w:hAnsi="Times New Roman" w:cs="Times New Roman"/>
        </w:rPr>
        <w:t xml:space="preserve">if </w:t>
      </w:r>
      <w:r w:rsidR="00E04653" w:rsidRPr="00455EB3">
        <w:rPr>
          <w:rFonts w:ascii="Times New Roman" w:hAnsi="Times New Roman" w:cs="Times New Roman"/>
        </w:rPr>
        <w:t xml:space="preserve">there </w:t>
      </w:r>
      <w:r w:rsidR="007D4B9A" w:rsidRPr="00455EB3">
        <w:rPr>
          <w:rFonts w:ascii="Times New Roman" w:hAnsi="Times New Roman" w:cs="Times New Roman"/>
        </w:rPr>
        <w:t xml:space="preserve">were </w:t>
      </w:r>
      <w:r w:rsidR="00E04653" w:rsidRPr="00455EB3">
        <w:rPr>
          <w:rFonts w:ascii="Times New Roman" w:hAnsi="Times New Roman" w:cs="Times New Roman"/>
        </w:rPr>
        <w:t>a central place (or process) for AML checks, that would reduce the cost for clients.</w:t>
      </w:r>
      <w:r w:rsidR="00E04653" w:rsidRPr="00455EB3">
        <w:rPr>
          <w:rStyle w:val="FootnoteReference"/>
          <w:rFonts w:ascii="Times New Roman" w:hAnsi="Times New Roman" w:cs="Times New Roman"/>
        </w:rPr>
        <w:footnoteReference w:id="112"/>
      </w:r>
      <w:r w:rsidR="00E04653" w:rsidRPr="00455EB3">
        <w:rPr>
          <w:rFonts w:ascii="Times New Roman" w:hAnsi="Times New Roman" w:cs="Times New Roman"/>
        </w:rPr>
        <w:t xml:space="preserve"> </w:t>
      </w:r>
      <w:r w:rsidRPr="00455EB3">
        <w:rPr>
          <w:rFonts w:ascii="Times New Roman" w:hAnsi="Times New Roman" w:cs="Times New Roman"/>
        </w:rPr>
        <w:t>However, t</w:t>
      </w:r>
      <w:r w:rsidR="0044298A" w:rsidRPr="00455EB3">
        <w:rPr>
          <w:rFonts w:ascii="Times New Roman" w:hAnsi="Times New Roman" w:cs="Times New Roman"/>
        </w:rPr>
        <w:t>here are</w:t>
      </w:r>
      <w:r w:rsidR="00127E9D" w:rsidRPr="00455EB3">
        <w:rPr>
          <w:rFonts w:ascii="Times New Roman" w:hAnsi="Times New Roman" w:cs="Times New Roman"/>
        </w:rPr>
        <w:t xml:space="preserve"> practical</w:t>
      </w:r>
      <w:r w:rsidR="0044298A" w:rsidRPr="00455EB3">
        <w:rPr>
          <w:rFonts w:ascii="Times New Roman" w:hAnsi="Times New Roman" w:cs="Times New Roman"/>
        </w:rPr>
        <w:t xml:space="preserve"> difficulties with such a suggestion</w:t>
      </w:r>
      <w:r w:rsidR="00127E9D" w:rsidRPr="00455EB3">
        <w:rPr>
          <w:rFonts w:ascii="Times New Roman" w:hAnsi="Times New Roman" w:cs="Times New Roman"/>
        </w:rPr>
        <w:t>, for example</w:t>
      </w:r>
      <w:r w:rsidR="0031576D" w:rsidRPr="00455EB3">
        <w:rPr>
          <w:rFonts w:ascii="Times New Roman" w:hAnsi="Times New Roman" w:cs="Times New Roman"/>
        </w:rPr>
        <w:t>,</w:t>
      </w:r>
      <w:r w:rsidR="00127E9D" w:rsidRPr="00455EB3">
        <w:rPr>
          <w:rFonts w:ascii="Times New Roman" w:hAnsi="Times New Roman" w:cs="Times New Roman"/>
        </w:rPr>
        <w:t xml:space="preserve"> </w:t>
      </w:r>
      <w:r w:rsidRPr="00455EB3">
        <w:rPr>
          <w:rFonts w:ascii="Times New Roman" w:hAnsi="Times New Roman" w:cs="Times New Roman"/>
        </w:rPr>
        <w:t xml:space="preserve">in relation </w:t>
      </w:r>
      <w:r w:rsidR="00127E9D" w:rsidRPr="00455EB3">
        <w:rPr>
          <w:rFonts w:ascii="Times New Roman" w:hAnsi="Times New Roman" w:cs="Times New Roman"/>
        </w:rPr>
        <w:t>to privacy and security concerns.</w:t>
      </w:r>
    </w:p>
    <w:p w14:paraId="3F791062" w14:textId="32695B24" w:rsidR="37F7B412" w:rsidRPr="00455EB3" w:rsidRDefault="37F7B412" w:rsidP="00AB4266">
      <w:pPr>
        <w:jc w:val="both"/>
        <w:rPr>
          <w:rFonts w:ascii="Times New Roman" w:hAnsi="Times New Roman" w:cs="Times New Roman"/>
        </w:rPr>
      </w:pPr>
    </w:p>
    <w:p w14:paraId="6333AD25" w14:textId="071ED41B" w:rsidR="003B3B13" w:rsidRPr="004E5BA2" w:rsidRDefault="00B52376" w:rsidP="00AB4266">
      <w:pPr>
        <w:pStyle w:val="Heading2"/>
        <w:jc w:val="both"/>
        <w:rPr>
          <w:rFonts w:ascii="Times New Roman" w:hAnsi="Times New Roman" w:cs="Times New Roman"/>
          <w:color w:val="auto"/>
        </w:rPr>
      </w:pPr>
      <w:r w:rsidRPr="00455EB3">
        <w:rPr>
          <w:rFonts w:ascii="Times New Roman" w:hAnsi="Times New Roman" w:cs="Times New Roman"/>
          <w:color w:val="auto"/>
        </w:rPr>
        <w:t>CDD in p</w:t>
      </w:r>
      <w:r w:rsidR="00CF0647" w:rsidRPr="00455EB3">
        <w:rPr>
          <w:rFonts w:ascii="Times New Roman" w:hAnsi="Times New Roman" w:cs="Times New Roman"/>
          <w:color w:val="auto"/>
        </w:rPr>
        <w:t>ractice: Politically Exposed Persons</w:t>
      </w:r>
    </w:p>
    <w:p w14:paraId="1D613A42" w14:textId="6B4D0179" w:rsidR="00CF0647" w:rsidRPr="00455EB3" w:rsidRDefault="00CF0647" w:rsidP="00AB4266">
      <w:pPr>
        <w:jc w:val="both"/>
        <w:rPr>
          <w:rFonts w:ascii="Times New Roman" w:hAnsi="Times New Roman" w:cs="Times New Roman"/>
        </w:rPr>
      </w:pPr>
      <w:r w:rsidRPr="00455EB3">
        <w:rPr>
          <w:rFonts w:ascii="Times New Roman" w:hAnsi="Times New Roman" w:cs="Times New Roman"/>
        </w:rPr>
        <w:t xml:space="preserve">A PEP is an individual who is </w:t>
      </w:r>
      <w:r w:rsidR="00D0752F" w:rsidRPr="00455EB3">
        <w:rPr>
          <w:rFonts w:ascii="Times New Roman" w:hAnsi="Times New Roman" w:cs="Times New Roman"/>
        </w:rPr>
        <w:t>(</w:t>
      </w:r>
      <w:r w:rsidRPr="00455EB3">
        <w:rPr>
          <w:rFonts w:ascii="Times New Roman" w:hAnsi="Times New Roman" w:cs="Times New Roman"/>
        </w:rPr>
        <w:t>or has been</w:t>
      </w:r>
      <w:r w:rsidR="00D0752F" w:rsidRPr="00455EB3">
        <w:rPr>
          <w:rFonts w:ascii="Times New Roman" w:hAnsi="Times New Roman" w:cs="Times New Roman"/>
        </w:rPr>
        <w:t>)</w:t>
      </w:r>
      <w:r w:rsidRPr="00455EB3">
        <w:rPr>
          <w:rFonts w:ascii="Times New Roman" w:hAnsi="Times New Roman" w:cs="Times New Roman"/>
        </w:rPr>
        <w:t xml:space="preserve"> entrusted with a prominent public function.</w:t>
      </w:r>
      <w:r w:rsidRPr="00455EB3">
        <w:rPr>
          <w:rStyle w:val="FootnoteReference"/>
          <w:rFonts w:ascii="Times New Roman" w:hAnsi="Times New Roman" w:cs="Times New Roman"/>
        </w:rPr>
        <w:footnoteReference w:id="113"/>
      </w:r>
      <w:r w:rsidRPr="00455EB3">
        <w:rPr>
          <w:rFonts w:ascii="Times New Roman" w:hAnsi="Times New Roman" w:cs="Times New Roman"/>
        </w:rPr>
        <w:t xml:space="preserve"> Given </w:t>
      </w:r>
      <w:r w:rsidR="007B491E" w:rsidRPr="00455EB3">
        <w:rPr>
          <w:rFonts w:ascii="Times New Roman" w:hAnsi="Times New Roman" w:cs="Times New Roman"/>
        </w:rPr>
        <w:t xml:space="preserve">this </w:t>
      </w:r>
      <w:r w:rsidR="00821141" w:rsidRPr="00455EB3">
        <w:rPr>
          <w:rFonts w:ascii="Times New Roman" w:hAnsi="Times New Roman" w:cs="Times New Roman"/>
        </w:rPr>
        <w:t>status</w:t>
      </w:r>
      <w:r w:rsidRPr="00455EB3">
        <w:rPr>
          <w:rFonts w:ascii="Times New Roman" w:hAnsi="Times New Roman" w:cs="Times New Roman"/>
        </w:rPr>
        <w:t xml:space="preserve">, </w:t>
      </w:r>
      <w:r w:rsidR="005B5F3B" w:rsidRPr="00455EB3">
        <w:rPr>
          <w:rFonts w:ascii="Times New Roman" w:hAnsi="Times New Roman" w:cs="Times New Roman"/>
        </w:rPr>
        <w:t>there is</w:t>
      </w:r>
      <w:r w:rsidRPr="00455EB3">
        <w:rPr>
          <w:rFonts w:ascii="Times New Roman" w:hAnsi="Times New Roman" w:cs="Times New Roman"/>
        </w:rPr>
        <w:t xml:space="preserve"> the possibility of abuse of position. Indeed, there are many </w:t>
      </w:r>
      <w:r w:rsidR="005B5F3B" w:rsidRPr="00455EB3">
        <w:rPr>
          <w:rFonts w:ascii="Times New Roman" w:hAnsi="Times New Roman" w:cs="Times New Roman"/>
        </w:rPr>
        <w:t>situations</w:t>
      </w:r>
      <w:r w:rsidRPr="00455EB3">
        <w:rPr>
          <w:rFonts w:ascii="Times New Roman" w:hAnsi="Times New Roman" w:cs="Times New Roman"/>
        </w:rPr>
        <w:t xml:space="preserve"> where government officials, or their families </w:t>
      </w:r>
      <w:r w:rsidR="00821141" w:rsidRPr="00455EB3">
        <w:rPr>
          <w:rFonts w:ascii="Times New Roman" w:hAnsi="Times New Roman" w:cs="Times New Roman"/>
        </w:rPr>
        <w:t xml:space="preserve">and </w:t>
      </w:r>
      <w:r w:rsidRPr="00455EB3">
        <w:rPr>
          <w:rFonts w:ascii="Times New Roman" w:hAnsi="Times New Roman" w:cs="Times New Roman"/>
        </w:rPr>
        <w:t>associates, have engaged in corruption. Notable examples include the Marcos family in the Philippines and the Abacha family in Nigeria.</w:t>
      </w:r>
      <w:r w:rsidRPr="00455EB3">
        <w:rPr>
          <w:rStyle w:val="FootnoteReference"/>
          <w:rFonts w:ascii="Times New Roman" w:hAnsi="Times New Roman" w:cs="Times New Roman"/>
        </w:rPr>
        <w:footnoteReference w:id="114"/>
      </w:r>
      <w:r w:rsidRPr="00455EB3">
        <w:rPr>
          <w:rFonts w:ascii="Times New Roman" w:hAnsi="Times New Roman" w:cs="Times New Roman"/>
        </w:rPr>
        <w:t xml:space="preserve"> In many instances, PEPs</w:t>
      </w:r>
      <w:r w:rsidR="006036BA" w:rsidRPr="00455EB3">
        <w:rPr>
          <w:rFonts w:ascii="Times New Roman" w:hAnsi="Times New Roman" w:cs="Times New Roman"/>
        </w:rPr>
        <w:t xml:space="preserve"> (whether foreign or domestic)</w:t>
      </w:r>
      <w:r w:rsidRPr="00455EB3">
        <w:rPr>
          <w:rFonts w:ascii="Times New Roman" w:hAnsi="Times New Roman" w:cs="Times New Roman"/>
        </w:rPr>
        <w:t xml:space="preserve"> will try to launder the</w:t>
      </w:r>
      <w:r w:rsidR="006036BA" w:rsidRPr="00455EB3">
        <w:rPr>
          <w:rFonts w:ascii="Times New Roman" w:hAnsi="Times New Roman" w:cs="Times New Roman"/>
        </w:rPr>
        <w:t>ir corrupt</w:t>
      </w:r>
      <w:r w:rsidRPr="00455EB3">
        <w:rPr>
          <w:rFonts w:ascii="Times New Roman" w:hAnsi="Times New Roman" w:cs="Times New Roman"/>
        </w:rPr>
        <w:t xml:space="preserve"> proceeds.</w:t>
      </w:r>
      <w:r w:rsidRPr="00455EB3">
        <w:rPr>
          <w:rStyle w:val="FootnoteReference"/>
          <w:rFonts w:ascii="Times New Roman" w:hAnsi="Times New Roman" w:cs="Times New Roman"/>
        </w:rPr>
        <w:footnoteReference w:id="115"/>
      </w:r>
      <w:r w:rsidRPr="00455EB3">
        <w:rPr>
          <w:rFonts w:ascii="Times New Roman" w:hAnsi="Times New Roman" w:cs="Times New Roman"/>
        </w:rPr>
        <w:t xml:space="preserve"> Thus, AML requirements are regarded as playing an important role</w:t>
      </w:r>
      <w:r w:rsidR="0058728F" w:rsidRPr="00455EB3">
        <w:rPr>
          <w:rFonts w:ascii="Times New Roman" w:hAnsi="Times New Roman" w:cs="Times New Roman"/>
        </w:rPr>
        <w:t xml:space="preserve"> to tackle th</w:t>
      </w:r>
      <w:r w:rsidR="00474A5D" w:rsidRPr="00455EB3">
        <w:rPr>
          <w:rFonts w:ascii="Times New Roman" w:hAnsi="Times New Roman" w:cs="Times New Roman"/>
        </w:rPr>
        <w:t>ese</w:t>
      </w:r>
      <w:r w:rsidR="0058728F" w:rsidRPr="00455EB3">
        <w:rPr>
          <w:rFonts w:ascii="Times New Roman" w:hAnsi="Times New Roman" w:cs="Times New Roman"/>
        </w:rPr>
        <w:t xml:space="preserve"> criminal activities, and </w:t>
      </w:r>
      <w:r w:rsidR="009012C4">
        <w:rPr>
          <w:rFonts w:ascii="Times New Roman" w:hAnsi="Times New Roman" w:cs="Times New Roman"/>
        </w:rPr>
        <w:t>the</w:t>
      </w:r>
      <w:r w:rsidRPr="00455EB3">
        <w:rPr>
          <w:rFonts w:ascii="Times New Roman" w:hAnsi="Times New Roman" w:cs="Times New Roman"/>
        </w:rPr>
        <w:t xml:space="preserve"> operation</w:t>
      </w:r>
      <w:r w:rsidR="009012C4">
        <w:rPr>
          <w:rFonts w:ascii="Times New Roman" w:hAnsi="Times New Roman" w:cs="Times New Roman"/>
        </w:rPr>
        <w:t xml:space="preserve"> of such obligations</w:t>
      </w:r>
      <w:r w:rsidRPr="00455EB3">
        <w:rPr>
          <w:rFonts w:ascii="Times New Roman" w:hAnsi="Times New Roman" w:cs="Times New Roman"/>
        </w:rPr>
        <w:t>, such as CDD checks, offer</w:t>
      </w:r>
      <w:r w:rsidR="00E24404" w:rsidRPr="00455EB3">
        <w:rPr>
          <w:rFonts w:ascii="Times New Roman" w:hAnsi="Times New Roman" w:cs="Times New Roman"/>
        </w:rPr>
        <w:t>s</w:t>
      </w:r>
      <w:r w:rsidRPr="00455EB3">
        <w:rPr>
          <w:rFonts w:ascii="Times New Roman" w:hAnsi="Times New Roman" w:cs="Times New Roman"/>
        </w:rPr>
        <w:t xml:space="preserve"> interesting insights into practical realities.</w:t>
      </w:r>
    </w:p>
    <w:p w14:paraId="3604C613" w14:textId="7F335CA8" w:rsidR="00CF0647" w:rsidRPr="00455EB3" w:rsidRDefault="00287272" w:rsidP="00AB4266">
      <w:pPr>
        <w:ind w:firstLine="567"/>
        <w:jc w:val="both"/>
        <w:rPr>
          <w:rFonts w:ascii="Times New Roman" w:hAnsi="Times New Roman" w:cs="Times New Roman"/>
        </w:rPr>
      </w:pPr>
      <w:r w:rsidRPr="00455EB3">
        <w:rPr>
          <w:rFonts w:ascii="Times New Roman" w:hAnsi="Times New Roman" w:cs="Times New Roman"/>
        </w:rPr>
        <w:t>Of course,</w:t>
      </w:r>
      <w:r w:rsidR="00CF0647" w:rsidRPr="00455EB3">
        <w:rPr>
          <w:rFonts w:ascii="Times New Roman" w:hAnsi="Times New Roman" w:cs="Times New Roman"/>
        </w:rPr>
        <w:t xml:space="preserve"> the mere fact that a person is a PEP does not</w:t>
      </w:r>
      <w:r w:rsidR="00CD29B4" w:rsidRPr="00455EB3">
        <w:rPr>
          <w:rFonts w:ascii="Times New Roman" w:hAnsi="Times New Roman" w:cs="Times New Roman"/>
        </w:rPr>
        <w:t xml:space="preserve"> necessarily</w:t>
      </w:r>
      <w:r w:rsidR="00CF0647" w:rsidRPr="00455EB3">
        <w:rPr>
          <w:rFonts w:ascii="Times New Roman" w:hAnsi="Times New Roman" w:cs="Times New Roman"/>
        </w:rPr>
        <w:t xml:space="preserve"> mean that that person is engaged in </w:t>
      </w:r>
      <w:r w:rsidR="007E6639" w:rsidRPr="00455EB3">
        <w:rPr>
          <w:rFonts w:ascii="Times New Roman" w:hAnsi="Times New Roman" w:cs="Times New Roman"/>
        </w:rPr>
        <w:t>criminal activities</w:t>
      </w:r>
      <w:r w:rsidR="00CF0647" w:rsidRPr="00455EB3">
        <w:rPr>
          <w:rFonts w:ascii="Times New Roman" w:hAnsi="Times New Roman" w:cs="Times New Roman"/>
        </w:rPr>
        <w:t xml:space="preserve">, nor should it automatically arouse suspicion. </w:t>
      </w:r>
      <w:r w:rsidR="00AF61F8" w:rsidRPr="00455EB3">
        <w:rPr>
          <w:rFonts w:ascii="Times New Roman" w:hAnsi="Times New Roman" w:cs="Times New Roman"/>
        </w:rPr>
        <w:t>As a precaution</w:t>
      </w:r>
      <w:r w:rsidR="00EB10FC" w:rsidRPr="00455EB3">
        <w:rPr>
          <w:rFonts w:ascii="Times New Roman" w:hAnsi="Times New Roman" w:cs="Times New Roman"/>
        </w:rPr>
        <w:t>,</w:t>
      </w:r>
      <w:r w:rsidR="00AF61F8" w:rsidRPr="00455EB3">
        <w:rPr>
          <w:rFonts w:ascii="Times New Roman" w:hAnsi="Times New Roman" w:cs="Times New Roman"/>
        </w:rPr>
        <w:t xml:space="preserve"> however,</w:t>
      </w:r>
      <w:r w:rsidR="00DC59BF" w:rsidRPr="00455EB3">
        <w:rPr>
          <w:rFonts w:ascii="Times New Roman" w:hAnsi="Times New Roman" w:cs="Times New Roman"/>
        </w:rPr>
        <w:t xml:space="preserve"> the AML regime provides for specific guid</w:t>
      </w:r>
      <w:r w:rsidR="00F62F30" w:rsidRPr="00455EB3">
        <w:rPr>
          <w:rFonts w:ascii="Times New Roman" w:hAnsi="Times New Roman" w:cs="Times New Roman"/>
        </w:rPr>
        <w:t xml:space="preserve">elines and principles that apply when EAs </w:t>
      </w:r>
      <w:r w:rsidR="00670B8B" w:rsidRPr="00455EB3">
        <w:rPr>
          <w:rFonts w:ascii="Times New Roman" w:hAnsi="Times New Roman" w:cs="Times New Roman"/>
        </w:rPr>
        <w:t>enter into a business relationship with PEPs.</w:t>
      </w:r>
      <w:r w:rsidR="00CD29B4" w:rsidRPr="00455EB3">
        <w:rPr>
          <w:rFonts w:ascii="Times New Roman" w:hAnsi="Times New Roman" w:cs="Times New Roman"/>
        </w:rPr>
        <w:t xml:space="preserve"> </w:t>
      </w:r>
      <w:r w:rsidR="00CF0647" w:rsidRPr="00455EB3">
        <w:rPr>
          <w:rFonts w:ascii="Times New Roman" w:hAnsi="Times New Roman" w:cs="Times New Roman"/>
        </w:rPr>
        <w:t>As the FATF Guidance points out,</w:t>
      </w:r>
    </w:p>
    <w:p w14:paraId="455304FE" w14:textId="77777777" w:rsidR="007E6639" w:rsidRPr="00455EB3" w:rsidRDefault="007E6639" w:rsidP="00AB4266">
      <w:pPr>
        <w:jc w:val="both"/>
        <w:rPr>
          <w:rFonts w:ascii="Times New Roman" w:hAnsi="Times New Roman" w:cs="Times New Roman"/>
        </w:rPr>
      </w:pPr>
    </w:p>
    <w:p w14:paraId="702FA768" w14:textId="63DEAC49" w:rsidR="00CF0647" w:rsidRPr="00455EB3" w:rsidRDefault="00CF0647" w:rsidP="00AB4266">
      <w:pPr>
        <w:ind w:left="567" w:right="521"/>
        <w:jc w:val="both"/>
        <w:rPr>
          <w:rFonts w:ascii="Times New Roman" w:hAnsi="Times New Roman" w:cs="Times New Roman"/>
        </w:rPr>
      </w:pPr>
      <w:r w:rsidRPr="00455EB3">
        <w:rPr>
          <w:rFonts w:ascii="Times New Roman" w:hAnsi="Times New Roman" w:cs="Times New Roman"/>
        </w:rPr>
        <w:t>When considering whether to establish or continue a business relationship with a PEP, the focus should be on the level of ML/TF risk associated with the particular PEP, and whether the financial institution or DNFBP has adequate controls in place to mitigate that ML/TF risk so as to avoid the institution from being abused for illicit purposes should the PEP be involved in criminal activity.</w:t>
      </w:r>
      <w:r w:rsidRPr="00455EB3">
        <w:rPr>
          <w:rStyle w:val="FootnoteReference"/>
          <w:rFonts w:ascii="Times New Roman" w:hAnsi="Times New Roman" w:cs="Times New Roman"/>
        </w:rPr>
        <w:footnoteReference w:id="116"/>
      </w:r>
    </w:p>
    <w:p w14:paraId="4BD811E9" w14:textId="77777777" w:rsidR="007E6639" w:rsidRPr="00455EB3" w:rsidRDefault="007E6639" w:rsidP="00AB4266">
      <w:pPr>
        <w:ind w:left="567" w:right="521"/>
        <w:jc w:val="both"/>
        <w:rPr>
          <w:rFonts w:ascii="Times New Roman" w:hAnsi="Times New Roman" w:cs="Times New Roman"/>
        </w:rPr>
      </w:pPr>
    </w:p>
    <w:p w14:paraId="486270BF" w14:textId="2907232E" w:rsidR="00C73A72" w:rsidRPr="00455EB3" w:rsidRDefault="00CF0647" w:rsidP="00AB4266">
      <w:pPr>
        <w:jc w:val="both"/>
        <w:rPr>
          <w:rFonts w:ascii="Times New Roman" w:hAnsi="Times New Roman" w:cs="Times New Roman"/>
        </w:rPr>
      </w:pPr>
      <w:r w:rsidRPr="00455EB3">
        <w:rPr>
          <w:rFonts w:ascii="Times New Roman" w:hAnsi="Times New Roman" w:cs="Times New Roman"/>
        </w:rPr>
        <w:t xml:space="preserve">Under the UK </w:t>
      </w:r>
      <w:r w:rsidR="00CD29B4" w:rsidRPr="00455EB3">
        <w:rPr>
          <w:rFonts w:ascii="Times New Roman" w:hAnsi="Times New Roman" w:cs="Times New Roman"/>
        </w:rPr>
        <w:t>ML Regs</w:t>
      </w:r>
      <w:r w:rsidRPr="00455EB3">
        <w:rPr>
          <w:rFonts w:ascii="Times New Roman" w:hAnsi="Times New Roman" w:cs="Times New Roman"/>
        </w:rPr>
        <w:t xml:space="preserve"> 2017, a ‘relevant person’ must apply enhanced CDD checks and enhanced ongoing monitoring when dealing with PEPs (or family or known close associates).</w:t>
      </w:r>
      <w:r w:rsidRPr="00455EB3">
        <w:rPr>
          <w:rStyle w:val="FootnoteReference"/>
          <w:rFonts w:ascii="Times New Roman" w:hAnsi="Times New Roman" w:cs="Times New Roman"/>
        </w:rPr>
        <w:footnoteReference w:id="117"/>
      </w:r>
      <w:r w:rsidRPr="00455EB3">
        <w:rPr>
          <w:rFonts w:ascii="Times New Roman" w:hAnsi="Times New Roman" w:cs="Times New Roman"/>
        </w:rPr>
        <w:t xml:space="preserve"> For example, Regulation 35(3) requires an assessment of ‘(a) the level of risk associated with that customer, and (b) the extent of the enhanced customer due diligence measures to be applied in relation to that customer’</w:t>
      </w:r>
      <w:r w:rsidR="00C64A89" w:rsidRPr="00455EB3">
        <w:rPr>
          <w:rFonts w:ascii="Times New Roman" w:hAnsi="Times New Roman" w:cs="Times New Roman"/>
        </w:rPr>
        <w:t>.</w:t>
      </w:r>
    </w:p>
    <w:p w14:paraId="6F363F2F" w14:textId="37EB4C65" w:rsidR="00CF0647" w:rsidRPr="00455EB3" w:rsidRDefault="00CF0647" w:rsidP="00AB4266">
      <w:pPr>
        <w:ind w:firstLine="567"/>
        <w:jc w:val="both"/>
        <w:rPr>
          <w:rFonts w:ascii="Times New Roman" w:hAnsi="Times New Roman" w:cs="Times New Roman"/>
          <w:lang w:val="en-US"/>
        </w:rPr>
      </w:pPr>
      <w:r w:rsidRPr="00455EB3">
        <w:rPr>
          <w:rFonts w:ascii="Times New Roman" w:hAnsi="Times New Roman" w:cs="Times New Roman"/>
        </w:rPr>
        <w:lastRenderedPageBreak/>
        <w:t>An obvious point in this regard is whether a PEP is identified as such by private actors.</w:t>
      </w:r>
      <w:r w:rsidR="001B7564" w:rsidRPr="00455EB3">
        <w:rPr>
          <w:rStyle w:val="FootnoteReference"/>
          <w:rFonts w:ascii="Times New Roman" w:hAnsi="Times New Roman" w:cs="Times New Roman"/>
        </w:rPr>
        <w:footnoteReference w:id="118"/>
      </w:r>
      <w:r w:rsidRPr="00455EB3">
        <w:rPr>
          <w:rFonts w:ascii="Times New Roman" w:hAnsi="Times New Roman" w:cs="Times New Roman"/>
        </w:rPr>
        <w:t xml:space="preserve"> In </w:t>
      </w:r>
      <w:r w:rsidR="00FB14D5" w:rsidRPr="00455EB3">
        <w:rPr>
          <w:rFonts w:ascii="Times New Roman" w:hAnsi="Times New Roman" w:cs="Times New Roman"/>
        </w:rPr>
        <w:t xml:space="preserve">our </w:t>
      </w:r>
      <w:r w:rsidRPr="00455EB3">
        <w:rPr>
          <w:rFonts w:ascii="Times New Roman" w:hAnsi="Times New Roman" w:cs="Times New Roman"/>
        </w:rPr>
        <w:t>study, difficulties in identifying someone as a PEP were noted. For example, it was suggested that a person involved in bribery</w:t>
      </w:r>
      <w:r w:rsidR="00034876" w:rsidRPr="00455EB3">
        <w:rPr>
          <w:rFonts w:ascii="Times New Roman" w:hAnsi="Times New Roman" w:cs="Times New Roman"/>
        </w:rPr>
        <w:t xml:space="preserve"> or </w:t>
      </w:r>
      <w:r w:rsidRPr="00455EB3">
        <w:rPr>
          <w:rFonts w:ascii="Times New Roman" w:hAnsi="Times New Roman" w:cs="Times New Roman"/>
        </w:rPr>
        <w:t xml:space="preserve">corruption in a developing country is unlikely to be forthcoming with </w:t>
      </w:r>
      <w:r w:rsidR="008A3579" w:rsidRPr="00455EB3">
        <w:rPr>
          <w:rFonts w:ascii="Times New Roman" w:hAnsi="Times New Roman" w:cs="Times New Roman"/>
        </w:rPr>
        <w:t>their</w:t>
      </w:r>
      <w:r w:rsidRPr="00455EB3">
        <w:rPr>
          <w:rFonts w:ascii="Times New Roman" w:hAnsi="Times New Roman" w:cs="Times New Roman"/>
        </w:rPr>
        <w:t xml:space="preserve"> role as, say, a judge or senior civil servant.</w:t>
      </w:r>
      <w:r w:rsidRPr="00455EB3">
        <w:rPr>
          <w:rStyle w:val="FootnoteReference"/>
          <w:rFonts w:ascii="Times New Roman" w:hAnsi="Times New Roman" w:cs="Times New Roman"/>
        </w:rPr>
        <w:footnoteReference w:id="119"/>
      </w:r>
      <w:r w:rsidRPr="00455EB3">
        <w:rPr>
          <w:rFonts w:ascii="Times New Roman" w:hAnsi="Times New Roman" w:cs="Times New Roman"/>
        </w:rPr>
        <w:t xml:space="preserve"> Indeed, there was scorn for the oft-asserted view (for example in training courses) that the best way to identify a PEP is to ask them: </w:t>
      </w:r>
      <w:r w:rsidRPr="00455EB3">
        <w:rPr>
          <w:rFonts w:ascii="Times New Roman" w:hAnsi="Times New Roman" w:cs="Times New Roman"/>
          <w:lang w:val="en-US"/>
        </w:rPr>
        <w:t xml:space="preserve">‘Well, if I’m a dodgy PEP who’s using bribery from my Russian foreign deal, am I really </w:t>
      </w:r>
      <w:proofErr w:type="spellStart"/>
      <w:r w:rsidRPr="00455EB3">
        <w:rPr>
          <w:rFonts w:ascii="Times New Roman" w:hAnsi="Times New Roman" w:cs="Times New Roman"/>
          <w:lang w:val="en-US"/>
        </w:rPr>
        <w:t>gonna</w:t>
      </w:r>
      <w:proofErr w:type="spellEnd"/>
      <w:r w:rsidRPr="00455EB3">
        <w:rPr>
          <w:rFonts w:ascii="Times New Roman" w:hAnsi="Times New Roman" w:cs="Times New Roman"/>
          <w:lang w:val="en-US"/>
        </w:rPr>
        <w:t xml:space="preserve"> say, “Yeah, I’m a PEP”’</w:t>
      </w:r>
      <w:r w:rsidR="006412B2" w:rsidRPr="00455EB3">
        <w:rPr>
          <w:rFonts w:ascii="Times New Roman" w:hAnsi="Times New Roman" w:cs="Times New Roman"/>
          <w:lang w:val="en-US"/>
        </w:rPr>
        <w:t>.</w:t>
      </w:r>
      <w:r w:rsidRPr="00455EB3">
        <w:rPr>
          <w:rStyle w:val="FootnoteReference"/>
          <w:rFonts w:ascii="Times New Roman" w:hAnsi="Times New Roman" w:cs="Times New Roman"/>
          <w:lang w:val="en-US"/>
        </w:rPr>
        <w:footnoteReference w:id="120"/>
      </w:r>
      <w:r w:rsidRPr="00455EB3">
        <w:rPr>
          <w:rFonts w:ascii="Times New Roman" w:hAnsi="Times New Roman" w:cs="Times New Roman"/>
          <w:lang w:val="en-US"/>
        </w:rPr>
        <w:t xml:space="preserve"> Given the requirements of enhanced CDD and monitoring of PEPs, it is </w:t>
      </w:r>
      <w:r w:rsidR="00826558">
        <w:rPr>
          <w:rFonts w:ascii="Times New Roman" w:hAnsi="Times New Roman" w:cs="Times New Roman"/>
          <w:lang w:val="en-US"/>
        </w:rPr>
        <w:t>essential</w:t>
      </w:r>
      <w:r w:rsidR="00826558" w:rsidRPr="00455EB3">
        <w:rPr>
          <w:rFonts w:ascii="Times New Roman" w:hAnsi="Times New Roman" w:cs="Times New Roman"/>
          <w:lang w:val="en-US"/>
        </w:rPr>
        <w:t xml:space="preserve"> </w:t>
      </w:r>
      <w:r w:rsidRPr="00455EB3">
        <w:rPr>
          <w:rFonts w:ascii="Times New Roman" w:hAnsi="Times New Roman" w:cs="Times New Roman"/>
          <w:lang w:val="en-US"/>
        </w:rPr>
        <w:t xml:space="preserve">that EAs </w:t>
      </w:r>
      <w:r w:rsidR="00C64A89" w:rsidRPr="00455EB3">
        <w:rPr>
          <w:rFonts w:ascii="Times New Roman" w:hAnsi="Times New Roman" w:cs="Times New Roman"/>
          <w:lang w:val="en-US"/>
        </w:rPr>
        <w:t>can</w:t>
      </w:r>
      <w:r w:rsidRPr="00455EB3">
        <w:rPr>
          <w:rFonts w:ascii="Times New Roman" w:hAnsi="Times New Roman" w:cs="Times New Roman"/>
          <w:lang w:val="en-US"/>
        </w:rPr>
        <w:t xml:space="preserve"> identify such a person. Difficulties in this area were aptly summed up by one </w:t>
      </w:r>
      <w:r w:rsidR="003C46CB" w:rsidRPr="00455EB3">
        <w:rPr>
          <w:rFonts w:ascii="Times New Roman" w:hAnsi="Times New Roman" w:cs="Times New Roman"/>
          <w:lang w:val="en-US"/>
        </w:rPr>
        <w:t xml:space="preserve">interviewee </w:t>
      </w:r>
      <w:r w:rsidRPr="00455EB3">
        <w:rPr>
          <w:rFonts w:ascii="Times New Roman" w:hAnsi="Times New Roman" w:cs="Times New Roman"/>
          <w:lang w:val="en-US"/>
        </w:rPr>
        <w:t>when discussing a lack of AML compliance:</w:t>
      </w:r>
    </w:p>
    <w:p w14:paraId="516D5D8D" w14:textId="77777777" w:rsidR="007E6639" w:rsidRPr="00455EB3" w:rsidRDefault="007E6639" w:rsidP="00AB4266">
      <w:pPr>
        <w:jc w:val="both"/>
        <w:rPr>
          <w:rFonts w:ascii="Times New Roman" w:hAnsi="Times New Roman" w:cs="Times New Roman"/>
          <w:lang w:val="en-US"/>
        </w:rPr>
      </w:pPr>
    </w:p>
    <w:p w14:paraId="0F22D867" w14:textId="6FA80999" w:rsidR="00CF0647" w:rsidRPr="00455EB3" w:rsidRDefault="00CF0647" w:rsidP="00AB4266">
      <w:pPr>
        <w:ind w:left="567" w:right="521"/>
        <w:jc w:val="both"/>
        <w:rPr>
          <w:rFonts w:ascii="Times New Roman" w:hAnsi="Times New Roman" w:cs="Times New Roman"/>
          <w:lang w:val="en-US"/>
        </w:rPr>
      </w:pPr>
      <w:r w:rsidRPr="00455EB3">
        <w:rPr>
          <w:rFonts w:ascii="Times New Roman" w:hAnsi="Times New Roman" w:cs="Times New Roman"/>
          <w:lang w:val="en-US"/>
        </w:rPr>
        <w:t xml:space="preserve">I don’t think it’s from much around customer due diligence, it’s around that understanding of the PEPs and the financial sanctions, and I think it’s a case of if you went in and started a talk to a negotiator on the front desk and said to them, “Explain to me what a PEP is. Explain to me when </w:t>
      </w:r>
      <w:r w:rsidR="00C6464A" w:rsidRPr="00455EB3">
        <w:rPr>
          <w:rFonts w:ascii="Times New Roman" w:hAnsi="Times New Roman" w:cs="Times New Roman"/>
          <w:lang w:val="en-US"/>
        </w:rPr>
        <w:t>you look at financial sanctions</w:t>
      </w:r>
      <w:r w:rsidRPr="00455EB3">
        <w:rPr>
          <w:rFonts w:ascii="Times New Roman" w:hAnsi="Times New Roman" w:cs="Times New Roman"/>
          <w:lang w:val="en-US"/>
        </w:rPr>
        <w:t>”</w:t>
      </w:r>
      <w:r w:rsidR="00C6464A" w:rsidRPr="00455EB3">
        <w:rPr>
          <w:rFonts w:ascii="Times New Roman" w:hAnsi="Times New Roman" w:cs="Times New Roman"/>
          <w:lang w:val="en-US"/>
        </w:rPr>
        <w:t>.</w:t>
      </w:r>
      <w:r w:rsidRPr="00455EB3">
        <w:rPr>
          <w:rFonts w:ascii="Times New Roman" w:hAnsi="Times New Roman" w:cs="Times New Roman"/>
          <w:lang w:val="en-US"/>
        </w:rPr>
        <w:t xml:space="preserve"> I don’t know whether they could really, fully, go into those details as to what they’re looking for. I think they all have a really, really good understanding of, “I need to confirm somebody’s identity and where they live”, I think it’s the other ancillary bits to the money laundering regulations</w:t>
      </w:r>
      <w:r w:rsidR="00A91009" w:rsidRPr="00455EB3">
        <w:rPr>
          <w:rFonts w:ascii="Times New Roman" w:hAnsi="Times New Roman" w:cs="Times New Roman"/>
          <w:lang w:val="en-US"/>
        </w:rPr>
        <w:t>.</w:t>
      </w:r>
      <w:r w:rsidRPr="00455EB3">
        <w:rPr>
          <w:rStyle w:val="FootnoteReference"/>
          <w:rFonts w:ascii="Times New Roman" w:hAnsi="Times New Roman" w:cs="Times New Roman"/>
          <w:lang w:val="en-US"/>
        </w:rPr>
        <w:footnoteReference w:id="121"/>
      </w:r>
    </w:p>
    <w:p w14:paraId="691A1B75" w14:textId="77777777" w:rsidR="007E6639" w:rsidRPr="00455EB3" w:rsidRDefault="007E6639" w:rsidP="00AB4266">
      <w:pPr>
        <w:ind w:left="567" w:right="521"/>
        <w:jc w:val="both"/>
        <w:rPr>
          <w:rFonts w:ascii="Times New Roman" w:hAnsi="Times New Roman" w:cs="Times New Roman"/>
          <w:lang w:val="en-US"/>
        </w:rPr>
      </w:pPr>
    </w:p>
    <w:p w14:paraId="46D4914E" w14:textId="767A44B5" w:rsidR="00CF0647" w:rsidRPr="00455EB3" w:rsidRDefault="00CF0647" w:rsidP="00AB4266">
      <w:pPr>
        <w:jc w:val="both"/>
        <w:rPr>
          <w:rFonts w:ascii="Times New Roman" w:hAnsi="Times New Roman" w:cs="Times New Roman"/>
          <w:lang w:val="en-US"/>
        </w:rPr>
      </w:pPr>
      <w:r w:rsidRPr="00455EB3">
        <w:rPr>
          <w:rFonts w:ascii="Times New Roman" w:hAnsi="Times New Roman" w:cs="Times New Roman"/>
        </w:rPr>
        <w:t xml:space="preserve">Similarly, another </w:t>
      </w:r>
      <w:r w:rsidR="003C46CB" w:rsidRPr="00455EB3">
        <w:rPr>
          <w:rFonts w:ascii="Times New Roman" w:hAnsi="Times New Roman" w:cs="Times New Roman"/>
        </w:rPr>
        <w:t xml:space="preserve">interviewee </w:t>
      </w:r>
      <w:r w:rsidRPr="00455EB3">
        <w:rPr>
          <w:rFonts w:ascii="Times New Roman" w:hAnsi="Times New Roman" w:cs="Times New Roman"/>
        </w:rPr>
        <w:t xml:space="preserve">stated: </w:t>
      </w:r>
      <w:r w:rsidRPr="00455EB3">
        <w:rPr>
          <w:rFonts w:ascii="Times New Roman" w:hAnsi="Times New Roman" w:cs="Times New Roman"/>
          <w:lang w:val="en-US"/>
        </w:rPr>
        <w:t>‘PEP is something that the majority of the industry don’t understand and don’t know how to deal with’.</w:t>
      </w:r>
      <w:r w:rsidRPr="00455EB3">
        <w:rPr>
          <w:rStyle w:val="FootnoteReference"/>
          <w:rFonts w:ascii="Times New Roman" w:hAnsi="Times New Roman" w:cs="Times New Roman"/>
          <w:lang w:val="en-US"/>
        </w:rPr>
        <w:footnoteReference w:id="122"/>
      </w:r>
      <w:r w:rsidR="2CA021B0" w:rsidRPr="00455EB3">
        <w:rPr>
          <w:rFonts w:ascii="Times New Roman" w:hAnsi="Times New Roman" w:cs="Times New Roman"/>
          <w:lang w:val="en-US"/>
        </w:rPr>
        <w:t xml:space="preserve"> </w:t>
      </w:r>
      <w:r w:rsidR="00B83589">
        <w:rPr>
          <w:rFonts w:ascii="Times New Roman" w:hAnsi="Times New Roman" w:cs="Times New Roman"/>
          <w:lang w:val="en-US"/>
        </w:rPr>
        <w:t>T</w:t>
      </w:r>
      <w:r w:rsidR="2F88C5A9" w:rsidRPr="00455EB3">
        <w:rPr>
          <w:rFonts w:ascii="Times New Roman" w:hAnsi="Times New Roman" w:cs="Times New Roman"/>
          <w:lang w:val="en-US"/>
        </w:rPr>
        <w:t xml:space="preserve">he issue here relates not to the legislation itself, </w:t>
      </w:r>
      <w:r w:rsidR="00E53C8D">
        <w:rPr>
          <w:rFonts w:ascii="Times New Roman" w:hAnsi="Times New Roman" w:cs="Times New Roman"/>
          <w:lang w:val="en-US"/>
        </w:rPr>
        <w:t>but</w:t>
      </w:r>
      <w:r w:rsidR="00E53C8D" w:rsidRPr="00455EB3">
        <w:rPr>
          <w:rFonts w:ascii="Times New Roman" w:hAnsi="Times New Roman" w:cs="Times New Roman"/>
          <w:lang w:val="en-US"/>
        </w:rPr>
        <w:t xml:space="preserve"> </w:t>
      </w:r>
      <w:r w:rsidR="590CB7A5" w:rsidRPr="00455EB3">
        <w:rPr>
          <w:rFonts w:ascii="Times New Roman" w:hAnsi="Times New Roman" w:cs="Times New Roman"/>
          <w:lang w:val="en-US"/>
        </w:rPr>
        <w:t>to its</w:t>
      </w:r>
      <w:r w:rsidR="2F88C5A9" w:rsidRPr="00455EB3">
        <w:rPr>
          <w:rFonts w:ascii="Times New Roman" w:hAnsi="Times New Roman" w:cs="Times New Roman"/>
          <w:lang w:val="en-US"/>
        </w:rPr>
        <w:t xml:space="preserve"> operation in practice. If regulated actors are unable to identify those individuals where enhanced checks ought to be conducted</w:t>
      </w:r>
      <w:r w:rsidR="0AAAAEA1" w:rsidRPr="00455EB3">
        <w:rPr>
          <w:rFonts w:ascii="Times New Roman" w:hAnsi="Times New Roman" w:cs="Times New Roman"/>
          <w:lang w:val="en-US"/>
        </w:rPr>
        <w:t>, then</w:t>
      </w:r>
      <w:r w:rsidR="5A7253D7" w:rsidRPr="00455EB3">
        <w:rPr>
          <w:rFonts w:ascii="Times New Roman" w:hAnsi="Times New Roman" w:cs="Times New Roman"/>
          <w:lang w:val="en-US"/>
        </w:rPr>
        <w:t xml:space="preserve"> – irrespective of what is specified in legislation – </w:t>
      </w:r>
      <w:r w:rsidR="3AF05E2E" w:rsidRPr="00455EB3">
        <w:rPr>
          <w:rFonts w:ascii="Times New Roman" w:hAnsi="Times New Roman" w:cs="Times New Roman"/>
          <w:lang w:val="en-US"/>
        </w:rPr>
        <w:t>there will be a lacuna in practice.</w:t>
      </w:r>
    </w:p>
    <w:p w14:paraId="46C30179" w14:textId="70EEAE11" w:rsidR="00AF1B12" w:rsidRPr="00455EB3" w:rsidRDefault="00D62332" w:rsidP="00AB4266">
      <w:pPr>
        <w:jc w:val="both"/>
        <w:rPr>
          <w:rFonts w:ascii="Times New Roman" w:hAnsi="Times New Roman" w:cs="Times New Roman"/>
        </w:rPr>
      </w:pPr>
      <w:r w:rsidRPr="00455EB3">
        <w:rPr>
          <w:rFonts w:ascii="Times New Roman" w:hAnsi="Times New Roman" w:cs="Times New Roman"/>
        </w:rPr>
        <w:tab/>
      </w:r>
      <w:r w:rsidR="005F2574" w:rsidRPr="00455EB3">
        <w:rPr>
          <w:rFonts w:ascii="Times New Roman" w:hAnsi="Times New Roman" w:cs="Times New Roman"/>
        </w:rPr>
        <w:t>To mitigate the risks associated with a transaction involving a PEP, s</w:t>
      </w:r>
      <w:r w:rsidR="00CF0647" w:rsidRPr="00455EB3">
        <w:rPr>
          <w:rFonts w:ascii="Times New Roman" w:hAnsi="Times New Roman" w:cs="Times New Roman"/>
        </w:rPr>
        <w:t>ome EAs have adopted the approach of automatically conducting enhanced checks where they think that someone is involved in politics (whether in the UK or abroad).</w:t>
      </w:r>
      <w:r w:rsidR="00CF0647" w:rsidRPr="00455EB3">
        <w:rPr>
          <w:rStyle w:val="FootnoteReference"/>
          <w:rFonts w:ascii="Times New Roman" w:hAnsi="Times New Roman" w:cs="Times New Roman"/>
        </w:rPr>
        <w:footnoteReference w:id="123"/>
      </w:r>
      <w:r w:rsidR="00CF0647" w:rsidRPr="00455EB3">
        <w:rPr>
          <w:rFonts w:ascii="Times New Roman" w:hAnsi="Times New Roman" w:cs="Times New Roman"/>
        </w:rPr>
        <w:t xml:space="preserve"> </w:t>
      </w:r>
      <w:r w:rsidR="175BCD77" w:rsidRPr="00455EB3">
        <w:rPr>
          <w:rFonts w:ascii="Times New Roman" w:hAnsi="Times New Roman" w:cs="Times New Roman"/>
        </w:rPr>
        <w:t>Risk management is thus evident</w:t>
      </w:r>
      <w:r w:rsidR="008229B8">
        <w:rPr>
          <w:rFonts w:ascii="Times New Roman" w:hAnsi="Times New Roman" w:cs="Times New Roman"/>
        </w:rPr>
        <w:t>;</w:t>
      </w:r>
      <w:r w:rsidR="175BCD77" w:rsidRPr="00455EB3">
        <w:rPr>
          <w:rFonts w:ascii="Times New Roman" w:hAnsi="Times New Roman" w:cs="Times New Roman"/>
        </w:rPr>
        <w:t xml:space="preserve"> however</w:t>
      </w:r>
      <w:r w:rsidR="007C4B92">
        <w:rPr>
          <w:rFonts w:ascii="Times New Roman" w:hAnsi="Times New Roman" w:cs="Times New Roman"/>
        </w:rPr>
        <w:t>,</w:t>
      </w:r>
      <w:r w:rsidR="175BCD77" w:rsidRPr="00455EB3">
        <w:rPr>
          <w:rFonts w:ascii="Times New Roman" w:hAnsi="Times New Roman" w:cs="Times New Roman"/>
        </w:rPr>
        <w:t xml:space="preserve"> </w:t>
      </w:r>
      <w:r w:rsidR="2E5054D1" w:rsidRPr="00455EB3">
        <w:rPr>
          <w:rFonts w:ascii="Times New Roman" w:hAnsi="Times New Roman" w:cs="Times New Roman"/>
        </w:rPr>
        <w:t xml:space="preserve">such a blanket approach is an example of regulatory </w:t>
      </w:r>
      <w:r w:rsidR="00F97959" w:rsidRPr="00455EB3">
        <w:rPr>
          <w:rFonts w:ascii="Times New Roman" w:hAnsi="Times New Roman" w:cs="Times New Roman"/>
        </w:rPr>
        <w:t>over-compliance</w:t>
      </w:r>
      <w:r w:rsidR="2E5054D1" w:rsidRPr="00455EB3">
        <w:rPr>
          <w:rFonts w:ascii="Times New Roman" w:hAnsi="Times New Roman" w:cs="Times New Roman"/>
        </w:rPr>
        <w:t xml:space="preserve">. </w:t>
      </w:r>
      <w:r w:rsidR="0F241CDB" w:rsidRPr="00455EB3">
        <w:rPr>
          <w:rFonts w:ascii="Times New Roman" w:hAnsi="Times New Roman" w:cs="Times New Roman"/>
        </w:rPr>
        <w:t xml:space="preserve">In other words, </w:t>
      </w:r>
      <w:r w:rsidR="099F054F" w:rsidRPr="00455EB3">
        <w:rPr>
          <w:rFonts w:ascii="Times New Roman" w:hAnsi="Times New Roman" w:cs="Times New Roman"/>
        </w:rPr>
        <w:t>when faced with uncertainty</w:t>
      </w:r>
      <w:r w:rsidR="007C4B92">
        <w:rPr>
          <w:rFonts w:ascii="Times New Roman" w:hAnsi="Times New Roman" w:cs="Times New Roman"/>
        </w:rPr>
        <w:t>,</w:t>
      </w:r>
      <w:r w:rsidR="099F054F" w:rsidRPr="00455EB3">
        <w:rPr>
          <w:rFonts w:ascii="Times New Roman" w:hAnsi="Times New Roman" w:cs="Times New Roman"/>
        </w:rPr>
        <w:t xml:space="preserve"> </w:t>
      </w:r>
      <w:r w:rsidR="0F241CDB" w:rsidRPr="00455EB3">
        <w:rPr>
          <w:rFonts w:ascii="Times New Roman" w:hAnsi="Times New Roman" w:cs="Times New Roman"/>
        </w:rPr>
        <w:t xml:space="preserve">regulated actors are </w:t>
      </w:r>
      <w:r w:rsidR="21B7F291" w:rsidRPr="00455EB3">
        <w:rPr>
          <w:rFonts w:ascii="Times New Roman" w:hAnsi="Times New Roman" w:cs="Times New Roman"/>
        </w:rPr>
        <w:t>going beyond the requirements of the AML regime to manage the risks involved</w:t>
      </w:r>
      <w:r w:rsidR="00E536D8">
        <w:rPr>
          <w:rFonts w:ascii="Times New Roman" w:hAnsi="Times New Roman" w:cs="Times New Roman"/>
        </w:rPr>
        <w:t>.</w:t>
      </w:r>
      <w:r w:rsidRPr="006E4326">
        <w:rPr>
          <w:rFonts w:ascii="Times New Roman" w:hAnsi="Times New Roman" w:cs="Times New Roman"/>
          <w:vertAlign w:val="superscript"/>
        </w:rPr>
        <w:footnoteReference w:id="124"/>
      </w:r>
      <w:r w:rsidR="175BCD77" w:rsidRPr="00455EB3">
        <w:rPr>
          <w:rFonts w:ascii="Times New Roman" w:hAnsi="Times New Roman" w:cs="Times New Roman"/>
        </w:rPr>
        <w:t xml:space="preserve"> </w:t>
      </w:r>
      <w:r w:rsidR="6CF91C35" w:rsidRPr="00455EB3">
        <w:rPr>
          <w:rFonts w:ascii="Times New Roman" w:hAnsi="Times New Roman" w:cs="Times New Roman"/>
        </w:rPr>
        <w:t>This then runs counter to the risk</w:t>
      </w:r>
      <w:r w:rsidR="3383C786" w:rsidRPr="00455EB3">
        <w:rPr>
          <w:rFonts w:ascii="Times New Roman" w:hAnsi="Times New Roman" w:cs="Times New Roman"/>
        </w:rPr>
        <w:t>-</w:t>
      </w:r>
      <w:r w:rsidR="6CF91C35" w:rsidRPr="00455EB3">
        <w:rPr>
          <w:rFonts w:ascii="Times New Roman" w:hAnsi="Times New Roman" w:cs="Times New Roman"/>
        </w:rPr>
        <w:t xml:space="preserve">based approach </w:t>
      </w:r>
      <w:r w:rsidR="6156F404" w:rsidRPr="00455EB3">
        <w:rPr>
          <w:rFonts w:ascii="Times New Roman" w:hAnsi="Times New Roman" w:cs="Times New Roman"/>
        </w:rPr>
        <w:t xml:space="preserve">and is reminiscent of </w:t>
      </w:r>
      <w:r w:rsidR="34ED858D" w:rsidRPr="00455EB3">
        <w:rPr>
          <w:rFonts w:ascii="Times New Roman" w:hAnsi="Times New Roman" w:cs="Times New Roman"/>
        </w:rPr>
        <w:t>a</w:t>
      </w:r>
      <w:r w:rsidR="6156F404" w:rsidRPr="00455EB3">
        <w:rPr>
          <w:rFonts w:ascii="Times New Roman" w:hAnsi="Times New Roman" w:cs="Times New Roman"/>
        </w:rPr>
        <w:t xml:space="preserve"> rules-based approach </w:t>
      </w:r>
      <w:r w:rsidR="6CF91C35" w:rsidRPr="00455EB3">
        <w:rPr>
          <w:rFonts w:ascii="Times New Roman" w:hAnsi="Times New Roman" w:cs="Times New Roman"/>
        </w:rPr>
        <w:t xml:space="preserve">whereby </w:t>
      </w:r>
      <w:r w:rsidR="3DE66119" w:rsidRPr="00455EB3">
        <w:rPr>
          <w:rFonts w:ascii="Times New Roman" w:hAnsi="Times New Roman" w:cs="Times New Roman"/>
        </w:rPr>
        <w:t>secondary risk management strategies are adopted as additional protection by regulated actors.</w:t>
      </w:r>
      <w:r w:rsidRPr="00A26B6A">
        <w:rPr>
          <w:rFonts w:ascii="Times New Roman" w:hAnsi="Times New Roman" w:cs="Times New Roman"/>
          <w:vertAlign w:val="superscript"/>
        </w:rPr>
        <w:footnoteReference w:id="125"/>
      </w:r>
      <w:r w:rsidR="3DE66119" w:rsidRPr="00455EB3">
        <w:rPr>
          <w:rFonts w:ascii="Times New Roman" w:hAnsi="Times New Roman" w:cs="Times New Roman"/>
        </w:rPr>
        <w:t xml:space="preserve"> </w:t>
      </w:r>
      <w:r w:rsidR="00CF0647" w:rsidRPr="00455EB3">
        <w:rPr>
          <w:rFonts w:ascii="Times New Roman" w:hAnsi="Times New Roman" w:cs="Times New Roman"/>
        </w:rPr>
        <w:t xml:space="preserve">Some </w:t>
      </w:r>
      <w:r w:rsidR="5D5D0FC2" w:rsidRPr="00455EB3">
        <w:rPr>
          <w:rFonts w:ascii="Times New Roman" w:hAnsi="Times New Roman" w:cs="Times New Roman"/>
        </w:rPr>
        <w:t xml:space="preserve">interviewees </w:t>
      </w:r>
      <w:r w:rsidR="00CF0647" w:rsidRPr="00455EB3">
        <w:rPr>
          <w:rFonts w:ascii="Times New Roman" w:hAnsi="Times New Roman" w:cs="Times New Roman"/>
        </w:rPr>
        <w:t>mentioned certain nationalities and how their behaviour can be confusing, but then stated that that might simply be ‘a cultural thing’.</w:t>
      </w:r>
      <w:r w:rsidR="00CF0647" w:rsidRPr="00455EB3">
        <w:rPr>
          <w:rStyle w:val="FootnoteReference"/>
          <w:rFonts w:ascii="Times New Roman" w:hAnsi="Times New Roman" w:cs="Times New Roman"/>
        </w:rPr>
        <w:footnoteReference w:id="126"/>
      </w:r>
      <w:r w:rsidR="00CF0647" w:rsidRPr="00455EB3">
        <w:rPr>
          <w:rFonts w:ascii="Times New Roman" w:hAnsi="Times New Roman" w:cs="Times New Roman"/>
        </w:rPr>
        <w:t xml:space="preserve"> </w:t>
      </w:r>
      <w:r w:rsidR="3E153057" w:rsidRPr="00455EB3">
        <w:rPr>
          <w:rFonts w:ascii="Times New Roman" w:hAnsi="Times New Roman" w:cs="Times New Roman"/>
        </w:rPr>
        <w:t xml:space="preserve">A difficulty in practice, though, is that individual </w:t>
      </w:r>
      <w:r w:rsidR="3E153057" w:rsidRPr="00455EB3">
        <w:rPr>
          <w:rFonts w:ascii="Times New Roman" w:hAnsi="Times New Roman" w:cs="Times New Roman"/>
        </w:rPr>
        <w:lastRenderedPageBreak/>
        <w:t>(mis)conceptions</w:t>
      </w:r>
      <w:r w:rsidR="2A8E286F" w:rsidRPr="00455EB3">
        <w:rPr>
          <w:rFonts w:ascii="Times New Roman" w:hAnsi="Times New Roman" w:cs="Times New Roman"/>
        </w:rPr>
        <w:t xml:space="preserve"> as to what is </w:t>
      </w:r>
      <w:r w:rsidR="2A8E286F" w:rsidRPr="00116696">
        <w:rPr>
          <w:rFonts w:ascii="Times New Roman" w:hAnsi="Times New Roman" w:cs="Times New Roman"/>
          <w:i/>
          <w:iCs/>
        </w:rPr>
        <w:t xml:space="preserve">normal </w:t>
      </w:r>
      <w:r w:rsidR="2A8E286F" w:rsidRPr="00455EB3">
        <w:rPr>
          <w:rFonts w:ascii="Times New Roman" w:hAnsi="Times New Roman" w:cs="Times New Roman"/>
        </w:rPr>
        <w:t xml:space="preserve">or </w:t>
      </w:r>
      <w:r w:rsidR="2A8E286F" w:rsidRPr="00116696">
        <w:rPr>
          <w:rFonts w:ascii="Times New Roman" w:hAnsi="Times New Roman" w:cs="Times New Roman"/>
          <w:i/>
          <w:iCs/>
        </w:rPr>
        <w:t xml:space="preserve">unusual </w:t>
      </w:r>
      <w:r w:rsidR="2A8E286F" w:rsidRPr="00455EB3">
        <w:rPr>
          <w:rFonts w:ascii="Times New Roman" w:hAnsi="Times New Roman" w:cs="Times New Roman"/>
        </w:rPr>
        <w:t>can</w:t>
      </w:r>
      <w:r w:rsidR="47043210" w:rsidRPr="00455EB3">
        <w:rPr>
          <w:rFonts w:ascii="Times New Roman" w:hAnsi="Times New Roman" w:cs="Times New Roman"/>
        </w:rPr>
        <w:t xml:space="preserve"> </w:t>
      </w:r>
      <w:r w:rsidR="3089991D" w:rsidRPr="00455EB3">
        <w:rPr>
          <w:rFonts w:ascii="Times New Roman" w:hAnsi="Times New Roman" w:cs="Times New Roman"/>
        </w:rPr>
        <w:t>influence how AML rules are applied in practice</w:t>
      </w:r>
      <w:r w:rsidR="00427CE7">
        <w:rPr>
          <w:rFonts w:ascii="Times New Roman" w:hAnsi="Times New Roman" w:cs="Times New Roman"/>
        </w:rPr>
        <w:t>.</w:t>
      </w:r>
      <w:r w:rsidR="47043210" w:rsidRPr="00455EB3">
        <w:rPr>
          <w:rFonts w:ascii="Times New Roman" w:hAnsi="Times New Roman" w:cs="Times New Roman"/>
        </w:rPr>
        <w:t xml:space="preserve"> </w:t>
      </w:r>
      <w:r w:rsidR="00427CE7">
        <w:rPr>
          <w:rFonts w:ascii="Times New Roman" w:hAnsi="Times New Roman" w:cs="Times New Roman"/>
        </w:rPr>
        <w:t>A</w:t>
      </w:r>
      <w:r w:rsidR="47043210" w:rsidRPr="00455EB3">
        <w:rPr>
          <w:rFonts w:ascii="Times New Roman" w:hAnsi="Times New Roman" w:cs="Times New Roman"/>
        </w:rPr>
        <w:t xml:space="preserve">s </w:t>
      </w:r>
      <w:proofErr w:type="spellStart"/>
      <w:r w:rsidR="47043210" w:rsidRPr="00455EB3">
        <w:rPr>
          <w:rFonts w:ascii="Times New Roman" w:hAnsi="Times New Roman" w:cs="Times New Roman"/>
        </w:rPr>
        <w:t>Iafolla</w:t>
      </w:r>
      <w:proofErr w:type="spellEnd"/>
      <w:r w:rsidR="47043210" w:rsidRPr="00455EB3">
        <w:rPr>
          <w:rFonts w:ascii="Times New Roman" w:hAnsi="Times New Roman" w:cs="Times New Roman"/>
        </w:rPr>
        <w:t xml:space="preserve"> points out in the context of the banking sector, ‘</w:t>
      </w:r>
      <w:r w:rsidR="47043210" w:rsidRPr="00455EB3">
        <w:rPr>
          <w:rFonts w:ascii="Times New Roman" w:eastAsia="Times New Roman" w:hAnsi="Times New Roman" w:cs="Times New Roman"/>
        </w:rPr>
        <w:t>clients who do not conform to preconceived social roles may be viewed with increased suspicion and subject to further risk analysis and scrutiny, whether or not their transactions are legitimate</w:t>
      </w:r>
      <w:r w:rsidR="47043210" w:rsidRPr="00455EB3">
        <w:rPr>
          <w:rFonts w:ascii="Times New Roman" w:hAnsi="Times New Roman" w:cs="Times New Roman"/>
        </w:rPr>
        <w:t>’</w:t>
      </w:r>
      <w:r w:rsidR="004C4480">
        <w:rPr>
          <w:rFonts w:ascii="Times New Roman" w:hAnsi="Times New Roman" w:cs="Times New Roman"/>
        </w:rPr>
        <w:t>.</w:t>
      </w:r>
      <w:r w:rsidRPr="00A26B6A">
        <w:rPr>
          <w:rFonts w:ascii="Times New Roman" w:hAnsi="Times New Roman" w:cs="Times New Roman"/>
          <w:vertAlign w:val="superscript"/>
        </w:rPr>
        <w:footnoteReference w:id="127"/>
      </w:r>
    </w:p>
    <w:p w14:paraId="4D55A50B" w14:textId="3AC7DA4C" w:rsidR="00AF1B12" w:rsidRPr="00455EB3" w:rsidRDefault="4823E7ED" w:rsidP="00AB4266">
      <w:pPr>
        <w:ind w:firstLine="720"/>
        <w:jc w:val="both"/>
        <w:rPr>
          <w:rFonts w:ascii="Times New Roman" w:hAnsi="Times New Roman" w:cs="Times New Roman"/>
        </w:rPr>
      </w:pPr>
      <w:r w:rsidRPr="00455EB3">
        <w:rPr>
          <w:rFonts w:ascii="Times New Roman" w:hAnsi="Times New Roman" w:cs="Times New Roman"/>
        </w:rPr>
        <w:t>In contrast to efforts where PEPs</w:t>
      </w:r>
      <w:r w:rsidR="234450BC" w:rsidRPr="00455EB3">
        <w:rPr>
          <w:rFonts w:ascii="Times New Roman" w:hAnsi="Times New Roman" w:cs="Times New Roman"/>
        </w:rPr>
        <w:t xml:space="preserve"> themselves</w:t>
      </w:r>
      <w:r w:rsidRPr="00455EB3">
        <w:rPr>
          <w:rFonts w:ascii="Times New Roman" w:hAnsi="Times New Roman" w:cs="Times New Roman"/>
        </w:rPr>
        <w:t xml:space="preserve"> are involved in a transaction, </w:t>
      </w:r>
      <w:r w:rsidR="746D1817" w:rsidRPr="00455EB3">
        <w:rPr>
          <w:rFonts w:ascii="Times New Roman" w:hAnsi="Times New Roman" w:cs="Times New Roman"/>
        </w:rPr>
        <w:t>s</w:t>
      </w:r>
      <w:r w:rsidR="00CF0647" w:rsidRPr="00455EB3">
        <w:rPr>
          <w:rFonts w:ascii="Times New Roman" w:hAnsi="Times New Roman" w:cs="Times New Roman"/>
        </w:rPr>
        <w:t>ome</w:t>
      </w:r>
      <w:r w:rsidR="19EC1C64" w:rsidRPr="00455EB3">
        <w:rPr>
          <w:rFonts w:ascii="Times New Roman" w:hAnsi="Times New Roman" w:cs="Times New Roman"/>
        </w:rPr>
        <w:t xml:space="preserve"> interviewees</w:t>
      </w:r>
      <w:r w:rsidR="00CF0647" w:rsidRPr="00455EB3">
        <w:rPr>
          <w:rFonts w:ascii="Times New Roman" w:hAnsi="Times New Roman" w:cs="Times New Roman"/>
        </w:rPr>
        <w:t xml:space="preserve"> expressed disquiet </w:t>
      </w:r>
      <w:r w:rsidR="00835516" w:rsidRPr="00455EB3">
        <w:rPr>
          <w:rFonts w:ascii="Times New Roman" w:hAnsi="Times New Roman" w:cs="Times New Roman"/>
        </w:rPr>
        <w:t>about</w:t>
      </w:r>
      <w:r w:rsidR="00E24404" w:rsidRPr="00455EB3">
        <w:rPr>
          <w:rFonts w:ascii="Times New Roman" w:hAnsi="Times New Roman" w:cs="Times New Roman"/>
        </w:rPr>
        <w:t xml:space="preserve"> </w:t>
      </w:r>
      <w:r w:rsidR="00CF0647" w:rsidRPr="00455EB3">
        <w:rPr>
          <w:rFonts w:ascii="Times New Roman" w:hAnsi="Times New Roman" w:cs="Times New Roman"/>
        </w:rPr>
        <w:t>do</w:t>
      </w:r>
      <w:r w:rsidR="00835516" w:rsidRPr="00455EB3">
        <w:rPr>
          <w:rFonts w:ascii="Times New Roman" w:hAnsi="Times New Roman" w:cs="Times New Roman"/>
        </w:rPr>
        <w:t>ing</w:t>
      </w:r>
      <w:r w:rsidR="00CF0647" w:rsidRPr="00455EB3">
        <w:rPr>
          <w:rFonts w:ascii="Times New Roman" w:hAnsi="Times New Roman" w:cs="Times New Roman"/>
        </w:rPr>
        <w:t xml:space="preserve"> AML checks </w:t>
      </w:r>
      <w:r w:rsidR="00835516" w:rsidRPr="00455EB3">
        <w:rPr>
          <w:rFonts w:ascii="Times New Roman" w:hAnsi="Times New Roman" w:cs="Times New Roman"/>
        </w:rPr>
        <w:t xml:space="preserve">on </w:t>
      </w:r>
      <w:r w:rsidR="00CF0647" w:rsidRPr="00455EB3">
        <w:rPr>
          <w:rFonts w:ascii="Times New Roman" w:hAnsi="Times New Roman" w:cs="Times New Roman"/>
        </w:rPr>
        <w:t>PEP family members,</w:t>
      </w:r>
      <w:r w:rsidR="00CF0647" w:rsidRPr="00455EB3">
        <w:rPr>
          <w:rStyle w:val="FootnoteReference"/>
          <w:rFonts w:ascii="Times New Roman" w:hAnsi="Times New Roman" w:cs="Times New Roman"/>
        </w:rPr>
        <w:footnoteReference w:id="128"/>
      </w:r>
      <w:r w:rsidR="00CF0647" w:rsidRPr="00455EB3">
        <w:rPr>
          <w:rFonts w:ascii="Times New Roman" w:hAnsi="Times New Roman" w:cs="Times New Roman"/>
        </w:rPr>
        <w:t xml:space="preserve"> even though such reluctance runs counter to perceptions of vulnerability to ML.</w:t>
      </w:r>
      <w:r w:rsidR="00CF0647" w:rsidRPr="00455EB3">
        <w:rPr>
          <w:rStyle w:val="FootnoteReference"/>
          <w:rFonts w:ascii="Times New Roman" w:hAnsi="Times New Roman" w:cs="Times New Roman"/>
        </w:rPr>
        <w:footnoteReference w:id="129"/>
      </w:r>
      <w:r w:rsidR="00CF0647" w:rsidRPr="00455EB3">
        <w:rPr>
          <w:rFonts w:ascii="Times New Roman" w:hAnsi="Times New Roman" w:cs="Times New Roman"/>
        </w:rPr>
        <w:t xml:space="preserve"> </w:t>
      </w:r>
      <w:r w:rsidR="51350DD6" w:rsidRPr="00455EB3">
        <w:rPr>
          <w:rFonts w:ascii="Times New Roman" w:hAnsi="Times New Roman" w:cs="Times New Roman"/>
        </w:rPr>
        <w:t xml:space="preserve">This is a significant finding </w:t>
      </w:r>
      <w:r w:rsidR="026F1F0F" w:rsidRPr="00455EB3">
        <w:rPr>
          <w:rFonts w:ascii="Times New Roman" w:hAnsi="Times New Roman" w:cs="Times New Roman"/>
        </w:rPr>
        <w:t>given that</w:t>
      </w:r>
      <w:r w:rsidR="51350DD6" w:rsidRPr="00455EB3">
        <w:rPr>
          <w:rFonts w:ascii="Times New Roman" w:hAnsi="Times New Roman" w:cs="Times New Roman"/>
        </w:rPr>
        <w:t xml:space="preserve"> perceptions of legitimacy</w:t>
      </w:r>
      <w:r w:rsidR="15DFF5F2" w:rsidRPr="00455EB3">
        <w:rPr>
          <w:rFonts w:ascii="Times New Roman" w:hAnsi="Times New Roman" w:cs="Times New Roman"/>
        </w:rPr>
        <w:t xml:space="preserve"> can</w:t>
      </w:r>
      <w:r w:rsidR="51350DD6" w:rsidRPr="00455EB3">
        <w:rPr>
          <w:rFonts w:ascii="Times New Roman" w:hAnsi="Times New Roman" w:cs="Times New Roman"/>
        </w:rPr>
        <w:t xml:space="preserve"> influence compliance; as Valerie Braithwaite points out in her research on tax compliance, ‘</w:t>
      </w:r>
      <w:r w:rsidR="51350DD6" w:rsidRPr="00455EB3">
        <w:rPr>
          <w:rFonts w:ascii="Times New Roman" w:eastAsia="Times New Roman" w:hAnsi="Times New Roman" w:cs="Times New Roman"/>
        </w:rPr>
        <w:t>compliance may be thought of as framing the analysis of how authorities might go about eliciting public cooperation within a regulatory field. Legitimacy is broader, framing the analysis of whether or not the existence of the regulatory field is justified</w:t>
      </w:r>
      <w:r w:rsidR="51350DD6" w:rsidRPr="00455EB3">
        <w:rPr>
          <w:rFonts w:ascii="Times New Roman" w:hAnsi="Times New Roman" w:cs="Times New Roman"/>
        </w:rPr>
        <w:t>’</w:t>
      </w:r>
      <w:r w:rsidR="00E536D8">
        <w:rPr>
          <w:rFonts w:ascii="Times New Roman" w:hAnsi="Times New Roman" w:cs="Times New Roman"/>
        </w:rPr>
        <w:t>.</w:t>
      </w:r>
      <w:r w:rsidR="00D62332" w:rsidRPr="00A26B6A">
        <w:rPr>
          <w:rFonts w:ascii="Times New Roman" w:hAnsi="Times New Roman" w:cs="Times New Roman"/>
          <w:vertAlign w:val="superscript"/>
        </w:rPr>
        <w:footnoteReference w:id="130"/>
      </w:r>
      <w:r w:rsidR="6BB6AF78" w:rsidRPr="00A26B6A">
        <w:rPr>
          <w:rFonts w:ascii="Times New Roman" w:hAnsi="Times New Roman" w:cs="Times New Roman"/>
          <w:vertAlign w:val="superscript"/>
        </w:rPr>
        <w:t xml:space="preserve"> </w:t>
      </w:r>
      <w:r w:rsidR="6BB6AF78" w:rsidRPr="00455EB3">
        <w:rPr>
          <w:rFonts w:ascii="Times New Roman" w:hAnsi="Times New Roman" w:cs="Times New Roman"/>
        </w:rPr>
        <w:t>Given the emphasis on PEP family members and associates being involved</w:t>
      </w:r>
      <w:r w:rsidR="0205BCA0" w:rsidRPr="00455EB3">
        <w:rPr>
          <w:rFonts w:ascii="Times New Roman" w:hAnsi="Times New Roman" w:cs="Times New Roman"/>
        </w:rPr>
        <w:t xml:space="preserve"> in laundering proceeds of corruption,</w:t>
      </w:r>
      <w:r w:rsidR="00D62332" w:rsidRPr="00A26B6A">
        <w:rPr>
          <w:rFonts w:ascii="Times New Roman" w:hAnsi="Times New Roman" w:cs="Times New Roman"/>
          <w:vertAlign w:val="superscript"/>
        </w:rPr>
        <w:footnoteReference w:id="131"/>
      </w:r>
      <w:r w:rsidR="416CB7B9" w:rsidRPr="00455EB3">
        <w:rPr>
          <w:rFonts w:ascii="Times New Roman" w:hAnsi="Times New Roman" w:cs="Times New Roman"/>
        </w:rPr>
        <w:t xml:space="preserve"> </w:t>
      </w:r>
      <w:r w:rsidR="074BADF3" w:rsidRPr="00455EB3">
        <w:rPr>
          <w:rFonts w:ascii="Times New Roman" w:hAnsi="Times New Roman" w:cs="Times New Roman"/>
        </w:rPr>
        <w:t xml:space="preserve">the lack of </w:t>
      </w:r>
      <w:r w:rsidR="074BADF3" w:rsidRPr="00B95880">
        <w:rPr>
          <w:rFonts w:ascii="Times New Roman" w:hAnsi="Times New Roman" w:cs="Times New Roman"/>
          <w:i/>
          <w:iCs/>
        </w:rPr>
        <w:t>commitment</w:t>
      </w:r>
      <w:r w:rsidR="00D62332" w:rsidRPr="00A26B6A">
        <w:rPr>
          <w:rFonts w:ascii="Times New Roman" w:hAnsi="Times New Roman" w:cs="Times New Roman"/>
          <w:vertAlign w:val="superscript"/>
        </w:rPr>
        <w:footnoteReference w:id="132"/>
      </w:r>
      <w:r w:rsidR="511F9B53" w:rsidRPr="00455EB3">
        <w:rPr>
          <w:rFonts w:ascii="Times New Roman" w:hAnsi="Times New Roman" w:cs="Times New Roman"/>
        </w:rPr>
        <w:t xml:space="preserve"> in relation to an apparent vulnerability for money laundering </w:t>
      </w:r>
      <w:r w:rsidR="4A243441" w:rsidRPr="00455EB3">
        <w:rPr>
          <w:rFonts w:ascii="Times New Roman" w:hAnsi="Times New Roman" w:cs="Times New Roman"/>
        </w:rPr>
        <w:t xml:space="preserve">demonstrates that the legitimacy of the </w:t>
      </w:r>
      <w:r w:rsidR="00F37ACF" w:rsidRPr="00455EB3">
        <w:rPr>
          <w:rFonts w:ascii="Times New Roman" w:hAnsi="Times New Roman" w:cs="Times New Roman"/>
        </w:rPr>
        <w:t xml:space="preserve">particular </w:t>
      </w:r>
      <w:r w:rsidR="4A243441" w:rsidRPr="00455EB3">
        <w:rPr>
          <w:rFonts w:ascii="Times New Roman" w:hAnsi="Times New Roman" w:cs="Times New Roman"/>
        </w:rPr>
        <w:t>rules is questioned</w:t>
      </w:r>
      <w:r w:rsidR="511F9B53" w:rsidRPr="00455EB3">
        <w:rPr>
          <w:rFonts w:ascii="Times New Roman" w:hAnsi="Times New Roman" w:cs="Times New Roman"/>
        </w:rPr>
        <w:t>.</w:t>
      </w:r>
    </w:p>
    <w:p w14:paraId="14CC5F9A" w14:textId="3EBD5E4A" w:rsidR="00AF1B12" w:rsidRPr="00455EB3" w:rsidRDefault="2F1C1337" w:rsidP="00AB4266">
      <w:pPr>
        <w:ind w:firstLine="720"/>
        <w:jc w:val="both"/>
        <w:rPr>
          <w:rFonts w:ascii="Times New Roman" w:hAnsi="Times New Roman" w:cs="Times New Roman"/>
        </w:rPr>
      </w:pPr>
      <w:r w:rsidRPr="00455EB3">
        <w:rPr>
          <w:rFonts w:ascii="Times New Roman" w:hAnsi="Times New Roman" w:cs="Times New Roman"/>
        </w:rPr>
        <w:t>A further aspect of the operation of AML rules in the PEP</w:t>
      </w:r>
      <w:r w:rsidR="005A6923">
        <w:rPr>
          <w:rFonts w:ascii="Times New Roman" w:hAnsi="Times New Roman" w:cs="Times New Roman"/>
        </w:rPr>
        <w:t xml:space="preserve"> </w:t>
      </w:r>
      <w:r w:rsidRPr="00455EB3">
        <w:rPr>
          <w:rFonts w:ascii="Times New Roman" w:hAnsi="Times New Roman" w:cs="Times New Roman"/>
        </w:rPr>
        <w:t xml:space="preserve">context </w:t>
      </w:r>
      <w:r w:rsidR="367A6559" w:rsidRPr="00455EB3">
        <w:rPr>
          <w:rFonts w:ascii="Times New Roman" w:hAnsi="Times New Roman" w:cs="Times New Roman"/>
        </w:rPr>
        <w:t>is</w:t>
      </w:r>
      <w:r w:rsidRPr="00455EB3">
        <w:rPr>
          <w:rFonts w:ascii="Times New Roman" w:hAnsi="Times New Roman" w:cs="Times New Roman"/>
        </w:rPr>
        <w:t xml:space="preserve"> third-party checks. </w:t>
      </w:r>
      <w:r w:rsidR="2990D386" w:rsidRPr="00455EB3">
        <w:rPr>
          <w:rFonts w:ascii="Times New Roman" w:hAnsi="Times New Roman" w:cs="Times New Roman"/>
        </w:rPr>
        <w:t>S</w:t>
      </w:r>
      <w:r w:rsidR="00010E2F" w:rsidRPr="00455EB3">
        <w:rPr>
          <w:rFonts w:ascii="Times New Roman" w:hAnsi="Times New Roman" w:cs="Times New Roman"/>
        </w:rPr>
        <w:t>ome</w:t>
      </w:r>
      <w:r w:rsidR="00CF0647" w:rsidRPr="00455EB3">
        <w:rPr>
          <w:rFonts w:ascii="Times New Roman" w:hAnsi="Times New Roman" w:cs="Times New Roman"/>
        </w:rPr>
        <w:t xml:space="preserve"> </w:t>
      </w:r>
      <w:r w:rsidR="00010E2F" w:rsidRPr="00455EB3">
        <w:rPr>
          <w:rFonts w:ascii="Times New Roman" w:hAnsi="Times New Roman" w:cs="Times New Roman"/>
        </w:rPr>
        <w:t xml:space="preserve">EAs </w:t>
      </w:r>
      <w:r w:rsidR="002F39B4" w:rsidRPr="00455EB3">
        <w:rPr>
          <w:rFonts w:ascii="Times New Roman" w:hAnsi="Times New Roman" w:cs="Times New Roman"/>
        </w:rPr>
        <w:t xml:space="preserve">rely on </w:t>
      </w:r>
      <w:r w:rsidR="00CF0647" w:rsidRPr="00455EB3">
        <w:rPr>
          <w:rFonts w:ascii="Times New Roman" w:hAnsi="Times New Roman" w:cs="Times New Roman"/>
        </w:rPr>
        <w:t>outside companies (such as Experian and Smart Search) for AML checks against PEPs.</w:t>
      </w:r>
      <w:r w:rsidR="00CF0647" w:rsidRPr="00455EB3">
        <w:rPr>
          <w:rStyle w:val="FootnoteReference"/>
          <w:rFonts w:ascii="Times New Roman" w:hAnsi="Times New Roman" w:cs="Times New Roman"/>
        </w:rPr>
        <w:footnoteReference w:id="133"/>
      </w:r>
      <w:r w:rsidR="00CF0647" w:rsidRPr="00455EB3">
        <w:rPr>
          <w:rFonts w:ascii="Times New Roman" w:hAnsi="Times New Roman" w:cs="Times New Roman"/>
        </w:rPr>
        <w:t xml:space="preserve"> </w:t>
      </w:r>
      <w:r w:rsidR="00C01356" w:rsidRPr="00455EB3">
        <w:rPr>
          <w:rFonts w:ascii="Times New Roman" w:hAnsi="Times New Roman" w:cs="Times New Roman"/>
        </w:rPr>
        <w:t>The 2017 Regulations do permit reliance on third-party CDD checks, but they explicitly provide that: ‘</w:t>
      </w:r>
      <w:r w:rsidR="00C01356" w:rsidRPr="00455EB3">
        <w:rPr>
          <w:rFonts w:ascii="Times New Roman" w:hAnsi="Times New Roman" w:cs="Times New Roman"/>
          <w:shd w:val="clear" w:color="auto" w:fill="FFFFFF"/>
        </w:rPr>
        <w:t>notwithstanding the relevant person’s reliance on the third party, the relevant person remains liable for any failure to apply such measures</w:t>
      </w:r>
      <w:r w:rsidR="00C01356" w:rsidRPr="00455EB3">
        <w:rPr>
          <w:rFonts w:ascii="Times New Roman" w:hAnsi="Times New Roman" w:cs="Times New Roman"/>
        </w:rPr>
        <w:t>’</w:t>
      </w:r>
      <w:r w:rsidR="001E3AEA" w:rsidRPr="00455EB3">
        <w:rPr>
          <w:rFonts w:ascii="Times New Roman" w:hAnsi="Times New Roman" w:cs="Times New Roman"/>
        </w:rPr>
        <w:t>.</w:t>
      </w:r>
      <w:r w:rsidR="00C01356" w:rsidRPr="00455EB3">
        <w:rPr>
          <w:rStyle w:val="FootnoteReference"/>
          <w:rFonts w:ascii="Times New Roman" w:hAnsi="Times New Roman" w:cs="Times New Roman"/>
        </w:rPr>
        <w:footnoteReference w:id="134"/>
      </w:r>
      <w:r w:rsidR="00C01356" w:rsidRPr="00455EB3">
        <w:rPr>
          <w:rFonts w:ascii="Times New Roman" w:hAnsi="Times New Roman" w:cs="Times New Roman"/>
        </w:rPr>
        <w:t xml:space="preserve"> </w:t>
      </w:r>
      <w:r w:rsidR="00CF0647" w:rsidRPr="00455EB3">
        <w:rPr>
          <w:rFonts w:ascii="Times New Roman" w:hAnsi="Times New Roman" w:cs="Times New Roman"/>
        </w:rPr>
        <w:t>Curiously</w:t>
      </w:r>
      <w:r w:rsidR="00AD1073" w:rsidRPr="00455EB3">
        <w:rPr>
          <w:rFonts w:ascii="Times New Roman" w:hAnsi="Times New Roman" w:cs="Times New Roman"/>
        </w:rPr>
        <w:t xml:space="preserve">, </w:t>
      </w:r>
      <w:r w:rsidR="00CF0647" w:rsidRPr="00455EB3">
        <w:rPr>
          <w:rFonts w:ascii="Times New Roman" w:hAnsi="Times New Roman" w:cs="Times New Roman"/>
        </w:rPr>
        <w:t xml:space="preserve">some </w:t>
      </w:r>
      <w:r w:rsidR="00C01356" w:rsidRPr="00455EB3">
        <w:rPr>
          <w:rFonts w:ascii="Times New Roman" w:hAnsi="Times New Roman" w:cs="Times New Roman"/>
        </w:rPr>
        <w:t xml:space="preserve">interviewees </w:t>
      </w:r>
      <w:r w:rsidR="00CF0647" w:rsidRPr="00455EB3">
        <w:rPr>
          <w:rFonts w:ascii="Times New Roman" w:hAnsi="Times New Roman" w:cs="Times New Roman"/>
        </w:rPr>
        <w:t xml:space="preserve">suggested that </w:t>
      </w:r>
      <w:r w:rsidR="00C01356" w:rsidRPr="00455EB3">
        <w:rPr>
          <w:rFonts w:ascii="Times New Roman" w:hAnsi="Times New Roman" w:cs="Times New Roman"/>
        </w:rPr>
        <w:t xml:space="preserve">reliance on outside companies </w:t>
      </w:r>
      <w:r w:rsidR="00990AF0" w:rsidRPr="00455EB3">
        <w:rPr>
          <w:rFonts w:ascii="Times New Roman" w:hAnsi="Times New Roman" w:cs="Times New Roman"/>
        </w:rPr>
        <w:t>might absolve</w:t>
      </w:r>
      <w:r w:rsidR="00CF0647" w:rsidRPr="00455EB3">
        <w:rPr>
          <w:rFonts w:ascii="Times New Roman" w:hAnsi="Times New Roman" w:cs="Times New Roman"/>
        </w:rPr>
        <w:t xml:space="preserve"> them of liability if anything goes wrong: ‘they take on the responsibility. So, if something slips through it’s on them not on us’</w:t>
      </w:r>
      <w:r w:rsidR="00CF0647" w:rsidRPr="00455EB3">
        <w:rPr>
          <w:rStyle w:val="FootnoteReference"/>
          <w:rFonts w:ascii="Times New Roman" w:hAnsi="Times New Roman" w:cs="Times New Roman"/>
        </w:rPr>
        <w:footnoteReference w:id="135"/>
      </w:r>
      <w:r w:rsidR="000C2666" w:rsidRPr="00455EB3">
        <w:rPr>
          <w:rFonts w:ascii="Times New Roman" w:hAnsi="Times New Roman" w:cs="Times New Roman"/>
        </w:rPr>
        <w:t xml:space="preserve"> </w:t>
      </w:r>
      <w:r w:rsidR="6F4CC1EB" w:rsidRPr="00455EB3">
        <w:rPr>
          <w:rFonts w:ascii="Times New Roman" w:hAnsi="Times New Roman" w:cs="Times New Roman"/>
        </w:rPr>
        <w:t>(reliance on third-party checks is discussed further in the next section).</w:t>
      </w:r>
    </w:p>
    <w:p w14:paraId="63D7256A" w14:textId="29B234C6" w:rsidR="00CF0647" w:rsidRPr="00455EB3" w:rsidRDefault="00AF1B12" w:rsidP="00AB4266">
      <w:pPr>
        <w:ind w:firstLine="720"/>
        <w:jc w:val="both"/>
        <w:rPr>
          <w:rFonts w:ascii="Times New Roman" w:hAnsi="Times New Roman" w:cs="Times New Roman"/>
        </w:rPr>
      </w:pPr>
      <w:r w:rsidRPr="00455EB3">
        <w:rPr>
          <w:rFonts w:ascii="Times New Roman" w:hAnsi="Times New Roman" w:cs="Times New Roman"/>
        </w:rPr>
        <w:t xml:space="preserve">From the data above, </w:t>
      </w:r>
      <w:r w:rsidR="006C4761" w:rsidRPr="00455EB3">
        <w:rPr>
          <w:rFonts w:ascii="Times New Roman" w:hAnsi="Times New Roman" w:cs="Times New Roman"/>
        </w:rPr>
        <w:t>it seems that</w:t>
      </w:r>
      <w:r w:rsidR="00EE7925" w:rsidRPr="00455EB3">
        <w:rPr>
          <w:rFonts w:ascii="Times New Roman" w:hAnsi="Times New Roman" w:cs="Times New Roman"/>
        </w:rPr>
        <w:t xml:space="preserve"> </w:t>
      </w:r>
      <w:r w:rsidR="00CF0647" w:rsidRPr="00455EB3">
        <w:rPr>
          <w:rFonts w:ascii="Times New Roman" w:hAnsi="Times New Roman" w:cs="Times New Roman"/>
        </w:rPr>
        <w:t xml:space="preserve">the operation of AML rules </w:t>
      </w:r>
      <w:r w:rsidR="00EE7925" w:rsidRPr="00455EB3">
        <w:rPr>
          <w:rFonts w:ascii="Times New Roman" w:hAnsi="Times New Roman" w:cs="Times New Roman"/>
        </w:rPr>
        <w:t xml:space="preserve">in practice </w:t>
      </w:r>
      <w:r w:rsidR="006C4761" w:rsidRPr="00455EB3">
        <w:rPr>
          <w:rFonts w:ascii="Times New Roman" w:hAnsi="Times New Roman" w:cs="Times New Roman"/>
        </w:rPr>
        <w:t xml:space="preserve">is </w:t>
      </w:r>
      <w:r w:rsidR="00CF0647" w:rsidRPr="00455EB3">
        <w:rPr>
          <w:rFonts w:ascii="Times New Roman" w:hAnsi="Times New Roman" w:cs="Times New Roman"/>
        </w:rPr>
        <w:t xml:space="preserve">haphazard given a lack of clarity </w:t>
      </w:r>
      <w:r w:rsidR="000C2666" w:rsidRPr="00455EB3">
        <w:rPr>
          <w:rFonts w:ascii="Times New Roman" w:hAnsi="Times New Roman" w:cs="Times New Roman"/>
        </w:rPr>
        <w:t xml:space="preserve">- </w:t>
      </w:r>
      <w:r w:rsidR="00CF0647" w:rsidRPr="00455EB3">
        <w:rPr>
          <w:rFonts w:ascii="Times New Roman" w:hAnsi="Times New Roman" w:cs="Times New Roman"/>
        </w:rPr>
        <w:t xml:space="preserve">not so much as to </w:t>
      </w:r>
      <w:r w:rsidR="00CF0647" w:rsidRPr="00455EB3">
        <w:rPr>
          <w:rFonts w:ascii="Times New Roman" w:hAnsi="Times New Roman" w:cs="Times New Roman"/>
          <w:i/>
          <w:iCs/>
        </w:rPr>
        <w:t>what</w:t>
      </w:r>
      <w:r w:rsidR="00CF0647" w:rsidRPr="00455EB3">
        <w:rPr>
          <w:rFonts w:ascii="Times New Roman" w:hAnsi="Times New Roman" w:cs="Times New Roman"/>
        </w:rPr>
        <w:t xml:space="preserve"> is required</w:t>
      </w:r>
      <w:r w:rsidR="00C01356" w:rsidRPr="00455EB3">
        <w:rPr>
          <w:rFonts w:ascii="Times New Roman" w:hAnsi="Times New Roman" w:cs="Times New Roman"/>
        </w:rPr>
        <w:t xml:space="preserve"> (</w:t>
      </w:r>
      <w:r w:rsidR="00E63CF3" w:rsidRPr="00455EB3">
        <w:rPr>
          <w:rFonts w:ascii="Times New Roman" w:hAnsi="Times New Roman" w:cs="Times New Roman"/>
        </w:rPr>
        <w:t>i</w:t>
      </w:r>
      <w:r w:rsidR="00E63CF3">
        <w:rPr>
          <w:rFonts w:ascii="Times New Roman" w:hAnsi="Times New Roman" w:cs="Times New Roman"/>
        </w:rPr>
        <w:t>.e.</w:t>
      </w:r>
      <w:r w:rsidR="00E63CF3" w:rsidRPr="00455EB3">
        <w:rPr>
          <w:rFonts w:ascii="Times New Roman" w:hAnsi="Times New Roman" w:cs="Times New Roman"/>
        </w:rPr>
        <w:t xml:space="preserve"> </w:t>
      </w:r>
      <w:r w:rsidR="00C01356" w:rsidRPr="00455EB3">
        <w:rPr>
          <w:rFonts w:ascii="Times New Roman" w:hAnsi="Times New Roman" w:cs="Times New Roman"/>
        </w:rPr>
        <w:t>checking identity and address)</w:t>
      </w:r>
      <w:r w:rsidR="00CF0647" w:rsidRPr="00455EB3">
        <w:rPr>
          <w:rFonts w:ascii="Times New Roman" w:hAnsi="Times New Roman" w:cs="Times New Roman"/>
        </w:rPr>
        <w:t xml:space="preserve">, but rather </w:t>
      </w:r>
      <w:r w:rsidR="00CF0647" w:rsidRPr="00455EB3">
        <w:rPr>
          <w:rFonts w:ascii="Times New Roman" w:hAnsi="Times New Roman" w:cs="Times New Roman"/>
          <w:i/>
          <w:iCs/>
        </w:rPr>
        <w:t>when</w:t>
      </w:r>
      <w:r w:rsidR="00CF0647" w:rsidRPr="00455EB3">
        <w:rPr>
          <w:rFonts w:ascii="Times New Roman" w:hAnsi="Times New Roman" w:cs="Times New Roman"/>
        </w:rPr>
        <w:t xml:space="preserve"> the rules apply and </w:t>
      </w:r>
      <w:r w:rsidR="00CF0647" w:rsidRPr="00455EB3">
        <w:rPr>
          <w:rFonts w:ascii="Times New Roman" w:hAnsi="Times New Roman" w:cs="Times New Roman"/>
          <w:i/>
          <w:iCs/>
        </w:rPr>
        <w:t>how</w:t>
      </w:r>
      <w:r w:rsidR="00CF0647" w:rsidRPr="00455EB3">
        <w:rPr>
          <w:rFonts w:ascii="Times New Roman" w:hAnsi="Times New Roman" w:cs="Times New Roman"/>
        </w:rPr>
        <w:t xml:space="preserve"> best to apply them. Given this context, then, it is unsurprising that - in their survey of MLROs - Gill and Taylor concluded that ‘A very clear majority of respondents felt that KYC procedures would not prevent money laundering by PEPs, either in the UK or abroad’</w:t>
      </w:r>
      <w:r w:rsidR="006C4761" w:rsidRPr="00455EB3">
        <w:rPr>
          <w:rFonts w:ascii="Times New Roman" w:hAnsi="Times New Roman" w:cs="Times New Roman"/>
        </w:rPr>
        <w:t>.</w:t>
      </w:r>
      <w:r w:rsidR="00CF0647" w:rsidRPr="00455EB3">
        <w:rPr>
          <w:rStyle w:val="FootnoteReference"/>
          <w:rFonts w:ascii="Times New Roman" w:hAnsi="Times New Roman" w:cs="Times New Roman"/>
        </w:rPr>
        <w:footnoteReference w:id="136"/>
      </w:r>
    </w:p>
    <w:p w14:paraId="2E27A6BF" w14:textId="77777777" w:rsidR="00E84F82" w:rsidRPr="00455EB3" w:rsidRDefault="00E84F82" w:rsidP="00AB4266">
      <w:pPr>
        <w:jc w:val="both"/>
        <w:rPr>
          <w:rFonts w:ascii="Times New Roman" w:hAnsi="Times New Roman" w:cs="Times New Roman"/>
        </w:rPr>
      </w:pPr>
    </w:p>
    <w:p w14:paraId="557C4CC9" w14:textId="2085405E" w:rsidR="003B3B13" w:rsidRPr="004E5BA2" w:rsidRDefault="00C01356" w:rsidP="00AB4266">
      <w:pPr>
        <w:pStyle w:val="Heading2"/>
        <w:jc w:val="both"/>
        <w:rPr>
          <w:rFonts w:ascii="Times New Roman" w:hAnsi="Times New Roman" w:cs="Times New Roman"/>
          <w:color w:val="auto"/>
        </w:rPr>
      </w:pPr>
      <w:r w:rsidRPr="00455EB3">
        <w:rPr>
          <w:rFonts w:ascii="Times New Roman" w:hAnsi="Times New Roman" w:cs="Times New Roman"/>
          <w:color w:val="auto"/>
        </w:rPr>
        <w:lastRenderedPageBreak/>
        <w:t xml:space="preserve">Reliance on </w:t>
      </w:r>
      <w:r w:rsidR="00B52376" w:rsidRPr="00455EB3">
        <w:rPr>
          <w:rFonts w:ascii="Times New Roman" w:hAnsi="Times New Roman" w:cs="Times New Roman"/>
          <w:color w:val="auto"/>
        </w:rPr>
        <w:t>t</w:t>
      </w:r>
      <w:r w:rsidRPr="00455EB3">
        <w:rPr>
          <w:rFonts w:ascii="Times New Roman" w:hAnsi="Times New Roman" w:cs="Times New Roman"/>
          <w:color w:val="auto"/>
        </w:rPr>
        <w:t>hird-</w:t>
      </w:r>
      <w:r w:rsidR="00B52376" w:rsidRPr="00455EB3">
        <w:rPr>
          <w:rFonts w:ascii="Times New Roman" w:hAnsi="Times New Roman" w:cs="Times New Roman"/>
          <w:color w:val="auto"/>
        </w:rPr>
        <w:t>p</w:t>
      </w:r>
      <w:r w:rsidRPr="00455EB3">
        <w:rPr>
          <w:rFonts w:ascii="Times New Roman" w:hAnsi="Times New Roman" w:cs="Times New Roman"/>
          <w:color w:val="auto"/>
        </w:rPr>
        <w:t xml:space="preserve">arty </w:t>
      </w:r>
      <w:r w:rsidR="00B52376" w:rsidRPr="00455EB3">
        <w:rPr>
          <w:rFonts w:ascii="Times New Roman" w:hAnsi="Times New Roman" w:cs="Times New Roman"/>
          <w:color w:val="auto"/>
        </w:rPr>
        <w:t>c</w:t>
      </w:r>
      <w:r w:rsidRPr="00455EB3">
        <w:rPr>
          <w:rFonts w:ascii="Times New Roman" w:hAnsi="Times New Roman" w:cs="Times New Roman"/>
          <w:color w:val="auto"/>
        </w:rPr>
        <w:t>hecks</w:t>
      </w:r>
    </w:p>
    <w:p w14:paraId="0641F138" w14:textId="3AEB741B" w:rsidR="00E04653" w:rsidRPr="00455EB3" w:rsidRDefault="00E04653" w:rsidP="00AB4266">
      <w:pPr>
        <w:jc w:val="both"/>
        <w:rPr>
          <w:rFonts w:ascii="Times New Roman" w:hAnsi="Times New Roman" w:cs="Times New Roman"/>
        </w:rPr>
      </w:pPr>
      <w:r w:rsidRPr="00455EB3">
        <w:rPr>
          <w:rFonts w:ascii="Times New Roman" w:hAnsi="Times New Roman" w:cs="Times New Roman"/>
        </w:rPr>
        <w:t xml:space="preserve">A recurring issue in </w:t>
      </w:r>
      <w:r w:rsidR="009E3D33" w:rsidRPr="00455EB3">
        <w:rPr>
          <w:rFonts w:ascii="Times New Roman" w:hAnsi="Times New Roman" w:cs="Times New Roman"/>
        </w:rPr>
        <w:t xml:space="preserve">our </w:t>
      </w:r>
      <w:r w:rsidRPr="00455EB3">
        <w:rPr>
          <w:rFonts w:ascii="Times New Roman" w:hAnsi="Times New Roman" w:cs="Times New Roman"/>
        </w:rPr>
        <w:t xml:space="preserve">interviews was whether EAs </w:t>
      </w:r>
      <w:r w:rsidR="006F0E73" w:rsidRPr="00455EB3">
        <w:rPr>
          <w:rFonts w:ascii="Times New Roman" w:hAnsi="Times New Roman" w:cs="Times New Roman"/>
        </w:rPr>
        <w:t xml:space="preserve">could </w:t>
      </w:r>
      <w:r w:rsidRPr="00455EB3">
        <w:rPr>
          <w:rFonts w:ascii="Times New Roman" w:hAnsi="Times New Roman" w:cs="Times New Roman"/>
        </w:rPr>
        <w:t xml:space="preserve">rely on CDD checks by </w:t>
      </w:r>
      <w:r w:rsidR="00E1326D" w:rsidRPr="00455EB3">
        <w:rPr>
          <w:rFonts w:ascii="Times New Roman" w:hAnsi="Times New Roman" w:cs="Times New Roman"/>
        </w:rPr>
        <w:t>a third-party</w:t>
      </w:r>
      <w:r w:rsidRPr="00455EB3">
        <w:rPr>
          <w:rFonts w:ascii="Times New Roman" w:hAnsi="Times New Roman" w:cs="Times New Roman"/>
        </w:rPr>
        <w:t>.</w:t>
      </w:r>
      <w:r w:rsidR="00E1326D" w:rsidRPr="00455EB3">
        <w:rPr>
          <w:rStyle w:val="FootnoteReference"/>
          <w:rFonts w:ascii="Times New Roman" w:hAnsi="Times New Roman" w:cs="Times New Roman"/>
        </w:rPr>
        <w:footnoteReference w:id="137"/>
      </w:r>
      <w:r w:rsidRPr="00455EB3">
        <w:rPr>
          <w:rFonts w:ascii="Times New Roman" w:hAnsi="Times New Roman" w:cs="Times New Roman"/>
        </w:rPr>
        <w:t xml:space="preserve"> </w:t>
      </w:r>
      <w:r w:rsidR="5F9CDA88" w:rsidRPr="00455EB3">
        <w:rPr>
          <w:rFonts w:ascii="Times New Roman" w:hAnsi="Times New Roman" w:cs="Times New Roman"/>
        </w:rPr>
        <w:t>As already noted above, such third-party reliance is permitted under the Money Laundering Regulations.</w:t>
      </w:r>
      <w:r w:rsidRPr="00A26B6A">
        <w:rPr>
          <w:rFonts w:ascii="Times New Roman" w:hAnsi="Times New Roman" w:cs="Times New Roman"/>
          <w:vertAlign w:val="superscript"/>
        </w:rPr>
        <w:footnoteReference w:id="138"/>
      </w:r>
      <w:r w:rsidR="5F9CDA88" w:rsidRPr="00A26B6A">
        <w:rPr>
          <w:rFonts w:ascii="Times New Roman" w:hAnsi="Times New Roman" w:cs="Times New Roman"/>
          <w:sz w:val="20"/>
          <w:szCs w:val="20"/>
          <w:vertAlign w:val="superscript"/>
        </w:rPr>
        <w:t xml:space="preserve"> </w:t>
      </w:r>
      <w:r w:rsidR="731E1BFF" w:rsidRPr="00455EB3">
        <w:rPr>
          <w:rFonts w:ascii="Times New Roman" w:hAnsi="Times New Roman" w:cs="Times New Roman"/>
        </w:rPr>
        <w:t xml:space="preserve">Our empirical findings </w:t>
      </w:r>
      <w:r w:rsidR="00BE3CA9">
        <w:rPr>
          <w:rFonts w:ascii="Times New Roman" w:hAnsi="Times New Roman" w:cs="Times New Roman"/>
        </w:rPr>
        <w:t>concerning</w:t>
      </w:r>
      <w:r w:rsidR="731E1BFF" w:rsidRPr="00455EB3">
        <w:rPr>
          <w:rFonts w:ascii="Times New Roman" w:hAnsi="Times New Roman" w:cs="Times New Roman"/>
        </w:rPr>
        <w:t xml:space="preserve"> this issue can be grouped into three approaches: 1. those that actively embrace the option and collaborate with trusted colleagues;</w:t>
      </w:r>
      <w:r w:rsidR="20356662" w:rsidRPr="00455EB3">
        <w:rPr>
          <w:rFonts w:ascii="Times New Roman" w:hAnsi="Times New Roman" w:cs="Times New Roman"/>
        </w:rPr>
        <w:t xml:space="preserve"> 2. </w:t>
      </w:r>
      <w:r w:rsidR="7BA8F847" w:rsidRPr="00455EB3">
        <w:rPr>
          <w:rFonts w:ascii="Times New Roman" w:hAnsi="Times New Roman" w:cs="Times New Roman"/>
        </w:rPr>
        <w:t>those that rely upon checks done by others as a me</w:t>
      </w:r>
      <w:r w:rsidR="00F37ACF" w:rsidRPr="00455EB3">
        <w:rPr>
          <w:rFonts w:ascii="Times New Roman" w:hAnsi="Times New Roman" w:cs="Times New Roman"/>
        </w:rPr>
        <w:t>an</w:t>
      </w:r>
      <w:r w:rsidR="7BA8F847" w:rsidRPr="00455EB3">
        <w:rPr>
          <w:rFonts w:ascii="Times New Roman" w:hAnsi="Times New Roman" w:cs="Times New Roman"/>
        </w:rPr>
        <w:t xml:space="preserve">s of absolving themselves; </w:t>
      </w:r>
      <w:r w:rsidR="39F0260B" w:rsidRPr="00455EB3">
        <w:rPr>
          <w:rFonts w:ascii="Times New Roman" w:hAnsi="Times New Roman" w:cs="Times New Roman"/>
        </w:rPr>
        <w:t xml:space="preserve">and 3. </w:t>
      </w:r>
      <w:r w:rsidR="27D6B06A" w:rsidRPr="00455EB3">
        <w:rPr>
          <w:rFonts w:ascii="Times New Roman" w:hAnsi="Times New Roman" w:cs="Times New Roman"/>
        </w:rPr>
        <w:t>those that do not rely upon checks done by others out of an abundance of caution.</w:t>
      </w:r>
      <w:bookmarkStart w:id="2" w:name="_Hlk14015055"/>
    </w:p>
    <w:p w14:paraId="4B16447D" w14:textId="75AE675A" w:rsidR="00E04653" w:rsidRPr="00455EB3" w:rsidRDefault="27D6B06A" w:rsidP="00AB4266">
      <w:pPr>
        <w:ind w:firstLine="720"/>
        <w:jc w:val="both"/>
        <w:rPr>
          <w:rFonts w:ascii="Times New Roman" w:hAnsi="Times New Roman" w:cs="Times New Roman"/>
        </w:rPr>
      </w:pPr>
      <w:r w:rsidRPr="00455EB3">
        <w:rPr>
          <w:rFonts w:ascii="Times New Roman" w:hAnsi="Times New Roman" w:cs="Times New Roman"/>
        </w:rPr>
        <w:t xml:space="preserve">With the first approach above, </w:t>
      </w:r>
      <w:r w:rsidR="6E93EA65" w:rsidRPr="00455EB3">
        <w:rPr>
          <w:rFonts w:ascii="Times New Roman" w:hAnsi="Times New Roman" w:cs="Times New Roman"/>
        </w:rPr>
        <w:t>s</w:t>
      </w:r>
      <w:r w:rsidR="00E04653" w:rsidRPr="00455EB3">
        <w:rPr>
          <w:rFonts w:ascii="Times New Roman" w:hAnsi="Times New Roman" w:cs="Times New Roman"/>
        </w:rPr>
        <w:t xml:space="preserve">ome </w:t>
      </w:r>
      <w:r w:rsidR="522C651B" w:rsidRPr="00455EB3">
        <w:rPr>
          <w:rFonts w:ascii="Times New Roman" w:hAnsi="Times New Roman" w:cs="Times New Roman"/>
        </w:rPr>
        <w:t xml:space="preserve">interviewees </w:t>
      </w:r>
      <w:r w:rsidR="00E04653" w:rsidRPr="00455EB3">
        <w:rPr>
          <w:rFonts w:ascii="Times New Roman" w:hAnsi="Times New Roman" w:cs="Times New Roman"/>
        </w:rPr>
        <w:t xml:space="preserve">noted that they are </w:t>
      </w:r>
      <w:r w:rsidR="569DC679" w:rsidRPr="00455EB3">
        <w:rPr>
          <w:rFonts w:ascii="Times New Roman" w:hAnsi="Times New Roman" w:cs="Times New Roman"/>
        </w:rPr>
        <w:t>relying upon checks done by others</w:t>
      </w:r>
      <w:r w:rsidR="00E04653" w:rsidRPr="00455EB3">
        <w:rPr>
          <w:rFonts w:ascii="Times New Roman" w:hAnsi="Times New Roman" w:cs="Times New Roman"/>
        </w:rPr>
        <w:t xml:space="preserve"> and that a group of different agencies have come together to set up a best practice forum.</w:t>
      </w:r>
      <w:r w:rsidR="00E04653" w:rsidRPr="00455EB3">
        <w:rPr>
          <w:rStyle w:val="FootnoteReference"/>
          <w:rFonts w:ascii="Times New Roman" w:hAnsi="Times New Roman" w:cs="Times New Roman"/>
        </w:rPr>
        <w:footnoteReference w:id="139"/>
      </w:r>
      <w:r w:rsidR="00E04653" w:rsidRPr="00455EB3">
        <w:rPr>
          <w:rFonts w:ascii="Times New Roman" w:hAnsi="Times New Roman" w:cs="Times New Roman"/>
        </w:rPr>
        <w:t xml:space="preserve"> </w:t>
      </w:r>
      <w:bookmarkEnd w:id="2"/>
      <w:r w:rsidR="00E04653" w:rsidRPr="00455EB3">
        <w:rPr>
          <w:rFonts w:ascii="Times New Roman" w:hAnsi="Times New Roman" w:cs="Times New Roman"/>
        </w:rPr>
        <w:t>It was said that they are willing to rely upon checks done by each other, but not information received from other agencies.</w:t>
      </w:r>
      <w:r w:rsidR="00E04653" w:rsidRPr="00455EB3">
        <w:rPr>
          <w:rStyle w:val="FootnoteReference"/>
          <w:rFonts w:ascii="Times New Roman" w:hAnsi="Times New Roman" w:cs="Times New Roman"/>
        </w:rPr>
        <w:footnoteReference w:id="140"/>
      </w:r>
      <w:r w:rsidR="00E06837" w:rsidRPr="00455EB3">
        <w:rPr>
          <w:rFonts w:ascii="Times New Roman" w:hAnsi="Times New Roman" w:cs="Times New Roman"/>
        </w:rPr>
        <w:t xml:space="preserve"> This </w:t>
      </w:r>
      <w:r w:rsidR="009A6A5A" w:rsidRPr="00455EB3">
        <w:rPr>
          <w:rFonts w:ascii="Times New Roman" w:hAnsi="Times New Roman" w:cs="Times New Roman"/>
        </w:rPr>
        <w:t xml:space="preserve">fact </w:t>
      </w:r>
      <w:r w:rsidR="00E06837" w:rsidRPr="00455EB3">
        <w:rPr>
          <w:rFonts w:ascii="Times New Roman" w:hAnsi="Times New Roman" w:cs="Times New Roman"/>
        </w:rPr>
        <w:t>lends support to the idea of a ‘club’ spirit, where competition is put aside</w:t>
      </w:r>
      <w:r w:rsidR="008C1ABE" w:rsidRPr="00455EB3">
        <w:rPr>
          <w:rFonts w:ascii="Times New Roman" w:hAnsi="Times New Roman" w:cs="Times New Roman"/>
        </w:rPr>
        <w:t>,</w:t>
      </w:r>
      <w:r w:rsidR="00E06837" w:rsidRPr="00455EB3">
        <w:rPr>
          <w:rFonts w:ascii="Times New Roman" w:hAnsi="Times New Roman" w:cs="Times New Roman"/>
        </w:rPr>
        <w:t xml:space="preserve"> and a </w:t>
      </w:r>
      <w:r w:rsidR="008C1ABE" w:rsidRPr="00455EB3">
        <w:rPr>
          <w:rFonts w:ascii="Times New Roman" w:hAnsi="Times New Roman" w:cs="Times New Roman"/>
        </w:rPr>
        <w:t xml:space="preserve">common </w:t>
      </w:r>
      <w:r w:rsidR="00E06837" w:rsidRPr="00455EB3">
        <w:rPr>
          <w:rFonts w:ascii="Times New Roman" w:hAnsi="Times New Roman" w:cs="Times New Roman"/>
        </w:rPr>
        <w:t xml:space="preserve">approach </w:t>
      </w:r>
      <w:r w:rsidR="008C1ABE" w:rsidRPr="00455EB3">
        <w:rPr>
          <w:rFonts w:ascii="Times New Roman" w:hAnsi="Times New Roman" w:cs="Times New Roman"/>
        </w:rPr>
        <w:t xml:space="preserve">is </w:t>
      </w:r>
      <w:r w:rsidR="00E06837" w:rsidRPr="00455EB3">
        <w:rPr>
          <w:rFonts w:ascii="Times New Roman" w:hAnsi="Times New Roman" w:cs="Times New Roman"/>
        </w:rPr>
        <w:t>adopted against dirty money.</w:t>
      </w:r>
      <w:r w:rsidR="00E06837" w:rsidRPr="00455EB3">
        <w:rPr>
          <w:rStyle w:val="FootnoteReference"/>
          <w:rFonts w:ascii="Times New Roman" w:hAnsi="Times New Roman" w:cs="Times New Roman"/>
        </w:rPr>
        <w:footnoteReference w:id="141"/>
      </w:r>
      <w:r w:rsidR="00E06837" w:rsidRPr="00455EB3">
        <w:rPr>
          <w:rFonts w:ascii="Times New Roman" w:hAnsi="Times New Roman" w:cs="Times New Roman"/>
        </w:rPr>
        <w:t xml:space="preserve"> </w:t>
      </w:r>
      <w:r w:rsidR="0A4BB4EF" w:rsidRPr="00455EB3">
        <w:rPr>
          <w:rFonts w:ascii="Times New Roman" w:hAnsi="Times New Roman" w:cs="Times New Roman"/>
        </w:rPr>
        <w:t xml:space="preserve">In other instances – the second approach - it emerged that </w:t>
      </w:r>
      <w:r w:rsidR="00297D00">
        <w:rPr>
          <w:rFonts w:ascii="Times New Roman" w:hAnsi="Times New Roman" w:cs="Times New Roman"/>
        </w:rPr>
        <w:t>some</w:t>
      </w:r>
      <w:r w:rsidR="00297D00" w:rsidRPr="00455EB3">
        <w:rPr>
          <w:rFonts w:ascii="Times New Roman" w:hAnsi="Times New Roman" w:cs="Times New Roman"/>
        </w:rPr>
        <w:t xml:space="preserve"> </w:t>
      </w:r>
      <w:r w:rsidR="0A4BB4EF" w:rsidRPr="00455EB3">
        <w:rPr>
          <w:rFonts w:ascii="Times New Roman" w:hAnsi="Times New Roman" w:cs="Times New Roman"/>
        </w:rPr>
        <w:t>EAs attempt to rely upon checks by others as a way of relieving themselves of responsibility</w:t>
      </w:r>
      <w:r w:rsidR="746229E5" w:rsidRPr="00455EB3">
        <w:rPr>
          <w:rFonts w:ascii="Times New Roman" w:hAnsi="Times New Roman" w:cs="Times New Roman"/>
        </w:rPr>
        <w:t xml:space="preserve"> under the Money Laundering Regulations.</w:t>
      </w:r>
      <w:r w:rsidR="0A4BB4EF" w:rsidRPr="00455EB3">
        <w:rPr>
          <w:rFonts w:ascii="Times New Roman" w:hAnsi="Times New Roman" w:cs="Times New Roman"/>
        </w:rPr>
        <w:t xml:space="preserve"> One interviewee described a particular EA who has a standard form with a section for the conveyancer to complete to say that AML checks have been completed: ‘</w:t>
      </w:r>
      <w:r w:rsidR="0A4BB4EF" w:rsidRPr="00455EB3">
        <w:rPr>
          <w:rFonts w:ascii="Times New Roman" w:hAnsi="Times New Roman" w:cs="Times New Roman"/>
          <w:lang w:val="en-US"/>
        </w:rPr>
        <w:t>So, they were automatically trying to pass the buck without any dialogue at all, no knowledge of whether that conveyancer was solid themselves, anything like that’.</w:t>
      </w:r>
      <w:r w:rsidR="00E04653" w:rsidRPr="00455EB3">
        <w:rPr>
          <w:rStyle w:val="FootnoteReference"/>
          <w:rFonts w:ascii="Times New Roman" w:hAnsi="Times New Roman" w:cs="Times New Roman"/>
          <w:lang w:val="en-US"/>
        </w:rPr>
        <w:footnoteReference w:id="142"/>
      </w:r>
      <w:r w:rsidR="570651FB" w:rsidRPr="00455EB3">
        <w:rPr>
          <w:rFonts w:ascii="Times New Roman" w:hAnsi="Times New Roman" w:cs="Times New Roman"/>
        </w:rPr>
        <w:t xml:space="preserve"> </w:t>
      </w:r>
      <w:r w:rsidR="00BF7257">
        <w:rPr>
          <w:rFonts w:ascii="Times New Roman" w:hAnsi="Times New Roman" w:cs="Times New Roman"/>
        </w:rPr>
        <w:t xml:space="preserve">This approach seems to confirm the idea that </w:t>
      </w:r>
      <w:r w:rsidR="00BF7257" w:rsidRPr="00455EB3">
        <w:rPr>
          <w:rFonts w:ascii="Times New Roman" w:hAnsi="Times New Roman" w:cs="Times New Roman"/>
        </w:rPr>
        <w:t>‘much compliance is multifaceted</w:t>
      </w:r>
      <w:r w:rsidR="00A32633">
        <w:rPr>
          <w:rFonts w:ascii="Times New Roman" w:hAnsi="Times New Roman" w:cs="Times New Roman"/>
        </w:rPr>
        <w:t>’</w:t>
      </w:r>
      <w:r w:rsidR="003D4112">
        <w:rPr>
          <w:rStyle w:val="FootnoteReference"/>
          <w:rFonts w:ascii="Times New Roman" w:hAnsi="Times New Roman" w:cs="Times New Roman"/>
        </w:rPr>
        <w:footnoteReference w:id="143"/>
      </w:r>
      <w:r w:rsidR="00A32633">
        <w:rPr>
          <w:rFonts w:ascii="Times New Roman" w:hAnsi="Times New Roman" w:cs="Times New Roman"/>
        </w:rPr>
        <w:t xml:space="preserve"> and</w:t>
      </w:r>
      <w:r w:rsidR="00421748">
        <w:rPr>
          <w:rFonts w:ascii="Times New Roman" w:hAnsi="Times New Roman" w:cs="Times New Roman"/>
        </w:rPr>
        <w:t>,</w:t>
      </w:r>
      <w:r w:rsidR="00A32633">
        <w:rPr>
          <w:rFonts w:ascii="Times New Roman" w:hAnsi="Times New Roman" w:cs="Times New Roman"/>
        </w:rPr>
        <w:t xml:space="preserve"> therefore, various </w:t>
      </w:r>
      <w:r w:rsidR="003D4112">
        <w:rPr>
          <w:rFonts w:ascii="Times New Roman" w:hAnsi="Times New Roman" w:cs="Times New Roman"/>
        </w:rPr>
        <w:t xml:space="preserve">(sometimes very different) </w:t>
      </w:r>
      <w:r w:rsidR="00A32633">
        <w:rPr>
          <w:rFonts w:ascii="Times New Roman" w:hAnsi="Times New Roman" w:cs="Times New Roman"/>
        </w:rPr>
        <w:t>reasons can</w:t>
      </w:r>
      <w:r w:rsidR="003D4112">
        <w:rPr>
          <w:rFonts w:ascii="Times New Roman" w:hAnsi="Times New Roman" w:cs="Times New Roman"/>
        </w:rPr>
        <w:t xml:space="preserve"> </w:t>
      </w:r>
      <w:r w:rsidR="0022403A">
        <w:rPr>
          <w:rFonts w:ascii="Times New Roman" w:hAnsi="Times New Roman" w:cs="Times New Roman"/>
        </w:rPr>
        <w:t>drive compliance and the obliged subjects’ approaches to AML</w:t>
      </w:r>
      <w:r w:rsidR="00BF7257">
        <w:rPr>
          <w:rFonts w:ascii="Times New Roman" w:hAnsi="Times New Roman" w:cs="Times New Roman"/>
        </w:rPr>
        <w:t>.</w:t>
      </w:r>
      <w:r w:rsidR="00BF7257">
        <w:rPr>
          <w:rStyle w:val="FootnoteReference"/>
          <w:rFonts w:ascii="Times New Roman" w:hAnsi="Times New Roman" w:cs="Times New Roman"/>
        </w:rPr>
        <w:footnoteReference w:id="144"/>
      </w:r>
      <w:r w:rsidR="570651FB" w:rsidRPr="00455EB3">
        <w:rPr>
          <w:rFonts w:ascii="Times New Roman" w:hAnsi="Times New Roman" w:cs="Times New Roman"/>
        </w:rPr>
        <w:t xml:space="preserve"> </w:t>
      </w:r>
      <w:r w:rsidR="00421748">
        <w:rPr>
          <w:rFonts w:ascii="Times New Roman" w:hAnsi="Times New Roman" w:cs="Times New Roman"/>
        </w:rPr>
        <w:t xml:space="preserve">Thus, this second </w:t>
      </w:r>
      <w:r w:rsidR="00CC485A">
        <w:rPr>
          <w:rFonts w:ascii="Times New Roman" w:hAnsi="Times New Roman" w:cs="Times New Roman"/>
        </w:rPr>
        <w:t xml:space="preserve">approach </w:t>
      </w:r>
      <w:r w:rsidR="00761DFC">
        <w:rPr>
          <w:rFonts w:ascii="Times New Roman" w:hAnsi="Times New Roman" w:cs="Times New Roman"/>
        </w:rPr>
        <w:t xml:space="preserve">represents a middle-ground position between acting and non-acting, </w:t>
      </w:r>
      <w:r w:rsidR="00825335">
        <w:rPr>
          <w:rFonts w:ascii="Times New Roman" w:hAnsi="Times New Roman" w:cs="Times New Roman"/>
        </w:rPr>
        <w:t>trust and</w:t>
      </w:r>
      <w:r w:rsidR="00DA2EF4">
        <w:rPr>
          <w:rFonts w:ascii="Times New Roman" w:hAnsi="Times New Roman" w:cs="Times New Roman"/>
        </w:rPr>
        <w:t xml:space="preserve"> suspect, </w:t>
      </w:r>
      <w:r w:rsidR="00761DFC">
        <w:rPr>
          <w:rFonts w:ascii="Times New Roman" w:hAnsi="Times New Roman" w:cs="Times New Roman"/>
        </w:rPr>
        <w:t>where</w:t>
      </w:r>
      <w:r w:rsidR="00DA2EF4">
        <w:rPr>
          <w:rFonts w:ascii="Times New Roman" w:hAnsi="Times New Roman" w:cs="Times New Roman"/>
        </w:rPr>
        <w:t xml:space="preserve"> </w:t>
      </w:r>
      <w:r w:rsidR="00461B3C">
        <w:rPr>
          <w:rFonts w:ascii="Times New Roman" w:hAnsi="Times New Roman" w:cs="Times New Roman"/>
        </w:rPr>
        <w:t>EAs</w:t>
      </w:r>
      <w:r w:rsidR="00AE0077">
        <w:rPr>
          <w:rFonts w:ascii="Times New Roman" w:hAnsi="Times New Roman" w:cs="Times New Roman"/>
        </w:rPr>
        <w:t xml:space="preserve">’ compliance is driven by </w:t>
      </w:r>
      <w:r w:rsidR="00600311">
        <w:rPr>
          <w:rFonts w:ascii="Times New Roman" w:hAnsi="Times New Roman" w:cs="Times New Roman"/>
        </w:rPr>
        <w:t xml:space="preserve">a formal fulfilment of their obligations rather than </w:t>
      </w:r>
      <w:r w:rsidR="00721D4E">
        <w:rPr>
          <w:rFonts w:ascii="Times New Roman" w:hAnsi="Times New Roman" w:cs="Times New Roman"/>
        </w:rPr>
        <w:t xml:space="preserve">a direct </w:t>
      </w:r>
      <w:r w:rsidR="00600311">
        <w:rPr>
          <w:rFonts w:ascii="Times New Roman" w:hAnsi="Times New Roman" w:cs="Times New Roman"/>
        </w:rPr>
        <w:t>commitment.</w:t>
      </w:r>
      <w:r w:rsidR="00EE7253">
        <w:rPr>
          <w:rStyle w:val="FootnoteReference"/>
          <w:rFonts w:ascii="Times New Roman" w:hAnsi="Times New Roman" w:cs="Times New Roman"/>
        </w:rPr>
        <w:footnoteReference w:id="145"/>
      </w:r>
      <w:r w:rsidR="00761DFC">
        <w:rPr>
          <w:rFonts w:ascii="Times New Roman" w:hAnsi="Times New Roman" w:cs="Times New Roman"/>
        </w:rPr>
        <w:t xml:space="preserve"> </w:t>
      </w:r>
      <w:r w:rsidR="69106A0B" w:rsidRPr="00455EB3">
        <w:rPr>
          <w:rFonts w:ascii="Times New Roman" w:hAnsi="Times New Roman" w:cs="Times New Roman"/>
        </w:rPr>
        <w:t>Other interviewees spoke about being careful to comply with AML rules, and that they have not yet had any concerns that prompted the filing of a SAR. One person argued that the reason for this is that she already knows many of her clients. If she did not know the person, and it involved ‘a top-end purchase’ then, she said, she would ‘ask them to be qualified by their lawyer or by their bank’.</w:t>
      </w:r>
      <w:r w:rsidR="00E04653" w:rsidRPr="00455EB3">
        <w:rPr>
          <w:rStyle w:val="FootnoteReference"/>
          <w:rFonts w:ascii="Times New Roman" w:hAnsi="Times New Roman" w:cs="Times New Roman"/>
        </w:rPr>
        <w:footnoteReference w:id="146"/>
      </w:r>
      <w:r w:rsidR="69106A0B" w:rsidRPr="00455EB3">
        <w:rPr>
          <w:rFonts w:ascii="Times New Roman" w:hAnsi="Times New Roman" w:cs="Times New Roman"/>
        </w:rPr>
        <w:t xml:space="preserve"> She continued: ‘</w:t>
      </w:r>
      <w:r w:rsidR="69106A0B" w:rsidRPr="00455EB3">
        <w:rPr>
          <w:rFonts w:ascii="Times New Roman" w:hAnsi="Times New Roman" w:cs="Times New Roman"/>
          <w:lang w:val="en-US"/>
        </w:rPr>
        <w:t xml:space="preserve">So, we sort of don’t really have a need to be concerned, </w:t>
      </w:r>
      <w:proofErr w:type="spellStart"/>
      <w:r w:rsidR="69106A0B" w:rsidRPr="00455EB3">
        <w:rPr>
          <w:rFonts w:ascii="Times New Roman" w:hAnsi="Times New Roman" w:cs="Times New Roman"/>
          <w:lang w:val="en-US"/>
        </w:rPr>
        <w:t>‘cause</w:t>
      </w:r>
      <w:proofErr w:type="spellEnd"/>
      <w:r w:rsidR="69106A0B" w:rsidRPr="00455EB3">
        <w:rPr>
          <w:rFonts w:ascii="Times New Roman" w:hAnsi="Times New Roman" w:cs="Times New Roman"/>
          <w:lang w:val="en-US"/>
        </w:rPr>
        <w:t xml:space="preserve"> you sort of know who they are. And, you can Google them, and you can check them up on</w:t>
      </w:r>
      <w:r w:rsidR="00CC485A">
        <w:rPr>
          <w:rFonts w:ascii="Times New Roman" w:hAnsi="Times New Roman" w:cs="Times New Roman"/>
          <w:lang w:val="en-US"/>
        </w:rPr>
        <w:t>,</w:t>
      </w:r>
      <w:r w:rsidR="69106A0B" w:rsidRPr="00455EB3">
        <w:rPr>
          <w:rFonts w:ascii="Times New Roman" w:hAnsi="Times New Roman" w:cs="Times New Roman"/>
          <w:lang w:val="en-US"/>
        </w:rPr>
        <w:t xml:space="preserve"> you know, the internet, these days, so…’.</w:t>
      </w:r>
      <w:r w:rsidR="00E04653" w:rsidRPr="00455EB3">
        <w:rPr>
          <w:rStyle w:val="FootnoteReference"/>
          <w:rFonts w:ascii="Times New Roman" w:hAnsi="Times New Roman" w:cs="Times New Roman"/>
          <w:lang w:val="en-US"/>
        </w:rPr>
        <w:footnoteReference w:id="147"/>
      </w:r>
      <w:r w:rsidR="69106A0B" w:rsidRPr="00455EB3">
        <w:rPr>
          <w:rFonts w:ascii="Times New Roman" w:hAnsi="Times New Roman" w:cs="Times New Roman"/>
          <w:lang w:val="en-US"/>
        </w:rPr>
        <w:t xml:space="preserve"> What is evident from this approach is a sense of self-</w:t>
      </w:r>
      <w:r w:rsidR="69106A0B" w:rsidRPr="00455EB3">
        <w:rPr>
          <w:rFonts w:ascii="Times New Roman" w:hAnsi="Times New Roman" w:cs="Times New Roman"/>
          <w:lang w:val="en-US"/>
        </w:rPr>
        <w:lastRenderedPageBreak/>
        <w:t>justification, particularly where there is ambiguity about the correct way to behave: ‘</w:t>
      </w:r>
      <w:r w:rsidR="69106A0B" w:rsidRPr="00455EB3">
        <w:rPr>
          <w:rFonts w:ascii="Times New Roman" w:hAnsi="Times New Roman" w:cs="Times New Roman"/>
        </w:rPr>
        <w:t>The greater the ambiguity of the situation, the more people will feel confident in their own ethicality</w:t>
      </w:r>
      <w:r w:rsidR="69106A0B" w:rsidRPr="00455EB3">
        <w:rPr>
          <w:rFonts w:ascii="Times New Roman" w:hAnsi="Times New Roman" w:cs="Times New Roman"/>
          <w:lang w:val="en-US"/>
        </w:rPr>
        <w:t>’.</w:t>
      </w:r>
      <w:r w:rsidR="00E04653" w:rsidRPr="00455EB3">
        <w:rPr>
          <w:rStyle w:val="FootnoteReference"/>
          <w:rFonts w:ascii="Times New Roman" w:hAnsi="Times New Roman" w:cs="Times New Roman"/>
          <w:lang w:val="en-US"/>
        </w:rPr>
        <w:footnoteReference w:id="148"/>
      </w:r>
      <w:r w:rsidR="1B1E7AC2" w:rsidRPr="00455EB3">
        <w:rPr>
          <w:rFonts w:ascii="Times New Roman" w:hAnsi="Times New Roman" w:cs="Times New Roman"/>
        </w:rPr>
        <w:t xml:space="preserve"> </w:t>
      </w:r>
      <w:r w:rsidR="570651FB" w:rsidRPr="00455EB3">
        <w:rPr>
          <w:rFonts w:ascii="Times New Roman" w:hAnsi="Times New Roman" w:cs="Times New Roman"/>
        </w:rPr>
        <w:t>F</w:t>
      </w:r>
      <w:r w:rsidR="557BDB34" w:rsidRPr="00455EB3">
        <w:rPr>
          <w:rFonts w:ascii="Times New Roman" w:hAnsi="Times New Roman" w:cs="Times New Roman"/>
        </w:rPr>
        <w:t xml:space="preserve">inally, under the third approach, </w:t>
      </w:r>
      <w:r w:rsidR="0060659D" w:rsidRPr="00455EB3">
        <w:rPr>
          <w:rFonts w:ascii="Times New Roman" w:hAnsi="Times New Roman" w:cs="Times New Roman"/>
        </w:rPr>
        <w:t>some</w:t>
      </w:r>
      <w:r w:rsidR="1338244E" w:rsidRPr="00455EB3">
        <w:rPr>
          <w:rFonts w:ascii="Times New Roman" w:hAnsi="Times New Roman" w:cs="Times New Roman"/>
        </w:rPr>
        <w:t xml:space="preserve"> interviewees</w:t>
      </w:r>
      <w:r w:rsidR="0060659D" w:rsidRPr="00455EB3">
        <w:rPr>
          <w:rFonts w:ascii="Times New Roman" w:hAnsi="Times New Roman" w:cs="Times New Roman"/>
        </w:rPr>
        <w:t xml:space="preserve"> </w:t>
      </w:r>
      <w:r w:rsidR="2FC880C2" w:rsidRPr="00455EB3">
        <w:rPr>
          <w:rFonts w:ascii="Times New Roman" w:hAnsi="Times New Roman" w:cs="Times New Roman"/>
        </w:rPr>
        <w:t xml:space="preserve">noted </w:t>
      </w:r>
      <w:r w:rsidR="0060659D" w:rsidRPr="00455EB3">
        <w:rPr>
          <w:rFonts w:ascii="Times New Roman" w:hAnsi="Times New Roman" w:cs="Times New Roman"/>
        </w:rPr>
        <w:t xml:space="preserve">that although </w:t>
      </w:r>
      <w:r w:rsidR="00DF3297" w:rsidRPr="00455EB3">
        <w:rPr>
          <w:rFonts w:ascii="Times New Roman" w:hAnsi="Times New Roman" w:cs="Times New Roman"/>
        </w:rPr>
        <w:t xml:space="preserve">the </w:t>
      </w:r>
      <w:r w:rsidR="4E717179" w:rsidRPr="00455EB3">
        <w:rPr>
          <w:rFonts w:ascii="Times New Roman" w:hAnsi="Times New Roman" w:cs="Times New Roman"/>
        </w:rPr>
        <w:t>Regulations</w:t>
      </w:r>
      <w:r w:rsidR="00DF3297" w:rsidRPr="00455EB3">
        <w:rPr>
          <w:rFonts w:ascii="Times New Roman" w:hAnsi="Times New Roman" w:cs="Times New Roman"/>
        </w:rPr>
        <w:t xml:space="preserve"> permit </w:t>
      </w:r>
      <w:r w:rsidR="002E22F8" w:rsidRPr="00455EB3">
        <w:rPr>
          <w:rFonts w:ascii="Times New Roman" w:hAnsi="Times New Roman" w:cs="Times New Roman"/>
        </w:rPr>
        <w:t xml:space="preserve">the use of </w:t>
      </w:r>
      <w:r w:rsidR="00E1326D" w:rsidRPr="00455EB3">
        <w:rPr>
          <w:rFonts w:ascii="Times New Roman" w:hAnsi="Times New Roman" w:cs="Times New Roman"/>
        </w:rPr>
        <w:t xml:space="preserve">third-party </w:t>
      </w:r>
      <w:r w:rsidR="00E04653" w:rsidRPr="00455EB3">
        <w:rPr>
          <w:rFonts w:ascii="Times New Roman" w:hAnsi="Times New Roman" w:cs="Times New Roman"/>
        </w:rPr>
        <w:t>CDD checks, EA</w:t>
      </w:r>
      <w:r w:rsidR="002E22F8" w:rsidRPr="00455EB3">
        <w:rPr>
          <w:rFonts w:ascii="Times New Roman" w:hAnsi="Times New Roman" w:cs="Times New Roman"/>
        </w:rPr>
        <w:t>s</w:t>
      </w:r>
      <w:r w:rsidR="00E04653" w:rsidRPr="00455EB3">
        <w:rPr>
          <w:rFonts w:ascii="Times New Roman" w:hAnsi="Times New Roman" w:cs="Times New Roman"/>
        </w:rPr>
        <w:t xml:space="preserve"> remain liable</w:t>
      </w:r>
      <w:r w:rsidR="00DF3297" w:rsidRPr="00455EB3">
        <w:rPr>
          <w:rFonts w:ascii="Times New Roman" w:hAnsi="Times New Roman" w:cs="Times New Roman"/>
        </w:rPr>
        <w:t xml:space="preserve"> if something goes wrong</w:t>
      </w:r>
      <w:r w:rsidR="001B69DE">
        <w:rPr>
          <w:rFonts w:ascii="Times New Roman" w:hAnsi="Times New Roman" w:cs="Times New Roman"/>
        </w:rPr>
        <w:t>.</w:t>
      </w:r>
      <w:r w:rsidR="00E04653" w:rsidRPr="00455EB3">
        <w:rPr>
          <w:rStyle w:val="FootnoteReference"/>
          <w:rFonts w:ascii="Times New Roman" w:hAnsi="Times New Roman" w:cs="Times New Roman"/>
        </w:rPr>
        <w:footnoteReference w:id="149"/>
      </w:r>
      <w:bookmarkStart w:id="4" w:name="_Hlk14015126"/>
      <w:r w:rsidR="00297D2E">
        <w:rPr>
          <w:rFonts w:ascii="Times New Roman" w:hAnsi="Times New Roman" w:cs="Times New Roman"/>
        </w:rPr>
        <w:t xml:space="preserve"> </w:t>
      </w:r>
      <w:r w:rsidR="00E96119" w:rsidRPr="00455EB3">
        <w:rPr>
          <w:rFonts w:ascii="Times New Roman" w:hAnsi="Times New Roman" w:cs="Times New Roman"/>
        </w:rPr>
        <w:t xml:space="preserve">Therefore, </w:t>
      </w:r>
      <w:r w:rsidR="00E04653" w:rsidRPr="00455EB3">
        <w:rPr>
          <w:rFonts w:ascii="Times New Roman" w:hAnsi="Times New Roman" w:cs="Times New Roman"/>
        </w:rPr>
        <w:t xml:space="preserve">they </w:t>
      </w:r>
      <w:r w:rsidR="003A6114" w:rsidRPr="00455EB3">
        <w:rPr>
          <w:rFonts w:ascii="Times New Roman" w:hAnsi="Times New Roman" w:cs="Times New Roman"/>
        </w:rPr>
        <w:t>w</w:t>
      </w:r>
      <w:r w:rsidR="003A6114">
        <w:rPr>
          <w:rFonts w:ascii="Times New Roman" w:hAnsi="Times New Roman" w:cs="Times New Roman"/>
        </w:rPr>
        <w:t>ill</w:t>
      </w:r>
      <w:r w:rsidR="003A6114" w:rsidRPr="00455EB3">
        <w:rPr>
          <w:rFonts w:ascii="Times New Roman" w:hAnsi="Times New Roman" w:cs="Times New Roman"/>
        </w:rPr>
        <w:t xml:space="preserve"> </w:t>
      </w:r>
      <w:r w:rsidR="79EE6A8E" w:rsidRPr="00455EB3">
        <w:rPr>
          <w:rFonts w:ascii="Times New Roman" w:eastAsia="Times New Roman" w:hAnsi="Times New Roman" w:cs="Times New Roman"/>
        </w:rPr>
        <w:t>not rely upon CDD checks by others on that basis.</w:t>
      </w:r>
      <w:bookmarkEnd w:id="4"/>
      <w:r w:rsidR="00E04653" w:rsidRPr="00455EB3">
        <w:rPr>
          <w:rStyle w:val="FootnoteReference"/>
          <w:rFonts w:ascii="Times New Roman" w:hAnsi="Times New Roman" w:cs="Times New Roman"/>
        </w:rPr>
        <w:footnoteReference w:id="150"/>
      </w:r>
      <w:r w:rsidR="1195E7C0" w:rsidRPr="00455EB3">
        <w:rPr>
          <w:rStyle w:val="FootnoteReference"/>
          <w:rFonts w:ascii="Times New Roman" w:hAnsi="Times New Roman" w:cs="Times New Roman"/>
        </w:rPr>
        <w:t xml:space="preserve"> </w:t>
      </w:r>
      <w:r w:rsidR="0A15E620" w:rsidRPr="00455EB3">
        <w:rPr>
          <w:rFonts w:ascii="Times New Roman" w:hAnsi="Times New Roman" w:cs="Times New Roman"/>
        </w:rPr>
        <w:t>In this regard, once a</w:t>
      </w:r>
      <w:r w:rsidR="1195E7C0" w:rsidRPr="00455EB3">
        <w:rPr>
          <w:rFonts w:ascii="Times New Roman" w:hAnsi="Times New Roman" w:cs="Times New Roman"/>
        </w:rPr>
        <w:t xml:space="preserve">gain, we see evidence of regulatory </w:t>
      </w:r>
      <w:r w:rsidR="00F97959" w:rsidRPr="00455EB3">
        <w:rPr>
          <w:rFonts w:ascii="Times New Roman" w:hAnsi="Times New Roman" w:cs="Times New Roman"/>
        </w:rPr>
        <w:t>over-compliance</w:t>
      </w:r>
      <w:r w:rsidR="1195E7C0" w:rsidRPr="00455EB3">
        <w:rPr>
          <w:rFonts w:ascii="Times New Roman" w:hAnsi="Times New Roman" w:cs="Times New Roman"/>
        </w:rPr>
        <w:t>, whereby</w:t>
      </w:r>
      <w:r w:rsidR="478AA498" w:rsidRPr="00455EB3">
        <w:rPr>
          <w:rFonts w:ascii="Times New Roman" w:hAnsi="Times New Roman" w:cs="Times New Roman"/>
        </w:rPr>
        <w:t xml:space="preserve"> – to minimise risk – regulated actors are cautious in application of AML rules, </w:t>
      </w:r>
      <w:r w:rsidR="12FDB9F1" w:rsidRPr="00455EB3">
        <w:rPr>
          <w:rFonts w:ascii="Times New Roman" w:hAnsi="Times New Roman" w:cs="Times New Roman"/>
        </w:rPr>
        <w:t>instead preferring to strictly comply so as to maintain control and certainty.</w:t>
      </w:r>
    </w:p>
    <w:p w14:paraId="0027D1A9" w14:textId="163FC133" w:rsidR="00127E9D" w:rsidRPr="00455EB3" w:rsidRDefault="009A6A5A" w:rsidP="00AB4266">
      <w:pPr>
        <w:jc w:val="both"/>
        <w:rPr>
          <w:rFonts w:ascii="Times New Roman" w:hAnsi="Times New Roman" w:cs="Times New Roman"/>
          <w:lang w:val="en-US"/>
        </w:rPr>
      </w:pPr>
      <w:r w:rsidRPr="00455EB3">
        <w:rPr>
          <w:rFonts w:ascii="Times New Roman" w:hAnsi="Times New Roman" w:cs="Times New Roman"/>
        </w:rPr>
        <w:tab/>
      </w:r>
    </w:p>
    <w:p w14:paraId="19D25B7C" w14:textId="0D328151" w:rsidR="003B3B13" w:rsidRPr="004E5BA2" w:rsidRDefault="00B52376" w:rsidP="00AB4266">
      <w:pPr>
        <w:pStyle w:val="Heading2"/>
        <w:jc w:val="both"/>
        <w:rPr>
          <w:rFonts w:ascii="Times New Roman" w:hAnsi="Times New Roman" w:cs="Times New Roman"/>
          <w:color w:val="auto"/>
        </w:rPr>
      </w:pPr>
      <w:r w:rsidRPr="00455EB3">
        <w:rPr>
          <w:rFonts w:ascii="Times New Roman" w:hAnsi="Times New Roman" w:cs="Times New Roman"/>
          <w:color w:val="auto"/>
        </w:rPr>
        <w:t>Impact on b</w:t>
      </w:r>
      <w:r w:rsidR="00127E9D" w:rsidRPr="00455EB3">
        <w:rPr>
          <w:rFonts w:ascii="Times New Roman" w:hAnsi="Times New Roman" w:cs="Times New Roman"/>
          <w:color w:val="auto"/>
        </w:rPr>
        <w:t>usiness</w:t>
      </w:r>
    </w:p>
    <w:p w14:paraId="5C3528F1" w14:textId="3EBFE0EE" w:rsidR="00940907" w:rsidRPr="00455EB3" w:rsidRDefault="5B096587" w:rsidP="00AB4266">
      <w:pPr>
        <w:jc w:val="both"/>
        <w:rPr>
          <w:rFonts w:ascii="Times New Roman" w:hAnsi="Times New Roman" w:cs="Times New Roman"/>
        </w:rPr>
      </w:pPr>
      <w:r w:rsidRPr="00455EB3">
        <w:rPr>
          <w:rFonts w:ascii="Times New Roman" w:hAnsi="Times New Roman" w:cs="Times New Roman"/>
        </w:rPr>
        <w:t>Where regulation impacts upon businesses/individuals, it is unsurprising that</w:t>
      </w:r>
      <w:r w:rsidR="35417914" w:rsidRPr="00455EB3">
        <w:rPr>
          <w:rFonts w:ascii="Times New Roman" w:hAnsi="Times New Roman" w:cs="Times New Roman"/>
        </w:rPr>
        <w:t xml:space="preserve"> </w:t>
      </w:r>
      <w:proofErr w:type="spellStart"/>
      <w:r w:rsidR="35417914" w:rsidRPr="00455EB3">
        <w:rPr>
          <w:rFonts w:ascii="Times New Roman" w:hAnsi="Times New Roman" w:cs="Times New Roman"/>
        </w:rPr>
        <w:t>regulatees</w:t>
      </w:r>
      <w:proofErr w:type="spellEnd"/>
      <w:r w:rsidRPr="00455EB3">
        <w:rPr>
          <w:rFonts w:ascii="Times New Roman" w:hAnsi="Times New Roman" w:cs="Times New Roman"/>
        </w:rPr>
        <w:t xml:space="preserve"> might reflect upon how </w:t>
      </w:r>
      <w:r w:rsidR="1E19E213" w:rsidRPr="00455EB3">
        <w:rPr>
          <w:rFonts w:ascii="Times New Roman" w:hAnsi="Times New Roman" w:cs="Times New Roman"/>
        </w:rPr>
        <w:t>are</w:t>
      </w:r>
      <w:r w:rsidRPr="00455EB3">
        <w:rPr>
          <w:rFonts w:ascii="Times New Roman" w:hAnsi="Times New Roman" w:cs="Times New Roman"/>
        </w:rPr>
        <w:t xml:space="preserve"> impacted. In this study</w:t>
      </w:r>
      <w:r w:rsidR="441A6D58" w:rsidRPr="00455EB3">
        <w:rPr>
          <w:rFonts w:ascii="Times New Roman" w:hAnsi="Times New Roman" w:cs="Times New Roman"/>
        </w:rPr>
        <w:t xml:space="preserve">, interviewees reflected upon how AML obligations </w:t>
      </w:r>
      <w:r w:rsidR="08992E24" w:rsidRPr="00455EB3">
        <w:rPr>
          <w:rFonts w:ascii="Times New Roman" w:hAnsi="Times New Roman" w:cs="Times New Roman"/>
        </w:rPr>
        <w:t xml:space="preserve">affect them. </w:t>
      </w:r>
      <w:r w:rsidR="008F5F2B" w:rsidRPr="00455EB3">
        <w:rPr>
          <w:rFonts w:ascii="Times New Roman" w:hAnsi="Times New Roman" w:cs="Times New Roman"/>
        </w:rPr>
        <w:t>When discussing the implementation of CDD checks,</w:t>
      </w:r>
      <w:r w:rsidR="6193D684" w:rsidRPr="00455EB3">
        <w:rPr>
          <w:rFonts w:ascii="Times New Roman" w:hAnsi="Times New Roman" w:cs="Times New Roman"/>
        </w:rPr>
        <w:t xml:space="preserve"> for example,</w:t>
      </w:r>
      <w:r w:rsidR="008F5F2B" w:rsidRPr="00455EB3">
        <w:rPr>
          <w:rFonts w:ascii="Times New Roman" w:hAnsi="Times New Roman" w:cs="Times New Roman"/>
        </w:rPr>
        <w:t xml:space="preserve"> </w:t>
      </w:r>
      <w:r w:rsidR="007D4E57" w:rsidRPr="00455EB3">
        <w:rPr>
          <w:rFonts w:ascii="Times New Roman" w:hAnsi="Times New Roman" w:cs="Times New Roman"/>
        </w:rPr>
        <w:t>t</w:t>
      </w:r>
      <w:r w:rsidR="00921BAD" w:rsidRPr="00455EB3">
        <w:rPr>
          <w:rFonts w:ascii="Times New Roman" w:hAnsi="Times New Roman" w:cs="Times New Roman"/>
        </w:rPr>
        <w:t xml:space="preserve">here was criticism </w:t>
      </w:r>
      <w:r w:rsidR="2D0210CB" w:rsidRPr="00455EB3">
        <w:rPr>
          <w:rFonts w:ascii="Times New Roman" w:hAnsi="Times New Roman" w:cs="Times New Roman"/>
        </w:rPr>
        <w:t xml:space="preserve">of </w:t>
      </w:r>
      <w:r w:rsidR="00921BAD" w:rsidRPr="00455EB3">
        <w:rPr>
          <w:rFonts w:ascii="Times New Roman" w:hAnsi="Times New Roman" w:cs="Times New Roman"/>
        </w:rPr>
        <w:t>how AML can impact upon the sale process</w:t>
      </w:r>
      <w:r w:rsidR="00906232" w:rsidRPr="00455EB3">
        <w:rPr>
          <w:rFonts w:ascii="Times New Roman" w:hAnsi="Times New Roman" w:cs="Times New Roman"/>
        </w:rPr>
        <w:t xml:space="preserve">. </w:t>
      </w:r>
      <w:r w:rsidR="00986A65" w:rsidRPr="00455EB3">
        <w:rPr>
          <w:rFonts w:ascii="Times New Roman" w:hAnsi="Times New Roman" w:cs="Times New Roman"/>
        </w:rPr>
        <w:t xml:space="preserve">Indeed, </w:t>
      </w:r>
      <w:r w:rsidR="00162743" w:rsidRPr="00455EB3">
        <w:rPr>
          <w:rFonts w:ascii="Times New Roman" w:hAnsi="Times New Roman" w:cs="Times New Roman"/>
        </w:rPr>
        <w:t xml:space="preserve">CDD checks can impact both customers and EAs negatively. </w:t>
      </w:r>
      <w:r w:rsidR="00906232" w:rsidRPr="00455EB3">
        <w:rPr>
          <w:rFonts w:ascii="Times New Roman" w:hAnsi="Times New Roman" w:cs="Times New Roman"/>
        </w:rPr>
        <w:t>F</w:t>
      </w:r>
      <w:r w:rsidR="00921BAD" w:rsidRPr="00455EB3">
        <w:rPr>
          <w:rFonts w:ascii="Times New Roman" w:hAnsi="Times New Roman" w:cs="Times New Roman"/>
        </w:rPr>
        <w:t>or example, if an EA experiences a delay when doing AML checks upon a potential buyer, that impacts upon the transaction. So, the client is inconvenienced. Moreover, such delays might open up the possibility of another agent coming along with a different buyer and thus causing the initial agent to lose a sale.</w:t>
      </w:r>
      <w:r w:rsidR="00921BAD" w:rsidRPr="00455EB3">
        <w:rPr>
          <w:rStyle w:val="FootnoteReference"/>
          <w:rFonts w:ascii="Times New Roman" w:hAnsi="Times New Roman" w:cs="Times New Roman"/>
        </w:rPr>
        <w:footnoteReference w:id="151"/>
      </w:r>
      <w:r w:rsidR="00921BAD" w:rsidRPr="00455EB3">
        <w:rPr>
          <w:rFonts w:ascii="Times New Roman" w:hAnsi="Times New Roman" w:cs="Times New Roman"/>
        </w:rPr>
        <w:t xml:space="preserve"> </w:t>
      </w:r>
      <w:r w:rsidR="00963A64" w:rsidRPr="00455EB3">
        <w:rPr>
          <w:rFonts w:ascii="Times New Roman" w:hAnsi="Times New Roman" w:cs="Times New Roman"/>
        </w:rPr>
        <w:t>In this sense, c</w:t>
      </w:r>
      <w:r w:rsidR="00921BAD" w:rsidRPr="00455EB3">
        <w:rPr>
          <w:rFonts w:ascii="Times New Roman" w:hAnsi="Times New Roman" w:cs="Times New Roman"/>
        </w:rPr>
        <w:t xml:space="preserve">oncerns </w:t>
      </w:r>
      <w:r w:rsidR="008F5F2B" w:rsidRPr="00455EB3">
        <w:rPr>
          <w:rFonts w:ascii="Times New Roman" w:hAnsi="Times New Roman" w:cs="Times New Roman"/>
        </w:rPr>
        <w:t xml:space="preserve">were expressed </w:t>
      </w:r>
      <w:r w:rsidR="00921BAD" w:rsidRPr="00455EB3">
        <w:rPr>
          <w:rFonts w:ascii="Times New Roman" w:hAnsi="Times New Roman" w:cs="Times New Roman"/>
        </w:rPr>
        <w:t>that a firm that complies with AML requirements might be regarded as ‘kind of a pain for people to buy through’ simply because they do AML checks, thus putting those firms at a disadvantage compared to others that are not doing the same checks.</w:t>
      </w:r>
      <w:r w:rsidR="00921BAD" w:rsidRPr="00455EB3">
        <w:rPr>
          <w:rStyle w:val="FootnoteReference"/>
          <w:rFonts w:ascii="Times New Roman" w:hAnsi="Times New Roman" w:cs="Times New Roman"/>
        </w:rPr>
        <w:footnoteReference w:id="152"/>
      </w:r>
      <w:r w:rsidR="00921BAD" w:rsidRPr="00455EB3">
        <w:rPr>
          <w:rFonts w:ascii="Times New Roman" w:hAnsi="Times New Roman" w:cs="Times New Roman"/>
        </w:rPr>
        <w:t xml:space="preserve"> </w:t>
      </w:r>
      <w:r w:rsidR="30D8AEFC" w:rsidRPr="00455EB3">
        <w:rPr>
          <w:rFonts w:ascii="Times New Roman" w:hAnsi="Times New Roman" w:cs="Times New Roman"/>
        </w:rPr>
        <w:t>Thus, there can potentially be a disincentive to compliance</w:t>
      </w:r>
      <w:r w:rsidR="0F8EEAC0" w:rsidRPr="00455EB3">
        <w:rPr>
          <w:rFonts w:ascii="Times New Roman" w:hAnsi="Times New Roman" w:cs="Times New Roman"/>
        </w:rPr>
        <w:t>.</w:t>
      </w:r>
      <w:r w:rsidR="30D8AEFC" w:rsidRPr="00455EB3">
        <w:rPr>
          <w:rFonts w:ascii="Times New Roman" w:hAnsi="Times New Roman" w:cs="Times New Roman"/>
        </w:rPr>
        <w:t xml:space="preserve"> </w:t>
      </w:r>
      <w:r w:rsidR="00921BAD" w:rsidRPr="00455EB3">
        <w:rPr>
          <w:rFonts w:ascii="Times New Roman" w:hAnsi="Times New Roman" w:cs="Times New Roman"/>
        </w:rPr>
        <w:t xml:space="preserve">Some </w:t>
      </w:r>
      <w:r w:rsidR="003C694F" w:rsidRPr="00455EB3">
        <w:rPr>
          <w:rFonts w:ascii="Times New Roman" w:hAnsi="Times New Roman" w:cs="Times New Roman"/>
        </w:rPr>
        <w:t xml:space="preserve">sales EAs </w:t>
      </w:r>
      <w:r w:rsidR="00921BAD" w:rsidRPr="00455EB3">
        <w:rPr>
          <w:rFonts w:ascii="Times New Roman" w:hAnsi="Times New Roman" w:cs="Times New Roman"/>
        </w:rPr>
        <w:t xml:space="preserve">have </w:t>
      </w:r>
      <w:r w:rsidR="3A3D6D42" w:rsidRPr="00455EB3">
        <w:rPr>
          <w:rFonts w:ascii="Times New Roman" w:hAnsi="Times New Roman" w:cs="Times New Roman"/>
        </w:rPr>
        <w:t xml:space="preserve">tried to </w:t>
      </w:r>
      <w:r w:rsidR="06F88528" w:rsidRPr="00455EB3">
        <w:rPr>
          <w:rFonts w:ascii="Times New Roman" w:hAnsi="Times New Roman" w:cs="Times New Roman"/>
        </w:rPr>
        <w:t>manage the risk of losing a transaction</w:t>
      </w:r>
      <w:r w:rsidR="00921BAD" w:rsidRPr="00455EB3">
        <w:rPr>
          <w:rFonts w:ascii="Times New Roman" w:hAnsi="Times New Roman" w:cs="Times New Roman"/>
        </w:rPr>
        <w:t xml:space="preserve"> by doing AML checks at an early stage (before </w:t>
      </w:r>
      <w:r w:rsidR="001270BB" w:rsidRPr="00455EB3">
        <w:rPr>
          <w:rFonts w:ascii="Times New Roman" w:hAnsi="Times New Roman" w:cs="Times New Roman"/>
        </w:rPr>
        <w:t xml:space="preserve">putting an </w:t>
      </w:r>
      <w:r w:rsidR="00921BAD" w:rsidRPr="00455EB3">
        <w:rPr>
          <w:rFonts w:ascii="Times New Roman" w:hAnsi="Times New Roman" w:cs="Times New Roman"/>
        </w:rPr>
        <w:t>offer to their client, the vendor).</w:t>
      </w:r>
      <w:r w:rsidR="00921BAD" w:rsidRPr="00455EB3">
        <w:rPr>
          <w:rStyle w:val="FootnoteReference"/>
          <w:rFonts w:ascii="Times New Roman" w:hAnsi="Times New Roman" w:cs="Times New Roman"/>
        </w:rPr>
        <w:footnoteReference w:id="153"/>
      </w:r>
      <w:bookmarkStart w:id="5" w:name="_Hlk14020455"/>
      <w:r w:rsidR="4AEC34F1" w:rsidRPr="00455EB3">
        <w:rPr>
          <w:rFonts w:ascii="Times New Roman" w:hAnsi="Times New Roman" w:cs="Times New Roman"/>
        </w:rPr>
        <w:t xml:space="preserve"> In other words, they </w:t>
      </w:r>
      <w:r w:rsidR="3F1A268B" w:rsidRPr="00455EB3">
        <w:rPr>
          <w:rFonts w:ascii="Times New Roman" w:hAnsi="Times New Roman" w:cs="Times New Roman"/>
        </w:rPr>
        <w:t>pre-emptively</w:t>
      </w:r>
      <w:r w:rsidR="4AEC34F1" w:rsidRPr="00455EB3">
        <w:rPr>
          <w:rFonts w:ascii="Times New Roman" w:hAnsi="Times New Roman" w:cs="Times New Roman"/>
        </w:rPr>
        <w:t xml:space="preserve"> conduct CDD checks to ensure that everything is in order so that</w:t>
      </w:r>
      <w:r w:rsidR="182FB907" w:rsidRPr="00455EB3">
        <w:rPr>
          <w:rFonts w:ascii="Times New Roman" w:hAnsi="Times New Roman" w:cs="Times New Roman"/>
        </w:rPr>
        <w:t>,</w:t>
      </w:r>
      <w:r w:rsidR="4AEC34F1" w:rsidRPr="00455EB3">
        <w:rPr>
          <w:rFonts w:ascii="Times New Roman" w:hAnsi="Times New Roman" w:cs="Times New Roman"/>
        </w:rPr>
        <w:t xml:space="preserve"> if the transaction does proceed</w:t>
      </w:r>
      <w:r w:rsidR="182FB907" w:rsidRPr="00455EB3">
        <w:rPr>
          <w:rFonts w:ascii="Times New Roman" w:hAnsi="Times New Roman" w:cs="Times New Roman"/>
        </w:rPr>
        <w:t>,</w:t>
      </w:r>
      <w:r w:rsidR="4AEC34F1" w:rsidRPr="00455EB3">
        <w:rPr>
          <w:rFonts w:ascii="Times New Roman" w:hAnsi="Times New Roman" w:cs="Times New Roman"/>
        </w:rPr>
        <w:t xml:space="preserve"> it </w:t>
      </w:r>
      <w:r w:rsidR="5269CEBB" w:rsidRPr="00455EB3">
        <w:rPr>
          <w:rFonts w:ascii="Times New Roman" w:hAnsi="Times New Roman" w:cs="Times New Roman"/>
        </w:rPr>
        <w:t xml:space="preserve">reduces the risk of </w:t>
      </w:r>
      <w:r w:rsidR="465F1FD1" w:rsidRPr="00455EB3">
        <w:rPr>
          <w:rFonts w:ascii="Times New Roman" w:hAnsi="Times New Roman" w:cs="Times New Roman"/>
        </w:rPr>
        <w:t>it collapsing at a later stage due to AML discrepancies.</w:t>
      </w:r>
    </w:p>
    <w:p w14:paraId="49B677EB" w14:textId="6224E067" w:rsidR="008917A8" w:rsidRPr="00455EB3" w:rsidRDefault="00921BAD" w:rsidP="00AB4266">
      <w:pPr>
        <w:ind w:firstLine="720"/>
        <w:jc w:val="both"/>
        <w:rPr>
          <w:rFonts w:ascii="Times New Roman" w:hAnsi="Times New Roman" w:cs="Times New Roman"/>
        </w:rPr>
      </w:pPr>
      <w:r w:rsidRPr="00455EB3">
        <w:rPr>
          <w:rFonts w:ascii="Times New Roman" w:hAnsi="Times New Roman" w:cs="Times New Roman"/>
        </w:rPr>
        <w:t>It was noted that if an EA asks too many questions, then a person trying to launder money through that agency can simply withdraw with no consequence</w:t>
      </w:r>
      <w:r w:rsidR="00205197" w:rsidRPr="00455EB3">
        <w:rPr>
          <w:rFonts w:ascii="Times New Roman" w:hAnsi="Times New Roman" w:cs="Times New Roman"/>
        </w:rPr>
        <w:t>s,</w:t>
      </w:r>
      <w:r w:rsidRPr="00455EB3">
        <w:rPr>
          <w:rFonts w:ascii="Times New Roman" w:hAnsi="Times New Roman" w:cs="Times New Roman"/>
        </w:rPr>
        <w:t xml:space="preserve"> by </w:t>
      </w:r>
      <w:r w:rsidR="009C2DC9" w:rsidRPr="00455EB3">
        <w:rPr>
          <w:rFonts w:ascii="Times New Roman" w:hAnsi="Times New Roman" w:cs="Times New Roman"/>
        </w:rPr>
        <w:t xml:space="preserve">merely </w:t>
      </w:r>
      <w:r w:rsidRPr="00455EB3">
        <w:rPr>
          <w:rFonts w:ascii="Times New Roman" w:hAnsi="Times New Roman" w:cs="Times New Roman"/>
        </w:rPr>
        <w:t xml:space="preserve">saying that they have changed their mind and no longer want to purchase the particular </w:t>
      </w:r>
      <w:r w:rsidR="00CB767F" w:rsidRPr="00455EB3">
        <w:rPr>
          <w:rFonts w:ascii="Times New Roman" w:hAnsi="Times New Roman" w:cs="Times New Roman"/>
        </w:rPr>
        <w:t>property</w:t>
      </w:r>
      <w:r w:rsidRPr="00455EB3">
        <w:rPr>
          <w:rFonts w:ascii="Times New Roman" w:hAnsi="Times New Roman" w:cs="Times New Roman"/>
        </w:rPr>
        <w:t>.</w:t>
      </w:r>
      <w:r w:rsidRPr="00455EB3">
        <w:rPr>
          <w:rStyle w:val="FootnoteReference"/>
          <w:rFonts w:ascii="Times New Roman" w:hAnsi="Times New Roman" w:cs="Times New Roman"/>
        </w:rPr>
        <w:footnoteReference w:id="154"/>
      </w:r>
      <w:r w:rsidR="009B6231" w:rsidRPr="00455EB3">
        <w:rPr>
          <w:rFonts w:ascii="Times New Roman" w:hAnsi="Times New Roman" w:cs="Times New Roman"/>
        </w:rPr>
        <w:t xml:space="preserve"> Thus, </w:t>
      </w:r>
      <w:r w:rsidR="005D29DC" w:rsidRPr="00455EB3">
        <w:rPr>
          <w:rFonts w:ascii="Times New Roman" w:hAnsi="Times New Roman" w:cs="Times New Roman"/>
        </w:rPr>
        <w:t>the very act of asking questions</w:t>
      </w:r>
      <w:r w:rsidR="001761A7" w:rsidRPr="00455EB3">
        <w:rPr>
          <w:rFonts w:ascii="Times New Roman" w:hAnsi="Times New Roman" w:cs="Times New Roman"/>
        </w:rPr>
        <w:t xml:space="preserve"> and seeking to comply with AML obligations could impact an EA’s business, potentially making them less likely to comply.</w:t>
      </w:r>
      <w:r w:rsidR="00940907" w:rsidRPr="00455EB3">
        <w:rPr>
          <w:rFonts w:ascii="Times New Roman" w:hAnsi="Times New Roman" w:cs="Times New Roman"/>
        </w:rPr>
        <w:t xml:space="preserve"> </w:t>
      </w:r>
      <w:r w:rsidR="7E3EDD04" w:rsidRPr="00455EB3">
        <w:rPr>
          <w:rFonts w:ascii="Times New Roman" w:hAnsi="Times New Roman" w:cs="Times New Roman"/>
        </w:rPr>
        <w:t>Indeed, an EA might well develop</w:t>
      </w:r>
      <w:r w:rsidR="255FE36A" w:rsidRPr="00455EB3">
        <w:rPr>
          <w:rFonts w:ascii="Times New Roman" w:hAnsi="Times New Roman" w:cs="Times New Roman"/>
        </w:rPr>
        <w:t xml:space="preserve"> an</w:t>
      </w:r>
      <w:r w:rsidR="7E3EDD04" w:rsidRPr="00455EB3">
        <w:rPr>
          <w:rFonts w:ascii="Times New Roman" w:hAnsi="Times New Roman" w:cs="Times New Roman"/>
        </w:rPr>
        <w:t xml:space="preserve"> unfavourable</w:t>
      </w:r>
      <w:r w:rsidR="49E1A673" w:rsidRPr="00455EB3">
        <w:rPr>
          <w:rFonts w:ascii="Times New Roman" w:hAnsi="Times New Roman" w:cs="Times New Roman"/>
        </w:rPr>
        <w:t>, or defiant,</w:t>
      </w:r>
      <w:r w:rsidR="7E3EDD04" w:rsidRPr="00455EB3">
        <w:rPr>
          <w:rFonts w:ascii="Times New Roman" w:hAnsi="Times New Roman" w:cs="Times New Roman"/>
        </w:rPr>
        <w:t xml:space="preserve"> attitude tow</w:t>
      </w:r>
      <w:r w:rsidR="13C44CD6" w:rsidRPr="00455EB3">
        <w:rPr>
          <w:rFonts w:ascii="Times New Roman" w:hAnsi="Times New Roman" w:cs="Times New Roman"/>
        </w:rPr>
        <w:t>ards</w:t>
      </w:r>
      <w:r w:rsidR="7E3EDD04" w:rsidRPr="00455EB3">
        <w:rPr>
          <w:rFonts w:ascii="Times New Roman" w:hAnsi="Times New Roman" w:cs="Times New Roman"/>
        </w:rPr>
        <w:t xml:space="preserve"> </w:t>
      </w:r>
      <w:r w:rsidR="40523D6B" w:rsidRPr="00455EB3">
        <w:rPr>
          <w:rFonts w:ascii="Times New Roman" w:hAnsi="Times New Roman" w:cs="Times New Roman"/>
        </w:rPr>
        <w:t>AML obligations where those obligations impact their business, even where they are generally supportive of the aims of the AML regime.</w:t>
      </w:r>
      <w:r w:rsidRPr="00EF46DC">
        <w:rPr>
          <w:rFonts w:ascii="Times New Roman" w:hAnsi="Times New Roman" w:cs="Times New Roman"/>
          <w:vertAlign w:val="superscript"/>
        </w:rPr>
        <w:footnoteReference w:id="155"/>
      </w:r>
      <w:r w:rsidR="40523D6B" w:rsidRPr="00455EB3">
        <w:rPr>
          <w:rFonts w:ascii="Times New Roman" w:hAnsi="Times New Roman" w:cs="Times New Roman"/>
        </w:rPr>
        <w:t xml:space="preserve"> </w:t>
      </w:r>
      <w:r w:rsidR="64129906" w:rsidRPr="00455EB3">
        <w:rPr>
          <w:rFonts w:ascii="Times New Roman" w:hAnsi="Times New Roman" w:cs="Times New Roman"/>
        </w:rPr>
        <w:t xml:space="preserve">That said, the risk management strategy noted earlier, namely conducting CDD checks at an early stage, allows for </w:t>
      </w:r>
      <w:r w:rsidR="609295E6" w:rsidRPr="00455EB3">
        <w:rPr>
          <w:rFonts w:ascii="Times New Roman" w:hAnsi="Times New Roman" w:cs="Times New Roman"/>
        </w:rPr>
        <w:t xml:space="preserve">such instances </w:t>
      </w:r>
      <w:r w:rsidR="609295E6" w:rsidRPr="00455EB3">
        <w:rPr>
          <w:rFonts w:ascii="Times New Roman" w:hAnsi="Times New Roman" w:cs="Times New Roman"/>
        </w:rPr>
        <w:lastRenderedPageBreak/>
        <w:t xml:space="preserve">to be weeded out. Such a strategy will not always </w:t>
      </w:r>
      <w:r w:rsidR="60FBF6F5" w:rsidRPr="00455EB3">
        <w:rPr>
          <w:rFonts w:ascii="Times New Roman" w:hAnsi="Times New Roman" w:cs="Times New Roman"/>
        </w:rPr>
        <w:t>work, however.</w:t>
      </w:r>
      <w:r w:rsidR="64129906" w:rsidRPr="00455EB3">
        <w:rPr>
          <w:rFonts w:ascii="Times New Roman" w:hAnsi="Times New Roman" w:cs="Times New Roman"/>
        </w:rPr>
        <w:t xml:space="preserve"> </w:t>
      </w:r>
      <w:r w:rsidR="14E12EB7" w:rsidRPr="00455EB3">
        <w:rPr>
          <w:rFonts w:ascii="Times New Roman" w:hAnsi="Times New Roman" w:cs="Times New Roman"/>
        </w:rPr>
        <w:t>For example</w:t>
      </w:r>
      <w:bookmarkEnd w:id="5"/>
      <w:r w:rsidR="008503B9" w:rsidRPr="00455EB3">
        <w:rPr>
          <w:rFonts w:ascii="Times New Roman" w:hAnsi="Times New Roman" w:cs="Times New Roman"/>
        </w:rPr>
        <w:t>, i</w:t>
      </w:r>
      <w:r w:rsidR="0066457E" w:rsidRPr="00455EB3">
        <w:rPr>
          <w:rFonts w:ascii="Times New Roman" w:hAnsi="Times New Roman" w:cs="Times New Roman"/>
        </w:rPr>
        <w:t>n previous studies</w:t>
      </w:r>
      <w:r w:rsidR="00DB1E28">
        <w:rPr>
          <w:rFonts w:ascii="Times New Roman" w:hAnsi="Times New Roman" w:cs="Times New Roman"/>
        </w:rPr>
        <w:t>,</w:t>
      </w:r>
      <w:r w:rsidR="0066457E" w:rsidRPr="00455EB3">
        <w:rPr>
          <w:rFonts w:ascii="Times New Roman" w:hAnsi="Times New Roman" w:cs="Times New Roman"/>
        </w:rPr>
        <w:t xml:space="preserve"> c</w:t>
      </w:r>
      <w:r w:rsidR="00127E9D" w:rsidRPr="00455EB3">
        <w:rPr>
          <w:rFonts w:ascii="Times New Roman" w:hAnsi="Times New Roman" w:cs="Times New Roman"/>
        </w:rPr>
        <w:t xml:space="preserve">oncerns have been expressed </w:t>
      </w:r>
      <w:r w:rsidR="0088439F" w:rsidRPr="00455EB3">
        <w:rPr>
          <w:rFonts w:ascii="Times New Roman" w:hAnsi="Times New Roman" w:cs="Times New Roman"/>
        </w:rPr>
        <w:t xml:space="preserve">about the negative impact of </w:t>
      </w:r>
      <w:r w:rsidR="00127E9D" w:rsidRPr="00455EB3">
        <w:rPr>
          <w:rFonts w:ascii="Times New Roman" w:hAnsi="Times New Roman" w:cs="Times New Roman"/>
        </w:rPr>
        <w:t xml:space="preserve">AML requirements </w:t>
      </w:r>
      <w:r w:rsidR="0088439F" w:rsidRPr="00455EB3">
        <w:rPr>
          <w:rFonts w:ascii="Times New Roman" w:hAnsi="Times New Roman" w:cs="Times New Roman"/>
        </w:rPr>
        <w:t xml:space="preserve">on </w:t>
      </w:r>
      <w:r w:rsidR="00127E9D" w:rsidRPr="00455EB3">
        <w:rPr>
          <w:rFonts w:ascii="Times New Roman" w:hAnsi="Times New Roman" w:cs="Times New Roman"/>
        </w:rPr>
        <w:t>one-off or time-sensitive products (</w:t>
      </w:r>
      <w:r w:rsidR="00DF7271" w:rsidRPr="00455EB3">
        <w:rPr>
          <w:rFonts w:ascii="Times New Roman" w:hAnsi="Times New Roman" w:cs="Times New Roman"/>
        </w:rPr>
        <w:t>e</w:t>
      </w:r>
      <w:r w:rsidR="00DF7271">
        <w:rPr>
          <w:rFonts w:ascii="Times New Roman" w:hAnsi="Times New Roman" w:cs="Times New Roman"/>
        </w:rPr>
        <w:t>.g.</w:t>
      </w:r>
      <w:r w:rsidR="00DF7271" w:rsidRPr="00455EB3">
        <w:rPr>
          <w:rFonts w:ascii="Times New Roman" w:hAnsi="Times New Roman" w:cs="Times New Roman"/>
        </w:rPr>
        <w:t xml:space="preserve"> </w:t>
      </w:r>
      <w:r w:rsidR="00127E9D" w:rsidRPr="00455EB3">
        <w:rPr>
          <w:rFonts w:ascii="Times New Roman" w:hAnsi="Times New Roman" w:cs="Times New Roman"/>
        </w:rPr>
        <w:t>stocks and shares).</w:t>
      </w:r>
      <w:r w:rsidR="00127E9D" w:rsidRPr="00455EB3">
        <w:rPr>
          <w:rStyle w:val="FootnoteReference"/>
          <w:rFonts w:ascii="Times New Roman" w:hAnsi="Times New Roman" w:cs="Times New Roman"/>
        </w:rPr>
        <w:footnoteReference w:id="156"/>
      </w:r>
      <w:r w:rsidR="00127E9D" w:rsidRPr="00455EB3">
        <w:rPr>
          <w:rFonts w:ascii="Times New Roman" w:hAnsi="Times New Roman" w:cs="Times New Roman"/>
        </w:rPr>
        <w:t xml:space="preserve"> In </w:t>
      </w:r>
      <w:r w:rsidR="00815862" w:rsidRPr="00455EB3">
        <w:rPr>
          <w:rFonts w:ascii="Times New Roman" w:hAnsi="Times New Roman" w:cs="Times New Roman"/>
        </w:rPr>
        <w:t>our research</w:t>
      </w:r>
      <w:r w:rsidR="00127E9D" w:rsidRPr="00455EB3">
        <w:rPr>
          <w:rFonts w:ascii="Times New Roman" w:hAnsi="Times New Roman" w:cs="Times New Roman"/>
        </w:rPr>
        <w:t xml:space="preserve">, similar misgivings were evident for some EAs. For example, there can be difficulties where there is </w:t>
      </w:r>
      <w:r w:rsidR="005D3B32" w:rsidRPr="00455EB3">
        <w:rPr>
          <w:rFonts w:ascii="Times New Roman" w:hAnsi="Times New Roman" w:cs="Times New Roman"/>
        </w:rPr>
        <w:t>pressure to</w:t>
      </w:r>
      <w:r w:rsidR="00127E9D" w:rsidRPr="00455EB3">
        <w:rPr>
          <w:rFonts w:ascii="Times New Roman" w:hAnsi="Times New Roman" w:cs="Times New Roman"/>
        </w:rPr>
        <w:t xml:space="preserve"> exchange contracts</w:t>
      </w:r>
      <w:r w:rsidR="005D3B32" w:rsidRPr="00455EB3">
        <w:rPr>
          <w:rFonts w:ascii="Times New Roman" w:hAnsi="Times New Roman" w:cs="Times New Roman"/>
        </w:rPr>
        <w:t xml:space="preserve"> quickly</w:t>
      </w:r>
      <w:r w:rsidR="00127E9D" w:rsidRPr="00455EB3">
        <w:rPr>
          <w:rFonts w:ascii="Times New Roman" w:hAnsi="Times New Roman" w:cs="Times New Roman"/>
        </w:rPr>
        <w:t xml:space="preserve">; in such instances, it might not be possible </w:t>
      </w:r>
      <w:r w:rsidR="009C2DC9" w:rsidRPr="00455EB3">
        <w:rPr>
          <w:rFonts w:ascii="Times New Roman" w:hAnsi="Times New Roman" w:cs="Times New Roman"/>
        </w:rPr>
        <w:t xml:space="preserve">to </w:t>
      </w:r>
      <w:r w:rsidR="005D3B32" w:rsidRPr="00455EB3">
        <w:rPr>
          <w:rFonts w:ascii="Times New Roman" w:hAnsi="Times New Roman" w:cs="Times New Roman"/>
        </w:rPr>
        <w:t>conclude full</w:t>
      </w:r>
      <w:r w:rsidR="00127E9D" w:rsidRPr="00455EB3">
        <w:rPr>
          <w:rFonts w:ascii="Times New Roman" w:hAnsi="Times New Roman" w:cs="Times New Roman"/>
        </w:rPr>
        <w:t xml:space="preserve"> AML checks before completion.</w:t>
      </w:r>
      <w:r w:rsidR="00127E9D" w:rsidRPr="00455EB3">
        <w:rPr>
          <w:rStyle w:val="FootnoteReference"/>
          <w:rFonts w:ascii="Times New Roman" w:hAnsi="Times New Roman" w:cs="Times New Roman"/>
        </w:rPr>
        <w:footnoteReference w:id="157"/>
      </w:r>
      <w:r w:rsidR="494B587B" w:rsidRPr="00455EB3">
        <w:rPr>
          <w:rFonts w:ascii="Times New Roman" w:hAnsi="Times New Roman" w:cs="Times New Roman"/>
        </w:rPr>
        <w:t xml:space="preserve"> The EA is thus faced with a conundrum: comply and potentially lose a commission</w:t>
      </w:r>
      <w:r w:rsidR="1C77E9EC" w:rsidRPr="00455EB3">
        <w:rPr>
          <w:rFonts w:ascii="Times New Roman" w:hAnsi="Times New Roman" w:cs="Times New Roman"/>
        </w:rPr>
        <w:t>,</w:t>
      </w:r>
      <w:r w:rsidR="494B587B" w:rsidRPr="00455EB3">
        <w:rPr>
          <w:rFonts w:ascii="Times New Roman" w:hAnsi="Times New Roman" w:cs="Times New Roman"/>
        </w:rPr>
        <w:t xml:space="preserve"> or do not comply and risk </w:t>
      </w:r>
      <w:r w:rsidR="6D17602E" w:rsidRPr="00455EB3">
        <w:rPr>
          <w:rFonts w:ascii="Times New Roman" w:hAnsi="Times New Roman" w:cs="Times New Roman"/>
        </w:rPr>
        <w:t>prosecution.</w:t>
      </w:r>
    </w:p>
    <w:p w14:paraId="637874BA" w14:textId="1331912D" w:rsidR="330848D0" w:rsidRPr="00455EB3" w:rsidRDefault="330848D0" w:rsidP="00AB4266">
      <w:pPr>
        <w:ind w:firstLine="720"/>
        <w:jc w:val="both"/>
        <w:rPr>
          <w:rFonts w:ascii="Times New Roman" w:hAnsi="Times New Roman" w:cs="Times New Roman"/>
        </w:rPr>
      </w:pPr>
    </w:p>
    <w:p w14:paraId="2ABE3431" w14:textId="102736F3" w:rsidR="003B3B13" w:rsidRPr="00D342C0" w:rsidRDefault="00961320" w:rsidP="00AB4266">
      <w:pPr>
        <w:pStyle w:val="Heading1"/>
        <w:jc w:val="both"/>
        <w:rPr>
          <w:rFonts w:ascii="Times New Roman" w:hAnsi="Times New Roman" w:cs="Times New Roman"/>
          <w:color w:val="auto"/>
        </w:rPr>
      </w:pPr>
      <w:r w:rsidRPr="00455EB3">
        <w:rPr>
          <w:rFonts w:ascii="Times New Roman" w:hAnsi="Times New Roman" w:cs="Times New Roman"/>
          <w:color w:val="auto"/>
        </w:rPr>
        <w:t>Reporting</w:t>
      </w:r>
      <w:r w:rsidR="00B52376" w:rsidRPr="00455EB3">
        <w:rPr>
          <w:rFonts w:ascii="Times New Roman" w:hAnsi="Times New Roman" w:cs="Times New Roman"/>
          <w:color w:val="auto"/>
        </w:rPr>
        <w:t xml:space="preserve"> s</w:t>
      </w:r>
      <w:r w:rsidR="00FB075E" w:rsidRPr="00455EB3">
        <w:rPr>
          <w:rFonts w:ascii="Times New Roman" w:hAnsi="Times New Roman" w:cs="Times New Roman"/>
          <w:color w:val="auto"/>
        </w:rPr>
        <w:t>uspicion</w:t>
      </w:r>
    </w:p>
    <w:p w14:paraId="3D4B615B" w14:textId="24FA9843" w:rsidR="003B3B13" w:rsidRPr="004E5BA2" w:rsidRDefault="00127E9D" w:rsidP="00AB4266">
      <w:pPr>
        <w:pStyle w:val="Heading2"/>
        <w:jc w:val="both"/>
        <w:rPr>
          <w:rFonts w:ascii="Times New Roman" w:hAnsi="Times New Roman" w:cs="Times New Roman"/>
          <w:color w:val="auto"/>
        </w:rPr>
      </w:pPr>
      <w:r w:rsidRPr="00455EB3">
        <w:rPr>
          <w:rFonts w:ascii="Times New Roman" w:hAnsi="Times New Roman" w:cs="Times New Roman"/>
          <w:color w:val="auto"/>
        </w:rPr>
        <w:t>Process</w:t>
      </w:r>
    </w:p>
    <w:p w14:paraId="32B6147A" w14:textId="210B83B3" w:rsidR="00961320" w:rsidRPr="00455EB3" w:rsidRDefault="00474A95" w:rsidP="00AB4266">
      <w:pPr>
        <w:jc w:val="both"/>
        <w:rPr>
          <w:rFonts w:ascii="Times New Roman" w:hAnsi="Times New Roman" w:cs="Times New Roman"/>
        </w:rPr>
      </w:pPr>
      <w:r w:rsidRPr="00455EB3">
        <w:rPr>
          <w:rFonts w:ascii="Times New Roman" w:hAnsi="Times New Roman" w:cs="Times New Roman"/>
        </w:rPr>
        <w:t xml:space="preserve">The concept of </w:t>
      </w:r>
      <w:r w:rsidR="002F18D2" w:rsidRPr="00455EB3">
        <w:rPr>
          <w:rFonts w:ascii="Times New Roman" w:hAnsi="Times New Roman" w:cs="Times New Roman"/>
        </w:rPr>
        <w:t>‘</w:t>
      </w:r>
      <w:r w:rsidRPr="00455EB3">
        <w:rPr>
          <w:rFonts w:ascii="Times New Roman" w:hAnsi="Times New Roman" w:cs="Times New Roman"/>
        </w:rPr>
        <w:t>s</w:t>
      </w:r>
      <w:r w:rsidR="002F18D2" w:rsidRPr="00455EB3">
        <w:rPr>
          <w:rFonts w:ascii="Times New Roman" w:hAnsi="Times New Roman" w:cs="Times New Roman"/>
        </w:rPr>
        <w:t xml:space="preserve">uspicion’ has been described as the </w:t>
      </w:r>
      <w:r w:rsidRPr="00455EB3">
        <w:rPr>
          <w:rFonts w:ascii="Times New Roman" w:hAnsi="Times New Roman" w:cs="Times New Roman"/>
        </w:rPr>
        <w:t xml:space="preserve">‘keystone’ of the AML regime, and it underpins the </w:t>
      </w:r>
      <w:r w:rsidR="000D2C58" w:rsidRPr="00455EB3">
        <w:rPr>
          <w:rFonts w:ascii="Times New Roman" w:hAnsi="Times New Roman" w:cs="Times New Roman"/>
        </w:rPr>
        <w:t>suspicious activity reports (</w:t>
      </w:r>
      <w:r w:rsidRPr="00455EB3">
        <w:rPr>
          <w:rFonts w:ascii="Times New Roman" w:hAnsi="Times New Roman" w:cs="Times New Roman"/>
        </w:rPr>
        <w:t>SARs</w:t>
      </w:r>
      <w:r w:rsidR="000D2C58" w:rsidRPr="00455EB3">
        <w:rPr>
          <w:rFonts w:ascii="Times New Roman" w:hAnsi="Times New Roman" w:cs="Times New Roman"/>
        </w:rPr>
        <w:t>)</w:t>
      </w:r>
      <w:r w:rsidRPr="00455EB3">
        <w:rPr>
          <w:rFonts w:ascii="Times New Roman" w:hAnsi="Times New Roman" w:cs="Times New Roman"/>
        </w:rPr>
        <w:t xml:space="preserve"> process.</w:t>
      </w:r>
      <w:r w:rsidRPr="00455EB3">
        <w:rPr>
          <w:rStyle w:val="FootnoteReference"/>
          <w:rFonts w:ascii="Times New Roman" w:hAnsi="Times New Roman" w:cs="Times New Roman"/>
        </w:rPr>
        <w:footnoteReference w:id="158"/>
      </w:r>
      <w:r w:rsidRPr="00455EB3">
        <w:rPr>
          <w:rFonts w:ascii="Times New Roman" w:hAnsi="Times New Roman" w:cs="Times New Roman"/>
        </w:rPr>
        <w:t xml:space="preserve"> </w:t>
      </w:r>
      <w:r w:rsidR="00957CEC" w:rsidRPr="00455EB3">
        <w:rPr>
          <w:rFonts w:ascii="Times New Roman" w:hAnsi="Times New Roman" w:cs="Times New Roman"/>
        </w:rPr>
        <w:t>The obligation to report arises under POCA, which provides for ‘required disclosures’</w:t>
      </w:r>
      <w:r w:rsidR="00957CEC" w:rsidRPr="00455EB3">
        <w:rPr>
          <w:rStyle w:val="FootnoteReference"/>
          <w:rFonts w:ascii="Times New Roman" w:hAnsi="Times New Roman" w:cs="Times New Roman"/>
        </w:rPr>
        <w:footnoteReference w:id="159"/>
      </w:r>
      <w:r w:rsidR="00957CEC" w:rsidRPr="00455EB3">
        <w:rPr>
          <w:rFonts w:ascii="Times New Roman" w:hAnsi="Times New Roman" w:cs="Times New Roman"/>
        </w:rPr>
        <w:t xml:space="preserve"> and ‘authorised </w:t>
      </w:r>
      <w:proofErr w:type="gramStart"/>
      <w:r w:rsidR="00957CEC" w:rsidRPr="00455EB3">
        <w:rPr>
          <w:rFonts w:ascii="Times New Roman" w:hAnsi="Times New Roman" w:cs="Times New Roman"/>
        </w:rPr>
        <w:t>disclosures’</w:t>
      </w:r>
      <w:proofErr w:type="gramEnd"/>
      <w:r w:rsidR="00957CEC" w:rsidRPr="00455EB3">
        <w:rPr>
          <w:rFonts w:ascii="Times New Roman" w:hAnsi="Times New Roman" w:cs="Times New Roman"/>
        </w:rPr>
        <w:t>.</w:t>
      </w:r>
      <w:r w:rsidR="00957CEC" w:rsidRPr="00455EB3">
        <w:rPr>
          <w:rStyle w:val="FootnoteReference"/>
          <w:rFonts w:ascii="Times New Roman" w:hAnsi="Times New Roman" w:cs="Times New Roman"/>
        </w:rPr>
        <w:footnoteReference w:id="160"/>
      </w:r>
      <w:r w:rsidR="00957CEC" w:rsidRPr="00455EB3">
        <w:rPr>
          <w:rFonts w:ascii="Times New Roman" w:hAnsi="Times New Roman" w:cs="Times New Roman"/>
        </w:rPr>
        <w:t xml:space="preserve"> In both instances, a failure to report can result in criminal prosecution. Authorised disclosures have an additional role in that they provide intelligence to law enforcement authorities. According to Donald Toon of the </w:t>
      </w:r>
      <w:r w:rsidR="40343C6B" w:rsidRPr="00455EB3">
        <w:rPr>
          <w:rFonts w:ascii="Times New Roman" w:hAnsi="Times New Roman" w:cs="Times New Roman"/>
        </w:rPr>
        <w:t>National Crime Agency (</w:t>
      </w:r>
      <w:r w:rsidR="00957CEC" w:rsidRPr="00455EB3">
        <w:rPr>
          <w:rFonts w:ascii="Times New Roman" w:hAnsi="Times New Roman" w:cs="Times New Roman"/>
        </w:rPr>
        <w:t>NCA</w:t>
      </w:r>
      <w:r w:rsidR="4CC72D4B" w:rsidRPr="00455EB3">
        <w:rPr>
          <w:rFonts w:ascii="Times New Roman" w:hAnsi="Times New Roman" w:cs="Times New Roman"/>
        </w:rPr>
        <w:t>)</w:t>
      </w:r>
      <w:r w:rsidR="00957CEC" w:rsidRPr="00455EB3">
        <w:rPr>
          <w:rFonts w:ascii="Times New Roman" w:hAnsi="Times New Roman" w:cs="Times New Roman"/>
        </w:rPr>
        <w:t>, ‘the financial intelligence contained within SARs and UKFIU international requests enhances the intelligence picture against money laundering and all serious and organised crime threats’</w:t>
      </w:r>
      <w:r w:rsidR="00EE3B7C" w:rsidRPr="00455EB3">
        <w:rPr>
          <w:rFonts w:ascii="Times New Roman" w:hAnsi="Times New Roman" w:cs="Times New Roman"/>
        </w:rPr>
        <w:t>.</w:t>
      </w:r>
      <w:r w:rsidR="00957CEC" w:rsidRPr="00455EB3">
        <w:rPr>
          <w:rStyle w:val="FootnoteReference"/>
          <w:rFonts w:ascii="Times New Roman" w:hAnsi="Times New Roman" w:cs="Times New Roman"/>
        </w:rPr>
        <w:footnoteReference w:id="161"/>
      </w:r>
      <w:r w:rsidR="00961320" w:rsidRPr="00455EB3">
        <w:rPr>
          <w:rFonts w:ascii="Times New Roman" w:hAnsi="Times New Roman" w:cs="Times New Roman"/>
        </w:rPr>
        <w:t xml:space="preserve"> Such intelligence, however, stems from EAs doing ‘spying and detective work’</w:t>
      </w:r>
      <w:r w:rsidR="00961320" w:rsidRPr="00455EB3">
        <w:rPr>
          <w:rStyle w:val="FootnoteReference"/>
          <w:rFonts w:ascii="Times New Roman" w:hAnsi="Times New Roman" w:cs="Times New Roman"/>
        </w:rPr>
        <w:footnoteReference w:id="162"/>
      </w:r>
      <w:r w:rsidR="00961320" w:rsidRPr="00455EB3">
        <w:rPr>
          <w:rFonts w:ascii="Times New Roman" w:hAnsi="Times New Roman" w:cs="Times New Roman"/>
        </w:rPr>
        <w:t xml:space="preserve"> or ‘being asked to be the eyes and ears of the </w:t>
      </w:r>
      <w:r w:rsidR="000D20A4" w:rsidRPr="00455EB3">
        <w:rPr>
          <w:rFonts w:ascii="Times New Roman" w:hAnsi="Times New Roman" w:cs="Times New Roman"/>
        </w:rPr>
        <w:t>S</w:t>
      </w:r>
      <w:r w:rsidR="00961320" w:rsidRPr="00455EB3">
        <w:rPr>
          <w:rFonts w:ascii="Times New Roman" w:hAnsi="Times New Roman" w:cs="Times New Roman"/>
        </w:rPr>
        <w:t>tate’.</w:t>
      </w:r>
      <w:r w:rsidR="00961320" w:rsidRPr="00455EB3">
        <w:rPr>
          <w:rStyle w:val="FootnoteReference"/>
          <w:rFonts w:ascii="Times New Roman" w:hAnsi="Times New Roman" w:cs="Times New Roman"/>
        </w:rPr>
        <w:footnoteReference w:id="163"/>
      </w:r>
      <w:r w:rsidR="00961320" w:rsidRPr="00455EB3">
        <w:rPr>
          <w:rFonts w:ascii="Times New Roman" w:hAnsi="Times New Roman" w:cs="Times New Roman"/>
        </w:rPr>
        <w:t xml:space="preserve"> Some </w:t>
      </w:r>
      <w:r w:rsidR="00EE3B7C" w:rsidRPr="00455EB3">
        <w:rPr>
          <w:rFonts w:ascii="Times New Roman" w:hAnsi="Times New Roman" w:cs="Times New Roman"/>
        </w:rPr>
        <w:t xml:space="preserve">interviewees </w:t>
      </w:r>
      <w:r w:rsidR="00961320" w:rsidRPr="00455EB3">
        <w:rPr>
          <w:rFonts w:ascii="Times New Roman" w:hAnsi="Times New Roman" w:cs="Times New Roman"/>
        </w:rPr>
        <w:t>suggested that they do not have the skill nor expertise to carry out such a role</w:t>
      </w:r>
      <w:r w:rsidR="00792AE0" w:rsidRPr="00455EB3">
        <w:rPr>
          <w:rFonts w:ascii="Times New Roman" w:hAnsi="Times New Roman" w:cs="Times New Roman"/>
        </w:rPr>
        <w:t>.</w:t>
      </w:r>
      <w:r w:rsidR="00961320" w:rsidRPr="00455EB3">
        <w:rPr>
          <w:rFonts w:ascii="Times New Roman" w:hAnsi="Times New Roman" w:cs="Times New Roman"/>
        </w:rPr>
        <w:t xml:space="preserve"> </w:t>
      </w:r>
      <w:r w:rsidR="00792AE0" w:rsidRPr="00455EB3">
        <w:rPr>
          <w:rFonts w:ascii="Times New Roman" w:hAnsi="Times New Roman" w:cs="Times New Roman"/>
        </w:rPr>
        <w:t>F</w:t>
      </w:r>
      <w:r w:rsidR="00961320" w:rsidRPr="00455EB3">
        <w:rPr>
          <w:rFonts w:ascii="Times New Roman" w:hAnsi="Times New Roman" w:cs="Times New Roman"/>
        </w:rPr>
        <w:t xml:space="preserve">or example, it was said that checking identification documentation is fine, but investigating </w:t>
      </w:r>
      <w:r w:rsidR="00AB1DAB" w:rsidRPr="00455EB3">
        <w:rPr>
          <w:rFonts w:ascii="Times New Roman" w:hAnsi="Times New Roman" w:cs="Times New Roman"/>
        </w:rPr>
        <w:t xml:space="preserve">the </w:t>
      </w:r>
      <w:r w:rsidR="00961320" w:rsidRPr="00455EB3">
        <w:rPr>
          <w:rFonts w:ascii="Times New Roman" w:hAnsi="Times New Roman" w:cs="Times New Roman"/>
        </w:rPr>
        <w:t xml:space="preserve">source of funds </w:t>
      </w:r>
      <w:r w:rsidR="00D94962" w:rsidRPr="00455EB3">
        <w:rPr>
          <w:rFonts w:ascii="Times New Roman" w:hAnsi="Times New Roman" w:cs="Times New Roman"/>
        </w:rPr>
        <w:t>involving</w:t>
      </w:r>
      <w:r w:rsidR="00961320" w:rsidRPr="00455EB3">
        <w:rPr>
          <w:rFonts w:ascii="Times New Roman" w:hAnsi="Times New Roman" w:cs="Times New Roman"/>
        </w:rPr>
        <w:t xml:space="preserve"> overseas trusts might be beyond the understanding of EAs.</w:t>
      </w:r>
      <w:r w:rsidR="00961320" w:rsidRPr="00455EB3">
        <w:rPr>
          <w:rStyle w:val="FootnoteReference"/>
          <w:rFonts w:ascii="Times New Roman" w:hAnsi="Times New Roman" w:cs="Times New Roman"/>
        </w:rPr>
        <w:footnoteReference w:id="164"/>
      </w:r>
      <w:r w:rsidR="00200A21" w:rsidRPr="00455EB3">
        <w:rPr>
          <w:rFonts w:ascii="Times New Roman" w:hAnsi="Times New Roman" w:cs="Times New Roman"/>
        </w:rPr>
        <w:t xml:space="preserve"> </w:t>
      </w:r>
      <w:r w:rsidR="000D20A4" w:rsidRPr="00455EB3">
        <w:rPr>
          <w:rFonts w:ascii="Times New Roman" w:hAnsi="Times New Roman" w:cs="Times New Roman"/>
        </w:rPr>
        <w:t xml:space="preserve">Moreover, </w:t>
      </w:r>
      <w:r w:rsidR="003D6238" w:rsidRPr="00455EB3">
        <w:rPr>
          <w:rFonts w:ascii="Times New Roman" w:hAnsi="Times New Roman" w:cs="Times New Roman"/>
        </w:rPr>
        <w:t>obligations to report may undermine relationships of trust and confidentiality with a client.</w:t>
      </w:r>
      <w:r w:rsidR="003D6238" w:rsidRPr="00455EB3">
        <w:rPr>
          <w:rStyle w:val="FootnoteReference"/>
          <w:rFonts w:ascii="Times New Roman" w:hAnsi="Times New Roman" w:cs="Times New Roman"/>
        </w:rPr>
        <w:footnoteReference w:id="165"/>
      </w:r>
    </w:p>
    <w:p w14:paraId="5E06E69D" w14:textId="05BB8ABA" w:rsidR="00E37BF8" w:rsidRPr="00455EB3" w:rsidRDefault="000D20A4" w:rsidP="00AB4266">
      <w:pPr>
        <w:jc w:val="both"/>
        <w:rPr>
          <w:rFonts w:ascii="Times New Roman" w:hAnsi="Times New Roman" w:cs="Times New Roman"/>
        </w:rPr>
      </w:pPr>
      <w:r w:rsidRPr="00455EB3">
        <w:rPr>
          <w:rFonts w:ascii="Times New Roman" w:hAnsi="Times New Roman" w:cs="Times New Roman"/>
        </w:rPr>
        <w:tab/>
        <w:t>From the foregoing</w:t>
      </w:r>
      <w:r w:rsidR="0015026D" w:rsidRPr="00455EB3">
        <w:rPr>
          <w:rFonts w:ascii="Times New Roman" w:hAnsi="Times New Roman" w:cs="Times New Roman"/>
        </w:rPr>
        <w:t>,</w:t>
      </w:r>
      <w:r w:rsidRPr="00455EB3">
        <w:rPr>
          <w:rFonts w:ascii="Times New Roman" w:hAnsi="Times New Roman" w:cs="Times New Roman"/>
        </w:rPr>
        <w:t xml:space="preserve"> an important question arises as to h</w:t>
      </w:r>
      <w:r w:rsidR="00961320" w:rsidRPr="00455EB3">
        <w:rPr>
          <w:rFonts w:ascii="Times New Roman" w:hAnsi="Times New Roman" w:cs="Times New Roman"/>
        </w:rPr>
        <w:t>ow</w:t>
      </w:r>
      <w:r w:rsidRPr="00455EB3">
        <w:rPr>
          <w:rFonts w:ascii="Times New Roman" w:hAnsi="Times New Roman" w:cs="Times New Roman"/>
        </w:rPr>
        <w:t xml:space="preserve"> </w:t>
      </w:r>
      <w:r w:rsidR="00961320" w:rsidRPr="00455EB3">
        <w:rPr>
          <w:rFonts w:ascii="Times New Roman" w:hAnsi="Times New Roman" w:cs="Times New Roman"/>
        </w:rPr>
        <w:t>EAs approach decisions to file a report</w:t>
      </w:r>
      <w:r w:rsidRPr="00455EB3">
        <w:rPr>
          <w:rFonts w:ascii="Times New Roman" w:hAnsi="Times New Roman" w:cs="Times New Roman"/>
        </w:rPr>
        <w:t>.</w:t>
      </w:r>
      <w:r w:rsidR="00961320" w:rsidRPr="00455EB3">
        <w:rPr>
          <w:rFonts w:ascii="Times New Roman" w:hAnsi="Times New Roman" w:cs="Times New Roman"/>
        </w:rPr>
        <w:t xml:space="preserve"> </w:t>
      </w:r>
      <w:r w:rsidR="00E37BF8" w:rsidRPr="00455EB3">
        <w:rPr>
          <w:rFonts w:ascii="Times New Roman" w:hAnsi="Times New Roman" w:cs="Times New Roman"/>
        </w:rPr>
        <w:t xml:space="preserve">Some </w:t>
      </w:r>
      <w:r w:rsidRPr="00455EB3">
        <w:rPr>
          <w:rFonts w:ascii="Times New Roman" w:hAnsi="Times New Roman" w:cs="Times New Roman"/>
        </w:rPr>
        <w:t xml:space="preserve">interviewees </w:t>
      </w:r>
      <w:r w:rsidR="00E37BF8" w:rsidRPr="00455EB3">
        <w:rPr>
          <w:rFonts w:ascii="Times New Roman" w:hAnsi="Times New Roman" w:cs="Times New Roman"/>
        </w:rPr>
        <w:t xml:space="preserve">spoke of different </w:t>
      </w:r>
      <w:r w:rsidR="004E1468" w:rsidRPr="00455EB3">
        <w:rPr>
          <w:rFonts w:ascii="Times New Roman" w:hAnsi="Times New Roman" w:cs="Times New Roman"/>
        </w:rPr>
        <w:t xml:space="preserve">methods </w:t>
      </w:r>
      <w:r w:rsidR="00E37BF8" w:rsidRPr="00455EB3">
        <w:rPr>
          <w:rFonts w:ascii="Times New Roman" w:hAnsi="Times New Roman" w:cs="Times New Roman"/>
        </w:rPr>
        <w:t>that they adopt, such as the ‘smell test’</w:t>
      </w:r>
      <w:r w:rsidR="004E1468" w:rsidRPr="00455EB3">
        <w:rPr>
          <w:rFonts w:ascii="Times New Roman" w:hAnsi="Times New Roman" w:cs="Times New Roman"/>
        </w:rPr>
        <w:t>:</w:t>
      </w:r>
      <w:r w:rsidR="00E37BF8" w:rsidRPr="00455EB3">
        <w:rPr>
          <w:rFonts w:ascii="Times New Roman" w:hAnsi="Times New Roman" w:cs="Times New Roman"/>
        </w:rPr>
        <w:t xml:space="preserve"> if something appears ‘a little bit odd’ you should take a step</w:t>
      </w:r>
      <w:r w:rsidR="009A5ABD" w:rsidRPr="00455EB3">
        <w:rPr>
          <w:rFonts w:ascii="Times New Roman" w:hAnsi="Times New Roman" w:cs="Times New Roman"/>
        </w:rPr>
        <w:t xml:space="preserve"> </w:t>
      </w:r>
      <w:r w:rsidR="00E37BF8" w:rsidRPr="00455EB3">
        <w:rPr>
          <w:rFonts w:ascii="Times New Roman" w:hAnsi="Times New Roman" w:cs="Times New Roman"/>
        </w:rPr>
        <w:t>back and ask whether that should be reported to the MLRO.</w:t>
      </w:r>
      <w:r w:rsidR="00E37BF8" w:rsidRPr="00455EB3">
        <w:rPr>
          <w:rStyle w:val="FootnoteReference"/>
          <w:rFonts w:ascii="Times New Roman" w:hAnsi="Times New Roman" w:cs="Times New Roman"/>
        </w:rPr>
        <w:footnoteReference w:id="166"/>
      </w:r>
      <w:r w:rsidR="00961320" w:rsidRPr="00455EB3">
        <w:rPr>
          <w:rFonts w:ascii="Times New Roman" w:hAnsi="Times New Roman" w:cs="Times New Roman"/>
        </w:rPr>
        <w:t xml:space="preserve"> </w:t>
      </w:r>
      <w:r w:rsidR="00E37BF8" w:rsidRPr="00455EB3">
        <w:rPr>
          <w:rFonts w:ascii="Times New Roman" w:hAnsi="Times New Roman" w:cs="Times New Roman"/>
        </w:rPr>
        <w:t xml:space="preserve">A traffic-lights system was also </w:t>
      </w:r>
      <w:r w:rsidR="00E37BF8" w:rsidRPr="00455EB3">
        <w:rPr>
          <w:rFonts w:ascii="Times New Roman" w:hAnsi="Times New Roman" w:cs="Times New Roman"/>
        </w:rPr>
        <w:lastRenderedPageBreak/>
        <w:t>suggested</w:t>
      </w:r>
      <w:r w:rsidR="002170D2" w:rsidRPr="00455EB3">
        <w:rPr>
          <w:rFonts w:ascii="Times New Roman" w:hAnsi="Times New Roman" w:cs="Times New Roman"/>
        </w:rPr>
        <w:t xml:space="preserve">: </w:t>
      </w:r>
      <w:r w:rsidR="00E37BF8" w:rsidRPr="00455EB3">
        <w:rPr>
          <w:rFonts w:ascii="Times New Roman" w:hAnsi="Times New Roman" w:cs="Times New Roman"/>
        </w:rPr>
        <w:t>if everything is right, then it is green; if there is something wrong, but not a criminal offence (</w:t>
      </w:r>
      <w:r w:rsidR="00DF7271" w:rsidRPr="00455EB3">
        <w:rPr>
          <w:rFonts w:ascii="Times New Roman" w:hAnsi="Times New Roman" w:cs="Times New Roman"/>
        </w:rPr>
        <w:t>e</w:t>
      </w:r>
      <w:r w:rsidR="00DF7271">
        <w:rPr>
          <w:rFonts w:ascii="Times New Roman" w:hAnsi="Times New Roman" w:cs="Times New Roman"/>
        </w:rPr>
        <w:t>.g.</w:t>
      </w:r>
      <w:r w:rsidR="00DF7271" w:rsidRPr="00455EB3">
        <w:rPr>
          <w:rFonts w:ascii="Times New Roman" w:hAnsi="Times New Roman" w:cs="Times New Roman"/>
        </w:rPr>
        <w:t xml:space="preserve"> </w:t>
      </w:r>
      <w:r w:rsidR="00E37BF8" w:rsidRPr="00455EB3">
        <w:rPr>
          <w:rFonts w:ascii="Times New Roman" w:hAnsi="Times New Roman" w:cs="Times New Roman"/>
        </w:rPr>
        <w:t xml:space="preserve">a form has not been </w:t>
      </w:r>
      <w:r w:rsidR="002170D2" w:rsidRPr="00455EB3">
        <w:rPr>
          <w:rFonts w:ascii="Times New Roman" w:hAnsi="Times New Roman" w:cs="Times New Roman"/>
        </w:rPr>
        <w:t>completed</w:t>
      </w:r>
      <w:r w:rsidR="00E37BF8" w:rsidRPr="00455EB3">
        <w:rPr>
          <w:rFonts w:ascii="Times New Roman" w:hAnsi="Times New Roman" w:cs="Times New Roman"/>
        </w:rPr>
        <w:t xml:space="preserve"> correctly), then it is amber; and if something is a ‘fail’ under the ML Regs, then it is a red.</w:t>
      </w:r>
      <w:r w:rsidR="00E37BF8" w:rsidRPr="00455EB3">
        <w:rPr>
          <w:rStyle w:val="FootnoteReference"/>
          <w:rFonts w:ascii="Times New Roman" w:hAnsi="Times New Roman" w:cs="Times New Roman"/>
        </w:rPr>
        <w:footnoteReference w:id="167"/>
      </w:r>
      <w:r w:rsidR="00766E6B">
        <w:rPr>
          <w:rFonts w:ascii="Times New Roman" w:hAnsi="Times New Roman" w:cs="Times New Roman"/>
        </w:rPr>
        <w:t xml:space="preserve"> </w:t>
      </w:r>
      <w:r w:rsidR="00805ADC">
        <w:rPr>
          <w:rFonts w:ascii="Times New Roman" w:hAnsi="Times New Roman" w:cs="Times New Roman"/>
        </w:rPr>
        <w:t xml:space="preserve">Filing SARs becomes, therefore, </w:t>
      </w:r>
      <w:r w:rsidR="00773AC8">
        <w:rPr>
          <w:rFonts w:ascii="Times New Roman" w:hAnsi="Times New Roman" w:cs="Times New Roman"/>
        </w:rPr>
        <w:t>a</w:t>
      </w:r>
      <w:r w:rsidR="008765A0">
        <w:rPr>
          <w:rFonts w:ascii="Times New Roman" w:hAnsi="Times New Roman" w:cs="Times New Roman"/>
        </w:rPr>
        <w:t>n</w:t>
      </w:r>
      <w:r w:rsidR="00773AC8">
        <w:rPr>
          <w:rFonts w:ascii="Times New Roman" w:hAnsi="Times New Roman" w:cs="Times New Roman"/>
        </w:rPr>
        <w:t xml:space="preserve"> activity </w:t>
      </w:r>
      <w:r w:rsidR="003E7F40">
        <w:rPr>
          <w:rFonts w:ascii="Times New Roman" w:hAnsi="Times New Roman" w:cs="Times New Roman"/>
        </w:rPr>
        <w:t>which relies upon</w:t>
      </w:r>
      <w:r w:rsidR="00773AC8">
        <w:rPr>
          <w:rFonts w:ascii="Times New Roman" w:hAnsi="Times New Roman" w:cs="Times New Roman"/>
        </w:rPr>
        <w:t xml:space="preserve"> individual perceptions and </w:t>
      </w:r>
      <w:r w:rsidR="00633E88">
        <w:rPr>
          <w:rFonts w:ascii="Times New Roman" w:hAnsi="Times New Roman" w:cs="Times New Roman"/>
        </w:rPr>
        <w:t>choices</w:t>
      </w:r>
      <w:r w:rsidR="003E7F40">
        <w:rPr>
          <w:rFonts w:ascii="Times New Roman" w:hAnsi="Times New Roman" w:cs="Times New Roman"/>
        </w:rPr>
        <w:t>,</w:t>
      </w:r>
      <w:r w:rsidR="00E36EF6">
        <w:rPr>
          <w:rFonts w:ascii="Times New Roman" w:hAnsi="Times New Roman" w:cs="Times New Roman"/>
        </w:rPr>
        <w:t xml:space="preserve"> and there is no common </w:t>
      </w:r>
      <w:r w:rsidR="00633E88">
        <w:rPr>
          <w:rFonts w:ascii="Times New Roman" w:hAnsi="Times New Roman" w:cs="Times New Roman"/>
        </w:rPr>
        <w:t xml:space="preserve">approach. </w:t>
      </w:r>
      <w:r w:rsidR="001A73BD">
        <w:rPr>
          <w:rFonts w:ascii="Times New Roman" w:hAnsi="Times New Roman" w:cs="Times New Roman"/>
        </w:rPr>
        <w:t>N</w:t>
      </w:r>
      <w:r w:rsidR="005A77CB">
        <w:rPr>
          <w:rFonts w:ascii="Times New Roman" w:hAnsi="Times New Roman" w:cs="Times New Roman"/>
        </w:rPr>
        <w:t xml:space="preserve">ot only </w:t>
      </w:r>
      <w:r w:rsidR="001A73BD">
        <w:rPr>
          <w:rFonts w:ascii="Times New Roman" w:hAnsi="Times New Roman" w:cs="Times New Roman"/>
        </w:rPr>
        <w:t>does this result in</w:t>
      </w:r>
      <w:r w:rsidR="005A77CB">
        <w:rPr>
          <w:rFonts w:ascii="Times New Roman" w:hAnsi="Times New Roman" w:cs="Times New Roman"/>
        </w:rPr>
        <w:t xml:space="preserve"> a scattered and </w:t>
      </w:r>
      <w:r w:rsidR="00E87F7E">
        <w:rPr>
          <w:rFonts w:ascii="Times New Roman" w:hAnsi="Times New Roman" w:cs="Times New Roman"/>
        </w:rPr>
        <w:t xml:space="preserve">(possibly) inconsistent </w:t>
      </w:r>
      <w:r w:rsidR="001A73BD">
        <w:rPr>
          <w:rFonts w:ascii="Times New Roman" w:hAnsi="Times New Roman" w:cs="Times New Roman"/>
        </w:rPr>
        <w:t xml:space="preserve">approach </w:t>
      </w:r>
      <w:r w:rsidR="00E87F7E">
        <w:rPr>
          <w:rFonts w:ascii="Times New Roman" w:hAnsi="Times New Roman" w:cs="Times New Roman"/>
        </w:rPr>
        <w:t xml:space="preserve">to potential </w:t>
      </w:r>
      <w:r w:rsidR="0024061D">
        <w:rPr>
          <w:rFonts w:ascii="Times New Roman" w:hAnsi="Times New Roman" w:cs="Times New Roman"/>
        </w:rPr>
        <w:t xml:space="preserve">suspicious activities, but it also </w:t>
      </w:r>
      <w:r w:rsidR="001A73BD">
        <w:rPr>
          <w:rFonts w:ascii="Times New Roman" w:hAnsi="Times New Roman" w:cs="Times New Roman"/>
        </w:rPr>
        <w:t>emphasises</w:t>
      </w:r>
      <w:r w:rsidR="0024061D">
        <w:rPr>
          <w:rFonts w:ascii="Times New Roman" w:hAnsi="Times New Roman" w:cs="Times New Roman"/>
        </w:rPr>
        <w:t xml:space="preserve"> different levels of experience and, therefore, capacity to detect and ‘smell’ </w:t>
      </w:r>
      <w:r w:rsidR="0052124C">
        <w:rPr>
          <w:rFonts w:ascii="Times New Roman" w:hAnsi="Times New Roman" w:cs="Times New Roman"/>
        </w:rPr>
        <w:t>such activities.</w:t>
      </w:r>
    </w:p>
    <w:p w14:paraId="22692658" w14:textId="06C5A35E" w:rsidR="00E37BF8" w:rsidRPr="00455EB3" w:rsidRDefault="00127E9D" w:rsidP="00AB4266">
      <w:pPr>
        <w:ind w:firstLine="720"/>
        <w:jc w:val="both"/>
        <w:rPr>
          <w:rFonts w:ascii="Times New Roman" w:hAnsi="Times New Roman" w:cs="Times New Roman"/>
          <w:lang w:val="en-US"/>
        </w:rPr>
      </w:pPr>
      <w:r w:rsidRPr="00455EB3">
        <w:rPr>
          <w:rFonts w:ascii="Times New Roman" w:hAnsi="Times New Roman" w:cs="Times New Roman"/>
        </w:rPr>
        <w:t xml:space="preserve">There is extensive literature that </w:t>
      </w:r>
      <w:r w:rsidR="003D3E5B" w:rsidRPr="00455EB3">
        <w:rPr>
          <w:rFonts w:ascii="Times New Roman" w:hAnsi="Times New Roman" w:cs="Times New Roman"/>
        </w:rPr>
        <w:t>suggests that process-based regulation significantly influences people’s reactions to their experiences with authorities.</w:t>
      </w:r>
      <w:r w:rsidR="003D3E5B" w:rsidRPr="00455EB3">
        <w:rPr>
          <w:rStyle w:val="FootnoteReference"/>
          <w:rFonts w:ascii="Times New Roman" w:hAnsi="Times New Roman" w:cs="Times New Roman"/>
        </w:rPr>
        <w:footnoteReference w:id="168"/>
      </w:r>
      <w:r w:rsidRPr="00455EB3">
        <w:rPr>
          <w:rFonts w:ascii="Times New Roman" w:hAnsi="Times New Roman" w:cs="Times New Roman"/>
        </w:rPr>
        <w:t xml:space="preserve"> It is useful, then, to consider EAs attitudes towards the SARs filing process.</w:t>
      </w:r>
      <w:r w:rsidR="54749565" w:rsidRPr="00455EB3">
        <w:rPr>
          <w:rFonts w:ascii="Times New Roman" w:hAnsi="Times New Roman" w:cs="Times New Roman"/>
        </w:rPr>
        <w:t xml:space="preserve"> SARs are reported to the UK Financial Intelligence Unit (UKFIU), which is based within the NCA.</w:t>
      </w:r>
      <w:r w:rsidR="003D3E5B" w:rsidRPr="00455EB3">
        <w:rPr>
          <w:rFonts w:ascii="Times New Roman" w:hAnsi="Times New Roman" w:cs="Times New Roman"/>
        </w:rPr>
        <w:t xml:space="preserve"> </w:t>
      </w:r>
      <w:r w:rsidR="00451C23" w:rsidRPr="00455EB3">
        <w:rPr>
          <w:rFonts w:ascii="Times New Roman" w:hAnsi="Times New Roman" w:cs="Times New Roman"/>
        </w:rPr>
        <w:t xml:space="preserve">Theoretically, </w:t>
      </w:r>
      <w:r w:rsidR="00FB4655" w:rsidRPr="00455EB3">
        <w:rPr>
          <w:rFonts w:ascii="Times New Roman" w:hAnsi="Times New Roman" w:cs="Times New Roman"/>
        </w:rPr>
        <w:t>filing a SAR ought to be relatively straightforward</w:t>
      </w:r>
      <w:r w:rsidR="004E7993" w:rsidRPr="00455EB3">
        <w:rPr>
          <w:rFonts w:ascii="Times New Roman" w:hAnsi="Times New Roman" w:cs="Times New Roman"/>
        </w:rPr>
        <w:t>,</w:t>
      </w:r>
      <w:r w:rsidR="00FB4655" w:rsidRPr="00455EB3">
        <w:rPr>
          <w:rStyle w:val="FootnoteReference"/>
          <w:rFonts w:ascii="Times New Roman" w:hAnsi="Times New Roman" w:cs="Times New Roman"/>
        </w:rPr>
        <w:footnoteReference w:id="169"/>
      </w:r>
      <w:r w:rsidR="00005521" w:rsidRPr="00455EB3">
        <w:rPr>
          <w:rFonts w:ascii="Times New Roman" w:hAnsi="Times New Roman" w:cs="Times New Roman"/>
        </w:rPr>
        <w:t xml:space="preserve"> </w:t>
      </w:r>
      <w:r w:rsidR="004E7993" w:rsidRPr="00455EB3">
        <w:rPr>
          <w:rFonts w:ascii="Times New Roman" w:hAnsi="Times New Roman" w:cs="Times New Roman"/>
        </w:rPr>
        <w:t xml:space="preserve">but our data </w:t>
      </w:r>
      <w:r w:rsidR="00200A21" w:rsidRPr="00455EB3">
        <w:rPr>
          <w:rFonts w:ascii="Times New Roman" w:hAnsi="Times New Roman" w:cs="Times New Roman"/>
        </w:rPr>
        <w:t>suggest</w:t>
      </w:r>
      <w:r w:rsidR="00700054" w:rsidRPr="00455EB3">
        <w:rPr>
          <w:rFonts w:ascii="Times New Roman" w:hAnsi="Times New Roman" w:cs="Times New Roman"/>
        </w:rPr>
        <w:t>s</w:t>
      </w:r>
      <w:r w:rsidR="00200A21" w:rsidRPr="00455EB3">
        <w:rPr>
          <w:rFonts w:ascii="Times New Roman" w:hAnsi="Times New Roman" w:cs="Times New Roman"/>
        </w:rPr>
        <w:t xml:space="preserve"> that this </w:t>
      </w:r>
      <w:r w:rsidR="004E7993" w:rsidRPr="00455EB3">
        <w:rPr>
          <w:rFonts w:ascii="Times New Roman" w:hAnsi="Times New Roman" w:cs="Times New Roman"/>
        </w:rPr>
        <w:t xml:space="preserve">is </w:t>
      </w:r>
      <w:r w:rsidR="00200A21" w:rsidRPr="00455EB3">
        <w:rPr>
          <w:rFonts w:ascii="Times New Roman" w:hAnsi="Times New Roman" w:cs="Times New Roman"/>
        </w:rPr>
        <w:t>not always the case.</w:t>
      </w:r>
      <w:r w:rsidR="00FB4655" w:rsidRPr="00455EB3">
        <w:rPr>
          <w:rFonts w:ascii="Times New Roman" w:hAnsi="Times New Roman" w:cs="Times New Roman"/>
        </w:rPr>
        <w:t xml:space="preserve"> </w:t>
      </w:r>
      <w:r w:rsidR="005C3D71" w:rsidRPr="00455EB3">
        <w:rPr>
          <w:rFonts w:ascii="Times New Roman" w:hAnsi="Times New Roman" w:cs="Times New Roman"/>
        </w:rPr>
        <w:t xml:space="preserve">One criticism mounted against the </w:t>
      </w:r>
      <w:r w:rsidR="00957CEC" w:rsidRPr="00455EB3">
        <w:rPr>
          <w:rFonts w:ascii="Times New Roman" w:hAnsi="Times New Roman" w:cs="Times New Roman"/>
        </w:rPr>
        <w:t>SAR system</w:t>
      </w:r>
      <w:r w:rsidR="005C3D71" w:rsidRPr="00455EB3">
        <w:rPr>
          <w:rFonts w:ascii="Times New Roman" w:hAnsi="Times New Roman" w:cs="Times New Roman"/>
        </w:rPr>
        <w:t xml:space="preserve"> concerned </w:t>
      </w:r>
      <w:r w:rsidR="00046FB7" w:rsidRPr="00455EB3">
        <w:rPr>
          <w:rFonts w:ascii="Times New Roman" w:hAnsi="Times New Roman" w:cs="Times New Roman"/>
        </w:rPr>
        <w:t>its design:</w:t>
      </w:r>
      <w:r w:rsidR="00CD6BF3" w:rsidRPr="00455EB3">
        <w:rPr>
          <w:rFonts w:ascii="Times New Roman" w:hAnsi="Times New Roman" w:cs="Times New Roman"/>
        </w:rPr>
        <w:t xml:space="preserve"> </w:t>
      </w:r>
      <w:r w:rsidR="00957CEC" w:rsidRPr="00455EB3">
        <w:rPr>
          <w:rFonts w:ascii="Times New Roman" w:hAnsi="Times New Roman" w:cs="Times New Roman"/>
        </w:rPr>
        <w:t>it is a system designed for the banking sector</w:t>
      </w:r>
      <w:r w:rsidR="00067658" w:rsidRPr="00455EB3">
        <w:rPr>
          <w:rFonts w:ascii="Times New Roman" w:hAnsi="Times New Roman" w:cs="Times New Roman"/>
        </w:rPr>
        <w:t>,</w:t>
      </w:r>
      <w:r w:rsidR="00957CEC" w:rsidRPr="00455EB3">
        <w:rPr>
          <w:rFonts w:ascii="Times New Roman" w:hAnsi="Times New Roman" w:cs="Times New Roman"/>
        </w:rPr>
        <w:t xml:space="preserve"> </w:t>
      </w:r>
      <w:r w:rsidR="00067658" w:rsidRPr="00455EB3">
        <w:rPr>
          <w:rFonts w:ascii="Times New Roman" w:hAnsi="Times New Roman" w:cs="Times New Roman"/>
        </w:rPr>
        <w:t xml:space="preserve">and it </w:t>
      </w:r>
      <w:r w:rsidR="00957CEC" w:rsidRPr="00455EB3">
        <w:rPr>
          <w:rFonts w:ascii="Times New Roman" w:hAnsi="Times New Roman" w:cs="Times New Roman"/>
        </w:rPr>
        <w:t xml:space="preserve">does not </w:t>
      </w:r>
      <w:r w:rsidR="002257D3" w:rsidRPr="00455EB3">
        <w:rPr>
          <w:rFonts w:ascii="Times New Roman" w:hAnsi="Times New Roman" w:cs="Times New Roman"/>
        </w:rPr>
        <w:t xml:space="preserve">fit </w:t>
      </w:r>
      <w:r w:rsidR="00957CEC" w:rsidRPr="00455EB3">
        <w:rPr>
          <w:rFonts w:ascii="Times New Roman" w:hAnsi="Times New Roman" w:cs="Times New Roman"/>
        </w:rPr>
        <w:t xml:space="preserve">well </w:t>
      </w:r>
      <w:r w:rsidR="002257D3" w:rsidRPr="00455EB3">
        <w:rPr>
          <w:rFonts w:ascii="Times New Roman" w:hAnsi="Times New Roman" w:cs="Times New Roman"/>
        </w:rPr>
        <w:t>in</w:t>
      </w:r>
      <w:r w:rsidR="00957CEC" w:rsidRPr="00455EB3">
        <w:rPr>
          <w:rFonts w:ascii="Times New Roman" w:hAnsi="Times New Roman" w:cs="Times New Roman"/>
        </w:rPr>
        <w:t>to other sectors.</w:t>
      </w:r>
      <w:r w:rsidR="00957CEC" w:rsidRPr="00455EB3">
        <w:rPr>
          <w:rStyle w:val="FootnoteReference"/>
          <w:rFonts w:ascii="Times New Roman" w:hAnsi="Times New Roman" w:cs="Times New Roman"/>
        </w:rPr>
        <w:footnoteReference w:id="170"/>
      </w:r>
      <w:r w:rsidR="00957CEC" w:rsidRPr="00455EB3">
        <w:rPr>
          <w:rFonts w:ascii="Times New Roman" w:hAnsi="Times New Roman" w:cs="Times New Roman"/>
        </w:rPr>
        <w:t xml:space="preserve"> As one person succinctly put</w:t>
      </w:r>
      <w:r w:rsidR="00046FB7" w:rsidRPr="00455EB3">
        <w:rPr>
          <w:rFonts w:ascii="Times New Roman" w:hAnsi="Times New Roman" w:cs="Times New Roman"/>
        </w:rPr>
        <w:t>s</w:t>
      </w:r>
      <w:r w:rsidR="00957CEC" w:rsidRPr="00455EB3">
        <w:rPr>
          <w:rFonts w:ascii="Times New Roman" w:hAnsi="Times New Roman" w:cs="Times New Roman"/>
        </w:rPr>
        <w:t xml:space="preserve"> it: ‘It is cumbersome’</w:t>
      </w:r>
      <w:r w:rsidR="000A2AAD" w:rsidRPr="00455EB3">
        <w:rPr>
          <w:rFonts w:ascii="Times New Roman" w:hAnsi="Times New Roman" w:cs="Times New Roman"/>
        </w:rPr>
        <w:t>.</w:t>
      </w:r>
      <w:r w:rsidR="00FC1E73" w:rsidRPr="00455EB3">
        <w:rPr>
          <w:rStyle w:val="FootnoteReference"/>
          <w:rFonts w:ascii="Times New Roman" w:hAnsi="Times New Roman" w:cs="Times New Roman"/>
        </w:rPr>
        <w:footnoteReference w:id="171"/>
      </w:r>
      <w:r w:rsidR="00FC1E73" w:rsidRPr="00455EB3">
        <w:rPr>
          <w:rFonts w:ascii="Times New Roman" w:hAnsi="Times New Roman" w:cs="Times New Roman"/>
        </w:rPr>
        <w:t xml:space="preserve"> </w:t>
      </w:r>
      <w:r w:rsidR="00957CEC" w:rsidRPr="00455EB3">
        <w:rPr>
          <w:rFonts w:ascii="Times New Roman" w:hAnsi="Times New Roman" w:cs="Times New Roman"/>
        </w:rPr>
        <w:t>Others suggested that even if there is some suspicion, it might not be possible to file a SAR as there is not enough information for that system to accept the SAR.</w:t>
      </w:r>
      <w:r w:rsidR="00D74D53" w:rsidRPr="00455EB3">
        <w:rPr>
          <w:rStyle w:val="FootnoteReference"/>
          <w:rFonts w:ascii="Times New Roman" w:hAnsi="Times New Roman" w:cs="Times New Roman"/>
        </w:rPr>
        <w:footnoteReference w:id="172"/>
      </w:r>
      <w:r w:rsidR="00A279DE" w:rsidRPr="00455EB3">
        <w:rPr>
          <w:rFonts w:ascii="Times New Roman" w:hAnsi="Times New Roman" w:cs="Times New Roman"/>
        </w:rPr>
        <w:t xml:space="preserve"> </w:t>
      </w:r>
      <w:r w:rsidR="00957CEC" w:rsidRPr="00455EB3">
        <w:rPr>
          <w:rFonts w:ascii="Times New Roman" w:hAnsi="Times New Roman" w:cs="Times New Roman"/>
        </w:rPr>
        <w:t xml:space="preserve">There was also </w:t>
      </w:r>
      <w:r w:rsidR="0059515A" w:rsidRPr="00455EB3">
        <w:rPr>
          <w:rFonts w:ascii="Times New Roman" w:hAnsi="Times New Roman" w:cs="Times New Roman"/>
        </w:rPr>
        <w:t xml:space="preserve">disapproval for </w:t>
      </w:r>
      <w:r w:rsidR="00957CEC" w:rsidRPr="00455EB3">
        <w:rPr>
          <w:rFonts w:ascii="Times New Roman" w:hAnsi="Times New Roman" w:cs="Times New Roman"/>
        </w:rPr>
        <w:t>the registration process</w:t>
      </w:r>
      <w:r w:rsidR="00A93469" w:rsidRPr="00455EB3">
        <w:rPr>
          <w:rFonts w:ascii="Times New Roman" w:hAnsi="Times New Roman" w:cs="Times New Roman"/>
        </w:rPr>
        <w:t xml:space="preserve"> and its complexity.</w:t>
      </w:r>
      <w:r w:rsidR="00957CEC" w:rsidRPr="00455EB3">
        <w:rPr>
          <w:rFonts w:ascii="Times New Roman" w:hAnsi="Times New Roman" w:cs="Times New Roman"/>
        </w:rPr>
        <w:t xml:space="preserve"> </w:t>
      </w:r>
      <w:r w:rsidR="00A93469" w:rsidRPr="00455EB3">
        <w:rPr>
          <w:rFonts w:ascii="Times New Roman" w:hAnsi="Times New Roman" w:cs="Times New Roman"/>
        </w:rPr>
        <w:t xml:space="preserve">Indeed, </w:t>
      </w:r>
      <w:r w:rsidR="00957CEC" w:rsidRPr="00455EB3">
        <w:rPr>
          <w:rFonts w:ascii="Times New Roman" w:hAnsi="Times New Roman" w:cs="Times New Roman"/>
        </w:rPr>
        <w:t>an EA has an HMRC ‘gateway’</w:t>
      </w:r>
      <w:r w:rsidR="00A93469" w:rsidRPr="00455EB3">
        <w:rPr>
          <w:rFonts w:ascii="Times New Roman" w:hAnsi="Times New Roman" w:cs="Times New Roman"/>
        </w:rPr>
        <w:t>,</w:t>
      </w:r>
      <w:r w:rsidR="00957CEC" w:rsidRPr="00455EB3">
        <w:rPr>
          <w:rFonts w:ascii="Times New Roman" w:hAnsi="Times New Roman" w:cs="Times New Roman"/>
        </w:rPr>
        <w:t xml:space="preserve"> but if they want to file a SAR</w:t>
      </w:r>
      <w:r w:rsidR="002546BE">
        <w:rPr>
          <w:rFonts w:ascii="Times New Roman" w:hAnsi="Times New Roman" w:cs="Times New Roman"/>
        </w:rPr>
        <w:t>,</w:t>
      </w:r>
      <w:r w:rsidR="00957CEC" w:rsidRPr="00455EB3">
        <w:rPr>
          <w:rFonts w:ascii="Times New Roman" w:hAnsi="Times New Roman" w:cs="Times New Roman"/>
        </w:rPr>
        <w:t xml:space="preserve"> they </w:t>
      </w:r>
      <w:r w:rsidR="00F308A3" w:rsidRPr="00455EB3">
        <w:rPr>
          <w:rFonts w:ascii="Times New Roman" w:hAnsi="Times New Roman" w:cs="Times New Roman"/>
        </w:rPr>
        <w:t>must</w:t>
      </w:r>
      <w:r w:rsidR="00957CEC" w:rsidRPr="00455EB3">
        <w:rPr>
          <w:rFonts w:ascii="Times New Roman" w:hAnsi="Times New Roman" w:cs="Times New Roman"/>
        </w:rPr>
        <w:t xml:space="preserve"> do that through the NCA portal, which is not linked to the HMRC gateway</w:t>
      </w:r>
      <w:r w:rsidR="001535CF" w:rsidRPr="00455EB3">
        <w:rPr>
          <w:rFonts w:ascii="Times New Roman" w:hAnsi="Times New Roman" w:cs="Times New Roman"/>
        </w:rPr>
        <w:t>. As one interviewee puts it,</w:t>
      </w:r>
      <w:r w:rsidR="00957CEC" w:rsidRPr="00455EB3">
        <w:rPr>
          <w:rFonts w:ascii="Times New Roman" w:hAnsi="Times New Roman" w:cs="Times New Roman"/>
        </w:rPr>
        <w:t xml:space="preserve"> ‘</w:t>
      </w:r>
      <w:r w:rsidR="001535CF" w:rsidRPr="00455EB3">
        <w:rPr>
          <w:rFonts w:ascii="Times New Roman" w:hAnsi="Times New Roman" w:cs="Times New Roman"/>
          <w:lang w:val="en-US"/>
        </w:rPr>
        <w:t>i</w:t>
      </w:r>
      <w:r w:rsidR="00957CEC" w:rsidRPr="00455EB3">
        <w:rPr>
          <w:rFonts w:ascii="Times New Roman" w:hAnsi="Times New Roman" w:cs="Times New Roman"/>
          <w:lang w:val="en-US"/>
        </w:rPr>
        <w:t>t’s more complicated than it need be</w:t>
      </w:r>
      <w:r w:rsidR="002C4D1B" w:rsidRPr="00455EB3">
        <w:rPr>
          <w:rFonts w:ascii="Times New Roman" w:hAnsi="Times New Roman" w:cs="Times New Roman"/>
          <w:lang w:val="en-US"/>
        </w:rPr>
        <w:t xml:space="preserve">. </w:t>
      </w:r>
      <w:r w:rsidR="000D20A4" w:rsidRPr="00455EB3">
        <w:rPr>
          <w:rFonts w:ascii="Times New Roman" w:hAnsi="Times New Roman" w:cs="Times New Roman"/>
          <w:lang w:val="en-US"/>
        </w:rPr>
        <w:t>…</w:t>
      </w:r>
      <w:r w:rsidR="002C4D1B" w:rsidRPr="00455EB3">
        <w:rPr>
          <w:rFonts w:ascii="Times New Roman" w:hAnsi="Times New Roman" w:cs="Times New Roman"/>
          <w:lang w:val="en-US"/>
        </w:rPr>
        <w:t xml:space="preserve"> </w:t>
      </w:r>
      <w:r w:rsidR="00957CEC" w:rsidRPr="00455EB3">
        <w:rPr>
          <w:rFonts w:ascii="Times New Roman" w:hAnsi="Times New Roman" w:cs="Times New Roman"/>
          <w:lang w:val="en-US"/>
        </w:rPr>
        <w:t xml:space="preserve">If I want to tip off the </w:t>
      </w:r>
      <w:r w:rsidR="000D20A4" w:rsidRPr="00455EB3">
        <w:rPr>
          <w:rFonts w:ascii="Times New Roman" w:hAnsi="Times New Roman" w:cs="Times New Roman"/>
          <w:lang w:val="en-US"/>
        </w:rPr>
        <w:t>S</w:t>
      </w:r>
      <w:r w:rsidR="00957CEC" w:rsidRPr="00455EB3">
        <w:rPr>
          <w:rFonts w:ascii="Times New Roman" w:hAnsi="Times New Roman" w:cs="Times New Roman"/>
          <w:lang w:val="en-US"/>
        </w:rPr>
        <w:t>tate, that I think something’s dodgy going on, why not make it easy for me to do so?</w:t>
      </w:r>
      <w:r w:rsidR="00957CEC" w:rsidRPr="00455EB3">
        <w:rPr>
          <w:rFonts w:ascii="Times New Roman" w:hAnsi="Times New Roman" w:cs="Times New Roman"/>
        </w:rPr>
        <w:t>’</w:t>
      </w:r>
      <w:r w:rsidR="004B5F30" w:rsidRPr="00455EB3">
        <w:rPr>
          <w:rFonts w:ascii="Times New Roman" w:hAnsi="Times New Roman" w:cs="Times New Roman"/>
        </w:rPr>
        <w:t>.</w:t>
      </w:r>
      <w:r w:rsidR="00957CEC" w:rsidRPr="00455EB3">
        <w:rPr>
          <w:rStyle w:val="FootnoteReference"/>
          <w:rFonts w:ascii="Times New Roman" w:hAnsi="Times New Roman" w:cs="Times New Roman"/>
        </w:rPr>
        <w:footnoteReference w:id="173"/>
      </w:r>
      <w:r w:rsidR="00957CEC" w:rsidRPr="00455EB3">
        <w:rPr>
          <w:rFonts w:ascii="Times New Roman" w:hAnsi="Times New Roman" w:cs="Times New Roman"/>
        </w:rPr>
        <w:t xml:space="preserve"> It was also suggested that it should be possible to submit SARs anonymously: ‘</w:t>
      </w:r>
      <w:r w:rsidR="00957CEC" w:rsidRPr="00455EB3">
        <w:rPr>
          <w:rFonts w:ascii="Times New Roman" w:hAnsi="Times New Roman" w:cs="Times New Roman"/>
          <w:lang w:val="en-US"/>
        </w:rPr>
        <w:t xml:space="preserve">If I think one of my competitors is up to no good, I might prefer to anonymously tip off the state </w:t>
      </w:r>
      <w:r w:rsidR="005C7B57" w:rsidRPr="00455EB3">
        <w:rPr>
          <w:rFonts w:ascii="Times New Roman" w:hAnsi="Times New Roman" w:cs="Times New Roman"/>
          <w:lang w:val="en-US"/>
        </w:rPr>
        <w:t>…</w:t>
      </w:r>
      <w:r w:rsidR="00957CEC" w:rsidRPr="00455EB3">
        <w:rPr>
          <w:rFonts w:ascii="Times New Roman" w:hAnsi="Times New Roman" w:cs="Times New Roman"/>
          <w:lang w:val="en-US"/>
        </w:rPr>
        <w:t>, because I might not trust the state reassurances that I would receive anonymity anyway’</w:t>
      </w:r>
      <w:r w:rsidR="004B5F30" w:rsidRPr="00455EB3">
        <w:rPr>
          <w:rFonts w:ascii="Times New Roman" w:hAnsi="Times New Roman" w:cs="Times New Roman"/>
          <w:lang w:val="en-US"/>
        </w:rPr>
        <w:t>.</w:t>
      </w:r>
      <w:r w:rsidR="00957CEC" w:rsidRPr="00455EB3">
        <w:rPr>
          <w:rStyle w:val="FootnoteReference"/>
          <w:rFonts w:ascii="Times New Roman" w:hAnsi="Times New Roman" w:cs="Times New Roman"/>
          <w:lang w:val="en-US"/>
        </w:rPr>
        <w:footnoteReference w:id="174"/>
      </w:r>
    </w:p>
    <w:p w14:paraId="6EA491E0" w14:textId="44C3F119" w:rsidR="00957CEC" w:rsidRPr="00455EB3" w:rsidRDefault="000D20A4" w:rsidP="00AB4266">
      <w:pPr>
        <w:jc w:val="both"/>
        <w:rPr>
          <w:rFonts w:ascii="Times New Roman" w:hAnsi="Times New Roman" w:cs="Times New Roman"/>
        </w:rPr>
      </w:pPr>
      <w:r w:rsidRPr="00455EB3">
        <w:rPr>
          <w:rFonts w:ascii="Times New Roman" w:hAnsi="Times New Roman" w:cs="Times New Roman"/>
        </w:rPr>
        <w:tab/>
      </w:r>
      <w:r w:rsidR="0022524B" w:rsidRPr="00455EB3">
        <w:rPr>
          <w:rFonts w:ascii="Times New Roman" w:hAnsi="Times New Roman" w:cs="Times New Roman"/>
        </w:rPr>
        <w:t>Given the value attached to the quality of interpersonal treatment by authorities,</w:t>
      </w:r>
      <w:r w:rsidR="0022524B" w:rsidRPr="00455EB3">
        <w:rPr>
          <w:rStyle w:val="FootnoteReference"/>
          <w:rFonts w:ascii="Times New Roman" w:hAnsi="Times New Roman" w:cs="Times New Roman"/>
        </w:rPr>
        <w:footnoteReference w:id="175"/>
      </w:r>
      <w:r w:rsidR="0022524B" w:rsidRPr="00455EB3">
        <w:rPr>
          <w:rFonts w:ascii="Times New Roman" w:hAnsi="Times New Roman" w:cs="Times New Roman"/>
        </w:rPr>
        <w:t xml:space="preserve"> it is significant that there was a perception of not being supported by AML authorities when engaging with the SAR process. </w:t>
      </w:r>
      <w:r w:rsidR="006E14B7" w:rsidRPr="00455EB3">
        <w:rPr>
          <w:rFonts w:ascii="Times New Roman" w:hAnsi="Times New Roman" w:cs="Times New Roman"/>
        </w:rPr>
        <w:t>Concerning</w:t>
      </w:r>
      <w:r w:rsidR="0022524B" w:rsidRPr="00455EB3">
        <w:rPr>
          <w:rFonts w:ascii="Times New Roman" w:hAnsi="Times New Roman" w:cs="Times New Roman"/>
        </w:rPr>
        <w:t xml:space="preserve"> t</w:t>
      </w:r>
      <w:r w:rsidR="00957CEC" w:rsidRPr="00455EB3">
        <w:rPr>
          <w:rFonts w:ascii="Times New Roman" w:hAnsi="Times New Roman" w:cs="Times New Roman"/>
        </w:rPr>
        <w:t xml:space="preserve">he support from the </w:t>
      </w:r>
      <w:r w:rsidRPr="00455EB3">
        <w:rPr>
          <w:rFonts w:ascii="Times New Roman" w:hAnsi="Times New Roman" w:cs="Times New Roman"/>
        </w:rPr>
        <w:t>S</w:t>
      </w:r>
      <w:r w:rsidR="00957CEC" w:rsidRPr="00455EB3">
        <w:rPr>
          <w:rFonts w:ascii="Times New Roman" w:hAnsi="Times New Roman" w:cs="Times New Roman"/>
        </w:rPr>
        <w:t>tate</w:t>
      </w:r>
      <w:r w:rsidR="0022524B" w:rsidRPr="00455EB3">
        <w:rPr>
          <w:rFonts w:ascii="Times New Roman" w:hAnsi="Times New Roman" w:cs="Times New Roman"/>
        </w:rPr>
        <w:t>, one participant stated</w:t>
      </w:r>
      <w:r w:rsidR="00957CEC" w:rsidRPr="00455EB3">
        <w:rPr>
          <w:rFonts w:ascii="Times New Roman" w:hAnsi="Times New Roman" w:cs="Times New Roman"/>
        </w:rPr>
        <w:t>: ‘</w:t>
      </w:r>
      <w:r w:rsidR="00957CEC" w:rsidRPr="00455EB3">
        <w:rPr>
          <w:rFonts w:ascii="Times New Roman" w:hAnsi="Times New Roman" w:cs="Times New Roman"/>
          <w:lang w:val="en-US"/>
        </w:rPr>
        <w:t>It wasn’t terribly responsive.</w:t>
      </w:r>
      <w:r w:rsidR="001764A3" w:rsidRPr="00455EB3">
        <w:rPr>
          <w:rFonts w:ascii="Times New Roman" w:hAnsi="Times New Roman" w:cs="Times New Roman"/>
          <w:lang w:val="en-US"/>
        </w:rPr>
        <w:t xml:space="preserve"> </w:t>
      </w:r>
      <w:r w:rsidR="00957CEC" w:rsidRPr="00455EB3">
        <w:rPr>
          <w:rFonts w:ascii="Times New Roman" w:hAnsi="Times New Roman" w:cs="Times New Roman"/>
          <w:lang w:val="en-US"/>
        </w:rPr>
        <w:t>… They didn’t give me any advice. It was more like I’d ticked the box, that was the experience</w:t>
      </w:r>
      <w:r w:rsidR="00957CEC" w:rsidRPr="00455EB3">
        <w:rPr>
          <w:rFonts w:ascii="Times New Roman" w:hAnsi="Times New Roman" w:cs="Times New Roman"/>
        </w:rPr>
        <w:t>’</w:t>
      </w:r>
      <w:r w:rsidR="00A66A64" w:rsidRPr="00455EB3">
        <w:rPr>
          <w:rFonts w:ascii="Times New Roman" w:hAnsi="Times New Roman" w:cs="Times New Roman"/>
        </w:rPr>
        <w:t>.</w:t>
      </w:r>
      <w:r w:rsidR="00957CEC" w:rsidRPr="00455EB3">
        <w:rPr>
          <w:rStyle w:val="FootnoteReference"/>
          <w:rFonts w:ascii="Times New Roman" w:hAnsi="Times New Roman" w:cs="Times New Roman"/>
        </w:rPr>
        <w:footnoteReference w:id="176"/>
      </w:r>
      <w:r w:rsidR="0022524B" w:rsidRPr="00455EB3">
        <w:rPr>
          <w:rFonts w:ascii="Times New Roman" w:hAnsi="Times New Roman" w:cs="Times New Roman"/>
        </w:rPr>
        <w:t xml:space="preserve"> </w:t>
      </w:r>
      <w:r w:rsidR="6CAD77FF" w:rsidRPr="00455EB3">
        <w:rPr>
          <w:rFonts w:ascii="Times New Roman" w:hAnsi="Times New Roman" w:cs="Times New Roman"/>
        </w:rPr>
        <w:t>R</w:t>
      </w:r>
      <w:r w:rsidR="0B0BA3D5" w:rsidRPr="00455EB3">
        <w:rPr>
          <w:rFonts w:ascii="Times New Roman" w:hAnsi="Times New Roman" w:cs="Times New Roman"/>
        </w:rPr>
        <w:t xml:space="preserve">esearch in the banking sector demonstrates the importance of positive rapport and informal partnerships/ </w:t>
      </w:r>
      <w:r w:rsidR="0B0BA3D5" w:rsidRPr="00455EB3">
        <w:rPr>
          <w:rFonts w:ascii="Times New Roman" w:hAnsi="Times New Roman" w:cs="Times New Roman"/>
        </w:rPr>
        <w:lastRenderedPageBreak/>
        <w:t>engagement between</w:t>
      </w:r>
      <w:r w:rsidR="00733193" w:rsidRPr="00455EB3">
        <w:rPr>
          <w:rFonts w:ascii="Times New Roman" w:hAnsi="Times New Roman" w:cs="Times New Roman"/>
        </w:rPr>
        <w:t xml:space="preserve"> (AML)</w:t>
      </w:r>
      <w:r w:rsidR="0B0BA3D5" w:rsidRPr="00455EB3">
        <w:rPr>
          <w:rFonts w:ascii="Times New Roman" w:hAnsi="Times New Roman" w:cs="Times New Roman"/>
        </w:rPr>
        <w:t xml:space="preserve"> regulated actors and law enforcement.</w:t>
      </w:r>
      <w:r w:rsidRPr="00840A4B">
        <w:rPr>
          <w:rFonts w:ascii="Times New Roman" w:hAnsi="Times New Roman" w:cs="Times New Roman"/>
          <w:vertAlign w:val="superscript"/>
        </w:rPr>
        <w:footnoteReference w:id="177"/>
      </w:r>
      <w:r w:rsidR="0B0BA3D5" w:rsidRPr="00840A4B">
        <w:rPr>
          <w:rFonts w:ascii="Times New Roman" w:hAnsi="Times New Roman" w:cs="Times New Roman"/>
          <w:vertAlign w:val="superscript"/>
        </w:rPr>
        <w:t xml:space="preserve"> </w:t>
      </w:r>
      <w:r w:rsidR="0B0BA3D5" w:rsidRPr="00455EB3">
        <w:rPr>
          <w:rFonts w:ascii="Times New Roman" w:hAnsi="Times New Roman" w:cs="Times New Roman"/>
        </w:rPr>
        <w:t xml:space="preserve">While the relationship between (major) banks and financial institutions in the UK might be more </w:t>
      </w:r>
      <w:r w:rsidR="21AEEEC3" w:rsidRPr="00455EB3">
        <w:rPr>
          <w:rFonts w:ascii="Times New Roman" w:hAnsi="Times New Roman" w:cs="Times New Roman"/>
        </w:rPr>
        <w:t xml:space="preserve">engaging </w:t>
      </w:r>
      <w:r w:rsidR="0B0BA3D5" w:rsidRPr="00455EB3">
        <w:rPr>
          <w:rFonts w:ascii="Times New Roman" w:hAnsi="Times New Roman" w:cs="Times New Roman"/>
        </w:rPr>
        <w:t>(perhaps unsurprising given the percentage of SARs that they submit</w:t>
      </w:r>
      <w:r w:rsidRPr="00840A4B">
        <w:rPr>
          <w:rFonts w:ascii="Times New Roman" w:hAnsi="Times New Roman" w:cs="Times New Roman"/>
          <w:vertAlign w:val="superscript"/>
        </w:rPr>
        <w:footnoteReference w:id="178"/>
      </w:r>
      <w:r w:rsidR="0B0BA3D5" w:rsidRPr="00455EB3">
        <w:rPr>
          <w:rFonts w:ascii="Times New Roman" w:hAnsi="Times New Roman" w:cs="Times New Roman"/>
        </w:rPr>
        <w:t xml:space="preserve">), other sectors do not necessarily experience the same support and engagement. </w:t>
      </w:r>
      <w:r w:rsidR="19A6D795" w:rsidRPr="00455EB3">
        <w:rPr>
          <w:rFonts w:ascii="Times New Roman" w:hAnsi="Times New Roman" w:cs="Times New Roman"/>
        </w:rPr>
        <w:t>In that regard</w:t>
      </w:r>
      <w:r w:rsidR="007F470B" w:rsidRPr="00455EB3">
        <w:rPr>
          <w:rFonts w:ascii="Times New Roman" w:hAnsi="Times New Roman" w:cs="Times New Roman"/>
        </w:rPr>
        <w:t>,</w:t>
      </w:r>
      <w:r w:rsidR="00F13063" w:rsidRPr="00455EB3">
        <w:rPr>
          <w:rFonts w:ascii="Times New Roman" w:hAnsi="Times New Roman" w:cs="Times New Roman"/>
        </w:rPr>
        <w:t xml:space="preserve"> enhancing the process (and engagement therewith) may </w:t>
      </w:r>
      <w:r w:rsidR="48AFC60E" w:rsidRPr="00455EB3">
        <w:rPr>
          <w:rFonts w:ascii="Times New Roman" w:hAnsi="Times New Roman" w:cs="Times New Roman"/>
        </w:rPr>
        <w:t xml:space="preserve">positively </w:t>
      </w:r>
      <w:r w:rsidR="00F13063" w:rsidRPr="00455EB3">
        <w:rPr>
          <w:rFonts w:ascii="Times New Roman" w:hAnsi="Times New Roman" w:cs="Times New Roman"/>
        </w:rPr>
        <w:t>promot</w:t>
      </w:r>
      <w:r w:rsidR="448BCC46" w:rsidRPr="00455EB3">
        <w:rPr>
          <w:rFonts w:ascii="Times New Roman" w:hAnsi="Times New Roman" w:cs="Times New Roman"/>
        </w:rPr>
        <w:t>e</w:t>
      </w:r>
      <w:r w:rsidR="69BE8C69" w:rsidRPr="00455EB3" w:rsidDel="00F13063">
        <w:rPr>
          <w:rFonts w:ascii="Times New Roman" w:hAnsi="Times New Roman" w:cs="Times New Roman"/>
        </w:rPr>
        <w:t xml:space="preserve"> compliance.</w:t>
      </w:r>
      <w:r w:rsidR="00F13063" w:rsidRPr="00455EB3">
        <w:rPr>
          <w:rStyle w:val="FootnoteReference"/>
          <w:rFonts w:ascii="Times New Roman" w:hAnsi="Times New Roman" w:cs="Times New Roman"/>
        </w:rPr>
        <w:footnoteReference w:id="179"/>
      </w:r>
    </w:p>
    <w:p w14:paraId="0CD91FE1" w14:textId="2C0534FC" w:rsidR="00957CEC" w:rsidRPr="00455EB3" w:rsidRDefault="00C870EF" w:rsidP="00AB4266">
      <w:pPr>
        <w:ind w:firstLine="720"/>
        <w:jc w:val="both"/>
        <w:rPr>
          <w:rFonts w:ascii="Times New Roman" w:hAnsi="Times New Roman" w:cs="Times New Roman"/>
        </w:rPr>
      </w:pPr>
      <w:r w:rsidRPr="00455EB3">
        <w:rPr>
          <w:rFonts w:ascii="Times New Roman" w:hAnsi="Times New Roman" w:cs="Times New Roman"/>
        </w:rPr>
        <w:t xml:space="preserve">Linked to the </w:t>
      </w:r>
      <w:r w:rsidR="00EF7343" w:rsidRPr="00455EB3">
        <w:rPr>
          <w:rFonts w:ascii="Times New Roman" w:hAnsi="Times New Roman" w:cs="Times New Roman"/>
        </w:rPr>
        <w:t xml:space="preserve">lack of support is </w:t>
      </w:r>
      <w:r w:rsidR="00B47D4F" w:rsidRPr="00455EB3">
        <w:rPr>
          <w:rFonts w:ascii="Times New Roman" w:hAnsi="Times New Roman" w:cs="Times New Roman"/>
        </w:rPr>
        <w:t>the lack of feedback</w:t>
      </w:r>
      <w:r w:rsidR="00EF7343" w:rsidRPr="00455EB3">
        <w:rPr>
          <w:rFonts w:ascii="Times New Roman" w:hAnsi="Times New Roman" w:cs="Times New Roman"/>
        </w:rPr>
        <w:t>:</w:t>
      </w:r>
      <w:r w:rsidR="00B47D4F" w:rsidRPr="00455EB3">
        <w:rPr>
          <w:rFonts w:ascii="Times New Roman" w:hAnsi="Times New Roman" w:cs="Times New Roman"/>
        </w:rPr>
        <w:t xml:space="preserve"> there is</w:t>
      </w:r>
      <w:r w:rsidR="00174612" w:rsidRPr="00455EB3">
        <w:rPr>
          <w:rFonts w:ascii="Times New Roman" w:hAnsi="Times New Roman" w:cs="Times New Roman"/>
        </w:rPr>
        <w:t xml:space="preserve"> (generally)</w:t>
      </w:r>
      <w:r w:rsidR="00B47D4F" w:rsidRPr="00455EB3">
        <w:rPr>
          <w:rFonts w:ascii="Times New Roman" w:hAnsi="Times New Roman" w:cs="Times New Roman"/>
        </w:rPr>
        <w:t xml:space="preserve"> a un</w:t>
      </w:r>
      <w:r w:rsidR="000D20A4" w:rsidRPr="00455EB3">
        <w:rPr>
          <w:rFonts w:ascii="Times New Roman" w:hAnsi="Times New Roman" w:cs="Times New Roman"/>
        </w:rPr>
        <w:t>i</w:t>
      </w:r>
      <w:r w:rsidR="00B47D4F" w:rsidRPr="00455EB3">
        <w:rPr>
          <w:rFonts w:ascii="Times New Roman" w:hAnsi="Times New Roman" w:cs="Times New Roman"/>
        </w:rPr>
        <w:t>directional flow of information.</w:t>
      </w:r>
      <w:r w:rsidR="00174612" w:rsidRPr="00455EB3">
        <w:rPr>
          <w:rFonts w:ascii="Times New Roman" w:hAnsi="Times New Roman" w:cs="Times New Roman"/>
        </w:rPr>
        <w:t xml:space="preserve"> Such a lack of two-way engagement can</w:t>
      </w:r>
      <w:r w:rsidR="00EF7343" w:rsidRPr="00455EB3">
        <w:rPr>
          <w:rFonts w:ascii="Times New Roman" w:hAnsi="Times New Roman" w:cs="Times New Roman"/>
        </w:rPr>
        <w:t xml:space="preserve"> </w:t>
      </w:r>
      <w:r w:rsidR="00916513" w:rsidRPr="00455EB3">
        <w:rPr>
          <w:rFonts w:ascii="Times New Roman" w:hAnsi="Times New Roman" w:cs="Times New Roman"/>
        </w:rPr>
        <w:t>affect</w:t>
      </w:r>
      <w:r w:rsidR="00174612" w:rsidRPr="00455EB3">
        <w:rPr>
          <w:rFonts w:ascii="Times New Roman" w:hAnsi="Times New Roman" w:cs="Times New Roman"/>
        </w:rPr>
        <w:t xml:space="preserve"> how the process operates</w:t>
      </w:r>
      <w:r w:rsidR="00916513" w:rsidRPr="00455EB3">
        <w:rPr>
          <w:rFonts w:ascii="Times New Roman" w:hAnsi="Times New Roman" w:cs="Times New Roman"/>
        </w:rPr>
        <w:t xml:space="preserve"> because</w:t>
      </w:r>
      <w:r w:rsidR="00174612" w:rsidRPr="00455EB3">
        <w:rPr>
          <w:rFonts w:ascii="Times New Roman" w:hAnsi="Times New Roman" w:cs="Times New Roman"/>
        </w:rPr>
        <w:t>, for example</w:t>
      </w:r>
      <w:r w:rsidR="006E14B7" w:rsidRPr="00455EB3">
        <w:rPr>
          <w:rFonts w:ascii="Times New Roman" w:hAnsi="Times New Roman" w:cs="Times New Roman"/>
        </w:rPr>
        <w:t>,</w:t>
      </w:r>
      <w:r w:rsidR="00174612" w:rsidRPr="00455EB3">
        <w:rPr>
          <w:rFonts w:ascii="Times New Roman" w:hAnsi="Times New Roman" w:cs="Times New Roman"/>
        </w:rPr>
        <w:t xml:space="preserve"> private actors do not develop knowledge as to what works or what is useful.</w:t>
      </w:r>
      <w:r w:rsidR="00174612" w:rsidRPr="00455EB3">
        <w:rPr>
          <w:rStyle w:val="FootnoteReference"/>
          <w:rFonts w:ascii="Times New Roman" w:hAnsi="Times New Roman" w:cs="Times New Roman"/>
        </w:rPr>
        <w:footnoteReference w:id="180"/>
      </w:r>
      <w:r w:rsidR="00830AB1" w:rsidRPr="00455EB3">
        <w:rPr>
          <w:rFonts w:ascii="Times New Roman" w:hAnsi="Times New Roman" w:cs="Times New Roman"/>
        </w:rPr>
        <w:t xml:space="preserve"> </w:t>
      </w:r>
      <w:r w:rsidR="00957CEC" w:rsidRPr="00455EB3">
        <w:rPr>
          <w:rFonts w:ascii="Times New Roman" w:hAnsi="Times New Roman" w:cs="Times New Roman"/>
        </w:rPr>
        <w:t xml:space="preserve">A recurring issue </w:t>
      </w:r>
      <w:r w:rsidR="00830AB1" w:rsidRPr="00455EB3">
        <w:rPr>
          <w:rFonts w:ascii="Times New Roman" w:hAnsi="Times New Roman" w:cs="Times New Roman"/>
        </w:rPr>
        <w:t xml:space="preserve">in this study </w:t>
      </w:r>
      <w:r w:rsidR="00957CEC" w:rsidRPr="00455EB3">
        <w:rPr>
          <w:rFonts w:ascii="Times New Roman" w:hAnsi="Times New Roman" w:cs="Times New Roman"/>
        </w:rPr>
        <w:t>was whether EAs should receive any update on SARs submitted. As one interviewee stated: ‘</w:t>
      </w:r>
      <w:r w:rsidR="00957CEC" w:rsidRPr="00455EB3">
        <w:rPr>
          <w:rFonts w:ascii="Times New Roman" w:hAnsi="Times New Roman" w:cs="Times New Roman"/>
          <w:lang w:val="en-US"/>
        </w:rPr>
        <w:t>It’s a bottomless pit and you never get anything out</w:t>
      </w:r>
      <w:r w:rsidR="00957CEC" w:rsidRPr="00455EB3">
        <w:rPr>
          <w:rFonts w:ascii="Times New Roman" w:hAnsi="Times New Roman" w:cs="Times New Roman"/>
        </w:rPr>
        <w:t>’</w:t>
      </w:r>
      <w:r w:rsidR="001021D9" w:rsidRPr="00455EB3">
        <w:rPr>
          <w:rFonts w:ascii="Times New Roman" w:hAnsi="Times New Roman" w:cs="Times New Roman"/>
        </w:rPr>
        <w:t>.</w:t>
      </w:r>
      <w:r w:rsidR="00957CEC" w:rsidRPr="00455EB3">
        <w:rPr>
          <w:rStyle w:val="FootnoteReference"/>
          <w:rFonts w:ascii="Times New Roman" w:hAnsi="Times New Roman" w:cs="Times New Roman"/>
        </w:rPr>
        <w:footnoteReference w:id="181"/>
      </w:r>
      <w:r w:rsidR="00957CEC" w:rsidRPr="00455EB3">
        <w:rPr>
          <w:rFonts w:ascii="Times New Roman" w:hAnsi="Times New Roman" w:cs="Times New Roman"/>
        </w:rPr>
        <w:t xml:space="preserve"> That person went on to say </w:t>
      </w:r>
      <w:bookmarkStart w:id="6" w:name="_Hlk14020796"/>
      <w:r w:rsidR="00957CEC" w:rsidRPr="00455EB3">
        <w:rPr>
          <w:rFonts w:ascii="Times New Roman" w:hAnsi="Times New Roman" w:cs="Times New Roman"/>
        </w:rPr>
        <w:t>that ‘</w:t>
      </w:r>
      <w:r w:rsidR="00957CEC" w:rsidRPr="00455EB3">
        <w:rPr>
          <w:rFonts w:ascii="Times New Roman" w:hAnsi="Times New Roman" w:cs="Times New Roman"/>
          <w:lang w:val="en-US"/>
        </w:rPr>
        <w:t xml:space="preserve">it would be helpful to have feedback, to have pointers as to what to look for, because we are </w:t>
      </w:r>
      <w:bookmarkStart w:id="7" w:name="_Hlk14020808"/>
      <w:bookmarkEnd w:id="6"/>
      <w:r w:rsidR="00957CEC" w:rsidRPr="00455EB3">
        <w:rPr>
          <w:rFonts w:ascii="Times New Roman" w:hAnsi="Times New Roman" w:cs="Times New Roman"/>
          <w:lang w:val="en-US"/>
        </w:rPr>
        <w:t xml:space="preserve">very much in the dark. We can’t even talk to anyone else about it because of tipping off </w:t>
      </w:r>
      <w:proofErr w:type="gramStart"/>
      <w:r w:rsidR="00957CEC" w:rsidRPr="00455EB3">
        <w:rPr>
          <w:rFonts w:ascii="Times New Roman" w:hAnsi="Times New Roman" w:cs="Times New Roman"/>
          <w:lang w:val="en-US"/>
        </w:rPr>
        <w:t>concerns’</w:t>
      </w:r>
      <w:proofErr w:type="gramEnd"/>
      <w:r w:rsidR="001021D9" w:rsidRPr="00455EB3">
        <w:rPr>
          <w:rFonts w:ascii="Times New Roman" w:hAnsi="Times New Roman" w:cs="Times New Roman"/>
          <w:lang w:val="en-US"/>
        </w:rPr>
        <w:t>.</w:t>
      </w:r>
      <w:r w:rsidR="00957CEC" w:rsidRPr="00455EB3">
        <w:rPr>
          <w:rStyle w:val="FootnoteReference"/>
          <w:rFonts w:ascii="Times New Roman" w:hAnsi="Times New Roman" w:cs="Times New Roman"/>
          <w:lang w:val="en-US"/>
        </w:rPr>
        <w:footnoteReference w:id="182"/>
      </w:r>
      <w:r w:rsidR="00662C83" w:rsidRPr="00455EB3">
        <w:rPr>
          <w:rFonts w:ascii="Times New Roman" w:hAnsi="Times New Roman" w:cs="Times New Roman"/>
          <w:lang w:val="en-US"/>
        </w:rPr>
        <w:t xml:space="preserve"> </w:t>
      </w:r>
      <w:bookmarkEnd w:id="7"/>
      <w:r w:rsidR="00957CEC" w:rsidRPr="00455EB3">
        <w:rPr>
          <w:rFonts w:ascii="Times New Roman" w:hAnsi="Times New Roman" w:cs="Times New Roman"/>
        </w:rPr>
        <w:t xml:space="preserve">Others, however, </w:t>
      </w:r>
      <w:r w:rsidR="008C7E8E" w:rsidRPr="00455EB3">
        <w:rPr>
          <w:rFonts w:ascii="Times New Roman" w:hAnsi="Times New Roman" w:cs="Times New Roman"/>
        </w:rPr>
        <w:t>thought</w:t>
      </w:r>
      <w:r w:rsidR="00957CEC" w:rsidRPr="00455EB3">
        <w:rPr>
          <w:rFonts w:ascii="Times New Roman" w:hAnsi="Times New Roman" w:cs="Times New Roman"/>
        </w:rPr>
        <w:t xml:space="preserve"> that once a SAR is submitted, that is the end of the matter and there is no need to hear any more (unless </w:t>
      </w:r>
      <w:r w:rsidR="005369A3" w:rsidRPr="00455EB3">
        <w:rPr>
          <w:rFonts w:ascii="Times New Roman" w:hAnsi="Times New Roman" w:cs="Times New Roman"/>
        </w:rPr>
        <w:t xml:space="preserve">the </w:t>
      </w:r>
      <w:r w:rsidR="00C92BD5" w:rsidRPr="00455EB3">
        <w:rPr>
          <w:rFonts w:ascii="Times New Roman" w:hAnsi="Times New Roman" w:cs="Times New Roman"/>
        </w:rPr>
        <w:t xml:space="preserve">NCA asks for </w:t>
      </w:r>
      <w:r w:rsidR="00957CEC" w:rsidRPr="00455EB3">
        <w:rPr>
          <w:rFonts w:ascii="Times New Roman" w:hAnsi="Times New Roman" w:cs="Times New Roman"/>
        </w:rPr>
        <w:t>clarification).</w:t>
      </w:r>
      <w:bookmarkStart w:id="8" w:name="_Hlk14020845"/>
      <w:r w:rsidR="00957CEC" w:rsidRPr="00455EB3">
        <w:rPr>
          <w:rStyle w:val="FootnoteReference"/>
          <w:rFonts w:ascii="Times New Roman" w:hAnsi="Times New Roman" w:cs="Times New Roman"/>
        </w:rPr>
        <w:footnoteReference w:id="183"/>
      </w:r>
      <w:bookmarkEnd w:id="8"/>
      <w:r w:rsidR="000D20A4" w:rsidRPr="00455EB3">
        <w:rPr>
          <w:rFonts w:ascii="Times New Roman" w:hAnsi="Times New Roman" w:cs="Times New Roman"/>
        </w:rPr>
        <w:tab/>
      </w:r>
      <w:r w:rsidR="5D73A4EF" w:rsidRPr="00455EB3">
        <w:rPr>
          <w:rFonts w:ascii="Times New Roman" w:hAnsi="Times New Roman" w:cs="Times New Roman"/>
        </w:rPr>
        <w:t>Feedback</w:t>
      </w:r>
      <w:r w:rsidR="4AC4C163" w:rsidRPr="00455EB3">
        <w:rPr>
          <w:rFonts w:ascii="Times New Roman" w:hAnsi="Times New Roman" w:cs="Times New Roman"/>
        </w:rPr>
        <w:t xml:space="preserve"> loops can be important in ensuring proper functioning of regulation, though the</w:t>
      </w:r>
      <w:r w:rsidR="465672AC" w:rsidRPr="00455EB3">
        <w:rPr>
          <w:rFonts w:ascii="Times New Roman" w:hAnsi="Times New Roman" w:cs="Times New Roman"/>
        </w:rPr>
        <w:t xml:space="preserve">re can be obstacles in practice. For </w:t>
      </w:r>
      <w:r w:rsidR="4AC4C163" w:rsidRPr="00455EB3">
        <w:rPr>
          <w:rFonts w:ascii="Times New Roman" w:hAnsi="Times New Roman" w:cs="Times New Roman"/>
        </w:rPr>
        <w:t>instance, in the AML context</w:t>
      </w:r>
      <w:r w:rsidR="44C8D6B4" w:rsidRPr="00455EB3">
        <w:rPr>
          <w:rFonts w:ascii="Times New Roman" w:hAnsi="Times New Roman" w:cs="Times New Roman"/>
        </w:rPr>
        <w:t xml:space="preserve">, providing </w:t>
      </w:r>
      <w:r w:rsidR="50E133F4" w:rsidRPr="00455EB3">
        <w:rPr>
          <w:rFonts w:ascii="Times New Roman" w:hAnsi="Times New Roman" w:cs="Times New Roman"/>
        </w:rPr>
        <w:t xml:space="preserve">general, </w:t>
      </w:r>
      <w:r w:rsidR="44C8D6B4" w:rsidRPr="00455EB3">
        <w:rPr>
          <w:rFonts w:ascii="Times New Roman" w:hAnsi="Times New Roman" w:cs="Times New Roman"/>
        </w:rPr>
        <w:t>anonymised feedback</w:t>
      </w:r>
      <w:r w:rsidR="63FA046D" w:rsidRPr="00455EB3">
        <w:rPr>
          <w:rFonts w:ascii="Times New Roman" w:hAnsi="Times New Roman" w:cs="Times New Roman"/>
        </w:rPr>
        <w:t xml:space="preserve"> on</w:t>
      </w:r>
      <w:r w:rsidR="546B7F06" w:rsidRPr="00455EB3">
        <w:rPr>
          <w:rFonts w:ascii="Times New Roman" w:hAnsi="Times New Roman" w:cs="Times New Roman"/>
        </w:rPr>
        <w:t xml:space="preserve"> all the</w:t>
      </w:r>
      <w:r w:rsidR="63FA046D" w:rsidRPr="00455EB3">
        <w:rPr>
          <w:rFonts w:ascii="Times New Roman" w:hAnsi="Times New Roman" w:cs="Times New Roman"/>
        </w:rPr>
        <w:t xml:space="preserve"> SARs submitted in a particular year by </w:t>
      </w:r>
      <w:r w:rsidR="44C8D6B4" w:rsidRPr="00455EB3">
        <w:rPr>
          <w:rFonts w:ascii="Times New Roman" w:hAnsi="Times New Roman" w:cs="Times New Roman"/>
        </w:rPr>
        <w:t xml:space="preserve">a large bank </w:t>
      </w:r>
      <w:r w:rsidR="59B050F1" w:rsidRPr="00455EB3">
        <w:rPr>
          <w:rFonts w:ascii="Times New Roman" w:hAnsi="Times New Roman" w:cs="Times New Roman"/>
        </w:rPr>
        <w:t xml:space="preserve">- </w:t>
      </w:r>
      <w:r w:rsidR="44C8D6B4" w:rsidRPr="00455EB3">
        <w:rPr>
          <w:rFonts w:ascii="Times New Roman" w:hAnsi="Times New Roman" w:cs="Times New Roman"/>
        </w:rPr>
        <w:t xml:space="preserve">that submits a substantial number of SARs </w:t>
      </w:r>
      <w:r w:rsidR="5B57AADF" w:rsidRPr="00455EB3">
        <w:rPr>
          <w:rFonts w:ascii="Times New Roman" w:hAnsi="Times New Roman" w:cs="Times New Roman"/>
        </w:rPr>
        <w:t>-</w:t>
      </w:r>
      <w:r w:rsidR="44C8D6B4" w:rsidRPr="00455EB3">
        <w:rPr>
          <w:rFonts w:ascii="Times New Roman" w:hAnsi="Times New Roman" w:cs="Times New Roman"/>
        </w:rPr>
        <w:t xml:space="preserve"> </w:t>
      </w:r>
      <w:r w:rsidR="7FEF6A34" w:rsidRPr="00455EB3">
        <w:rPr>
          <w:rFonts w:ascii="Times New Roman" w:hAnsi="Times New Roman" w:cs="Times New Roman"/>
        </w:rPr>
        <w:t>might well be unproblematic</w:t>
      </w:r>
      <w:r w:rsidR="6BB61F9D" w:rsidRPr="00455EB3">
        <w:rPr>
          <w:rFonts w:ascii="Times New Roman" w:hAnsi="Times New Roman" w:cs="Times New Roman"/>
        </w:rPr>
        <w:t xml:space="preserve"> (albeit </w:t>
      </w:r>
      <w:r w:rsidR="00A063A9" w:rsidRPr="00455EB3">
        <w:rPr>
          <w:rFonts w:ascii="Times New Roman" w:hAnsi="Times New Roman" w:cs="Times New Roman"/>
        </w:rPr>
        <w:t>time</w:t>
      </w:r>
      <w:r w:rsidR="00A063A9">
        <w:rPr>
          <w:rFonts w:ascii="Times New Roman" w:hAnsi="Times New Roman" w:cs="Times New Roman"/>
        </w:rPr>
        <w:t>-</w:t>
      </w:r>
      <w:r w:rsidR="6BB61F9D" w:rsidRPr="00455EB3">
        <w:rPr>
          <w:rFonts w:ascii="Times New Roman" w:hAnsi="Times New Roman" w:cs="Times New Roman"/>
        </w:rPr>
        <w:t>consuming for law enforcement)</w:t>
      </w:r>
      <w:r w:rsidR="7FEF6A34" w:rsidRPr="00455EB3">
        <w:rPr>
          <w:rFonts w:ascii="Times New Roman" w:hAnsi="Times New Roman" w:cs="Times New Roman"/>
        </w:rPr>
        <w:t>, given the volume of SARs involved. In contrast, where a firm (whether estate agent or otherwise) submits a small number of SARs in a given year</w:t>
      </w:r>
      <w:r w:rsidR="5866D853" w:rsidRPr="00455EB3">
        <w:rPr>
          <w:rFonts w:ascii="Times New Roman" w:hAnsi="Times New Roman" w:cs="Times New Roman"/>
        </w:rPr>
        <w:t>, it is almost impossible to fully maintain anonymity</w:t>
      </w:r>
      <w:r w:rsidR="741921C3" w:rsidRPr="00455EB3">
        <w:rPr>
          <w:rFonts w:ascii="Times New Roman" w:hAnsi="Times New Roman" w:cs="Times New Roman"/>
        </w:rPr>
        <w:t>. Moreover, there are further considerations</w:t>
      </w:r>
      <w:r w:rsidR="149EEFA4" w:rsidRPr="00455EB3">
        <w:rPr>
          <w:rFonts w:ascii="Times New Roman" w:hAnsi="Times New Roman" w:cs="Times New Roman"/>
        </w:rPr>
        <w:t xml:space="preserve"> </w:t>
      </w:r>
      <w:r w:rsidR="245E984B" w:rsidRPr="00455EB3">
        <w:rPr>
          <w:rFonts w:ascii="Times New Roman" w:hAnsi="Times New Roman" w:cs="Times New Roman"/>
        </w:rPr>
        <w:t xml:space="preserve">where an AML investigation is still ongoing. </w:t>
      </w:r>
      <w:r w:rsidR="17363656" w:rsidRPr="00455EB3">
        <w:rPr>
          <w:rFonts w:ascii="Times New Roman" w:hAnsi="Times New Roman" w:cs="Times New Roman"/>
        </w:rPr>
        <w:t xml:space="preserve">Nonetheless, there are benefits where </w:t>
      </w:r>
      <w:r w:rsidR="3462B540" w:rsidRPr="00455EB3">
        <w:rPr>
          <w:rFonts w:ascii="Times New Roman" w:hAnsi="Times New Roman" w:cs="Times New Roman"/>
        </w:rPr>
        <w:t>regulated actors are able to see the benefits or outcomes of their particular contribution</w:t>
      </w:r>
      <w:r w:rsidR="73073FD3" w:rsidRPr="00455EB3">
        <w:rPr>
          <w:rFonts w:ascii="Times New Roman" w:hAnsi="Times New Roman" w:cs="Times New Roman"/>
        </w:rPr>
        <w:t xml:space="preserve"> </w:t>
      </w:r>
      <w:r w:rsidR="3462B540" w:rsidRPr="00455EB3">
        <w:rPr>
          <w:rFonts w:ascii="Times New Roman" w:hAnsi="Times New Roman" w:cs="Times New Roman"/>
        </w:rPr>
        <w:t>(in this instance, the filing of a SAR)</w:t>
      </w:r>
      <w:r w:rsidR="049A8417" w:rsidRPr="00455EB3">
        <w:rPr>
          <w:rFonts w:ascii="Times New Roman" w:hAnsi="Times New Roman" w:cs="Times New Roman"/>
        </w:rPr>
        <w:t xml:space="preserve"> to an investigation.</w:t>
      </w:r>
      <w:r w:rsidR="12FB6FE8" w:rsidRPr="00455EB3">
        <w:rPr>
          <w:rFonts w:ascii="Times New Roman" w:hAnsi="Times New Roman" w:cs="Times New Roman"/>
        </w:rPr>
        <w:t xml:space="preserve"> This can take the form of direct communication from law enforcement or even seeing the outcome in the news;</w:t>
      </w:r>
      <w:r w:rsidR="000D20A4" w:rsidRPr="00840A4B">
        <w:rPr>
          <w:rFonts w:ascii="Times New Roman" w:hAnsi="Times New Roman" w:cs="Times New Roman"/>
          <w:vertAlign w:val="superscript"/>
        </w:rPr>
        <w:footnoteReference w:id="184"/>
      </w:r>
      <w:r w:rsidR="31EBA6BE" w:rsidRPr="00455EB3">
        <w:rPr>
          <w:rFonts w:ascii="Times New Roman" w:hAnsi="Times New Roman" w:cs="Times New Roman"/>
        </w:rPr>
        <w:t xml:space="preserve"> </w:t>
      </w:r>
      <w:r w:rsidR="7466E795" w:rsidRPr="00455EB3">
        <w:rPr>
          <w:rFonts w:ascii="Times New Roman" w:hAnsi="Times New Roman" w:cs="Times New Roman"/>
        </w:rPr>
        <w:t>indeed, seeing media reports of AML enforcement relating to the estate agent sector was pos</w:t>
      </w:r>
      <w:r w:rsidR="48031CCA" w:rsidRPr="00455EB3">
        <w:rPr>
          <w:rFonts w:ascii="Times New Roman" w:hAnsi="Times New Roman" w:cs="Times New Roman"/>
        </w:rPr>
        <w:t>i</w:t>
      </w:r>
      <w:r w:rsidR="7466E795" w:rsidRPr="00455EB3">
        <w:rPr>
          <w:rFonts w:ascii="Times New Roman" w:hAnsi="Times New Roman" w:cs="Times New Roman"/>
        </w:rPr>
        <w:t>tive</w:t>
      </w:r>
      <w:r w:rsidR="1CD4DBFD" w:rsidRPr="00455EB3">
        <w:rPr>
          <w:rFonts w:ascii="Times New Roman" w:hAnsi="Times New Roman" w:cs="Times New Roman"/>
        </w:rPr>
        <w:t>ly commented upon by some interviewees</w:t>
      </w:r>
      <w:r w:rsidR="32CBA5BB" w:rsidRPr="00455EB3">
        <w:rPr>
          <w:rFonts w:ascii="Times New Roman" w:hAnsi="Times New Roman" w:cs="Times New Roman"/>
        </w:rPr>
        <w:t>, even if that was not related to their own actions.</w:t>
      </w:r>
      <w:r w:rsidR="000D20A4" w:rsidRPr="00840A4B">
        <w:rPr>
          <w:rFonts w:ascii="Times New Roman" w:hAnsi="Times New Roman" w:cs="Times New Roman"/>
          <w:vertAlign w:val="superscript"/>
        </w:rPr>
        <w:footnoteReference w:id="185"/>
      </w:r>
    </w:p>
    <w:p w14:paraId="05210840" w14:textId="4D2965FB" w:rsidR="00957CEC" w:rsidRPr="00455EB3" w:rsidRDefault="7466E795" w:rsidP="00AB4266">
      <w:pPr>
        <w:ind w:firstLine="720"/>
        <w:jc w:val="both"/>
        <w:rPr>
          <w:rFonts w:ascii="Times New Roman" w:hAnsi="Times New Roman" w:cs="Times New Roman"/>
        </w:rPr>
      </w:pPr>
      <w:r w:rsidRPr="00455EB3">
        <w:rPr>
          <w:rFonts w:ascii="Times New Roman" w:hAnsi="Times New Roman" w:cs="Times New Roman"/>
        </w:rPr>
        <w:t>I</w:t>
      </w:r>
      <w:r w:rsidR="00957CEC" w:rsidRPr="00455EB3">
        <w:rPr>
          <w:rFonts w:ascii="Times New Roman" w:hAnsi="Times New Roman" w:cs="Times New Roman"/>
        </w:rPr>
        <w:t xml:space="preserve">nterestingly, some noted the difficulties in maintaining confidentiality </w:t>
      </w:r>
      <w:r w:rsidR="00BC47D3" w:rsidRPr="00455EB3">
        <w:rPr>
          <w:rFonts w:ascii="Times New Roman" w:hAnsi="Times New Roman" w:cs="Times New Roman"/>
        </w:rPr>
        <w:t>when</w:t>
      </w:r>
      <w:r w:rsidR="00B454CE" w:rsidRPr="00455EB3">
        <w:rPr>
          <w:rFonts w:ascii="Times New Roman" w:hAnsi="Times New Roman" w:cs="Times New Roman"/>
        </w:rPr>
        <w:t xml:space="preserve"> filing</w:t>
      </w:r>
      <w:r w:rsidR="00BC47D3" w:rsidRPr="00455EB3">
        <w:rPr>
          <w:rFonts w:ascii="Times New Roman" w:hAnsi="Times New Roman" w:cs="Times New Roman"/>
        </w:rPr>
        <w:t xml:space="preserve"> </w:t>
      </w:r>
      <w:r w:rsidR="00957CEC" w:rsidRPr="00455EB3">
        <w:rPr>
          <w:rFonts w:ascii="Times New Roman" w:hAnsi="Times New Roman" w:cs="Times New Roman"/>
        </w:rPr>
        <w:t>a report</w:t>
      </w:r>
      <w:r w:rsidR="00DD3F33" w:rsidRPr="00455EB3">
        <w:rPr>
          <w:rFonts w:ascii="Times New Roman" w:hAnsi="Times New Roman" w:cs="Times New Roman"/>
        </w:rPr>
        <w:t>.</w:t>
      </w:r>
      <w:r w:rsidR="00957CEC" w:rsidRPr="00455EB3">
        <w:rPr>
          <w:rFonts w:ascii="Times New Roman" w:hAnsi="Times New Roman" w:cs="Times New Roman"/>
        </w:rPr>
        <w:t xml:space="preserve"> </w:t>
      </w:r>
      <w:r w:rsidR="0041517D" w:rsidRPr="00455EB3">
        <w:rPr>
          <w:rFonts w:ascii="Times New Roman" w:hAnsi="Times New Roman" w:cs="Times New Roman"/>
        </w:rPr>
        <w:t>Whereas</w:t>
      </w:r>
      <w:r w:rsidR="00DD3F33" w:rsidRPr="00455EB3">
        <w:rPr>
          <w:rFonts w:ascii="Times New Roman" w:hAnsi="Times New Roman" w:cs="Times New Roman"/>
        </w:rPr>
        <w:t xml:space="preserve"> </w:t>
      </w:r>
      <w:r w:rsidR="00957CEC" w:rsidRPr="00455EB3">
        <w:rPr>
          <w:rFonts w:ascii="Times New Roman" w:hAnsi="Times New Roman" w:cs="Times New Roman"/>
        </w:rPr>
        <w:t xml:space="preserve">the only people who ought to know are the individual EA (who reports suspicion to </w:t>
      </w:r>
      <w:r w:rsidR="00A91F00" w:rsidRPr="00455EB3">
        <w:rPr>
          <w:rFonts w:ascii="Times New Roman" w:hAnsi="Times New Roman" w:cs="Times New Roman"/>
        </w:rPr>
        <w:t>the money laundering reporting officer</w:t>
      </w:r>
      <w:r w:rsidR="0041517D" w:rsidRPr="00455EB3">
        <w:rPr>
          <w:rFonts w:ascii="Times New Roman" w:hAnsi="Times New Roman" w:cs="Times New Roman"/>
        </w:rPr>
        <w:t xml:space="preserve"> (MLRO)</w:t>
      </w:r>
      <w:r w:rsidR="00957CEC" w:rsidRPr="00455EB3">
        <w:rPr>
          <w:rFonts w:ascii="Times New Roman" w:hAnsi="Times New Roman" w:cs="Times New Roman"/>
        </w:rPr>
        <w:t>) and the MLRO</w:t>
      </w:r>
      <w:r w:rsidR="0041517D" w:rsidRPr="00455EB3">
        <w:rPr>
          <w:rFonts w:ascii="Times New Roman" w:hAnsi="Times New Roman" w:cs="Times New Roman"/>
        </w:rPr>
        <w:t xml:space="preserve">; </w:t>
      </w:r>
      <w:r w:rsidR="00957CEC" w:rsidRPr="00455EB3">
        <w:rPr>
          <w:rFonts w:ascii="Times New Roman" w:hAnsi="Times New Roman" w:cs="Times New Roman"/>
        </w:rPr>
        <w:t>the reality is otherwise. As one interviewee stated: this type of business</w:t>
      </w:r>
    </w:p>
    <w:p w14:paraId="0DAD59D5" w14:textId="77777777" w:rsidR="000D20A4" w:rsidRPr="00455EB3" w:rsidRDefault="000D20A4" w:rsidP="00AB4266">
      <w:pPr>
        <w:jc w:val="both"/>
        <w:rPr>
          <w:rFonts w:ascii="Times New Roman" w:hAnsi="Times New Roman" w:cs="Times New Roman"/>
        </w:rPr>
      </w:pPr>
    </w:p>
    <w:p w14:paraId="246AEBDB" w14:textId="53C187C4" w:rsidR="0022524B" w:rsidRPr="00455EB3" w:rsidRDefault="00957CEC" w:rsidP="00AB4266">
      <w:pPr>
        <w:ind w:left="567" w:right="521"/>
        <w:jc w:val="both"/>
        <w:rPr>
          <w:rFonts w:ascii="Times New Roman" w:hAnsi="Times New Roman" w:cs="Times New Roman"/>
          <w:lang w:val="en-US"/>
        </w:rPr>
      </w:pPr>
      <w:r w:rsidRPr="00455EB3">
        <w:rPr>
          <w:rFonts w:ascii="Times New Roman" w:hAnsi="Times New Roman" w:cs="Times New Roman"/>
          <w:lang w:val="en-US"/>
        </w:rPr>
        <w:t>mainly works in open plan offices as a team and therefore the whole team is going to know about the situation, particularly in the market now where we’re fairly low volume of transactions so everybody is going to know, and therefore the risk of something getting out is far greater than it perhaps would be indicated by the regulations.</w:t>
      </w:r>
      <w:r w:rsidRPr="00455EB3">
        <w:rPr>
          <w:rStyle w:val="FootnoteReference"/>
          <w:rFonts w:ascii="Times New Roman" w:hAnsi="Times New Roman" w:cs="Times New Roman"/>
          <w:lang w:val="en-US"/>
        </w:rPr>
        <w:footnoteReference w:id="186"/>
      </w:r>
    </w:p>
    <w:p w14:paraId="6FFB724D" w14:textId="77777777" w:rsidR="000D20A4" w:rsidRPr="00455EB3" w:rsidRDefault="000D20A4" w:rsidP="00AB4266">
      <w:pPr>
        <w:ind w:left="567" w:right="521"/>
        <w:jc w:val="both"/>
        <w:rPr>
          <w:rFonts w:ascii="Times New Roman" w:hAnsi="Times New Roman" w:cs="Times New Roman"/>
          <w:lang w:val="en-US"/>
        </w:rPr>
      </w:pPr>
    </w:p>
    <w:p w14:paraId="68304020" w14:textId="534A47D2" w:rsidR="00921814" w:rsidRPr="00455EB3" w:rsidRDefault="00957CEC" w:rsidP="00AB4266">
      <w:pPr>
        <w:jc w:val="both"/>
        <w:rPr>
          <w:rFonts w:ascii="Times New Roman" w:hAnsi="Times New Roman" w:cs="Times New Roman"/>
        </w:rPr>
      </w:pPr>
      <w:r w:rsidRPr="00455EB3">
        <w:rPr>
          <w:rFonts w:ascii="Times New Roman" w:hAnsi="Times New Roman" w:cs="Times New Roman"/>
          <w:lang w:val="en-US"/>
        </w:rPr>
        <w:t>This person went on to say that the ML Regs ‘weren’t written by someone who operates in the front-line of estate agents’.</w:t>
      </w:r>
      <w:r w:rsidR="00961320" w:rsidRPr="00455EB3">
        <w:rPr>
          <w:rStyle w:val="FootnoteReference"/>
          <w:rFonts w:ascii="Times New Roman" w:hAnsi="Times New Roman" w:cs="Times New Roman"/>
          <w:lang w:val="en-US"/>
        </w:rPr>
        <w:footnoteReference w:id="187"/>
      </w:r>
      <w:r w:rsidR="000E3101">
        <w:rPr>
          <w:rFonts w:ascii="Times New Roman" w:hAnsi="Times New Roman" w:cs="Times New Roman"/>
          <w:lang w:val="en-US"/>
        </w:rPr>
        <w:t xml:space="preserve"> This comment suggests </w:t>
      </w:r>
      <w:r w:rsidR="005E47FD">
        <w:rPr>
          <w:rFonts w:ascii="Times New Roman" w:hAnsi="Times New Roman" w:cs="Times New Roman"/>
          <w:lang w:val="en-US"/>
        </w:rPr>
        <w:t xml:space="preserve">a disconnection between </w:t>
      </w:r>
      <w:r w:rsidR="003E47F4">
        <w:rPr>
          <w:rFonts w:ascii="Times New Roman" w:hAnsi="Times New Roman" w:cs="Times New Roman"/>
          <w:lang w:val="en-US"/>
        </w:rPr>
        <w:t>the creation of AML rules on paper and their implementation into practice</w:t>
      </w:r>
      <w:r w:rsidR="00426407">
        <w:rPr>
          <w:rFonts w:ascii="Times New Roman" w:hAnsi="Times New Roman" w:cs="Times New Roman"/>
          <w:lang w:val="en-US"/>
        </w:rPr>
        <w:t xml:space="preserve">, with a criticism towards law-making and policy-making processes that do not </w:t>
      </w:r>
      <w:r w:rsidR="00F43DFF">
        <w:rPr>
          <w:rFonts w:ascii="Times New Roman" w:hAnsi="Times New Roman" w:cs="Times New Roman"/>
          <w:lang w:val="en-US"/>
        </w:rPr>
        <w:t xml:space="preserve">align the theoretical expectations of the legislator with the reality </w:t>
      </w:r>
      <w:r w:rsidR="00840A4B">
        <w:rPr>
          <w:rFonts w:ascii="Times New Roman" w:hAnsi="Times New Roman" w:cs="Times New Roman"/>
          <w:lang w:val="en-US"/>
        </w:rPr>
        <w:t>on the frontline</w:t>
      </w:r>
      <w:r w:rsidR="00F43DFF">
        <w:rPr>
          <w:rFonts w:ascii="Times New Roman" w:hAnsi="Times New Roman" w:cs="Times New Roman"/>
          <w:lang w:val="en-US"/>
        </w:rPr>
        <w:t xml:space="preserve">. </w:t>
      </w:r>
      <w:r w:rsidR="00F232BF">
        <w:rPr>
          <w:rFonts w:ascii="Times New Roman" w:hAnsi="Times New Roman" w:cs="Times New Roman"/>
          <w:lang w:val="en-US"/>
        </w:rPr>
        <w:t xml:space="preserve">This </w:t>
      </w:r>
      <w:r w:rsidR="00AA77BB">
        <w:rPr>
          <w:rFonts w:ascii="Times New Roman" w:hAnsi="Times New Roman" w:cs="Times New Roman"/>
          <w:lang w:val="en-US"/>
        </w:rPr>
        <w:t>regulatory ‘</w:t>
      </w:r>
      <w:r w:rsidR="00F232BF">
        <w:rPr>
          <w:rFonts w:ascii="Times New Roman" w:hAnsi="Times New Roman" w:cs="Times New Roman"/>
          <w:lang w:val="en-US"/>
        </w:rPr>
        <w:t>d</w:t>
      </w:r>
      <w:r w:rsidR="007E125C">
        <w:rPr>
          <w:rFonts w:ascii="Times New Roman" w:hAnsi="Times New Roman" w:cs="Times New Roman"/>
          <w:lang w:val="en-US"/>
        </w:rPr>
        <w:t>etachment</w:t>
      </w:r>
      <w:r w:rsidR="00AA77BB">
        <w:rPr>
          <w:rFonts w:ascii="Times New Roman" w:hAnsi="Times New Roman" w:cs="Times New Roman"/>
          <w:lang w:val="en-US"/>
        </w:rPr>
        <w:t>’</w:t>
      </w:r>
      <w:r w:rsidR="007E125C">
        <w:rPr>
          <w:rFonts w:ascii="Times New Roman" w:hAnsi="Times New Roman" w:cs="Times New Roman"/>
          <w:lang w:val="en-US"/>
        </w:rPr>
        <w:t xml:space="preserve"> </w:t>
      </w:r>
      <w:r w:rsidR="007057E4">
        <w:rPr>
          <w:rFonts w:ascii="Times New Roman" w:hAnsi="Times New Roman" w:cs="Times New Roman"/>
          <w:lang w:val="en-US"/>
        </w:rPr>
        <w:t xml:space="preserve">emerges </w:t>
      </w:r>
      <w:r w:rsidR="00691245">
        <w:rPr>
          <w:rFonts w:ascii="Times New Roman" w:hAnsi="Times New Roman" w:cs="Times New Roman"/>
          <w:lang w:val="en-US"/>
        </w:rPr>
        <w:t xml:space="preserve">both </w:t>
      </w:r>
      <w:r w:rsidR="007057E4">
        <w:rPr>
          <w:rFonts w:ascii="Times New Roman" w:hAnsi="Times New Roman" w:cs="Times New Roman"/>
          <w:lang w:val="en-US"/>
        </w:rPr>
        <w:t xml:space="preserve">in relation to </w:t>
      </w:r>
      <w:r w:rsidR="00E9676C">
        <w:rPr>
          <w:rFonts w:ascii="Times New Roman" w:hAnsi="Times New Roman" w:cs="Times New Roman"/>
          <w:lang w:val="en-US"/>
        </w:rPr>
        <w:t xml:space="preserve">AML </w:t>
      </w:r>
      <w:r w:rsidR="00C34438">
        <w:rPr>
          <w:rFonts w:ascii="Times New Roman" w:hAnsi="Times New Roman" w:cs="Times New Roman"/>
          <w:lang w:val="en-US"/>
        </w:rPr>
        <w:t>general principles and obligation</w:t>
      </w:r>
      <w:r w:rsidR="00E9676C">
        <w:rPr>
          <w:rFonts w:ascii="Times New Roman" w:hAnsi="Times New Roman" w:cs="Times New Roman"/>
          <w:lang w:val="en-US"/>
        </w:rPr>
        <w:t>s</w:t>
      </w:r>
      <w:r w:rsidR="00B92213">
        <w:rPr>
          <w:rFonts w:ascii="Times New Roman" w:hAnsi="Times New Roman" w:cs="Times New Roman"/>
          <w:lang w:val="en-US"/>
        </w:rPr>
        <w:t>,</w:t>
      </w:r>
      <w:r w:rsidR="00C34438">
        <w:rPr>
          <w:rFonts w:ascii="Times New Roman" w:hAnsi="Times New Roman" w:cs="Times New Roman"/>
          <w:lang w:val="en-US"/>
        </w:rPr>
        <w:t xml:space="preserve"> and their imposition on EAs</w:t>
      </w:r>
      <w:r w:rsidR="00B92213">
        <w:rPr>
          <w:rFonts w:ascii="Times New Roman" w:hAnsi="Times New Roman" w:cs="Times New Roman"/>
          <w:lang w:val="en-US"/>
        </w:rPr>
        <w:t>,</w:t>
      </w:r>
      <w:r w:rsidR="00691245">
        <w:rPr>
          <w:rFonts w:ascii="Times New Roman" w:hAnsi="Times New Roman" w:cs="Times New Roman"/>
          <w:lang w:val="en-US"/>
        </w:rPr>
        <w:t xml:space="preserve"> and </w:t>
      </w:r>
      <w:r w:rsidR="00E13392">
        <w:rPr>
          <w:rFonts w:ascii="Times New Roman" w:hAnsi="Times New Roman" w:cs="Times New Roman"/>
          <w:lang w:val="en-US"/>
        </w:rPr>
        <w:t xml:space="preserve">the theoretical </w:t>
      </w:r>
      <w:r w:rsidR="003B46E7">
        <w:rPr>
          <w:rFonts w:ascii="Times New Roman" w:hAnsi="Times New Roman" w:cs="Times New Roman"/>
          <w:lang w:val="en-US"/>
        </w:rPr>
        <w:t xml:space="preserve">understanding of the practice of EAs and how </w:t>
      </w:r>
      <w:r w:rsidR="00B92213">
        <w:rPr>
          <w:rFonts w:ascii="Times New Roman" w:hAnsi="Times New Roman" w:cs="Times New Roman"/>
          <w:lang w:val="en-US"/>
        </w:rPr>
        <w:t xml:space="preserve">they </w:t>
      </w:r>
      <w:r w:rsidR="003B46E7">
        <w:rPr>
          <w:rFonts w:ascii="Times New Roman" w:hAnsi="Times New Roman" w:cs="Times New Roman"/>
          <w:lang w:val="en-US"/>
        </w:rPr>
        <w:t>can implement AML regulation</w:t>
      </w:r>
      <w:r w:rsidR="0081513A">
        <w:rPr>
          <w:rFonts w:ascii="Times New Roman" w:hAnsi="Times New Roman" w:cs="Times New Roman"/>
          <w:lang w:val="en-US"/>
        </w:rPr>
        <w:t xml:space="preserve"> in their daily practice</w:t>
      </w:r>
      <w:r w:rsidR="003B46E7">
        <w:rPr>
          <w:rFonts w:ascii="Times New Roman" w:hAnsi="Times New Roman" w:cs="Times New Roman"/>
          <w:lang w:val="en-US"/>
        </w:rPr>
        <w:t>.</w:t>
      </w:r>
      <w:r w:rsidR="0081513A">
        <w:rPr>
          <w:rFonts w:ascii="Times New Roman" w:hAnsi="Times New Roman" w:cs="Times New Roman"/>
          <w:lang w:val="en-US"/>
        </w:rPr>
        <w:t xml:space="preserve"> </w:t>
      </w:r>
      <w:r w:rsidR="00EC2CDE">
        <w:rPr>
          <w:rFonts w:ascii="Times New Roman" w:hAnsi="Times New Roman" w:cs="Times New Roman"/>
          <w:lang w:val="en-US"/>
        </w:rPr>
        <w:t xml:space="preserve">This is a </w:t>
      </w:r>
      <w:r w:rsidR="001F4DF8">
        <w:rPr>
          <w:rFonts w:ascii="Times New Roman" w:hAnsi="Times New Roman" w:cs="Times New Roman"/>
          <w:lang w:val="en-US"/>
        </w:rPr>
        <w:t>common</w:t>
      </w:r>
      <w:r w:rsidR="00026DF6">
        <w:rPr>
          <w:rFonts w:ascii="Times New Roman" w:hAnsi="Times New Roman" w:cs="Times New Roman"/>
          <w:lang w:val="en-US"/>
        </w:rPr>
        <w:t xml:space="preserve"> thread</w:t>
      </w:r>
      <w:r w:rsidR="00EC2CDE">
        <w:rPr>
          <w:rFonts w:ascii="Times New Roman" w:hAnsi="Times New Roman" w:cs="Times New Roman"/>
          <w:lang w:val="en-US"/>
        </w:rPr>
        <w:t xml:space="preserve"> </w:t>
      </w:r>
      <w:r w:rsidR="008E0E08">
        <w:rPr>
          <w:rFonts w:ascii="Times New Roman" w:hAnsi="Times New Roman" w:cs="Times New Roman"/>
          <w:lang w:val="en-US"/>
        </w:rPr>
        <w:t>that</w:t>
      </w:r>
      <w:r w:rsidR="00026DF6">
        <w:rPr>
          <w:rFonts w:ascii="Times New Roman" w:hAnsi="Times New Roman" w:cs="Times New Roman"/>
          <w:lang w:val="en-US"/>
        </w:rPr>
        <w:t xml:space="preserve"> has emerged from our interviews and </w:t>
      </w:r>
      <w:r w:rsidR="005638E4">
        <w:rPr>
          <w:rFonts w:ascii="Times New Roman" w:hAnsi="Times New Roman" w:cs="Times New Roman"/>
          <w:lang w:val="en-US"/>
        </w:rPr>
        <w:t xml:space="preserve">raises the question of the </w:t>
      </w:r>
      <w:r w:rsidR="00C80ADE">
        <w:rPr>
          <w:rFonts w:ascii="Times New Roman" w:hAnsi="Times New Roman" w:cs="Times New Roman"/>
          <w:lang w:val="en-US"/>
        </w:rPr>
        <w:t xml:space="preserve">need to </w:t>
      </w:r>
      <w:r w:rsidR="00CC22E6">
        <w:rPr>
          <w:rFonts w:ascii="Times New Roman" w:hAnsi="Times New Roman" w:cs="Times New Roman"/>
          <w:lang w:val="en-US"/>
        </w:rPr>
        <w:t>have a better understanding of the practice</w:t>
      </w:r>
      <w:r w:rsidR="00B92213">
        <w:rPr>
          <w:rFonts w:ascii="Times New Roman" w:hAnsi="Times New Roman" w:cs="Times New Roman"/>
          <w:lang w:val="en-US"/>
        </w:rPr>
        <w:t>s</w:t>
      </w:r>
      <w:r w:rsidR="00CC22E6">
        <w:rPr>
          <w:rFonts w:ascii="Times New Roman" w:hAnsi="Times New Roman" w:cs="Times New Roman"/>
          <w:lang w:val="en-US"/>
        </w:rPr>
        <w:t xml:space="preserve"> of </w:t>
      </w:r>
      <w:r w:rsidR="00B92213">
        <w:rPr>
          <w:rFonts w:ascii="Times New Roman" w:hAnsi="Times New Roman" w:cs="Times New Roman"/>
          <w:lang w:val="en-US"/>
        </w:rPr>
        <w:t>different sectors</w:t>
      </w:r>
      <w:r w:rsidR="00CC22E6">
        <w:rPr>
          <w:rFonts w:ascii="Times New Roman" w:hAnsi="Times New Roman" w:cs="Times New Roman"/>
          <w:lang w:val="en-US"/>
        </w:rPr>
        <w:t xml:space="preserve"> when creating AML regulation.</w:t>
      </w:r>
    </w:p>
    <w:p w14:paraId="55008E7E" w14:textId="77777777" w:rsidR="0022524B" w:rsidRPr="00455EB3" w:rsidRDefault="0022524B" w:rsidP="00AB4266">
      <w:pPr>
        <w:jc w:val="both"/>
        <w:rPr>
          <w:rFonts w:ascii="Times New Roman" w:hAnsi="Times New Roman" w:cs="Times New Roman"/>
        </w:rPr>
      </w:pPr>
    </w:p>
    <w:p w14:paraId="0696C36B" w14:textId="32F4C602" w:rsidR="002C4D1B" w:rsidRPr="004E5BA2" w:rsidRDefault="00B52376" w:rsidP="00AB4266">
      <w:pPr>
        <w:pStyle w:val="Heading2"/>
        <w:jc w:val="both"/>
        <w:rPr>
          <w:rFonts w:ascii="Times New Roman" w:hAnsi="Times New Roman" w:cs="Times New Roman"/>
          <w:color w:val="auto"/>
        </w:rPr>
      </w:pPr>
      <w:r w:rsidRPr="00455EB3">
        <w:rPr>
          <w:rFonts w:ascii="Times New Roman" w:hAnsi="Times New Roman" w:cs="Times New Roman"/>
          <w:color w:val="auto"/>
        </w:rPr>
        <w:t>Self-p</w:t>
      </w:r>
      <w:r w:rsidR="0022524B" w:rsidRPr="00455EB3">
        <w:rPr>
          <w:rFonts w:ascii="Times New Roman" w:hAnsi="Times New Roman" w:cs="Times New Roman"/>
          <w:color w:val="auto"/>
        </w:rPr>
        <w:t>rotection</w:t>
      </w:r>
    </w:p>
    <w:p w14:paraId="473441B6" w14:textId="0281E68D" w:rsidR="000D20A4" w:rsidRPr="00455EB3" w:rsidRDefault="006E6E8A" w:rsidP="00AB4266">
      <w:pPr>
        <w:jc w:val="both"/>
        <w:rPr>
          <w:rFonts w:ascii="Times New Roman" w:hAnsi="Times New Roman" w:cs="Times New Roman"/>
        </w:rPr>
      </w:pPr>
      <w:r w:rsidRPr="00455EB3">
        <w:rPr>
          <w:rFonts w:ascii="Times New Roman" w:hAnsi="Times New Roman" w:cs="Times New Roman"/>
        </w:rPr>
        <w:t xml:space="preserve">A recurring theme </w:t>
      </w:r>
      <w:r w:rsidR="003B406C" w:rsidRPr="00455EB3">
        <w:rPr>
          <w:rFonts w:ascii="Times New Roman" w:hAnsi="Times New Roman" w:cs="Times New Roman"/>
        </w:rPr>
        <w:t>in AML</w:t>
      </w:r>
      <w:r w:rsidR="00FE67B5" w:rsidRPr="00455EB3">
        <w:rPr>
          <w:rFonts w:ascii="Times New Roman" w:hAnsi="Times New Roman" w:cs="Times New Roman"/>
        </w:rPr>
        <w:t xml:space="preserve"> (particularly as regards CDD and reporting suspicions)</w:t>
      </w:r>
      <w:r w:rsidR="003B406C" w:rsidRPr="00455EB3">
        <w:rPr>
          <w:rFonts w:ascii="Times New Roman" w:hAnsi="Times New Roman" w:cs="Times New Roman"/>
        </w:rPr>
        <w:t xml:space="preserve"> is</w:t>
      </w:r>
      <w:r w:rsidRPr="00455EB3">
        <w:rPr>
          <w:rFonts w:ascii="Times New Roman" w:hAnsi="Times New Roman" w:cs="Times New Roman"/>
        </w:rPr>
        <w:t xml:space="preserve"> self-protection</w:t>
      </w:r>
      <w:r w:rsidR="003B406C" w:rsidRPr="00455EB3">
        <w:rPr>
          <w:rFonts w:ascii="Times New Roman" w:hAnsi="Times New Roman" w:cs="Times New Roman"/>
        </w:rPr>
        <w:t>, which in many instances leads to a box-ticking approach.</w:t>
      </w:r>
      <w:r w:rsidR="00D45BC0" w:rsidRPr="00455EB3">
        <w:rPr>
          <w:rFonts w:ascii="Times New Roman" w:hAnsi="Times New Roman" w:cs="Times New Roman"/>
        </w:rPr>
        <w:t xml:space="preserve"> This theme arises from an AML regime that is ‘designed in a way that inevitably provokes fear of penalties and reputational damage’</w:t>
      </w:r>
      <w:r w:rsidR="004F0ED6">
        <w:rPr>
          <w:rFonts w:ascii="Times New Roman" w:hAnsi="Times New Roman" w:cs="Times New Roman"/>
        </w:rPr>
        <w:t>.</w:t>
      </w:r>
      <w:r w:rsidR="00D45BC0" w:rsidRPr="00455EB3">
        <w:rPr>
          <w:rStyle w:val="FootnoteReference"/>
          <w:rFonts w:ascii="Times New Roman" w:hAnsi="Times New Roman" w:cs="Times New Roman"/>
        </w:rPr>
        <w:footnoteReference w:id="188"/>
      </w:r>
      <w:r w:rsidR="008500DD" w:rsidRPr="00455EB3">
        <w:rPr>
          <w:rFonts w:ascii="Times New Roman" w:hAnsi="Times New Roman" w:cs="Times New Roman"/>
        </w:rPr>
        <w:t xml:space="preserve"> Thus, there is an evident preference </w:t>
      </w:r>
      <w:r w:rsidR="00353BB1" w:rsidRPr="00455EB3">
        <w:rPr>
          <w:rFonts w:ascii="Times New Roman" w:hAnsi="Times New Roman" w:cs="Times New Roman"/>
        </w:rPr>
        <w:t>for a more rules-based approach on the part of private actors</w:t>
      </w:r>
      <w:r w:rsidR="00454CCD" w:rsidRPr="00455EB3">
        <w:rPr>
          <w:rFonts w:ascii="Times New Roman" w:hAnsi="Times New Roman" w:cs="Times New Roman"/>
        </w:rPr>
        <w:t>,</w:t>
      </w:r>
      <w:r w:rsidR="00353BB1" w:rsidRPr="00455EB3">
        <w:rPr>
          <w:rFonts w:ascii="Times New Roman" w:hAnsi="Times New Roman" w:cs="Times New Roman"/>
        </w:rPr>
        <w:t xml:space="preserve"> or a ‘desire for a totally automatic detection system that would obviate the need for individual decision making’.</w:t>
      </w:r>
      <w:r w:rsidR="00353BB1" w:rsidRPr="00455EB3">
        <w:rPr>
          <w:rStyle w:val="FootnoteReference"/>
          <w:rFonts w:ascii="Times New Roman" w:hAnsi="Times New Roman" w:cs="Times New Roman"/>
        </w:rPr>
        <w:footnoteReference w:id="189"/>
      </w:r>
      <w:r w:rsidR="00353BB1" w:rsidRPr="00455EB3">
        <w:rPr>
          <w:rFonts w:ascii="Times New Roman" w:hAnsi="Times New Roman" w:cs="Times New Roman"/>
        </w:rPr>
        <w:t xml:space="preserve"> </w:t>
      </w:r>
      <w:r w:rsidR="004D3ED2" w:rsidRPr="00455EB3">
        <w:rPr>
          <w:rFonts w:ascii="Times New Roman" w:hAnsi="Times New Roman" w:cs="Times New Roman"/>
        </w:rPr>
        <w:t>Yet</w:t>
      </w:r>
      <w:r w:rsidRPr="00455EB3">
        <w:rPr>
          <w:rFonts w:ascii="Times New Roman" w:hAnsi="Times New Roman" w:cs="Times New Roman"/>
        </w:rPr>
        <w:t xml:space="preserve">, </w:t>
      </w:r>
      <w:r w:rsidR="00423EC4" w:rsidRPr="00455EB3">
        <w:rPr>
          <w:rFonts w:ascii="Times New Roman" w:hAnsi="Times New Roman" w:cs="Times New Roman"/>
        </w:rPr>
        <w:t>such an</w:t>
      </w:r>
      <w:r w:rsidRPr="00455EB3">
        <w:rPr>
          <w:rFonts w:ascii="Times New Roman" w:hAnsi="Times New Roman" w:cs="Times New Roman"/>
        </w:rPr>
        <w:t xml:space="preserve"> approach goes against the rationale underlying </w:t>
      </w:r>
      <w:r w:rsidR="00353BB1" w:rsidRPr="00455EB3">
        <w:rPr>
          <w:rFonts w:ascii="Times New Roman" w:hAnsi="Times New Roman" w:cs="Times New Roman"/>
        </w:rPr>
        <w:t>the risk-based approach</w:t>
      </w:r>
      <w:r w:rsidRPr="00455EB3">
        <w:rPr>
          <w:rFonts w:ascii="Times New Roman" w:hAnsi="Times New Roman" w:cs="Times New Roman"/>
        </w:rPr>
        <w:t xml:space="preserve"> in the AML regime.</w:t>
      </w:r>
      <w:r w:rsidR="005F740E" w:rsidRPr="00455EB3">
        <w:rPr>
          <w:rFonts w:ascii="Times New Roman" w:hAnsi="Times New Roman" w:cs="Times New Roman"/>
        </w:rPr>
        <w:t xml:space="preserve"> </w:t>
      </w:r>
      <w:r w:rsidR="004D3ED2" w:rsidRPr="00455EB3">
        <w:rPr>
          <w:rFonts w:ascii="Times New Roman" w:hAnsi="Times New Roman" w:cs="Times New Roman"/>
        </w:rPr>
        <w:t>T</w:t>
      </w:r>
      <w:r w:rsidR="00353FE1" w:rsidRPr="00455EB3">
        <w:rPr>
          <w:rFonts w:ascii="Times New Roman" w:hAnsi="Times New Roman" w:cs="Times New Roman"/>
        </w:rPr>
        <w:t>he</w:t>
      </w:r>
      <w:r w:rsidR="00E55972" w:rsidRPr="00455EB3">
        <w:rPr>
          <w:rFonts w:ascii="Times New Roman" w:hAnsi="Times New Roman" w:cs="Times New Roman"/>
        </w:rPr>
        <w:t xml:space="preserve"> rules-based </w:t>
      </w:r>
      <w:r w:rsidR="005F740E" w:rsidRPr="00455EB3">
        <w:rPr>
          <w:rFonts w:ascii="Times New Roman" w:hAnsi="Times New Roman" w:cs="Times New Roman"/>
        </w:rPr>
        <w:t>approach accords</w:t>
      </w:r>
      <w:r w:rsidR="004D3ED2" w:rsidRPr="00455EB3">
        <w:rPr>
          <w:rFonts w:ascii="Times New Roman" w:hAnsi="Times New Roman" w:cs="Times New Roman"/>
        </w:rPr>
        <w:t>, however,</w:t>
      </w:r>
      <w:r w:rsidR="005F740E" w:rsidRPr="00455EB3">
        <w:rPr>
          <w:rFonts w:ascii="Times New Roman" w:hAnsi="Times New Roman" w:cs="Times New Roman"/>
        </w:rPr>
        <w:t xml:space="preserve"> with the adoption of secondary risk management strategies to avoid potential blame should something go wrong.</w:t>
      </w:r>
      <w:r w:rsidR="005F740E" w:rsidRPr="00455EB3">
        <w:rPr>
          <w:rStyle w:val="FootnoteReference"/>
          <w:rFonts w:ascii="Times New Roman" w:hAnsi="Times New Roman" w:cs="Times New Roman"/>
        </w:rPr>
        <w:footnoteReference w:id="190"/>
      </w:r>
      <w:r w:rsidRPr="00455EB3">
        <w:rPr>
          <w:rFonts w:ascii="Times New Roman" w:hAnsi="Times New Roman" w:cs="Times New Roman"/>
        </w:rPr>
        <w:t xml:space="preserve"> </w:t>
      </w:r>
      <w:r w:rsidR="00DF4233" w:rsidRPr="00455EB3">
        <w:rPr>
          <w:rFonts w:ascii="Times New Roman" w:hAnsi="Times New Roman" w:cs="Times New Roman"/>
        </w:rPr>
        <w:t>Again here</w:t>
      </w:r>
      <w:r w:rsidR="00C44248" w:rsidRPr="00455EB3">
        <w:rPr>
          <w:rFonts w:ascii="Times New Roman" w:hAnsi="Times New Roman" w:cs="Times New Roman"/>
        </w:rPr>
        <w:t>,</w:t>
      </w:r>
      <w:r w:rsidR="00DF4233" w:rsidRPr="00455EB3">
        <w:rPr>
          <w:rFonts w:ascii="Times New Roman" w:hAnsi="Times New Roman" w:cs="Times New Roman"/>
        </w:rPr>
        <w:t xml:space="preserve"> </w:t>
      </w:r>
      <w:r w:rsidR="00C44248" w:rsidRPr="00455EB3">
        <w:rPr>
          <w:rFonts w:ascii="Times New Roman" w:hAnsi="Times New Roman" w:cs="Times New Roman"/>
        </w:rPr>
        <w:t xml:space="preserve">EAs felt </w:t>
      </w:r>
      <w:r w:rsidR="003B0CD5" w:rsidRPr="00455EB3">
        <w:rPr>
          <w:rFonts w:ascii="Times New Roman" w:hAnsi="Times New Roman" w:cs="Times New Roman"/>
        </w:rPr>
        <w:t xml:space="preserve">to </w:t>
      </w:r>
      <w:r w:rsidR="00DF4233" w:rsidRPr="00455EB3">
        <w:rPr>
          <w:rFonts w:ascii="Times New Roman" w:hAnsi="Times New Roman" w:cs="Times New Roman"/>
        </w:rPr>
        <w:t>be placed in a position of vulnerability.</w:t>
      </w:r>
      <w:r w:rsidR="00DF4233" w:rsidRPr="00455EB3">
        <w:rPr>
          <w:rStyle w:val="FootnoteReference"/>
          <w:rFonts w:ascii="Times New Roman" w:hAnsi="Times New Roman" w:cs="Times New Roman"/>
        </w:rPr>
        <w:footnoteReference w:id="191"/>
      </w:r>
      <w:r w:rsidR="00DF4233" w:rsidRPr="00455EB3">
        <w:rPr>
          <w:rFonts w:ascii="Times New Roman" w:hAnsi="Times New Roman" w:cs="Times New Roman"/>
        </w:rPr>
        <w:t xml:space="preserve"> </w:t>
      </w:r>
      <w:r w:rsidR="003B0B06" w:rsidRPr="00455EB3">
        <w:rPr>
          <w:rFonts w:ascii="Times New Roman" w:hAnsi="Times New Roman" w:cs="Times New Roman"/>
        </w:rPr>
        <w:t>In this regard, a</w:t>
      </w:r>
      <w:r w:rsidRPr="00455EB3">
        <w:rPr>
          <w:rFonts w:ascii="Times New Roman" w:hAnsi="Times New Roman" w:cs="Times New Roman"/>
        </w:rPr>
        <w:t xml:space="preserve"> key concern for private actors is to ‘do whatever they can to protect themselves rather than do what they are expected to do’</w:t>
      </w:r>
      <w:r w:rsidR="003B0CD5" w:rsidRPr="00455EB3">
        <w:rPr>
          <w:rFonts w:ascii="Times New Roman" w:hAnsi="Times New Roman" w:cs="Times New Roman"/>
        </w:rPr>
        <w:t>.</w:t>
      </w:r>
      <w:r w:rsidRPr="00455EB3">
        <w:rPr>
          <w:rStyle w:val="FootnoteReference"/>
          <w:rFonts w:ascii="Times New Roman" w:hAnsi="Times New Roman" w:cs="Times New Roman"/>
        </w:rPr>
        <w:footnoteReference w:id="192"/>
      </w:r>
      <w:r w:rsidRPr="00455EB3">
        <w:rPr>
          <w:rFonts w:ascii="Times New Roman" w:hAnsi="Times New Roman" w:cs="Times New Roman"/>
        </w:rPr>
        <w:t xml:space="preserve"> </w:t>
      </w:r>
      <w:r w:rsidR="000C1878" w:rsidRPr="00455EB3">
        <w:rPr>
          <w:rFonts w:ascii="Times New Roman" w:hAnsi="Times New Roman" w:cs="Times New Roman"/>
        </w:rPr>
        <w:t>As a consequence</w:t>
      </w:r>
      <w:r w:rsidRPr="00455EB3">
        <w:rPr>
          <w:rFonts w:ascii="Times New Roman" w:hAnsi="Times New Roman" w:cs="Times New Roman"/>
        </w:rPr>
        <w:t xml:space="preserve">, </w:t>
      </w:r>
      <w:r w:rsidR="00064A30" w:rsidRPr="00455EB3">
        <w:rPr>
          <w:rFonts w:ascii="Times New Roman" w:hAnsi="Times New Roman" w:cs="Times New Roman"/>
        </w:rPr>
        <w:t xml:space="preserve">EAs do not </w:t>
      </w:r>
      <w:r w:rsidRPr="00455EB3">
        <w:rPr>
          <w:rFonts w:ascii="Times New Roman" w:hAnsi="Times New Roman" w:cs="Times New Roman"/>
        </w:rPr>
        <w:t xml:space="preserve">act as a </w:t>
      </w:r>
      <w:r w:rsidR="00250646" w:rsidRPr="00455EB3">
        <w:rPr>
          <w:rFonts w:ascii="Times New Roman" w:hAnsi="Times New Roman" w:cs="Times New Roman"/>
        </w:rPr>
        <w:t xml:space="preserve">filter </w:t>
      </w:r>
      <w:r w:rsidR="00064A30" w:rsidRPr="00455EB3">
        <w:rPr>
          <w:rFonts w:ascii="Times New Roman" w:hAnsi="Times New Roman" w:cs="Times New Roman"/>
        </w:rPr>
        <w:t xml:space="preserve">for </w:t>
      </w:r>
      <w:r w:rsidRPr="00455EB3">
        <w:rPr>
          <w:rFonts w:ascii="Times New Roman" w:hAnsi="Times New Roman" w:cs="Times New Roman"/>
        </w:rPr>
        <w:t>suspicious</w:t>
      </w:r>
      <w:r w:rsidR="00064A30" w:rsidRPr="00455EB3">
        <w:rPr>
          <w:rFonts w:ascii="Times New Roman" w:hAnsi="Times New Roman" w:cs="Times New Roman"/>
        </w:rPr>
        <w:t xml:space="preserve"> activities</w:t>
      </w:r>
      <w:r w:rsidR="00C030EF" w:rsidRPr="00455EB3">
        <w:rPr>
          <w:rFonts w:ascii="Times New Roman" w:hAnsi="Times New Roman" w:cs="Times New Roman"/>
        </w:rPr>
        <w:t xml:space="preserve">; </w:t>
      </w:r>
      <w:r w:rsidR="00C030EF" w:rsidRPr="00455EB3">
        <w:rPr>
          <w:rFonts w:ascii="Times New Roman" w:hAnsi="Times New Roman" w:cs="Times New Roman"/>
        </w:rPr>
        <w:lastRenderedPageBreak/>
        <w:t>instead</w:t>
      </w:r>
      <w:r w:rsidR="00930190" w:rsidRPr="00455EB3">
        <w:rPr>
          <w:rFonts w:ascii="Times New Roman" w:hAnsi="Times New Roman" w:cs="Times New Roman"/>
        </w:rPr>
        <w:t>,</w:t>
      </w:r>
      <w:r w:rsidRPr="00455EB3">
        <w:rPr>
          <w:rFonts w:ascii="Times New Roman" w:hAnsi="Times New Roman" w:cs="Times New Roman"/>
        </w:rPr>
        <w:t xml:space="preserve"> </w:t>
      </w:r>
      <w:r w:rsidR="00267EB0" w:rsidRPr="00455EB3">
        <w:rPr>
          <w:rFonts w:ascii="Times New Roman" w:hAnsi="Times New Roman" w:cs="Times New Roman"/>
        </w:rPr>
        <w:t xml:space="preserve">often </w:t>
      </w:r>
      <w:r w:rsidRPr="00455EB3">
        <w:rPr>
          <w:rFonts w:ascii="Times New Roman" w:hAnsi="Times New Roman" w:cs="Times New Roman"/>
        </w:rPr>
        <w:t xml:space="preserve">the approach adopted </w:t>
      </w:r>
      <w:r w:rsidR="003B406C" w:rsidRPr="00455EB3">
        <w:rPr>
          <w:rFonts w:ascii="Times New Roman" w:hAnsi="Times New Roman" w:cs="Times New Roman"/>
        </w:rPr>
        <w:t xml:space="preserve">is that it is better to be safe than sorry and to report anything out of the ordinary. This emphasis, however, runs counter to the intentions of the </w:t>
      </w:r>
      <w:r w:rsidR="5A967BC1" w:rsidRPr="00455EB3">
        <w:rPr>
          <w:rFonts w:ascii="Times New Roman" w:hAnsi="Times New Roman" w:cs="Times New Roman"/>
        </w:rPr>
        <w:t>risk-based approach</w:t>
      </w:r>
      <w:r w:rsidR="003F6262" w:rsidRPr="00455EB3">
        <w:rPr>
          <w:rFonts w:ascii="Times New Roman" w:hAnsi="Times New Roman" w:cs="Times New Roman"/>
        </w:rPr>
        <w:t>, which was introduced to enhance the quality of reports from the private sector.</w:t>
      </w:r>
      <w:r w:rsidR="00B0240B" w:rsidRPr="00455EB3">
        <w:rPr>
          <w:rFonts w:ascii="Times New Roman" w:hAnsi="Times New Roman" w:cs="Times New Roman"/>
        </w:rPr>
        <w:t xml:space="preserve"> </w:t>
      </w:r>
      <w:r w:rsidR="00C030EF" w:rsidRPr="00455EB3">
        <w:rPr>
          <w:rFonts w:ascii="Times New Roman" w:hAnsi="Times New Roman" w:cs="Times New Roman"/>
        </w:rPr>
        <w:t>Thus</w:t>
      </w:r>
      <w:r w:rsidR="00B0240B" w:rsidRPr="00455EB3">
        <w:rPr>
          <w:rFonts w:ascii="Times New Roman" w:hAnsi="Times New Roman" w:cs="Times New Roman"/>
        </w:rPr>
        <w:t>, the result has been legal uncertainty for those subject to the AML regime</w:t>
      </w:r>
      <w:r w:rsidR="00BB352C" w:rsidRPr="00455EB3">
        <w:rPr>
          <w:rFonts w:ascii="Times New Roman" w:hAnsi="Times New Roman" w:cs="Times New Roman"/>
        </w:rPr>
        <w:t>,</w:t>
      </w:r>
      <w:r w:rsidR="00B0240B" w:rsidRPr="00455EB3">
        <w:rPr>
          <w:rStyle w:val="FootnoteReference"/>
          <w:rFonts w:ascii="Times New Roman" w:hAnsi="Times New Roman" w:cs="Times New Roman"/>
        </w:rPr>
        <w:footnoteReference w:id="193"/>
      </w:r>
      <w:r w:rsidR="00BB352C" w:rsidRPr="00455EB3">
        <w:rPr>
          <w:rFonts w:ascii="Times New Roman" w:hAnsi="Times New Roman" w:cs="Times New Roman"/>
        </w:rPr>
        <w:t xml:space="preserve"> wh</w:t>
      </w:r>
      <w:r w:rsidR="008813F1" w:rsidRPr="00455EB3">
        <w:rPr>
          <w:rFonts w:ascii="Times New Roman" w:hAnsi="Times New Roman" w:cs="Times New Roman"/>
        </w:rPr>
        <w:t>ose focus is (usually) primarily on compliance with the law.</w:t>
      </w:r>
      <w:r w:rsidR="008813F1" w:rsidRPr="00455EB3">
        <w:rPr>
          <w:rStyle w:val="FootnoteReference"/>
          <w:rFonts w:ascii="Times New Roman" w:hAnsi="Times New Roman" w:cs="Times New Roman"/>
        </w:rPr>
        <w:footnoteReference w:id="194"/>
      </w:r>
    </w:p>
    <w:p w14:paraId="65FD3AE6" w14:textId="1D155692" w:rsidR="003B406C" w:rsidRPr="00455EB3" w:rsidRDefault="000D20A4" w:rsidP="00AB4266">
      <w:pPr>
        <w:jc w:val="both"/>
        <w:rPr>
          <w:rFonts w:ascii="Times New Roman" w:hAnsi="Times New Roman" w:cs="Times New Roman"/>
        </w:rPr>
      </w:pPr>
      <w:r w:rsidRPr="00455EB3">
        <w:rPr>
          <w:rFonts w:ascii="Times New Roman" w:hAnsi="Times New Roman" w:cs="Times New Roman"/>
        </w:rPr>
        <w:tab/>
      </w:r>
      <w:r w:rsidR="003B406C" w:rsidRPr="00455EB3">
        <w:rPr>
          <w:rFonts w:ascii="Times New Roman" w:hAnsi="Times New Roman" w:cs="Times New Roman"/>
        </w:rPr>
        <w:t xml:space="preserve">In this study, such considerations were evident for many interviewees. </w:t>
      </w:r>
      <w:r w:rsidR="0048784D" w:rsidRPr="00455EB3">
        <w:rPr>
          <w:rFonts w:ascii="Times New Roman" w:hAnsi="Times New Roman" w:cs="Times New Roman"/>
        </w:rPr>
        <w:t>Some spoke about doing the minimum that is required to be compliant</w:t>
      </w:r>
      <w:r w:rsidR="000A0F54" w:rsidRPr="00455EB3">
        <w:rPr>
          <w:rFonts w:ascii="Times New Roman" w:hAnsi="Times New Roman" w:cs="Times New Roman"/>
        </w:rPr>
        <w:t>,</w:t>
      </w:r>
      <w:r w:rsidR="0048784D" w:rsidRPr="00455EB3">
        <w:rPr>
          <w:rStyle w:val="FootnoteReference"/>
          <w:rFonts w:ascii="Times New Roman" w:hAnsi="Times New Roman" w:cs="Times New Roman"/>
        </w:rPr>
        <w:footnoteReference w:id="195"/>
      </w:r>
      <w:r w:rsidR="00FA56BE" w:rsidRPr="00455EB3">
        <w:rPr>
          <w:rFonts w:ascii="Times New Roman" w:hAnsi="Times New Roman" w:cs="Times New Roman"/>
        </w:rPr>
        <w:t xml:space="preserve"> and </w:t>
      </w:r>
      <w:r w:rsidR="000A0F54" w:rsidRPr="00455EB3">
        <w:rPr>
          <w:rFonts w:ascii="Times New Roman" w:hAnsi="Times New Roman" w:cs="Times New Roman"/>
        </w:rPr>
        <w:t>conducting</w:t>
      </w:r>
      <w:r w:rsidR="0048784D" w:rsidRPr="00455EB3">
        <w:rPr>
          <w:rFonts w:ascii="Times New Roman" w:hAnsi="Times New Roman" w:cs="Times New Roman"/>
        </w:rPr>
        <w:t xml:space="preserve"> </w:t>
      </w:r>
      <w:r w:rsidR="008006B2" w:rsidRPr="00455EB3">
        <w:rPr>
          <w:rFonts w:ascii="Times New Roman" w:hAnsi="Times New Roman" w:cs="Times New Roman"/>
        </w:rPr>
        <w:t>checks simply ‘to tick a box’</w:t>
      </w:r>
      <w:r w:rsidR="008006B2" w:rsidRPr="00455EB3">
        <w:rPr>
          <w:rStyle w:val="FootnoteReference"/>
          <w:rFonts w:ascii="Times New Roman" w:hAnsi="Times New Roman" w:cs="Times New Roman"/>
        </w:rPr>
        <w:footnoteReference w:id="196"/>
      </w:r>
      <w:r w:rsidR="00044749" w:rsidRPr="00455EB3">
        <w:rPr>
          <w:rFonts w:ascii="Times New Roman" w:hAnsi="Times New Roman" w:cs="Times New Roman"/>
        </w:rPr>
        <w:t xml:space="preserve"> </w:t>
      </w:r>
      <w:r w:rsidR="00844825" w:rsidRPr="00455EB3">
        <w:rPr>
          <w:rFonts w:ascii="Times New Roman" w:hAnsi="Times New Roman" w:cs="Times New Roman"/>
        </w:rPr>
        <w:t xml:space="preserve">because </w:t>
      </w:r>
      <w:r w:rsidR="00044749" w:rsidRPr="00455EB3">
        <w:rPr>
          <w:rFonts w:ascii="Times New Roman" w:hAnsi="Times New Roman" w:cs="Times New Roman"/>
        </w:rPr>
        <w:t>EAs often ‘want to be on the safe side’.</w:t>
      </w:r>
      <w:r w:rsidR="00044749" w:rsidRPr="00455EB3">
        <w:rPr>
          <w:rStyle w:val="FootnoteReference"/>
          <w:rFonts w:ascii="Times New Roman" w:hAnsi="Times New Roman" w:cs="Times New Roman"/>
        </w:rPr>
        <w:footnoteReference w:id="197"/>
      </w:r>
      <w:r w:rsidR="00044749" w:rsidRPr="00455EB3">
        <w:rPr>
          <w:rFonts w:ascii="Times New Roman" w:hAnsi="Times New Roman" w:cs="Times New Roman"/>
        </w:rPr>
        <w:t xml:space="preserve"> </w:t>
      </w:r>
      <w:r w:rsidR="00BC1C4B" w:rsidRPr="00455EB3">
        <w:rPr>
          <w:rFonts w:ascii="Times New Roman" w:hAnsi="Times New Roman" w:cs="Times New Roman"/>
        </w:rPr>
        <w:t>To this end, s</w:t>
      </w:r>
      <w:r w:rsidR="008006B2" w:rsidRPr="00455EB3">
        <w:rPr>
          <w:rFonts w:ascii="Times New Roman" w:hAnsi="Times New Roman" w:cs="Times New Roman"/>
        </w:rPr>
        <w:t xml:space="preserve">ome </w:t>
      </w:r>
      <w:r w:rsidR="000A0F54" w:rsidRPr="00455EB3">
        <w:rPr>
          <w:rFonts w:ascii="Times New Roman" w:hAnsi="Times New Roman" w:cs="Times New Roman"/>
        </w:rPr>
        <w:t xml:space="preserve">interviewees </w:t>
      </w:r>
      <w:r w:rsidR="008006B2" w:rsidRPr="00455EB3">
        <w:rPr>
          <w:rFonts w:ascii="Times New Roman" w:hAnsi="Times New Roman" w:cs="Times New Roman"/>
        </w:rPr>
        <w:t>spoke about having processes in place ‘to cover their own backsides’.</w:t>
      </w:r>
      <w:r w:rsidR="008006B2" w:rsidRPr="00455EB3">
        <w:rPr>
          <w:rStyle w:val="FootnoteReference"/>
          <w:rFonts w:ascii="Times New Roman" w:hAnsi="Times New Roman" w:cs="Times New Roman"/>
        </w:rPr>
        <w:footnoteReference w:id="198"/>
      </w:r>
      <w:r w:rsidR="008006B2" w:rsidRPr="00455EB3">
        <w:rPr>
          <w:rFonts w:ascii="Times New Roman" w:hAnsi="Times New Roman" w:cs="Times New Roman"/>
        </w:rPr>
        <w:t xml:space="preserve"> Others have policies in place whereby if a person is still ‘live’ on their system</w:t>
      </w:r>
      <w:r w:rsidR="00A75658" w:rsidRPr="00455EB3">
        <w:rPr>
          <w:rFonts w:ascii="Times New Roman" w:hAnsi="Times New Roman" w:cs="Times New Roman"/>
        </w:rPr>
        <w:t xml:space="preserve"> (</w:t>
      </w:r>
      <w:r w:rsidR="00A063A9" w:rsidRPr="00455EB3">
        <w:rPr>
          <w:rFonts w:ascii="Times New Roman" w:hAnsi="Times New Roman" w:cs="Times New Roman"/>
        </w:rPr>
        <w:t>i</w:t>
      </w:r>
      <w:r w:rsidR="00A063A9">
        <w:rPr>
          <w:rFonts w:ascii="Times New Roman" w:hAnsi="Times New Roman" w:cs="Times New Roman"/>
        </w:rPr>
        <w:t>.e.</w:t>
      </w:r>
      <w:r w:rsidR="00A063A9" w:rsidRPr="00455EB3">
        <w:rPr>
          <w:rFonts w:ascii="Times New Roman" w:hAnsi="Times New Roman" w:cs="Times New Roman"/>
        </w:rPr>
        <w:t xml:space="preserve"> </w:t>
      </w:r>
      <w:r w:rsidR="008006B2" w:rsidRPr="00455EB3">
        <w:rPr>
          <w:rFonts w:ascii="Times New Roman" w:hAnsi="Times New Roman" w:cs="Times New Roman"/>
        </w:rPr>
        <w:t>they are still dealing with that person</w:t>
      </w:r>
      <w:r w:rsidR="00A75658" w:rsidRPr="00455EB3">
        <w:rPr>
          <w:rFonts w:ascii="Times New Roman" w:hAnsi="Times New Roman" w:cs="Times New Roman"/>
        </w:rPr>
        <w:t>)</w:t>
      </w:r>
      <w:r w:rsidR="008006B2" w:rsidRPr="00455EB3">
        <w:rPr>
          <w:rFonts w:ascii="Times New Roman" w:hAnsi="Times New Roman" w:cs="Times New Roman"/>
        </w:rPr>
        <w:t xml:space="preserve">, they will </w:t>
      </w:r>
      <w:r w:rsidR="00A75658" w:rsidRPr="00455EB3">
        <w:rPr>
          <w:rFonts w:ascii="Times New Roman" w:hAnsi="Times New Roman" w:cs="Times New Roman"/>
        </w:rPr>
        <w:t xml:space="preserve">run </w:t>
      </w:r>
      <w:r w:rsidR="008006B2" w:rsidRPr="00455EB3">
        <w:rPr>
          <w:rFonts w:ascii="Times New Roman" w:hAnsi="Times New Roman" w:cs="Times New Roman"/>
        </w:rPr>
        <w:t>AML checks on an annual basis.</w:t>
      </w:r>
      <w:r w:rsidR="008006B2" w:rsidRPr="00455EB3">
        <w:rPr>
          <w:rStyle w:val="FootnoteReference"/>
          <w:rFonts w:ascii="Times New Roman" w:hAnsi="Times New Roman" w:cs="Times New Roman"/>
        </w:rPr>
        <w:footnoteReference w:id="199"/>
      </w:r>
      <w:r w:rsidR="008006B2" w:rsidRPr="00455EB3">
        <w:rPr>
          <w:rFonts w:ascii="Times New Roman" w:hAnsi="Times New Roman" w:cs="Times New Roman"/>
        </w:rPr>
        <w:t xml:space="preserve"> </w:t>
      </w:r>
      <w:r w:rsidR="005A7948" w:rsidRPr="00455EB3">
        <w:rPr>
          <w:rFonts w:ascii="Times New Roman" w:hAnsi="Times New Roman" w:cs="Times New Roman"/>
        </w:rPr>
        <w:t>Moreover, s</w:t>
      </w:r>
      <w:r w:rsidR="003B406C" w:rsidRPr="00455EB3">
        <w:rPr>
          <w:rFonts w:ascii="Times New Roman" w:hAnsi="Times New Roman" w:cs="Times New Roman"/>
        </w:rPr>
        <w:t xml:space="preserve">ome </w:t>
      </w:r>
      <w:r w:rsidR="00274577" w:rsidRPr="00455EB3">
        <w:rPr>
          <w:rFonts w:ascii="Times New Roman" w:hAnsi="Times New Roman" w:cs="Times New Roman"/>
        </w:rPr>
        <w:t xml:space="preserve">interviewees </w:t>
      </w:r>
      <w:r w:rsidR="003B406C" w:rsidRPr="00455EB3">
        <w:rPr>
          <w:rFonts w:ascii="Times New Roman" w:hAnsi="Times New Roman" w:cs="Times New Roman"/>
        </w:rPr>
        <w:t>put significant focus on covering themselves against future action</w:t>
      </w:r>
      <w:r w:rsidR="00274577" w:rsidRPr="00455EB3">
        <w:rPr>
          <w:rFonts w:ascii="Times New Roman" w:hAnsi="Times New Roman" w:cs="Times New Roman"/>
        </w:rPr>
        <w:t>:</w:t>
      </w:r>
    </w:p>
    <w:p w14:paraId="74F04148" w14:textId="77777777" w:rsidR="000D20A4" w:rsidRPr="00455EB3" w:rsidRDefault="000D20A4" w:rsidP="00AB4266">
      <w:pPr>
        <w:jc w:val="both"/>
        <w:rPr>
          <w:rFonts w:ascii="Times New Roman" w:hAnsi="Times New Roman" w:cs="Times New Roman"/>
        </w:rPr>
      </w:pPr>
    </w:p>
    <w:p w14:paraId="09A7BE4E" w14:textId="2A1DB379" w:rsidR="00274577" w:rsidRPr="00455EB3" w:rsidRDefault="003B406C" w:rsidP="00AB4266">
      <w:pPr>
        <w:ind w:left="567" w:right="521"/>
        <w:jc w:val="both"/>
        <w:rPr>
          <w:rFonts w:ascii="Times New Roman" w:hAnsi="Times New Roman" w:cs="Times New Roman"/>
        </w:rPr>
      </w:pPr>
      <w:r w:rsidRPr="00455EB3">
        <w:rPr>
          <w:rFonts w:ascii="Times New Roman" w:hAnsi="Times New Roman" w:cs="Times New Roman"/>
          <w:lang w:val="en-US"/>
        </w:rPr>
        <w:t>My main concern is to get the SAR in, to have it documented so that if it ever does go off I can then sit back and say, “We made a SAR on that date. That’s not our problem, we’ve done what we are required to do in law, with a SAR. What you do with it, is up to you”</w:t>
      </w:r>
      <w:r w:rsidR="005A7948" w:rsidRPr="00455EB3">
        <w:rPr>
          <w:rFonts w:ascii="Times New Roman" w:hAnsi="Times New Roman" w:cs="Times New Roman"/>
          <w:lang w:val="en-US"/>
        </w:rPr>
        <w:t>.</w:t>
      </w:r>
      <w:r w:rsidRPr="00455EB3">
        <w:rPr>
          <w:rStyle w:val="FootnoteReference"/>
          <w:rFonts w:ascii="Times New Roman" w:hAnsi="Times New Roman" w:cs="Times New Roman"/>
        </w:rPr>
        <w:footnoteReference w:id="200"/>
      </w:r>
    </w:p>
    <w:p w14:paraId="59971BF6" w14:textId="77777777" w:rsidR="00274577" w:rsidRPr="00455EB3" w:rsidRDefault="00274577" w:rsidP="00AB4266">
      <w:pPr>
        <w:ind w:left="567" w:right="521"/>
        <w:jc w:val="both"/>
        <w:rPr>
          <w:rFonts w:ascii="Times New Roman" w:hAnsi="Times New Roman" w:cs="Times New Roman"/>
        </w:rPr>
      </w:pPr>
    </w:p>
    <w:p w14:paraId="0E87B838" w14:textId="7088E872" w:rsidR="000D20A4" w:rsidRPr="00455EB3" w:rsidRDefault="003B406C" w:rsidP="00AB4266">
      <w:pPr>
        <w:jc w:val="both"/>
        <w:rPr>
          <w:rFonts w:ascii="Times New Roman" w:hAnsi="Times New Roman" w:cs="Times New Roman"/>
        </w:rPr>
      </w:pPr>
      <w:r w:rsidRPr="00455EB3">
        <w:rPr>
          <w:rFonts w:ascii="Times New Roman" w:hAnsi="Times New Roman" w:cs="Times New Roman"/>
        </w:rPr>
        <w:t>Another stated that once a SAR is filed and received by the NCA,</w:t>
      </w:r>
    </w:p>
    <w:p w14:paraId="5C5AE0C8" w14:textId="77777777" w:rsidR="00274577" w:rsidRPr="00455EB3" w:rsidRDefault="00274577" w:rsidP="00AB4266">
      <w:pPr>
        <w:jc w:val="both"/>
        <w:rPr>
          <w:rFonts w:ascii="Times New Roman" w:hAnsi="Times New Roman" w:cs="Times New Roman"/>
        </w:rPr>
      </w:pPr>
    </w:p>
    <w:p w14:paraId="0D0B4FB7" w14:textId="1D5CDCA5" w:rsidR="003B406C" w:rsidRPr="00455EB3" w:rsidRDefault="003B406C" w:rsidP="00AB4266">
      <w:pPr>
        <w:ind w:left="567" w:right="521"/>
        <w:jc w:val="both"/>
        <w:rPr>
          <w:rFonts w:ascii="Times New Roman" w:hAnsi="Times New Roman" w:cs="Times New Roman"/>
          <w:lang w:val="en-US"/>
        </w:rPr>
      </w:pPr>
      <w:r w:rsidRPr="00455EB3">
        <w:rPr>
          <w:rFonts w:ascii="Times New Roman" w:hAnsi="Times New Roman" w:cs="Times New Roman"/>
          <w:lang w:val="en-US"/>
        </w:rPr>
        <w:t>then it’s not the agent</w:t>
      </w:r>
      <w:r w:rsidR="006C19F0" w:rsidRPr="00455EB3">
        <w:rPr>
          <w:rFonts w:ascii="Times New Roman" w:hAnsi="Times New Roman" w:cs="Times New Roman"/>
          <w:lang w:val="en-US"/>
        </w:rPr>
        <w:t>’</w:t>
      </w:r>
      <w:r w:rsidRPr="00455EB3">
        <w:rPr>
          <w:rFonts w:ascii="Times New Roman" w:hAnsi="Times New Roman" w:cs="Times New Roman"/>
          <w:lang w:val="en-US"/>
        </w:rPr>
        <w:t>s problem then if something happens. They’ve done their bit, it’s up to the authorities then</w:t>
      </w:r>
      <w:r w:rsidR="00DB2879" w:rsidRPr="00455EB3">
        <w:rPr>
          <w:rFonts w:ascii="Times New Roman" w:hAnsi="Times New Roman" w:cs="Times New Roman"/>
          <w:lang w:val="en-US"/>
        </w:rPr>
        <w:t xml:space="preserve"> </w:t>
      </w:r>
      <w:r w:rsidRPr="00455EB3">
        <w:rPr>
          <w:rFonts w:ascii="Times New Roman" w:hAnsi="Times New Roman" w:cs="Times New Roman"/>
          <w:lang w:val="en-US"/>
        </w:rPr>
        <w:t>- whether that’s the tax authorities, the police</w:t>
      </w:r>
      <w:r w:rsidR="00DB2879" w:rsidRPr="00455EB3">
        <w:rPr>
          <w:rFonts w:ascii="Times New Roman" w:hAnsi="Times New Roman" w:cs="Times New Roman"/>
          <w:lang w:val="en-US"/>
        </w:rPr>
        <w:t xml:space="preserve"> </w:t>
      </w:r>
      <w:r w:rsidRPr="00455EB3">
        <w:rPr>
          <w:rFonts w:ascii="Times New Roman" w:hAnsi="Times New Roman" w:cs="Times New Roman"/>
          <w:lang w:val="en-US"/>
        </w:rPr>
        <w:t>- to do their bit. The agent has flagged it. If the agent doesn’t flag it, then obviously there’s the risk that somebody could come back to the agent and say, “You should’ve spotted this”</w:t>
      </w:r>
      <w:r w:rsidR="00066CB9" w:rsidRPr="00455EB3">
        <w:rPr>
          <w:rFonts w:ascii="Times New Roman" w:hAnsi="Times New Roman" w:cs="Times New Roman"/>
          <w:lang w:val="en-US"/>
        </w:rPr>
        <w:t>.</w:t>
      </w:r>
      <w:r w:rsidRPr="00455EB3">
        <w:rPr>
          <w:rStyle w:val="FootnoteReference"/>
          <w:rFonts w:ascii="Times New Roman" w:hAnsi="Times New Roman" w:cs="Times New Roman"/>
          <w:lang w:val="en-US"/>
        </w:rPr>
        <w:footnoteReference w:id="201"/>
      </w:r>
    </w:p>
    <w:p w14:paraId="1856ECAF" w14:textId="77777777" w:rsidR="000D20A4" w:rsidRPr="00455EB3" w:rsidRDefault="000D20A4" w:rsidP="00AB4266">
      <w:pPr>
        <w:ind w:left="567" w:right="521"/>
        <w:jc w:val="both"/>
        <w:rPr>
          <w:rFonts w:ascii="Times New Roman" w:hAnsi="Times New Roman" w:cs="Times New Roman"/>
          <w:lang w:val="en-US"/>
        </w:rPr>
      </w:pPr>
    </w:p>
    <w:p w14:paraId="747BFF38" w14:textId="4E471D9C" w:rsidR="00A352D2" w:rsidRPr="00455EB3" w:rsidRDefault="000D20A4" w:rsidP="00AB4266">
      <w:pPr>
        <w:jc w:val="both"/>
        <w:rPr>
          <w:rFonts w:ascii="Times New Roman" w:hAnsi="Times New Roman" w:cs="Times New Roman"/>
        </w:rPr>
      </w:pPr>
      <w:r w:rsidRPr="00455EB3">
        <w:rPr>
          <w:rFonts w:ascii="Times New Roman" w:hAnsi="Times New Roman" w:cs="Times New Roman"/>
        </w:rPr>
        <w:tab/>
      </w:r>
      <w:r w:rsidR="003B406C" w:rsidRPr="00455EB3">
        <w:rPr>
          <w:rFonts w:ascii="Times New Roman" w:hAnsi="Times New Roman" w:cs="Times New Roman"/>
        </w:rPr>
        <w:t>A recurring theme was that EAs err on the safe side and submit a report if there is any suspicion</w:t>
      </w:r>
      <w:r w:rsidR="000A2510" w:rsidRPr="00455EB3">
        <w:rPr>
          <w:rFonts w:ascii="Times New Roman" w:hAnsi="Times New Roman" w:cs="Times New Roman"/>
        </w:rPr>
        <w:t>,</w:t>
      </w:r>
      <w:r w:rsidR="003B406C" w:rsidRPr="00455EB3">
        <w:rPr>
          <w:rStyle w:val="FootnoteReference"/>
          <w:rFonts w:ascii="Times New Roman" w:hAnsi="Times New Roman" w:cs="Times New Roman"/>
        </w:rPr>
        <w:footnoteReference w:id="202"/>
      </w:r>
      <w:r w:rsidR="00510E0D" w:rsidRPr="00455EB3">
        <w:rPr>
          <w:rFonts w:ascii="Times New Roman" w:hAnsi="Times New Roman" w:cs="Times New Roman"/>
        </w:rPr>
        <w:t xml:space="preserve"> in order to satisfy (and be protected from) regulators.</w:t>
      </w:r>
      <w:r w:rsidR="00510E0D" w:rsidRPr="00455EB3">
        <w:rPr>
          <w:rStyle w:val="FootnoteReference"/>
          <w:rFonts w:ascii="Times New Roman" w:hAnsi="Times New Roman" w:cs="Times New Roman"/>
        </w:rPr>
        <w:footnoteReference w:id="203"/>
      </w:r>
      <w:r w:rsidR="00142CE8" w:rsidRPr="00455EB3">
        <w:rPr>
          <w:rFonts w:ascii="Times New Roman" w:hAnsi="Times New Roman" w:cs="Times New Roman"/>
        </w:rPr>
        <w:t xml:space="preserve"> Inevita</w:t>
      </w:r>
      <w:r w:rsidR="00801ED8" w:rsidRPr="00455EB3">
        <w:rPr>
          <w:rFonts w:ascii="Times New Roman" w:hAnsi="Times New Roman" w:cs="Times New Roman"/>
        </w:rPr>
        <w:t>b</w:t>
      </w:r>
      <w:r w:rsidR="00142CE8" w:rsidRPr="00455EB3">
        <w:rPr>
          <w:rFonts w:ascii="Times New Roman" w:hAnsi="Times New Roman" w:cs="Times New Roman"/>
        </w:rPr>
        <w:t>ly</w:t>
      </w:r>
      <w:r w:rsidR="00801ED8" w:rsidRPr="00455EB3">
        <w:rPr>
          <w:rFonts w:ascii="Times New Roman" w:hAnsi="Times New Roman" w:cs="Times New Roman"/>
        </w:rPr>
        <w:t xml:space="preserve">, defensive reporting becomes an embedded approach ‘understandably so, with a few hours spent submitting a SAR being infinitely preferable to the prospect of more than a few </w:t>
      </w:r>
      <w:r w:rsidR="00801ED8" w:rsidRPr="00455EB3">
        <w:rPr>
          <w:rFonts w:ascii="Times New Roman" w:hAnsi="Times New Roman" w:cs="Times New Roman"/>
        </w:rPr>
        <w:lastRenderedPageBreak/>
        <w:t>years’ incarceration for a substantive laundering or failure to disclose offence’.</w:t>
      </w:r>
      <w:r w:rsidR="00801ED8" w:rsidRPr="00455EB3">
        <w:rPr>
          <w:rStyle w:val="FootnoteReference"/>
          <w:rFonts w:ascii="Times New Roman" w:hAnsi="Times New Roman" w:cs="Times New Roman"/>
        </w:rPr>
        <w:footnoteReference w:id="204"/>
      </w:r>
      <w:r w:rsidR="00142CE8" w:rsidRPr="00455EB3">
        <w:rPr>
          <w:rFonts w:ascii="Times New Roman" w:hAnsi="Times New Roman" w:cs="Times New Roman"/>
        </w:rPr>
        <w:t xml:space="preserve"> </w:t>
      </w:r>
      <w:r w:rsidR="00801ED8" w:rsidRPr="00455EB3">
        <w:rPr>
          <w:rFonts w:ascii="Times New Roman" w:hAnsi="Times New Roman" w:cs="Times New Roman"/>
        </w:rPr>
        <w:t>Our findings</w:t>
      </w:r>
      <w:r w:rsidR="0098300E" w:rsidRPr="00455EB3">
        <w:rPr>
          <w:rFonts w:ascii="Times New Roman" w:hAnsi="Times New Roman" w:cs="Times New Roman"/>
        </w:rPr>
        <w:t xml:space="preserve"> fit with </w:t>
      </w:r>
      <w:r w:rsidR="0017163E" w:rsidRPr="00455EB3">
        <w:rPr>
          <w:rFonts w:ascii="Times New Roman" w:hAnsi="Times New Roman" w:cs="Times New Roman"/>
        </w:rPr>
        <w:t xml:space="preserve">a </w:t>
      </w:r>
      <w:r w:rsidR="00066CB9" w:rsidRPr="00455EB3">
        <w:rPr>
          <w:rFonts w:ascii="Times New Roman" w:hAnsi="Times New Roman" w:cs="Times New Roman"/>
        </w:rPr>
        <w:t xml:space="preserve">broader </w:t>
      </w:r>
      <w:r w:rsidR="0098300E" w:rsidRPr="00455EB3">
        <w:rPr>
          <w:rFonts w:ascii="Times New Roman" w:hAnsi="Times New Roman" w:cs="Times New Roman"/>
        </w:rPr>
        <w:t>emphasis on precaution and security</w:t>
      </w:r>
      <w:r w:rsidR="0017163E" w:rsidRPr="00455EB3">
        <w:rPr>
          <w:rFonts w:ascii="Times New Roman" w:hAnsi="Times New Roman" w:cs="Times New Roman"/>
        </w:rPr>
        <w:t xml:space="preserve">, </w:t>
      </w:r>
      <w:r w:rsidR="00890C34" w:rsidRPr="00455EB3">
        <w:rPr>
          <w:rFonts w:ascii="Times New Roman" w:hAnsi="Times New Roman" w:cs="Times New Roman"/>
        </w:rPr>
        <w:t>or in some instances</w:t>
      </w:r>
      <w:r w:rsidR="004C3FCC" w:rsidRPr="00455EB3">
        <w:rPr>
          <w:rFonts w:ascii="Times New Roman" w:hAnsi="Times New Roman" w:cs="Times New Roman"/>
        </w:rPr>
        <w:t xml:space="preserve"> </w:t>
      </w:r>
      <w:r w:rsidR="0098300E" w:rsidRPr="00455EB3">
        <w:rPr>
          <w:rFonts w:ascii="Times New Roman" w:hAnsi="Times New Roman" w:cs="Times New Roman"/>
        </w:rPr>
        <w:t>‘even being cautious about how one is being cautious’</w:t>
      </w:r>
      <w:r w:rsidR="00066CB9" w:rsidRPr="00455EB3">
        <w:rPr>
          <w:rFonts w:ascii="Times New Roman" w:hAnsi="Times New Roman" w:cs="Times New Roman"/>
        </w:rPr>
        <w:t>.</w:t>
      </w:r>
      <w:r w:rsidR="0098300E" w:rsidRPr="00455EB3">
        <w:rPr>
          <w:rStyle w:val="FootnoteReference"/>
          <w:rFonts w:ascii="Times New Roman" w:hAnsi="Times New Roman" w:cs="Times New Roman"/>
        </w:rPr>
        <w:footnoteReference w:id="205"/>
      </w:r>
      <w:r w:rsidR="004C3FCC" w:rsidRPr="00455EB3">
        <w:rPr>
          <w:rFonts w:ascii="Times New Roman" w:hAnsi="Times New Roman" w:cs="Times New Roman"/>
        </w:rPr>
        <w:t xml:space="preserve"> </w:t>
      </w:r>
      <w:r w:rsidR="00C17713" w:rsidRPr="00455EB3">
        <w:rPr>
          <w:rFonts w:ascii="Times New Roman" w:hAnsi="Times New Roman" w:cs="Times New Roman"/>
        </w:rPr>
        <w:t>Therefore, t</w:t>
      </w:r>
      <w:r w:rsidR="00A352D2" w:rsidRPr="00455EB3">
        <w:rPr>
          <w:rFonts w:ascii="Times New Roman" w:hAnsi="Times New Roman" w:cs="Times New Roman"/>
        </w:rPr>
        <w:t>he focus on ‘box-ticking’</w:t>
      </w:r>
      <w:r w:rsidR="00C17713" w:rsidRPr="00455EB3">
        <w:rPr>
          <w:rFonts w:ascii="Times New Roman" w:hAnsi="Times New Roman" w:cs="Times New Roman"/>
        </w:rPr>
        <w:t xml:space="preserve"> </w:t>
      </w:r>
      <w:r w:rsidR="00A352D2" w:rsidRPr="00455EB3">
        <w:rPr>
          <w:rFonts w:ascii="Times New Roman" w:hAnsi="Times New Roman" w:cs="Times New Roman"/>
        </w:rPr>
        <w:t>places significant emphasis on the ‘norm of compliance’.</w:t>
      </w:r>
      <w:r w:rsidR="00A352D2" w:rsidRPr="00455EB3">
        <w:rPr>
          <w:rStyle w:val="FootnoteReference"/>
          <w:rFonts w:ascii="Times New Roman" w:hAnsi="Times New Roman" w:cs="Times New Roman"/>
        </w:rPr>
        <w:footnoteReference w:id="206"/>
      </w:r>
      <w:r w:rsidR="00A352D2" w:rsidRPr="00455EB3">
        <w:rPr>
          <w:rFonts w:ascii="Times New Roman" w:hAnsi="Times New Roman" w:cs="Times New Roman"/>
        </w:rPr>
        <w:t xml:space="preserve"> As Svedberg </w:t>
      </w:r>
      <w:proofErr w:type="spellStart"/>
      <w:r w:rsidR="00A352D2" w:rsidRPr="00455EB3">
        <w:rPr>
          <w:rFonts w:ascii="Times New Roman" w:hAnsi="Times New Roman" w:cs="Times New Roman"/>
        </w:rPr>
        <w:t>Helgesson</w:t>
      </w:r>
      <w:proofErr w:type="spellEnd"/>
      <w:r w:rsidR="00A352D2" w:rsidRPr="00455EB3">
        <w:rPr>
          <w:rFonts w:ascii="Times New Roman" w:hAnsi="Times New Roman" w:cs="Times New Roman"/>
        </w:rPr>
        <w:t xml:space="preserve"> and </w:t>
      </w:r>
      <w:proofErr w:type="spellStart"/>
      <w:r w:rsidR="00A352D2" w:rsidRPr="00455EB3">
        <w:rPr>
          <w:rFonts w:ascii="Times New Roman" w:hAnsi="Times New Roman" w:cs="Times New Roman"/>
        </w:rPr>
        <w:t>Morth</w:t>
      </w:r>
      <w:proofErr w:type="spellEnd"/>
      <w:r w:rsidR="00A352D2" w:rsidRPr="00455EB3">
        <w:rPr>
          <w:rFonts w:ascii="Times New Roman" w:hAnsi="Times New Roman" w:cs="Times New Roman"/>
        </w:rPr>
        <w:t xml:space="preserve"> state,</w:t>
      </w:r>
    </w:p>
    <w:p w14:paraId="06679A27" w14:textId="77777777" w:rsidR="000D20A4" w:rsidRPr="00455EB3" w:rsidRDefault="000D20A4" w:rsidP="00AB4266">
      <w:pPr>
        <w:jc w:val="both"/>
        <w:rPr>
          <w:rFonts w:ascii="Times New Roman" w:hAnsi="Times New Roman" w:cs="Times New Roman"/>
        </w:rPr>
      </w:pPr>
    </w:p>
    <w:p w14:paraId="5B654679" w14:textId="045D4559" w:rsidR="000D20A4" w:rsidRPr="00455EB3" w:rsidRDefault="00A352D2" w:rsidP="00AB4266">
      <w:pPr>
        <w:ind w:left="567" w:right="521"/>
        <w:jc w:val="both"/>
        <w:rPr>
          <w:rFonts w:ascii="Times New Roman" w:hAnsi="Times New Roman" w:cs="Times New Roman"/>
        </w:rPr>
      </w:pPr>
      <w:r w:rsidRPr="00455EB3">
        <w:rPr>
          <w:rFonts w:ascii="Times New Roman" w:hAnsi="Times New Roman" w:cs="Times New Roman"/>
        </w:rPr>
        <w:t>seemingly technical procedures entail more complexity when they are to be handled in practice. Private actors need to make decisions that the legislator has not regulated, or foreseen, when the procedures are to be translated into practice. We argue that the room for manoeuvre for private actors to make decisions and policies is to a large extent dependent on how the balance between box-ticking and human judgement is designed in the legislation.</w:t>
      </w:r>
      <w:r w:rsidRPr="00455EB3">
        <w:rPr>
          <w:rStyle w:val="FootnoteReference"/>
          <w:rFonts w:ascii="Times New Roman" w:hAnsi="Times New Roman" w:cs="Times New Roman"/>
        </w:rPr>
        <w:footnoteReference w:id="207"/>
      </w:r>
    </w:p>
    <w:p w14:paraId="53FAF0D8" w14:textId="45D2B52E" w:rsidR="00A352D2" w:rsidRPr="00455EB3" w:rsidRDefault="00A352D2" w:rsidP="00AB4266">
      <w:pPr>
        <w:ind w:left="567" w:right="521"/>
        <w:jc w:val="both"/>
        <w:rPr>
          <w:rFonts w:ascii="Times New Roman" w:hAnsi="Times New Roman" w:cs="Times New Roman"/>
        </w:rPr>
      </w:pPr>
    </w:p>
    <w:p w14:paraId="729C80EC" w14:textId="19B422F5" w:rsidR="003B406C" w:rsidRPr="00455EB3" w:rsidRDefault="4DA6AE32" w:rsidP="00AB4266">
      <w:pPr>
        <w:jc w:val="both"/>
        <w:rPr>
          <w:rFonts w:ascii="Times New Roman" w:hAnsi="Times New Roman" w:cs="Times New Roman"/>
        </w:rPr>
      </w:pPr>
      <w:r w:rsidRPr="00455EB3">
        <w:rPr>
          <w:rFonts w:ascii="Times New Roman" w:hAnsi="Times New Roman" w:cs="Times New Roman"/>
        </w:rPr>
        <w:t xml:space="preserve">For </w:t>
      </w:r>
      <w:r w:rsidR="00A60995" w:rsidRPr="00455EB3">
        <w:rPr>
          <w:rFonts w:ascii="Times New Roman" w:hAnsi="Times New Roman" w:cs="Times New Roman"/>
        </w:rPr>
        <w:t>most</w:t>
      </w:r>
      <w:r w:rsidRPr="00455EB3">
        <w:rPr>
          <w:rFonts w:ascii="Times New Roman" w:hAnsi="Times New Roman" w:cs="Times New Roman"/>
        </w:rPr>
        <w:t xml:space="preserve"> interviewees in this study, the inclination was to </w:t>
      </w:r>
      <w:r w:rsidR="6ADEAEC3" w:rsidRPr="00455EB3">
        <w:rPr>
          <w:rFonts w:ascii="Times New Roman" w:hAnsi="Times New Roman" w:cs="Times New Roman"/>
        </w:rPr>
        <w:t>focus on box-ticking rather than to exercise their judgement on a case-by-case basis. This approach was motivated by an abundance of caution</w:t>
      </w:r>
      <w:r w:rsidR="002E2F9C">
        <w:rPr>
          <w:rFonts w:ascii="Times New Roman" w:hAnsi="Times New Roman" w:cs="Times New Roman"/>
        </w:rPr>
        <w:t>;</w:t>
      </w:r>
      <w:r w:rsidR="002E2F9C" w:rsidRPr="00455EB3">
        <w:rPr>
          <w:rFonts w:ascii="Times New Roman" w:hAnsi="Times New Roman" w:cs="Times New Roman"/>
        </w:rPr>
        <w:t xml:space="preserve"> </w:t>
      </w:r>
      <w:r w:rsidR="3C9F30CF" w:rsidRPr="00455EB3">
        <w:rPr>
          <w:rFonts w:ascii="Times New Roman" w:hAnsi="Times New Roman" w:cs="Times New Roman"/>
        </w:rPr>
        <w:t>however</w:t>
      </w:r>
      <w:r w:rsidR="002E2F9C">
        <w:rPr>
          <w:rFonts w:ascii="Times New Roman" w:hAnsi="Times New Roman" w:cs="Times New Roman"/>
        </w:rPr>
        <w:t>,</w:t>
      </w:r>
      <w:r w:rsidR="3C9F30CF" w:rsidRPr="00455EB3">
        <w:rPr>
          <w:rFonts w:ascii="Times New Roman" w:hAnsi="Times New Roman" w:cs="Times New Roman"/>
        </w:rPr>
        <w:t xml:space="preserve"> it does run counter to the risk-based approach.</w:t>
      </w:r>
      <w:r w:rsidR="3327B571" w:rsidRPr="00455EB3">
        <w:rPr>
          <w:rFonts w:ascii="Times New Roman" w:hAnsi="Times New Roman" w:cs="Times New Roman"/>
        </w:rPr>
        <w:t xml:space="preserve"> Notwithstanding that finding, however, not all interviewees adopted such an approach. </w:t>
      </w:r>
      <w:r w:rsidR="35872BBA" w:rsidRPr="00455EB3">
        <w:rPr>
          <w:rFonts w:ascii="Times New Roman" w:hAnsi="Times New Roman" w:cs="Times New Roman"/>
        </w:rPr>
        <w:t>A</w:t>
      </w:r>
      <w:r w:rsidR="003B406C" w:rsidRPr="00455EB3">
        <w:rPr>
          <w:rFonts w:ascii="Times New Roman" w:hAnsi="Times New Roman" w:cs="Times New Roman"/>
        </w:rPr>
        <w:t xml:space="preserve"> small number</w:t>
      </w:r>
      <w:r w:rsidR="00A352D2" w:rsidRPr="00455EB3">
        <w:rPr>
          <w:rFonts w:ascii="Times New Roman" w:hAnsi="Times New Roman" w:cs="Times New Roman"/>
        </w:rPr>
        <w:t xml:space="preserve"> of interviewees</w:t>
      </w:r>
      <w:r w:rsidR="00C17713" w:rsidRPr="00455EB3">
        <w:rPr>
          <w:rFonts w:ascii="Times New Roman" w:hAnsi="Times New Roman" w:cs="Times New Roman"/>
        </w:rPr>
        <w:t xml:space="preserve"> highlighted</w:t>
      </w:r>
      <w:r w:rsidR="003B406C" w:rsidRPr="00455EB3">
        <w:rPr>
          <w:rFonts w:ascii="Times New Roman" w:hAnsi="Times New Roman" w:cs="Times New Roman"/>
        </w:rPr>
        <w:t xml:space="preserve"> that they only submit a SAR where there is </w:t>
      </w:r>
      <w:r w:rsidR="0017163E" w:rsidRPr="00455EB3">
        <w:rPr>
          <w:rFonts w:ascii="Times New Roman" w:hAnsi="Times New Roman" w:cs="Times New Roman"/>
        </w:rPr>
        <w:t xml:space="preserve">a </w:t>
      </w:r>
      <w:r w:rsidR="003B406C" w:rsidRPr="00455EB3">
        <w:rPr>
          <w:rFonts w:ascii="Times New Roman" w:hAnsi="Times New Roman" w:cs="Times New Roman"/>
        </w:rPr>
        <w:t>genuine concern.</w:t>
      </w:r>
      <w:r w:rsidR="003B406C" w:rsidRPr="00455EB3">
        <w:rPr>
          <w:rStyle w:val="FootnoteReference"/>
          <w:rFonts w:ascii="Times New Roman" w:hAnsi="Times New Roman" w:cs="Times New Roman"/>
        </w:rPr>
        <w:footnoteReference w:id="208"/>
      </w:r>
      <w:r w:rsidR="00A352D2" w:rsidRPr="00455EB3">
        <w:rPr>
          <w:rFonts w:ascii="Times New Roman" w:hAnsi="Times New Roman" w:cs="Times New Roman"/>
        </w:rPr>
        <w:t xml:space="preserve"> Indeed</w:t>
      </w:r>
      <w:r w:rsidR="003B406C" w:rsidRPr="00455EB3">
        <w:rPr>
          <w:rFonts w:ascii="Times New Roman" w:hAnsi="Times New Roman" w:cs="Times New Roman"/>
        </w:rPr>
        <w:t>, there was some scepticism as to whether EAs do simply file SARs just to be safe</w:t>
      </w:r>
      <w:r w:rsidR="00E94569" w:rsidRPr="00455EB3">
        <w:rPr>
          <w:rFonts w:ascii="Times New Roman" w:hAnsi="Times New Roman" w:cs="Times New Roman"/>
        </w:rPr>
        <w:t>. I</w:t>
      </w:r>
      <w:r w:rsidR="003B406C" w:rsidRPr="00455EB3">
        <w:rPr>
          <w:rFonts w:ascii="Times New Roman" w:hAnsi="Times New Roman" w:cs="Times New Roman"/>
        </w:rPr>
        <w:t>f that were the case, it was suggested, then there would be a lot more SARs from the sector.</w:t>
      </w:r>
      <w:r w:rsidR="003B406C" w:rsidRPr="00455EB3">
        <w:rPr>
          <w:rStyle w:val="FootnoteReference"/>
          <w:rFonts w:ascii="Times New Roman" w:hAnsi="Times New Roman" w:cs="Times New Roman"/>
        </w:rPr>
        <w:footnoteReference w:id="209"/>
      </w:r>
    </w:p>
    <w:p w14:paraId="4172F317" w14:textId="77777777" w:rsidR="00EE6811" w:rsidRPr="00455EB3" w:rsidRDefault="00EE6811" w:rsidP="00AB4266">
      <w:pPr>
        <w:jc w:val="both"/>
        <w:rPr>
          <w:rFonts w:ascii="Times New Roman" w:hAnsi="Times New Roman" w:cs="Times New Roman"/>
        </w:rPr>
      </w:pPr>
    </w:p>
    <w:p w14:paraId="7E8C13C3" w14:textId="1A9771E6" w:rsidR="003B3B13" w:rsidRPr="004E5BA2" w:rsidRDefault="004C3FCC" w:rsidP="00AB4266">
      <w:pPr>
        <w:pStyle w:val="Heading2"/>
        <w:jc w:val="both"/>
        <w:rPr>
          <w:rFonts w:ascii="Times New Roman" w:hAnsi="Times New Roman" w:cs="Times New Roman"/>
          <w:color w:val="auto"/>
        </w:rPr>
      </w:pPr>
      <w:r w:rsidRPr="00455EB3">
        <w:rPr>
          <w:rFonts w:ascii="Times New Roman" w:hAnsi="Times New Roman" w:cs="Times New Roman"/>
          <w:color w:val="auto"/>
        </w:rPr>
        <w:t>Impact on Business</w:t>
      </w:r>
    </w:p>
    <w:p w14:paraId="11EE5FE2" w14:textId="17F8E79C" w:rsidR="00662C83" w:rsidRPr="00455EB3" w:rsidRDefault="00773E29" w:rsidP="00AB4266">
      <w:pPr>
        <w:jc w:val="both"/>
        <w:rPr>
          <w:rFonts w:ascii="Times New Roman" w:hAnsi="Times New Roman" w:cs="Times New Roman"/>
        </w:rPr>
      </w:pPr>
      <w:r w:rsidRPr="00455EB3">
        <w:rPr>
          <w:rFonts w:ascii="Times New Roman" w:hAnsi="Times New Roman" w:cs="Times New Roman"/>
        </w:rPr>
        <w:t xml:space="preserve">Our </w:t>
      </w:r>
      <w:r w:rsidR="0029550A" w:rsidRPr="00455EB3">
        <w:rPr>
          <w:rFonts w:ascii="Times New Roman" w:hAnsi="Times New Roman" w:cs="Times New Roman"/>
        </w:rPr>
        <w:t>interviews</w:t>
      </w:r>
      <w:r w:rsidRPr="00455EB3">
        <w:rPr>
          <w:rFonts w:ascii="Times New Roman" w:hAnsi="Times New Roman" w:cs="Times New Roman"/>
        </w:rPr>
        <w:t xml:space="preserve"> reveal that </w:t>
      </w:r>
      <w:r w:rsidR="008006B2" w:rsidRPr="00455EB3">
        <w:rPr>
          <w:rFonts w:ascii="Times New Roman" w:hAnsi="Times New Roman" w:cs="Times New Roman"/>
        </w:rPr>
        <w:t>the decision</w:t>
      </w:r>
      <w:r w:rsidR="0017163E" w:rsidRPr="00455EB3">
        <w:rPr>
          <w:rFonts w:ascii="Times New Roman" w:hAnsi="Times New Roman" w:cs="Times New Roman"/>
        </w:rPr>
        <w:t xml:space="preserve"> </w:t>
      </w:r>
      <w:r w:rsidR="008006B2" w:rsidRPr="00455EB3">
        <w:rPr>
          <w:rFonts w:ascii="Times New Roman" w:hAnsi="Times New Roman" w:cs="Times New Roman"/>
        </w:rPr>
        <w:t xml:space="preserve">whether or not to report a potential client or potential customer is a </w:t>
      </w:r>
      <w:r w:rsidR="006C6299" w:rsidRPr="00455EB3">
        <w:rPr>
          <w:rFonts w:ascii="Times New Roman" w:hAnsi="Times New Roman" w:cs="Times New Roman"/>
        </w:rPr>
        <w:t>significant</w:t>
      </w:r>
      <w:r w:rsidR="008006B2" w:rsidRPr="00455EB3">
        <w:rPr>
          <w:rFonts w:ascii="Times New Roman" w:hAnsi="Times New Roman" w:cs="Times New Roman"/>
        </w:rPr>
        <w:t xml:space="preserve"> one. Moreover</w:t>
      </w:r>
      <w:r w:rsidR="0017163E" w:rsidRPr="00455EB3">
        <w:rPr>
          <w:rFonts w:ascii="Times New Roman" w:hAnsi="Times New Roman" w:cs="Times New Roman"/>
        </w:rPr>
        <w:t>,</w:t>
      </w:r>
      <w:r w:rsidR="008006B2" w:rsidRPr="00455EB3">
        <w:rPr>
          <w:rFonts w:ascii="Times New Roman" w:hAnsi="Times New Roman" w:cs="Times New Roman"/>
        </w:rPr>
        <w:t xml:space="preserve"> there is a cost of doing so, even if only </w:t>
      </w:r>
      <w:r w:rsidR="00BC1288" w:rsidRPr="00455EB3">
        <w:rPr>
          <w:rFonts w:ascii="Times New Roman" w:hAnsi="Times New Roman" w:cs="Times New Roman"/>
        </w:rPr>
        <w:t>with</w:t>
      </w:r>
      <w:r w:rsidR="008006B2" w:rsidRPr="00455EB3">
        <w:rPr>
          <w:rFonts w:ascii="Times New Roman" w:hAnsi="Times New Roman" w:cs="Times New Roman"/>
        </w:rPr>
        <w:t xml:space="preserve"> the time involved.</w:t>
      </w:r>
      <w:r w:rsidR="008006B2" w:rsidRPr="00455EB3">
        <w:rPr>
          <w:rStyle w:val="FootnoteReference"/>
          <w:rFonts w:ascii="Times New Roman" w:hAnsi="Times New Roman" w:cs="Times New Roman"/>
        </w:rPr>
        <w:footnoteReference w:id="210"/>
      </w:r>
      <w:r w:rsidR="0094365D" w:rsidRPr="00455EB3">
        <w:rPr>
          <w:rFonts w:ascii="Times New Roman" w:hAnsi="Times New Roman" w:cs="Times New Roman"/>
        </w:rPr>
        <w:t xml:space="preserve"> A further</w:t>
      </w:r>
      <w:r w:rsidR="00662C83" w:rsidRPr="00455EB3">
        <w:rPr>
          <w:rFonts w:ascii="Times New Roman" w:hAnsi="Times New Roman" w:cs="Times New Roman"/>
        </w:rPr>
        <w:t xml:space="preserve"> </w:t>
      </w:r>
      <w:r w:rsidR="00497FDA" w:rsidRPr="00455EB3">
        <w:rPr>
          <w:rFonts w:ascii="Times New Roman" w:hAnsi="Times New Roman" w:cs="Times New Roman"/>
        </w:rPr>
        <w:t>potentially problematic issue</w:t>
      </w:r>
      <w:r w:rsidR="00662C83" w:rsidRPr="00455EB3">
        <w:rPr>
          <w:rFonts w:ascii="Times New Roman" w:hAnsi="Times New Roman" w:cs="Times New Roman"/>
        </w:rPr>
        <w:t xml:space="preserve"> </w:t>
      </w:r>
      <w:r w:rsidR="00497FDA" w:rsidRPr="00455EB3">
        <w:rPr>
          <w:rFonts w:ascii="Times New Roman" w:hAnsi="Times New Roman" w:cs="Times New Roman"/>
        </w:rPr>
        <w:t>i</w:t>
      </w:r>
      <w:r w:rsidR="00662C83" w:rsidRPr="00455EB3">
        <w:rPr>
          <w:rFonts w:ascii="Times New Roman" w:hAnsi="Times New Roman" w:cs="Times New Roman"/>
        </w:rPr>
        <w:t>s that if there is a suspicion on the part of the EA, and they file a SAR, then the EA cannot proceed with that transaction without consent from the NCA</w:t>
      </w:r>
      <w:r w:rsidR="003C56CC" w:rsidRPr="00455EB3">
        <w:rPr>
          <w:rFonts w:ascii="Times New Roman" w:hAnsi="Times New Roman" w:cs="Times New Roman"/>
        </w:rPr>
        <w:t xml:space="preserve"> (or until the expiration of the relevant time period</w:t>
      </w:r>
      <w:r w:rsidR="003C56CC" w:rsidRPr="00455EB3">
        <w:rPr>
          <w:rStyle w:val="FootnoteReference"/>
          <w:rFonts w:ascii="Times New Roman" w:hAnsi="Times New Roman" w:cs="Times New Roman"/>
        </w:rPr>
        <w:footnoteReference w:id="211"/>
      </w:r>
      <w:r w:rsidR="003C56CC" w:rsidRPr="00455EB3">
        <w:rPr>
          <w:rFonts w:ascii="Times New Roman" w:hAnsi="Times New Roman" w:cs="Times New Roman"/>
        </w:rPr>
        <w:t>), nor can they inform their client about the reason for the delay.</w:t>
      </w:r>
      <w:r w:rsidR="008E39F8" w:rsidRPr="00455EB3">
        <w:rPr>
          <w:rFonts w:ascii="Times New Roman" w:hAnsi="Times New Roman" w:cs="Times New Roman"/>
        </w:rPr>
        <w:t xml:space="preserve"> </w:t>
      </w:r>
      <w:r w:rsidR="00C258DE" w:rsidRPr="00455EB3">
        <w:rPr>
          <w:rFonts w:ascii="Times New Roman" w:hAnsi="Times New Roman" w:cs="Times New Roman"/>
        </w:rPr>
        <w:t>If the EA proceeds with the transaction, they are exposed to potential criminal liability; if they explain</w:t>
      </w:r>
      <w:r w:rsidR="002342B7" w:rsidRPr="00455EB3">
        <w:rPr>
          <w:rFonts w:ascii="Times New Roman" w:hAnsi="Times New Roman" w:cs="Times New Roman"/>
        </w:rPr>
        <w:t xml:space="preserve"> the reason for the delay to their client, </w:t>
      </w:r>
      <w:r w:rsidR="00B204FA" w:rsidRPr="00455EB3">
        <w:rPr>
          <w:rFonts w:ascii="Times New Roman" w:hAnsi="Times New Roman" w:cs="Times New Roman"/>
        </w:rPr>
        <w:t xml:space="preserve">again </w:t>
      </w:r>
      <w:r w:rsidR="002342B7" w:rsidRPr="00455EB3">
        <w:rPr>
          <w:rFonts w:ascii="Times New Roman" w:hAnsi="Times New Roman" w:cs="Times New Roman"/>
        </w:rPr>
        <w:t xml:space="preserve">they are </w:t>
      </w:r>
      <w:r w:rsidR="00B204FA" w:rsidRPr="00455EB3">
        <w:rPr>
          <w:rFonts w:ascii="Times New Roman" w:hAnsi="Times New Roman" w:cs="Times New Roman"/>
        </w:rPr>
        <w:t xml:space="preserve">subject </w:t>
      </w:r>
      <w:r w:rsidR="002342B7" w:rsidRPr="00455EB3">
        <w:rPr>
          <w:rFonts w:ascii="Times New Roman" w:hAnsi="Times New Roman" w:cs="Times New Roman"/>
        </w:rPr>
        <w:t>to potential criminal liability</w:t>
      </w:r>
      <w:r w:rsidR="00C879FA" w:rsidRPr="00455EB3">
        <w:rPr>
          <w:rFonts w:ascii="Times New Roman" w:hAnsi="Times New Roman" w:cs="Times New Roman"/>
        </w:rPr>
        <w:t>.</w:t>
      </w:r>
      <w:r w:rsidR="003C56CC" w:rsidRPr="00455EB3">
        <w:rPr>
          <w:rStyle w:val="FootnoteReference"/>
          <w:rFonts w:ascii="Times New Roman" w:hAnsi="Times New Roman" w:cs="Times New Roman"/>
        </w:rPr>
        <w:footnoteReference w:id="212"/>
      </w:r>
      <w:r w:rsidR="00662C83" w:rsidRPr="00455EB3">
        <w:rPr>
          <w:rFonts w:ascii="Times New Roman" w:hAnsi="Times New Roman" w:cs="Times New Roman"/>
        </w:rPr>
        <w:t xml:space="preserve"> </w:t>
      </w:r>
      <w:r w:rsidR="00012EEE" w:rsidRPr="00455EB3">
        <w:rPr>
          <w:rFonts w:ascii="Times New Roman" w:hAnsi="Times New Roman" w:cs="Times New Roman"/>
        </w:rPr>
        <w:t xml:space="preserve">The conundrum with filing a report is summed up by </w:t>
      </w:r>
      <w:r w:rsidR="00662C83" w:rsidRPr="00455EB3">
        <w:rPr>
          <w:rFonts w:ascii="Times New Roman" w:hAnsi="Times New Roman" w:cs="Times New Roman"/>
        </w:rPr>
        <w:t xml:space="preserve">one interviewee </w:t>
      </w:r>
      <w:r w:rsidR="00012EEE" w:rsidRPr="00455EB3">
        <w:rPr>
          <w:rFonts w:ascii="Times New Roman" w:hAnsi="Times New Roman" w:cs="Times New Roman"/>
        </w:rPr>
        <w:t>as follows</w:t>
      </w:r>
      <w:r w:rsidR="00662C83" w:rsidRPr="00455EB3">
        <w:rPr>
          <w:rFonts w:ascii="Times New Roman" w:hAnsi="Times New Roman" w:cs="Times New Roman"/>
        </w:rPr>
        <w:t>:</w:t>
      </w:r>
    </w:p>
    <w:p w14:paraId="3A472F22" w14:textId="77777777" w:rsidR="00CC7D69" w:rsidRPr="00455EB3" w:rsidRDefault="00CC7D69" w:rsidP="00AB4266">
      <w:pPr>
        <w:jc w:val="both"/>
        <w:rPr>
          <w:rFonts w:ascii="Times New Roman" w:hAnsi="Times New Roman" w:cs="Times New Roman"/>
        </w:rPr>
      </w:pPr>
    </w:p>
    <w:p w14:paraId="00E10E4A" w14:textId="4E99650A" w:rsidR="00662C83" w:rsidRPr="00455EB3" w:rsidRDefault="00662C83" w:rsidP="00AB4266">
      <w:pPr>
        <w:ind w:left="567" w:right="521"/>
        <w:jc w:val="both"/>
        <w:rPr>
          <w:rFonts w:ascii="Times New Roman" w:hAnsi="Times New Roman" w:cs="Times New Roman"/>
          <w:lang w:val="en-US"/>
        </w:rPr>
      </w:pPr>
      <w:r w:rsidRPr="00455EB3">
        <w:rPr>
          <w:rFonts w:ascii="Times New Roman" w:hAnsi="Times New Roman" w:cs="Times New Roman"/>
          <w:lang w:val="en-US"/>
        </w:rPr>
        <w:t>We are told, once you report it, you can’t deal with him until he’s been cleared. So, you’ve lost the impetus of any sale you might be doing because by the time they’ve come back and cleared him, he’s long gone.</w:t>
      </w:r>
      <w:r w:rsidRPr="00455EB3">
        <w:rPr>
          <w:rStyle w:val="FootnoteReference"/>
          <w:rFonts w:ascii="Times New Roman" w:hAnsi="Times New Roman" w:cs="Times New Roman"/>
          <w:lang w:val="en-US"/>
        </w:rPr>
        <w:footnoteReference w:id="213"/>
      </w:r>
    </w:p>
    <w:p w14:paraId="787598FE" w14:textId="77777777" w:rsidR="00CC7D69" w:rsidRPr="00455EB3" w:rsidRDefault="00CC7D69" w:rsidP="00AB4266">
      <w:pPr>
        <w:ind w:left="567" w:right="521"/>
        <w:jc w:val="both"/>
        <w:rPr>
          <w:rFonts w:ascii="Times New Roman" w:hAnsi="Times New Roman" w:cs="Times New Roman"/>
        </w:rPr>
      </w:pPr>
    </w:p>
    <w:p w14:paraId="130BA9DA" w14:textId="42DA07FD" w:rsidR="009648BA" w:rsidRPr="00455EB3" w:rsidRDefault="00B6169D" w:rsidP="00AB4266">
      <w:pPr>
        <w:jc w:val="both"/>
        <w:rPr>
          <w:rFonts w:ascii="Times New Roman" w:hAnsi="Times New Roman" w:cs="Times New Roman"/>
        </w:rPr>
      </w:pPr>
      <w:r w:rsidRPr="00455EB3">
        <w:rPr>
          <w:rFonts w:ascii="Times New Roman" w:hAnsi="Times New Roman" w:cs="Times New Roman"/>
        </w:rPr>
        <w:tab/>
      </w:r>
      <w:r w:rsidR="00662C83" w:rsidRPr="00455EB3">
        <w:rPr>
          <w:rFonts w:ascii="Times New Roman" w:hAnsi="Times New Roman" w:cs="Times New Roman"/>
        </w:rPr>
        <w:t xml:space="preserve">It was stressed that this </w:t>
      </w:r>
      <w:r w:rsidR="00166CA0" w:rsidRPr="00455EB3">
        <w:rPr>
          <w:rFonts w:ascii="Times New Roman" w:hAnsi="Times New Roman" w:cs="Times New Roman"/>
        </w:rPr>
        <w:t xml:space="preserve">problem </w:t>
      </w:r>
      <w:r w:rsidR="00662C83" w:rsidRPr="00455EB3">
        <w:rPr>
          <w:rFonts w:ascii="Times New Roman" w:hAnsi="Times New Roman" w:cs="Times New Roman"/>
        </w:rPr>
        <w:t>conflicts with the role of EA</w:t>
      </w:r>
      <w:r w:rsidR="00580FA6" w:rsidRPr="00455EB3">
        <w:rPr>
          <w:rFonts w:ascii="Times New Roman" w:hAnsi="Times New Roman" w:cs="Times New Roman"/>
        </w:rPr>
        <w:t>s</w:t>
      </w:r>
      <w:r w:rsidR="00662C83" w:rsidRPr="00455EB3">
        <w:rPr>
          <w:rFonts w:ascii="Times New Roman" w:hAnsi="Times New Roman" w:cs="Times New Roman"/>
        </w:rPr>
        <w:t>: ‘</w:t>
      </w:r>
      <w:r w:rsidR="00662C83" w:rsidRPr="00455EB3">
        <w:rPr>
          <w:rFonts w:ascii="Times New Roman" w:hAnsi="Times New Roman" w:cs="Times New Roman"/>
          <w:lang w:val="en-US"/>
        </w:rPr>
        <w:t>Your job as the agent is to get the deal through</w:t>
      </w:r>
      <w:r w:rsidR="00662C83" w:rsidRPr="00455EB3">
        <w:rPr>
          <w:rFonts w:ascii="Times New Roman" w:hAnsi="Times New Roman" w:cs="Times New Roman"/>
        </w:rPr>
        <w:t>’</w:t>
      </w:r>
      <w:r w:rsidR="00166CA0" w:rsidRPr="00455EB3">
        <w:rPr>
          <w:rFonts w:ascii="Times New Roman" w:hAnsi="Times New Roman" w:cs="Times New Roman"/>
        </w:rPr>
        <w:t>.</w:t>
      </w:r>
      <w:r w:rsidR="00662C83" w:rsidRPr="00455EB3">
        <w:rPr>
          <w:rStyle w:val="FootnoteReference"/>
          <w:rFonts w:ascii="Times New Roman" w:hAnsi="Times New Roman" w:cs="Times New Roman"/>
        </w:rPr>
        <w:footnoteReference w:id="214"/>
      </w:r>
      <w:r w:rsidR="00662C83" w:rsidRPr="00455EB3">
        <w:rPr>
          <w:rFonts w:ascii="Times New Roman" w:hAnsi="Times New Roman" w:cs="Times New Roman"/>
        </w:rPr>
        <w:t xml:space="preserve"> This concern for EAs</w:t>
      </w:r>
      <w:r w:rsidR="00C700D7" w:rsidRPr="00455EB3">
        <w:rPr>
          <w:rFonts w:ascii="Times New Roman" w:hAnsi="Times New Roman" w:cs="Times New Roman"/>
        </w:rPr>
        <w:t>’ incentives</w:t>
      </w:r>
      <w:r w:rsidR="00662C83" w:rsidRPr="00455EB3">
        <w:rPr>
          <w:rFonts w:ascii="Times New Roman" w:hAnsi="Times New Roman" w:cs="Times New Roman"/>
        </w:rPr>
        <w:t xml:space="preserve"> </w:t>
      </w:r>
      <w:proofErr w:type="gramStart"/>
      <w:r w:rsidR="00662C83" w:rsidRPr="00455EB3">
        <w:rPr>
          <w:rFonts w:ascii="Times New Roman" w:hAnsi="Times New Roman" w:cs="Times New Roman"/>
        </w:rPr>
        <w:t>is</w:t>
      </w:r>
      <w:proofErr w:type="gramEnd"/>
      <w:r w:rsidR="00662C83" w:rsidRPr="00455EB3">
        <w:rPr>
          <w:rFonts w:ascii="Times New Roman" w:hAnsi="Times New Roman" w:cs="Times New Roman"/>
        </w:rPr>
        <w:t xml:space="preserve"> heightened given the nature of the sector, often working on a no-sale-no-fee basis, which might discourage EAs from making reports.</w:t>
      </w:r>
      <w:r w:rsidR="00E94569" w:rsidRPr="00455EB3">
        <w:rPr>
          <w:rFonts w:ascii="Times New Roman" w:hAnsi="Times New Roman" w:cs="Times New Roman"/>
        </w:rPr>
        <w:t xml:space="preserve"> As one EA stated,</w:t>
      </w:r>
      <w:r w:rsidR="00662C83" w:rsidRPr="00455EB3">
        <w:rPr>
          <w:rFonts w:ascii="Times New Roman" w:hAnsi="Times New Roman" w:cs="Times New Roman"/>
        </w:rPr>
        <w:t xml:space="preserve"> ‘They should do it absolutely correctly, but in some </w:t>
      </w:r>
      <w:proofErr w:type="gramStart"/>
      <w:r w:rsidR="00662C83" w:rsidRPr="00455EB3">
        <w:rPr>
          <w:rFonts w:ascii="Times New Roman" w:hAnsi="Times New Roman" w:cs="Times New Roman"/>
        </w:rPr>
        <w:t>instances</w:t>
      </w:r>
      <w:proofErr w:type="gramEnd"/>
      <w:r w:rsidR="00662C83" w:rsidRPr="00455EB3">
        <w:rPr>
          <w:rFonts w:ascii="Times New Roman" w:hAnsi="Times New Roman" w:cs="Times New Roman"/>
        </w:rPr>
        <w:t xml:space="preserve"> I’m thinking, “Well if the fee</w:t>
      </w:r>
      <w:r w:rsidR="00C700D7" w:rsidRPr="00455EB3">
        <w:rPr>
          <w:rFonts w:ascii="Times New Roman" w:hAnsi="Times New Roman" w:cs="Times New Roman"/>
        </w:rPr>
        <w:t>’</w:t>
      </w:r>
      <w:r w:rsidR="00662C83" w:rsidRPr="00455EB3">
        <w:rPr>
          <w:rFonts w:ascii="Times New Roman" w:hAnsi="Times New Roman" w:cs="Times New Roman"/>
        </w:rPr>
        <w:t>s large enough, I might not look so carefully at the CDD because I have bills to pay”’</w:t>
      </w:r>
      <w:r w:rsidR="00F05752">
        <w:rPr>
          <w:rFonts w:ascii="Times New Roman" w:hAnsi="Times New Roman" w:cs="Times New Roman"/>
        </w:rPr>
        <w:t>.</w:t>
      </w:r>
      <w:r w:rsidR="00662C83" w:rsidRPr="00455EB3">
        <w:rPr>
          <w:rStyle w:val="FootnoteReference"/>
          <w:rFonts w:ascii="Times New Roman" w:hAnsi="Times New Roman" w:cs="Times New Roman"/>
        </w:rPr>
        <w:footnoteReference w:id="215"/>
      </w:r>
      <w:r w:rsidR="00662C83" w:rsidRPr="00455EB3">
        <w:rPr>
          <w:rFonts w:ascii="Times New Roman" w:hAnsi="Times New Roman" w:cs="Times New Roman"/>
        </w:rPr>
        <w:t xml:space="preserve"> </w:t>
      </w:r>
      <w:r w:rsidR="009D327D" w:rsidRPr="00455EB3">
        <w:rPr>
          <w:rFonts w:ascii="Times New Roman" w:hAnsi="Times New Roman" w:cs="Times New Roman"/>
        </w:rPr>
        <w:t>Thus, willingness to comply can be distorted by the nature</w:t>
      </w:r>
      <w:r w:rsidR="00CD0616" w:rsidRPr="00455EB3">
        <w:rPr>
          <w:rFonts w:ascii="Times New Roman" w:hAnsi="Times New Roman" w:cs="Times New Roman"/>
        </w:rPr>
        <w:t>, or reality,</w:t>
      </w:r>
      <w:r w:rsidR="009D327D" w:rsidRPr="00455EB3">
        <w:rPr>
          <w:rFonts w:ascii="Times New Roman" w:hAnsi="Times New Roman" w:cs="Times New Roman"/>
        </w:rPr>
        <w:t xml:space="preserve"> of </w:t>
      </w:r>
      <w:r w:rsidR="00014D49" w:rsidRPr="00455EB3">
        <w:rPr>
          <w:rFonts w:ascii="Times New Roman" w:hAnsi="Times New Roman" w:cs="Times New Roman"/>
        </w:rPr>
        <w:t>business</w:t>
      </w:r>
      <w:r w:rsidR="009648BA">
        <w:rPr>
          <w:rFonts w:ascii="Times New Roman" w:hAnsi="Times New Roman" w:cs="Times New Roman"/>
        </w:rPr>
        <w:t>. S</w:t>
      </w:r>
      <w:r w:rsidR="009648BA" w:rsidRPr="00484221">
        <w:rPr>
          <w:rFonts w:ascii="Times New Roman" w:hAnsi="Times New Roman" w:cs="Times New Roman"/>
        </w:rPr>
        <w:t xml:space="preserve">imilar considerations are evident in other areas of regulation, where </w:t>
      </w:r>
      <w:proofErr w:type="spellStart"/>
      <w:r w:rsidR="009648BA" w:rsidRPr="00484221">
        <w:rPr>
          <w:rFonts w:ascii="Times New Roman" w:hAnsi="Times New Roman" w:cs="Times New Roman"/>
        </w:rPr>
        <w:t>regulatees</w:t>
      </w:r>
      <w:proofErr w:type="spellEnd"/>
      <w:r w:rsidR="009648BA" w:rsidRPr="00484221">
        <w:rPr>
          <w:rFonts w:ascii="Times New Roman" w:hAnsi="Times New Roman" w:cs="Times New Roman"/>
        </w:rPr>
        <w:t xml:space="preserve"> ‘struggled to disentangle normative from instrumental motivations, and wrestled with the temptation to backslide when legally mandated improvements proved very expensive’</w:t>
      </w:r>
      <w:r w:rsidR="00014D49" w:rsidRPr="00455EB3">
        <w:rPr>
          <w:rFonts w:ascii="Times New Roman" w:hAnsi="Times New Roman" w:cs="Times New Roman"/>
        </w:rPr>
        <w:t>.</w:t>
      </w:r>
      <w:r w:rsidR="00E5233A" w:rsidRPr="00455EB3">
        <w:rPr>
          <w:rStyle w:val="FootnoteReference"/>
          <w:rFonts w:ascii="Times New Roman" w:hAnsi="Times New Roman" w:cs="Times New Roman"/>
        </w:rPr>
        <w:footnoteReference w:id="216"/>
      </w:r>
      <w:r w:rsidR="00014D49" w:rsidRPr="00455EB3">
        <w:rPr>
          <w:rFonts w:ascii="Times New Roman" w:hAnsi="Times New Roman" w:cs="Times New Roman"/>
        </w:rPr>
        <w:t xml:space="preserve"> </w:t>
      </w:r>
      <w:r w:rsidR="00CF638D">
        <w:rPr>
          <w:rFonts w:ascii="Times New Roman" w:hAnsi="Times New Roman" w:cs="Times New Roman"/>
        </w:rPr>
        <w:t>For instance, i</w:t>
      </w:r>
      <w:r w:rsidR="009648BA" w:rsidRPr="00455EB3">
        <w:rPr>
          <w:rFonts w:ascii="Times New Roman" w:hAnsi="Times New Roman" w:cs="Times New Roman"/>
        </w:rPr>
        <w:t>t was noted that some EAs do not consider filing a SAR when a transaction falls through which runs counter to what the AML rules provide. While some did understand this requirement,</w:t>
      </w:r>
      <w:r w:rsidR="009648BA" w:rsidRPr="00455EB3">
        <w:rPr>
          <w:rStyle w:val="FootnoteReference"/>
          <w:rFonts w:ascii="Times New Roman" w:hAnsi="Times New Roman" w:cs="Times New Roman"/>
        </w:rPr>
        <w:footnoteReference w:id="217"/>
      </w:r>
      <w:r w:rsidR="009648BA" w:rsidRPr="00455EB3">
        <w:rPr>
          <w:rFonts w:ascii="Times New Roman" w:hAnsi="Times New Roman" w:cs="Times New Roman"/>
        </w:rPr>
        <w:t xml:space="preserve"> not all EAs do. </w:t>
      </w:r>
      <w:r w:rsidR="009648BA">
        <w:rPr>
          <w:rFonts w:ascii="Times New Roman" w:hAnsi="Times New Roman" w:cs="Times New Roman"/>
        </w:rPr>
        <w:t>Economic</w:t>
      </w:r>
      <w:r w:rsidR="009648BA" w:rsidRPr="00455EB3">
        <w:rPr>
          <w:rFonts w:ascii="Times New Roman" w:hAnsi="Times New Roman" w:cs="Times New Roman"/>
        </w:rPr>
        <w:t xml:space="preserve"> factors appear to be an influence here: as one interviewee (who did draw attention to this requirement) noted, the issue for many EAs is that:</w:t>
      </w:r>
    </w:p>
    <w:p w14:paraId="417FC04D" w14:textId="77777777" w:rsidR="009648BA" w:rsidRPr="00455EB3" w:rsidRDefault="009648BA" w:rsidP="00AB4266">
      <w:pPr>
        <w:jc w:val="both"/>
        <w:rPr>
          <w:rFonts w:ascii="Times New Roman" w:hAnsi="Times New Roman" w:cs="Times New Roman"/>
        </w:rPr>
      </w:pPr>
    </w:p>
    <w:p w14:paraId="5D0114F9" w14:textId="77777777" w:rsidR="009648BA" w:rsidRPr="00455EB3" w:rsidRDefault="009648BA" w:rsidP="00AB4266">
      <w:pPr>
        <w:ind w:left="567" w:right="521"/>
        <w:jc w:val="both"/>
        <w:rPr>
          <w:rFonts w:ascii="Times New Roman" w:hAnsi="Times New Roman" w:cs="Times New Roman"/>
          <w:lang w:val="en-US"/>
        </w:rPr>
      </w:pPr>
      <w:r w:rsidRPr="00455EB3">
        <w:rPr>
          <w:rFonts w:ascii="Times New Roman" w:hAnsi="Times New Roman" w:cs="Times New Roman"/>
          <w:lang w:val="en-US"/>
        </w:rPr>
        <w:t>If you don’t exchange contracts, you don’t get paid. So, if your client pulls out because they think you’ve rumbled them, well, why would you spend time now submitting a SAR when the evil that you’re involved in has stopped and you’re not going to get paid for that work?</w:t>
      </w:r>
      <w:r w:rsidRPr="00455EB3">
        <w:rPr>
          <w:rStyle w:val="FootnoteReference"/>
          <w:rFonts w:ascii="Times New Roman" w:hAnsi="Times New Roman" w:cs="Times New Roman"/>
          <w:lang w:val="en-US"/>
        </w:rPr>
        <w:footnoteReference w:id="218"/>
      </w:r>
    </w:p>
    <w:p w14:paraId="12AD07A9" w14:textId="77777777" w:rsidR="009648BA" w:rsidRDefault="009648BA" w:rsidP="00AB4266">
      <w:pPr>
        <w:jc w:val="both"/>
        <w:rPr>
          <w:rFonts w:ascii="Times New Roman" w:hAnsi="Times New Roman" w:cs="Times New Roman"/>
        </w:rPr>
      </w:pPr>
    </w:p>
    <w:p w14:paraId="0397FCED" w14:textId="16C9F222" w:rsidR="008006B2" w:rsidRDefault="00E50753" w:rsidP="00AB4266">
      <w:pPr>
        <w:ind w:firstLine="720"/>
        <w:jc w:val="both"/>
        <w:rPr>
          <w:rFonts w:ascii="Times New Roman" w:hAnsi="Times New Roman" w:cs="Times New Roman"/>
        </w:rPr>
      </w:pPr>
      <w:r w:rsidRPr="00455EB3">
        <w:rPr>
          <w:rFonts w:ascii="Times New Roman" w:hAnsi="Times New Roman" w:cs="Times New Roman"/>
        </w:rPr>
        <w:t>Monetary considerations</w:t>
      </w:r>
      <w:r w:rsidR="000F4597" w:rsidRPr="00455EB3">
        <w:rPr>
          <w:rFonts w:ascii="Times New Roman" w:hAnsi="Times New Roman" w:cs="Times New Roman"/>
        </w:rPr>
        <w:t xml:space="preserve">, unsurprisingly, affect decisions as to whether or not to fully comply with AML regulations; this is significant given that probability of detection influences </w:t>
      </w:r>
      <w:r w:rsidR="003E6E53">
        <w:rPr>
          <w:rFonts w:ascii="Times New Roman" w:hAnsi="Times New Roman" w:cs="Times New Roman"/>
        </w:rPr>
        <w:t xml:space="preserve">the </w:t>
      </w:r>
      <w:r w:rsidR="000F4597" w:rsidRPr="00455EB3">
        <w:rPr>
          <w:rFonts w:ascii="Times New Roman" w:hAnsi="Times New Roman" w:cs="Times New Roman"/>
        </w:rPr>
        <w:t>likelihood of compliance.</w:t>
      </w:r>
      <w:r w:rsidR="000F4597" w:rsidRPr="00455EB3">
        <w:rPr>
          <w:rStyle w:val="FootnoteReference"/>
          <w:rFonts w:ascii="Times New Roman" w:hAnsi="Times New Roman" w:cs="Times New Roman"/>
        </w:rPr>
        <w:footnoteReference w:id="219"/>
      </w:r>
      <w:r w:rsidR="003355DE" w:rsidRPr="00455EB3">
        <w:rPr>
          <w:rFonts w:ascii="Times New Roman" w:hAnsi="Times New Roman" w:cs="Times New Roman"/>
        </w:rPr>
        <w:t xml:space="preserve"> Significantly, th</w:t>
      </w:r>
      <w:r w:rsidR="001F37C0" w:rsidRPr="00455EB3">
        <w:rPr>
          <w:rFonts w:ascii="Times New Roman" w:hAnsi="Times New Roman" w:cs="Times New Roman"/>
        </w:rPr>
        <w:t>en</w:t>
      </w:r>
      <w:r w:rsidR="003355DE" w:rsidRPr="00455EB3">
        <w:rPr>
          <w:rFonts w:ascii="Times New Roman" w:hAnsi="Times New Roman" w:cs="Times New Roman"/>
        </w:rPr>
        <w:t>, HMRC appears to have increased enforcement action against estate agents.</w:t>
      </w:r>
      <w:r w:rsidR="003355DE" w:rsidRPr="00455EB3">
        <w:rPr>
          <w:rStyle w:val="FootnoteReference"/>
          <w:rFonts w:ascii="Times New Roman" w:hAnsi="Times New Roman" w:cs="Times New Roman"/>
        </w:rPr>
        <w:footnoteReference w:id="220"/>
      </w:r>
      <w:r w:rsidR="000F4597" w:rsidRPr="00455EB3">
        <w:rPr>
          <w:rFonts w:ascii="Times New Roman" w:hAnsi="Times New Roman" w:cs="Times New Roman"/>
        </w:rPr>
        <w:t xml:space="preserve"> </w:t>
      </w:r>
      <w:r w:rsidR="003355DE" w:rsidRPr="00455EB3">
        <w:rPr>
          <w:rFonts w:ascii="Times New Roman" w:hAnsi="Times New Roman" w:cs="Times New Roman"/>
        </w:rPr>
        <w:t>A further point here is that – given monetary considerations do play a part</w:t>
      </w:r>
      <w:r w:rsidR="005720F2" w:rsidRPr="00455EB3">
        <w:rPr>
          <w:rFonts w:ascii="Times New Roman" w:hAnsi="Times New Roman" w:cs="Times New Roman"/>
        </w:rPr>
        <w:t xml:space="preserve"> in compliance</w:t>
      </w:r>
      <w:r w:rsidR="003355DE" w:rsidRPr="00455EB3">
        <w:rPr>
          <w:rFonts w:ascii="Times New Roman" w:hAnsi="Times New Roman" w:cs="Times New Roman"/>
        </w:rPr>
        <w:t xml:space="preserve"> – </w:t>
      </w:r>
      <w:r w:rsidR="004D5358" w:rsidRPr="00455EB3">
        <w:rPr>
          <w:rFonts w:ascii="Times New Roman" w:hAnsi="Times New Roman" w:cs="Times New Roman"/>
        </w:rPr>
        <w:t xml:space="preserve">questions </w:t>
      </w:r>
      <w:r w:rsidR="005720F2" w:rsidRPr="00455EB3">
        <w:rPr>
          <w:rFonts w:ascii="Times New Roman" w:hAnsi="Times New Roman" w:cs="Times New Roman"/>
        </w:rPr>
        <w:t xml:space="preserve">arise </w:t>
      </w:r>
      <w:r w:rsidR="004D5358" w:rsidRPr="00455EB3">
        <w:rPr>
          <w:rFonts w:ascii="Times New Roman" w:hAnsi="Times New Roman" w:cs="Times New Roman"/>
        </w:rPr>
        <w:t>as to whether there is a ‘sham’ of commitment to AML.</w:t>
      </w:r>
      <w:r w:rsidR="004D5358" w:rsidRPr="00455EB3">
        <w:rPr>
          <w:rStyle w:val="FootnoteReference"/>
          <w:rFonts w:ascii="Times New Roman" w:hAnsi="Times New Roman" w:cs="Times New Roman"/>
        </w:rPr>
        <w:footnoteReference w:id="221"/>
      </w:r>
      <w:r w:rsidR="00035512" w:rsidRPr="00455EB3">
        <w:rPr>
          <w:rFonts w:ascii="Times New Roman" w:hAnsi="Times New Roman" w:cs="Times New Roman"/>
        </w:rPr>
        <w:t xml:space="preserve"> </w:t>
      </w:r>
      <w:r w:rsidR="00662C83" w:rsidRPr="00455EB3">
        <w:rPr>
          <w:rFonts w:ascii="Times New Roman" w:hAnsi="Times New Roman" w:cs="Times New Roman"/>
        </w:rPr>
        <w:t>It was suggested that given this aspect of the role of EAs, ‘we’re expecting the wrong people to be the gatekeepers’</w:t>
      </w:r>
      <w:r w:rsidR="00277CD0" w:rsidRPr="00455EB3">
        <w:rPr>
          <w:rFonts w:ascii="Times New Roman" w:hAnsi="Times New Roman" w:cs="Times New Roman"/>
        </w:rPr>
        <w:t>.</w:t>
      </w:r>
      <w:r w:rsidR="00662C83" w:rsidRPr="00455EB3">
        <w:rPr>
          <w:rStyle w:val="FootnoteReference"/>
          <w:rFonts w:ascii="Times New Roman" w:hAnsi="Times New Roman" w:cs="Times New Roman"/>
        </w:rPr>
        <w:footnoteReference w:id="222"/>
      </w:r>
      <w:r w:rsidR="005720F2" w:rsidRPr="00455EB3">
        <w:rPr>
          <w:rFonts w:ascii="Times New Roman" w:hAnsi="Times New Roman" w:cs="Times New Roman"/>
        </w:rPr>
        <w:t xml:space="preserve"> However, if HMRC’s increased enforcement action is sustained, and there is a likelihood of publicity </w:t>
      </w:r>
      <w:r w:rsidR="005720F2" w:rsidRPr="00455EB3">
        <w:rPr>
          <w:rFonts w:ascii="Times New Roman" w:hAnsi="Times New Roman" w:cs="Times New Roman"/>
        </w:rPr>
        <w:lastRenderedPageBreak/>
        <w:t>and reputational damage,</w:t>
      </w:r>
      <w:r w:rsidR="005720F2" w:rsidRPr="00455EB3">
        <w:rPr>
          <w:rStyle w:val="FootnoteReference"/>
          <w:rFonts w:ascii="Times New Roman" w:hAnsi="Times New Roman" w:cs="Times New Roman"/>
        </w:rPr>
        <w:footnoteReference w:id="223"/>
      </w:r>
      <w:r w:rsidR="005720F2" w:rsidRPr="00455EB3">
        <w:rPr>
          <w:rFonts w:ascii="Times New Roman" w:hAnsi="Times New Roman" w:cs="Times New Roman"/>
        </w:rPr>
        <w:t xml:space="preserve"> then a ‘normative climate’ towards compliance</w:t>
      </w:r>
      <w:r w:rsidR="001F37C0" w:rsidRPr="00455EB3">
        <w:rPr>
          <w:rFonts w:ascii="Times New Roman" w:hAnsi="Times New Roman" w:cs="Times New Roman"/>
        </w:rPr>
        <w:t xml:space="preserve"> might develop</w:t>
      </w:r>
      <w:r w:rsidR="005720F2" w:rsidRPr="00455EB3">
        <w:rPr>
          <w:rFonts w:ascii="Times New Roman" w:hAnsi="Times New Roman" w:cs="Times New Roman"/>
        </w:rPr>
        <w:t>.</w:t>
      </w:r>
      <w:r w:rsidR="005720F2" w:rsidRPr="00455EB3">
        <w:rPr>
          <w:rStyle w:val="FootnoteReference"/>
          <w:rFonts w:ascii="Times New Roman" w:hAnsi="Times New Roman" w:cs="Times New Roman"/>
        </w:rPr>
        <w:footnoteReference w:id="224"/>
      </w:r>
    </w:p>
    <w:p w14:paraId="5C5AC39D" w14:textId="77777777" w:rsidR="00FB79A6" w:rsidRPr="00CF0CAA" w:rsidRDefault="00FB79A6" w:rsidP="00AB4266">
      <w:pPr>
        <w:ind w:firstLine="720"/>
        <w:jc w:val="both"/>
        <w:rPr>
          <w:rFonts w:ascii="Times New Roman" w:hAnsi="Times New Roman" w:cs="Times New Roman"/>
        </w:rPr>
      </w:pPr>
    </w:p>
    <w:p w14:paraId="0B5A4991" w14:textId="3C44C689" w:rsidR="008B759E" w:rsidRPr="00DA7664" w:rsidRDefault="00FF236E" w:rsidP="00AB4266">
      <w:pPr>
        <w:pStyle w:val="Heading1"/>
        <w:jc w:val="both"/>
        <w:rPr>
          <w:rFonts w:ascii="Times New Roman" w:hAnsi="Times New Roman" w:cs="Times New Roman"/>
          <w:color w:val="auto"/>
        </w:rPr>
      </w:pPr>
      <w:r w:rsidRPr="00DA7664">
        <w:rPr>
          <w:rFonts w:ascii="Times New Roman" w:hAnsi="Times New Roman" w:cs="Times New Roman"/>
          <w:color w:val="auto"/>
        </w:rPr>
        <w:t>Designing f</w:t>
      </w:r>
      <w:r w:rsidR="0075380A" w:rsidRPr="00DA7664">
        <w:rPr>
          <w:rFonts w:ascii="Times New Roman" w:hAnsi="Times New Roman" w:cs="Times New Roman"/>
          <w:color w:val="auto"/>
        </w:rPr>
        <w:t xml:space="preserve">uture </w:t>
      </w:r>
      <w:r w:rsidR="006038B0" w:rsidRPr="00DA7664">
        <w:rPr>
          <w:rFonts w:ascii="Times New Roman" w:hAnsi="Times New Roman" w:cs="Times New Roman"/>
          <w:color w:val="auto"/>
        </w:rPr>
        <w:t xml:space="preserve">AML </w:t>
      </w:r>
      <w:r w:rsidRPr="00DA7664">
        <w:rPr>
          <w:rFonts w:ascii="Times New Roman" w:hAnsi="Times New Roman" w:cs="Times New Roman"/>
          <w:color w:val="auto"/>
        </w:rPr>
        <w:t>initiatives</w:t>
      </w:r>
      <w:r w:rsidR="00247308" w:rsidRPr="00DA7664">
        <w:rPr>
          <w:rFonts w:ascii="Times New Roman" w:hAnsi="Times New Roman" w:cs="Times New Roman"/>
          <w:color w:val="auto"/>
        </w:rPr>
        <w:t xml:space="preserve"> in the UK real estate market</w:t>
      </w:r>
      <w:r w:rsidRPr="00DA7664">
        <w:rPr>
          <w:rFonts w:ascii="Times New Roman" w:hAnsi="Times New Roman" w:cs="Times New Roman"/>
          <w:color w:val="auto"/>
        </w:rPr>
        <w:t xml:space="preserve">: </w:t>
      </w:r>
      <w:r w:rsidR="00D365AF" w:rsidRPr="00DA7664">
        <w:rPr>
          <w:rFonts w:ascii="Times New Roman" w:hAnsi="Times New Roman" w:cs="Times New Roman"/>
          <w:color w:val="auto"/>
        </w:rPr>
        <w:t xml:space="preserve">key </w:t>
      </w:r>
      <w:r w:rsidR="004A7955" w:rsidRPr="00DA7664">
        <w:rPr>
          <w:rFonts w:ascii="Times New Roman" w:hAnsi="Times New Roman" w:cs="Times New Roman"/>
          <w:color w:val="auto"/>
        </w:rPr>
        <w:t>insights</w:t>
      </w:r>
      <w:r w:rsidR="00247308" w:rsidRPr="00DA7664">
        <w:rPr>
          <w:rFonts w:ascii="Times New Roman" w:hAnsi="Times New Roman" w:cs="Times New Roman"/>
          <w:color w:val="auto"/>
        </w:rPr>
        <w:t xml:space="preserve"> from the sector</w:t>
      </w:r>
    </w:p>
    <w:p w14:paraId="6822B216" w14:textId="1EC6C0A2" w:rsidR="001D788C" w:rsidRPr="00455EB3" w:rsidRDefault="002C684A" w:rsidP="00AB4266">
      <w:pPr>
        <w:jc w:val="both"/>
        <w:rPr>
          <w:rFonts w:ascii="Times New Roman" w:hAnsi="Times New Roman" w:cs="Times New Roman"/>
        </w:rPr>
      </w:pPr>
      <w:r w:rsidRPr="00455EB3">
        <w:rPr>
          <w:rFonts w:ascii="Times New Roman" w:hAnsi="Times New Roman" w:cs="Times New Roman"/>
        </w:rPr>
        <w:t>The data analysed in our study</w:t>
      </w:r>
      <w:r w:rsidR="00064126" w:rsidRPr="00455EB3">
        <w:rPr>
          <w:rFonts w:ascii="Times New Roman" w:hAnsi="Times New Roman" w:cs="Times New Roman"/>
        </w:rPr>
        <w:t xml:space="preserve"> </w:t>
      </w:r>
      <w:r w:rsidRPr="00455EB3">
        <w:rPr>
          <w:rFonts w:ascii="Times New Roman" w:hAnsi="Times New Roman" w:cs="Times New Roman"/>
        </w:rPr>
        <w:t xml:space="preserve">reveals some relevant aspects that </w:t>
      </w:r>
      <w:r w:rsidR="00820CD2" w:rsidRPr="00455EB3">
        <w:rPr>
          <w:rFonts w:ascii="Times New Roman" w:hAnsi="Times New Roman" w:cs="Times New Roman"/>
        </w:rPr>
        <w:t xml:space="preserve">should be </w:t>
      </w:r>
      <w:r w:rsidR="00343869" w:rsidRPr="00455EB3">
        <w:rPr>
          <w:rFonts w:ascii="Times New Roman" w:hAnsi="Times New Roman" w:cs="Times New Roman"/>
        </w:rPr>
        <w:t>considered</w:t>
      </w:r>
      <w:r w:rsidR="00820CD2" w:rsidRPr="00455EB3">
        <w:rPr>
          <w:rFonts w:ascii="Times New Roman" w:hAnsi="Times New Roman" w:cs="Times New Roman"/>
        </w:rPr>
        <w:t xml:space="preserve"> in future initiatives and policies involving the real estate sector and the fight against </w:t>
      </w:r>
      <w:r w:rsidR="00BF1018" w:rsidRPr="00455EB3">
        <w:rPr>
          <w:rFonts w:ascii="Times New Roman" w:hAnsi="Times New Roman" w:cs="Times New Roman"/>
        </w:rPr>
        <w:t>money laundering</w:t>
      </w:r>
      <w:r w:rsidR="00820CD2" w:rsidRPr="00455EB3">
        <w:rPr>
          <w:rFonts w:ascii="Times New Roman" w:hAnsi="Times New Roman" w:cs="Times New Roman"/>
        </w:rPr>
        <w:t xml:space="preserve">. </w:t>
      </w:r>
      <w:r w:rsidR="00A60995" w:rsidRPr="00455EB3">
        <w:rPr>
          <w:rFonts w:ascii="Times New Roman" w:hAnsi="Times New Roman" w:cs="Times New Roman"/>
        </w:rPr>
        <w:t>First</w:t>
      </w:r>
      <w:r w:rsidR="00343869" w:rsidRPr="00455EB3">
        <w:rPr>
          <w:rFonts w:ascii="Times New Roman" w:hAnsi="Times New Roman" w:cs="Times New Roman"/>
        </w:rPr>
        <w:t xml:space="preserve">, the </w:t>
      </w:r>
      <w:r w:rsidR="00E152B1">
        <w:rPr>
          <w:rFonts w:ascii="Times New Roman" w:hAnsi="Times New Roman" w:cs="Times New Roman"/>
        </w:rPr>
        <w:t>quasi-policing role</w:t>
      </w:r>
      <w:r w:rsidR="00E152B1" w:rsidRPr="00455EB3">
        <w:rPr>
          <w:rFonts w:ascii="Times New Roman" w:hAnsi="Times New Roman" w:cs="Times New Roman"/>
        </w:rPr>
        <w:t xml:space="preserve"> </w:t>
      </w:r>
      <w:r w:rsidR="00EA2E44" w:rsidRPr="00455EB3">
        <w:rPr>
          <w:rFonts w:ascii="Times New Roman" w:hAnsi="Times New Roman" w:cs="Times New Roman"/>
        </w:rPr>
        <w:t xml:space="preserve">of private actors and their </w:t>
      </w:r>
      <w:r w:rsidR="008211AC" w:rsidRPr="00455EB3">
        <w:rPr>
          <w:rFonts w:ascii="Times New Roman" w:hAnsi="Times New Roman" w:cs="Times New Roman"/>
        </w:rPr>
        <w:t>expanding</w:t>
      </w:r>
      <w:r w:rsidR="00D55BD0" w:rsidRPr="00455EB3">
        <w:rPr>
          <w:rFonts w:ascii="Times New Roman" w:hAnsi="Times New Roman" w:cs="Times New Roman"/>
        </w:rPr>
        <w:t xml:space="preserve"> </w:t>
      </w:r>
      <w:r w:rsidR="00EA2E44" w:rsidRPr="00455EB3">
        <w:rPr>
          <w:rFonts w:ascii="Times New Roman" w:hAnsi="Times New Roman" w:cs="Times New Roman"/>
        </w:rPr>
        <w:t>involvement</w:t>
      </w:r>
      <w:r w:rsidR="00D55BD0" w:rsidRPr="00455EB3">
        <w:rPr>
          <w:rFonts w:ascii="Times New Roman" w:hAnsi="Times New Roman" w:cs="Times New Roman"/>
        </w:rPr>
        <w:t xml:space="preserve"> in AML strategies as fundamental gatekeepers</w:t>
      </w:r>
      <w:r w:rsidR="00E152B1">
        <w:rPr>
          <w:rStyle w:val="FootnoteReference"/>
          <w:rFonts w:ascii="Times New Roman" w:hAnsi="Times New Roman" w:cs="Times New Roman"/>
        </w:rPr>
        <w:footnoteReference w:id="225"/>
      </w:r>
      <w:r w:rsidR="00D55BD0" w:rsidRPr="00455EB3">
        <w:rPr>
          <w:rFonts w:ascii="Times New Roman" w:hAnsi="Times New Roman" w:cs="Times New Roman"/>
        </w:rPr>
        <w:t xml:space="preserve"> has </w:t>
      </w:r>
      <w:r w:rsidR="008211AC" w:rsidRPr="00455EB3">
        <w:rPr>
          <w:rFonts w:ascii="Times New Roman" w:hAnsi="Times New Roman" w:cs="Times New Roman"/>
        </w:rPr>
        <w:t>resulted in an evident</w:t>
      </w:r>
      <w:r w:rsidR="00A14E8D" w:rsidRPr="00455EB3">
        <w:rPr>
          <w:rFonts w:ascii="Times New Roman" w:hAnsi="Times New Roman" w:cs="Times New Roman"/>
        </w:rPr>
        <w:t xml:space="preserve"> sense</w:t>
      </w:r>
      <w:r w:rsidR="00185584" w:rsidRPr="00455EB3">
        <w:rPr>
          <w:rFonts w:ascii="Times New Roman" w:hAnsi="Times New Roman" w:cs="Times New Roman"/>
        </w:rPr>
        <w:t xml:space="preserve"> of duty </w:t>
      </w:r>
      <w:r w:rsidR="008211AC" w:rsidRPr="00455EB3">
        <w:rPr>
          <w:rFonts w:ascii="Times New Roman" w:hAnsi="Times New Roman" w:cs="Times New Roman"/>
        </w:rPr>
        <w:t>amongst</w:t>
      </w:r>
      <w:r w:rsidR="00185584" w:rsidRPr="00455EB3">
        <w:rPr>
          <w:rFonts w:ascii="Times New Roman" w:hAnsi="Times New Roman" w:cs="Times New Roman"/>
        </w:rPr>
        <w:t xml:space="preserve"> th</w:t>
      </w:r>
      <w:r w:rsidR="008211AC" w:rsidRPr="00455EB3">
        <w:rPr>
          <w:rFonts w:ascii="Times New Roman" w:hAnsi="Times New Roman" w:cs="Times New Roman"/>
        </w:rPr>
        <w:t>o</w:t>
      </w:r>
      <w:r w:rsidR="00185584" w:rsidRPr="00455EB3">
        <w:rPr>
          <w:rFonts w:ascii="Times New Roman" w:hAnsi="Times New Roman" w:cs="Times New Roman"/>
        </w:rPr>
        <w:t xml:space="preserve">se </w:t>
      </w:r>
      <w:proofErr w:type="spellStart"/>
      <w:r w:rsidR="00FB79A6">
        <w:rPr>
          <w:rFonts w:ascii="Times New Roman" w:hAnsi="Times New Roman" w:cs="Times New Roman"/>
        </w:rPr>
        <w:t>regulatees</w:t>
      </w:r>
      <w:proofErr w:type="spellEnd"/>
      <w:r w:rsidR="00BC722F" w:rsidRPr="00455EB3">
        <w:rPr>
          <w:rFonts w:ascii="Times New Roman" w:hAnsi="Times New Roman" w:cs="Times New Roman"/>
        </w:rPr>
        <w:t xml:space="preserve"> towards AML</w:t>
      </w:r>
      <w:r w:rsidR="00DE7E99" w:rsidRPr="00455EB3">
        <w:rPr>
          <w:rFonts w:ascii="Times New Roman" w:hAnsi="Times New Roman" w:cs="Times New Roman"/>
        </w:rPr>
        <w:t xml:space="preserve">. </w:t>
      </w:r>
      <w:r w:rsidR="00185584" w:rsidRPr="00455EB3">
        <w:rPr>
          <w:rFonts w:ascii="Times New Roman" w:hAnsi="Times New Roman" w:cs="Times New Roman"/>
        </w:rPr>
        <w:t xml:space="preserve">In other words, the new regulation implemented in the UK has </w:t>
      </w:r>
      <w:r w:rsidR="00525311" w:rsidRPr="00455EB3">
        <w:rPr>
          <w:rFonts w:ascii="Times New Roman" w:hAnsi="Times New Roman" w:cs="Times New Roman"/>
        </w:rPr>
        <w:t xml:space="preserve">helped to create a community of </w:t>
      </w:r>
      <w:proofErr w:type="spellStart"/>
      <w:r w:rsidR="00525311" w:rsidRPr="00455EB3">
        <w:rPr>
          <w:rFonts w:ascii="Times New Roman" w:hAnsi="Times New Roman" w:cs="Times New Roman"/>
        </w:rPr>
        <w:t>regulatees</w:t>
      </w:r>
      <w:proofErr w:type="spellEnd"/>
      <w:r w:rsidR="00525311" w:rsidRPr="00455EB3">
        <w:rPr>
          <w:rFonts w:ascii="Times New Roman" w:hAnsi="Times New Roman" w:cs="Times New Roman"/>
        </w:rPr>
        <w:t xml:space="preserve"> that</w:t>
      </w:r>
      <w:r w:rsidR="005F7CA2" w:rsidRPr="00455EB3">
        <w:rPr>
          <w:rFonts w:ascii="Times New Roman" w:hAnsi="Times New Roman" w:cs="Times New Roman"/>
        </w:rPr>
        <w:t xml:space="preserve"> is, at least from a real estate perspective,</w:t>
      </w:r>
      <w:r w:rsidR="00525311" w:rsidRPr="00455EB3">
        <w:rPr>
          <w:rFonts w:ascii="Times New Roman" w:hAnsi="Times New Roman" w:cs="Times New Roman"/>
        </w:rPr>
        <w:t xml:space="preserve"> </w:t>
      </w:r>
      <w:r w:rsidR="00AB772F" w:rsidRPr="00455EB3">
        <w:rPr>
          <w:rFonts w:ascii="Times New Roman" w:hAnsi="Times New Roman" w:cs="Times New Roman"/>
        </w:rPr>
        <w:t>informed and aware of its responsibilities within the AML regime.</w:t>
      </w:r>
      <w:r w:rsidR="00EA2E44" w:rsidRPr="00455EB3">
        <w:rPr>
          <w:rFonts w:ascii="Times New Roman" w:hAnsi="Times New Roman" w:cs="Times New Roman"/>
        </w:rPr>
        <w:t xml:space="preserve"> </w:t>
      </w:r>
      <w:r w:rsidR="00D7597E" w:rsidRPr="00455EB3">
        <w:rPr>
          <w:rFonts w:ascii="Times New Roman" w:hAnsi="Times New Roman" w:cs="Times New Roman"/>
        </w:rPr>
        <w:t>Therefore, t</w:t>
      </w:r>
      <w:r w:rsidR="00F80425" w:rsidRPr="00455EB3">
        <w:rPr>
          <w:rFonts w:ascii="Times New Roman" w:hAnsi="Times New Roman" w:cs="Times New Roman"/>
        </w:rPr>
        <w:t xml:space="preserve">he expansion of the </w:t>
      </w:r>
      <w:r w:rsidR="00C874E4" w:rsidRPr="00455EB3">
        <w:rPr>
          <w:rFonts w:ascii="Times New Roman" w:hAnsi="Times New Roman" w:cs="Times New Roman"/>
        </w:rPr>
        <w:t xml:space="preserve">list of </w:t>
      </w:r>
      <w:r w:rsidR="00F80425" w:rsidRPr="00455EB3">
        <w:rPr>
          <w:rFonts w:ascii="Times New Roman" w:hAnsi="Times New Roman" w:cs="Times New Roman"/>
        </w:rPr>
        <w:t>subjects obliged under the ML Regs and the imposition of new obligations has</w:t>
      </w:r>
      <w:r w:rsidR="00D7597E" w:rsidRPr="00455EB3">
        <w:rPr>
          <w:rFonts w:ascii="Times New Roman" w:hAnsi="Times New Roman" w:cs="Times New Roman"/>
        </w:rPr>
        <w:t xml:space="preserve"> </w:t>
      </w:r>
      <w:r w:rsidR="00556481" w:rsidRPr="00455EB3">
        <w:rPr>
          <w:rFonts w:ascii="Times New Roman" w:hAnsi="Times New Roman" w:cs="Times New Roman"/>
        </w:rPr>
        <w:t>strengthen</w:t>
      </w:r>
      <w:r w:rsidR="00265D9D" w:rsidRPr="00455EB3">
        <w:rPr>
          <w:rFonts w:ascii="Times New Roman" w:hAnsi="Times New Roman" w:cs="Times New Roman"/>
        </w:rPr>
        <w:t>ed</w:t>
      </w:r>
      <w:r w:rsidR="00556481" w:rsidRPr="00455EB3">
        <w:rPr>
          <w:rFonts w:ascii="Times New Roman" w:hAnsi="Times New Roman" w:cs="Times New Roman"/>
        </w:rPr>
        <w:t xml:space="preserve"> the </w:t>
      </w:r>
      <w:r w:rsidR="009166BF" w:rsidRPr="00455EB3">
        <w:rPr>
          <w:rFonts w:ascii="Times New Roman" w:hAnsi="Times New Roman" w:cs="Times New Roman"/>
        </w:rPr>
        <w:t xml:space="preserve">sense of belonging of EAs to a set of rules that </w:t>
      </w:r>
      <w:r w:rsidR="00841313" w:rsidRPr="00455EB3">
        <w:rPr>
          <w:rFonts w:ascii="Times New Roman" w:hAnsi="Times New Roman" w:cs="Times New Roman"/>
        </w:rPr>
        <w:t xml:space="preserve">cannot be disregarded </w:t>
      </w:r>
      <w:r w:rsidR="00265D9D" w:rsidRPr="00455EB3">
        <w:rPr>
          <w:rFonts w:ascii="Times New Roman" w:hAnsi="Times New Roman" w:cs="Times New Roman"/>
        </w:rPr>
        <w:t>or bypassed.</w:t>
      </w:r>
      <w:r w:rsidR="00BF1018" w:rsidRPr="00455EB3">
        <w:rPr>
          <w:rFonts w:ascii="Times New Roman" w:hAnsi="Times New Roman" w:cs="Times New Roman"/>
        </w:rPr>
        <w:t xml:space="preserve"> This was an unexpected finding; indeed</w:t>
      </w:r>
      <w:r w:rsidR="00B92C45" w:rsidRPr="00455EB3">
        <w:rPr>
          <w:rFonts w:ascii="Times New Roman" w:hAnsi="Times New Roman" w:cs="Times New Roman"/>
        </w:rPr>
        <w:t>,</w:t>
      </w:r>
      <w:r w:rsidR="00BF1018" w:rsidRPr="00455EB3">
        <w:rPr>
          <w:rFonts w:ascii="Times New Roman" w:hAnsi="Times New Roman" w:cs="Times New Roman"/>
        </w:rPr>
        <w:t xml:space="preserve"> at the outset of this study</w:t>
      </w:r>
      <w:r w:rsidR="00B3515D" w:rsidRPr="00455EB3">
        <w:rPr>
          <w:rFonts w:ascii="Times New Roman" w:hAnsi="Times New Roman" w:cs="Times New Roman"/>
        </w:rPr>
        <w:t>,</w:t>
      </w:r>
      <w:r w:rsidR="00BF1018" w:rsidRPr="00455EB3">
        <w:rPr>
          <w:rFonts w:ascii="Times New Roman" w:hAnsi="Times New Roman" w:cs="Times New Roman"/>
        </w:rPr>
        <w:t xml:space="preserve"> </w:t>
      </w:r>
      <w:r w:rsidR="00B3515D" w:rsidRPr="00455EB3">
        <w:rPr>
          <w:rFonts w:ascii="Times New Roman" w:hAnsi="Times New Roman" w:cs="Times New Roman"/>
        </w:rPr>
        <w:t>we hypothesised</w:t>
      </w:r>
      <w:r w:rsidR="00BF1018" w:rsidRPr="00455EB3">
        <w:rPr>
          <w:rFonts w:ascii="Times New Roman" w:hAnsi="Times New Roman" w:cs="Times New Roman"/>
        </w:rPr>
        <w:t xml:space="preserve"> that there would be resistance to AML compliance.</w:t>
      </w:r>
    </w:p>
    <w:p w14:paraId="06348259" w14:textId="40C0A2AA" w:rsidR="00723638" w:rsidRPr="00455EB3" w:rsidRDefault="00AE5B0A" w:rsidP="00AB4266">
      <w:pPr>
        <w:ind w:firstLine="720"/>
        <w:jc w:val="both"/>
        <w:rPr>
          <w:rFonts w:ascii="Times New Roman" w:hAnsi="Times New Roman" w:cs="Times New Roman"/>
        </w:rPr>
      </w:pPr>
      <w:r w:rsidRPr="00455EB3">
        <w:rPr>
          <w:rFonts w:ascii="Times New Roman" w:hAnsi="Times New Roman" w:cs="Times New Roman"/>
        </w:rPr>
        <w:t>Th</w:t>
      </w:r>
      <w:r w:rsidR="009F06B4" w:rsidRPr="00455EB3">
        <w:rPr>
          <w:rFonts w:ascii="Times New Roman" w:hAnsi="Times New Roman" w:cs="Times New Roman"/>
        </w:rPr>
        <w:t>is view held by</w:t>
      </w:r>
      <w:r w:rsidR="007F2A71" w:rsidRPr="00455EB3">
        <w:rPr>
          <w:rFonts w:ascii="Times New Roman" w:hAnsi="Times New Roman" w:cs="Times New Roman"/>
        </w:rPr>
        <w:t xml:space="preserve"> EAs </w:t>
      </w:r>
      <w:r w:rsidR="009F06B4" w:rsidRPr="00455EB3">
        <w:rPr>
          <w:rFonts w:ascii="Times New Roman" w:hAnsi="Times New Roman" w:cs="Times New Roman"/>
        </w:rPr>
        <w:t>towards</w:t>
      </w:r>
      <w:r w:rsidR="007F2A71" w:rsidRPr="00455EB3">
        <w:rPr>
          <w:rFonts w:ascii="Times New Roman" w:hAnsi="Times New Roman" w:cs="Times New Roman"/>
        </w:rPr>
        <w:t xml:space="preserve"> the AML regime</w:t>
      </w:r>
      <w:r w:rsidR="007254C9" w:rsidRPr="00455EB3">
        <w:rPr>
          <w:rFonts w:ascii="Times New Roman" w:hAnsi="Times New Roman" w:cs="Times New Roman"/>
        </w:rPr>
        <w:t>,</w:t>
      </w:r>
      <w:r w:rsidR="007F2A71" w:rsidRPr="00455EB3">
        <w:rPr>
          <w:rFonts w:ascii="Times New Roman" w:hAnsi="Times New Roman" w:cs="Times New Roman"/>
        </w:rPr>
        <w:t xml:space="preserve"> however,</w:t>
      </w:r>
      <w:r w:rsidR="007A0B59" w:rsidRPr="00455EB3">
        <w:rPr>
          <w:rFonts w:ascii="Times New Roman" w:hAnsi="Times New Roman" w:cs="Times New Roman"/>
        </w:rPr>
        <w:t xml:space="preserve"> does not</w:t>
      </w:r>
      <w:r w:rsidR="005E6601" w:rsidRPr="00455EB3">
        <w:rPr>
          <w:rFonts w:ascii="Times New Roman" w:hAnsi="Times New Roman" w:cs="Times New Roman"/>
        </w:rPr>
        <w:t xml:space="preserve"> indicate the absence </w:t>
      </w:r>
      <w:r w:rsidR="00E81120" w:rsidRPr="00455EB3">
        <w:rPr>
          <w:rFonts w:ascii="Times New Roman" w:hAnsi="Times New Roman" w:cs="Times New Roman"/>
        </w:rPr>
        <w:t xml:space="preserve">or the overcoming </w:t>
      </w:r>
      <w:r w:rsidR="005E6601" w:rsidRPr="00455EB3">
        <w:rPr>
          <w:rFonts w:ascii="Times New Roman" w:hAnsi="Times New Roman" w:cs="Times New Roman"/>
        </w:rPr>
        <w:t xml:space="preserve">of issues </w:t>
      </w:r>
      <w:r w:rsidR="00C2781E" w:rsidRPr="00455EB3">
        <w:rPr>
          <w:rFonts w:ascii="Times New Roman" w:hAnsi="Times New Roman" w:cs="Times New Roman"/>
        </w:rPr>
        <w:t xml:space="preserve">emerging in </w:t>
      </w:r>
      <w:r w:rsidR="00F84C4D">
        <w:rPr>
          <w:rFonts w:ascii="Times New Roman" w:hAnsi="Times New Roman" w:cs="Times New Roman"/>
        </w:rPr>
        <w:t>AML</w:t>
      </w:r>
      <w:r w:rsidR="00A8597F" w:rsidRPr="00455EB3">
        <w:rPr>
          <w:rFonts w:ascii="Times New Roman" w:hAnsi="Times New Roman" w:cs="Times New Roman"/>
        </w:rPr>
        <w:t xml:space="preserve"> compliance. </w:t>
      </w:r>
      <w:r w:rsidR="00917CE2" w:rsidRPr="00455EB3">
        <w:rPr>
          <w:rFonts w:ascii="Times New Roman" w:hAnsi="Times New Roman" w:cs="Times New Roman"/>
        </w:rPr>
        <w:t>In this regard</w:t>
      </w:r>
      <w:r w:rsidR="00BF1018" w:rsidRPr="00455EB3">
        <w:rPr>
          <w:rFonts w:ascii="Times New Roman" w:hAnsi="Times New Roman" w:cs="Times New Roman"/>
        </w:rPr>
        <w:t xml:space="preserve">, a recurring complaint </w:t>
      </w:r>
      <w:r w:rsidR="00D615B2" w:rsidRPr="00455EB3">
        <w:rPr>
          <w:rFonts w:ascii="Times New Roman" w:hAnsi="Times New Roman" w:cs="Times New Roman"/>
        </w:rPr>
        <w:t xml:space="preserve">in our interviews </w:t>
      </w:r>
      <w:r w:rsidR="00BF1018" w:rsidRPr="00455EB3">
        <w:rPr>
          <w:rFonts w:ascii="Times New Roman" w:hAnsi="Times New Roman" w:cs="Times New Roman"/>
        </w:rPr>
        <w:t xml:space="preserve">related to the </w:t>
      </w:r>
      <w:r w:rsidR="00BF1018" w:rsidRPr="00455EB3">
        <w:rPr>
          <w:rFonts w:ascii="Times New Roman" w:hAnsi="Times New Roman" w:cs="Times New Roman"/>
          <w:i/>
          <w:iCs/>
        </w:rPr>
        <w:t>burden</w:t>
      </w:r>
      <w:r w:rsidR="00BF1018" w:rsidRPr="00455EB3">
        <w:rPr>
          <w:rFonts w:ascii="Times New Roman" w:hAnsi="Times New Roman" w:cs="Times New Roman"/>
        </w:rPr>
        <w:t xml:space="preserve"> of compliance: as one interviewee stated, ‘it’s a huge cost to the business, you know, absolutely huge’</w:t>
      </w:r>
      <w:r w:rsidR="00204727" w:rsidRPr="00455EB3">
        <w:rPr>
          <w:rFonts w:ascii="Times New Roman" w:hAnsi="Times New Roman" w:cs="Times New Roman"/>
        </w:rPr>
        <w:t>.</w:t>
      </w:r>
      <w:r w:rsidR="00BF1018" w:rsidRPr="00455EB3">
        <w:rPr>
          <w:rStyle w:val="FootnoteReference"/>
          <w:rFonts w:ascii="Times New Roman" w:hAnsi="Times New Roman" w:cs="Times New Roman"/>
        </w:rPr>
        <w:footnoteReference w:id="226"/>
      </w:r>
      <w:r w:rsidR="00D615B2" w:rsidRPr="00455EB3">
        <w:rPr>
          <w:rFonts w:ascii="Times New Roman" w:hAnsi="Times New Roman" w:cs="Times New Roman"/>
        </w:rPr>
        <w:t xml:space="preserve"> </w:t>
      </w:r>
      <w:r w:rsidR="008E5225" w:rsidRPr="00455EB3">
        <w:rPr>
          <w:rFonts w:ascii="Times New Roman" w:hAnsi="Times New Roman" w:cs="Times New Roman"/>
        </w:rPr>
        <w:t xml:space="preserve">As </w:t>
      </w:r>
      <w:r w:rsidR="005D2012" w:rsidRPr="00455EB3">
        <w:rPr>
          <w:rFonts w:ascii="Times New Roman" w:hAnsi="Times New Roman" w:cs="Times New Roman"/>
        </w:rPr>
        <w:t>previously recalled</w:t>
      </w:r>
      <w:r w:rsidR="008E5225" w:rsidRPr="00455EB3">
        <w:rPr>
          <w:rFonts w:ascii="Times New Roman" w:hAnsi="Times New Roman" w:cs="Times New Roman"/>
        </w:rPr>
        <w:t>, t</w:t>
      </w:r>
      <w:r w:rsidR="00A57BF5" w:rsidRPr="00455EB3">
        <w:rPr>
          <w:rFonts w:ascii="Times New Roman" w:hAnsi="Times New Roman" w:cs="Times New Roman"/>
        </w:rPr>
        <w:t xml:space="preserve">he financial, logistical, and </w:t>
      </w:r>
      <w:r w:rsidR="008E5225" w:rsidRPr="00455EB3">
        <w:rPr>
          <w:rFonts w:ascii="Times New Roman" w:hAnsi="Times New Roman" w:cs="Times New Roman"/>
        </w:rPr>
        <w:t xml:space="preserve">administrative costs associated with AML compliance </w:t>
      </w:r>
      <w:r w:rsidR="00F55A1F" w:rsidRPr="00455EB3">
        <w:rPr>
          <w:rFonts w:ascii="Times New Roman" w:hAnsi="Times New Roman" w:cs="Times New Roman"/>
        </w:rPr>
        <w:t xml:space="preserve">are seen to </w:t>
      </w:r>
      <w:r w:rsidR="008E5225" w:rsidRPr="00455EB3">
        <w:rPr>
          <w:rFonts w:ascii="Times New Roman" w:hAnsi="Times New Roman" w:cs="Times New Roman"/>
        </w:rPr>
        <w:t xml:space="preserve">impact </w:t>
      </w:r>
      <w:r w:rsidR="00CB7B06" w:rsidRPr="00455EB3">
        <w:rPr>
          <w:rFonts w:ascii="Times New Roman" w:hAnsi="Times New Roman" w:cs="Times New Roman"/>
        </w:rPr>
        <w:t xml:space="preserve">the </w:t>
      </w:r>
      <w:r w:rsidR="00495F47" w:rsidRPr="00455EB3">
        <w:rPr>
          <w:rFonts w:ascii="Times New Roman" w:hAnsi="Times New Roman" w:cs="Times New Roman"/>
        </w:rPr>
        <w:t>business</w:t>
      </w:r>
      <w:r w:rsidR="00CB7B06" w:rsidRPr="00455EB3">
        <w:rPr>
          <w:rFonts w:ascii="Times New Roman" w:hAnsi="Times New Roman" w:cs="Times New Roman"/>
        </w:rPr>
        <w:t xml:space="preserve"> of EAs and their approach to AML</w:t>
      </w:r>
      <w:r w:rsidR="00F14488" w:rsidRPr="00455EB3">
        <w:rPr>
          <w:rFonts w:ascii="Times New Roman" w:hAnsi="Times New Roman" w:cs="Times New Roman"/>
        </w:rPr>
        <w:t xml:space="preserve"> heavily</w:t>
      </w:r>
      <w:r w:rsidR="00901775" w:rsidRPr="00455EB3">
        <w:rPr>
          <w:rFonts w:ascii="Times New Roman" w:hAnsi="Times New Roman" w:cs="Times New Roman"/>
        </w:rPr>
        <w:t>,</w:t>
      </w:r>
      <w:r w:rsidR="00CB7B06" w:rsidRPr="00455EB3">
        <w:rPr>
          <w:rFonts w:ascii="Times New Roman" w:hAnsi="Times New Roman" w:cs="Times New Roman"/>
        </w:rPr>
        <w:t xml:space="preserve"> with</w:t>
      </w:r>
      <w:r w:rsidR="001F6760" w:rsidRPr="00455EB3">
        <w:rPr>
          <w:rFonts w:ascii="Times New Roman" w:hAnsi="Times New Roman" w:cs="Times New Roman"/>
        </w:rPr>
        <w:t xml:space="preserve"> potential</w:t>
      </w:r>
      <w:r w:rsidR="00F0165A">
        <w:rPr>
          <w:rFonts w:ascii="Times New Roman" w:hAnsi="Times New Roman" w:cs="Times New Roman"/>
        </w:rPr>
        <w:t>ly</w:t>
      </w:r>
      <w:r w:rsidR="001F6760" w:rsidRPr="00455EB3">
        <w:rPr>
          <w:rFonts w:ascii="Times New Roman" w:hAnsi="Times New Roman" w:cs="Times New Roman"/>
        </w:rPr>
        <w:t xml:space="preserve"> disruptive effects</w:t>
      </w:r>
      <w:r w:rsidR="00495F47" w:rsidRPr="00455EB3">
        <w:rPr>
          <w:rFonts w:ascii="Times New Roman" w:hAnsi="Times New Roman" w:cs="Times New Roman"/>
        </w:rPr>
        <w:t xml:space="preserve"> for the entire </w:t>
      </w:r>
      <w:r w:rsidR="002A3B21" w:rsidRPr="00455EB3">
        <w:rPr>
          <w:rFonts w:ascii="Times New Roman" w:hAnsi="Times New Roman" w:cs="Times New Roman"/>
        </w:rPr>
        <w:t>regulatory regime</w:t>
      </w:r>
      <w:r w:rsidR="001F6760" w:rsidRPr="00455EB3">
        <w:rPr>
          <w:rFonts w:ascii="Times New Roman" w:hAnsi="Times New Roman" w:cs="Times New Roman"/>
        </w:rPr>
        <w:t xml:space="preserve">. </w:t>
      </w:r>
      <w:r w:rsidR="004F0720" w:rsidRPr="00455EB3">
        <w:rPr>
          <w:rFonts w:ascii="Times New Roman" w:hAnsi="Times New Roman" w:cs="Times New Roman"/>
        </w:rPr>
        <w:t xml:space="preserve">This finding </w:t>
      </w:r>
      <w:r w:rsidR="0076792E" w:rsidRPr="00455EB3">
        <w:rPr>
          <w:rFonts w:ascii="Times New Roman" w:hAnsi="Times New Roman" w:cs="Times New Roman"/>
        </w:rPr>
        <w:t>is in line with the idea that</w:t>
      </w:r>
      <w:r w:rsidR="002A3B21" w:rsidRPr="00455EB3">
        <w:rPr>
          <w:rFonts w:ascii="Times New Roman" w:hAnsi="Times New Roman" w:cs="Times New Roman"/>
        </w:rPr>
        <w:t xml:space="preserve"> </w:t>
      </w:r>
      <w:r w:rsidR="00707016" w:rsidRPr="00455EB3">
        <w:rPr>
          <w:rFonts w:ascii="Times New Roman" w:hAnsi="Times New Roman" w:cs="Times New Roman"/>
        </w:rPr>
        <w:t>‘</w:t>
      </w:r>
      <w:r w:rsidR="006707C8" w:rsidRPr="00455EB3">
        <w:rPr>
          <w:rFonts w:ascii="Times New Roman" w:hAnsi="Times New Roman" w:cs="Times New Roman"/>
        </w:rPr>
        <w:t>T</w:t>
      </w:r>
      <w:r w:rsidR="00707016" w:rsidRPr="00455EB3">
        <w:rPr>
          <w:rFonts w:ascii="Times New Roman" w:hAnsi="Times New Roman" w:cs="Times New Roman"/>
        </w:rPr>
        <w:t>he cost</w:t>
      </w:r>
      <w:r w:rsidR="006707C8" w:rsidRPr="00455EB3">
        <w:rPr>
          <w:rFonts w:ascii="Times New Roman" w:hAnsi="Times New Roman" w:cs="Times New Roman"/>
        </w:rPr>
        <w:t>s</w:t>
      </w:r>
      <w:r w:rsidR="00707016" w:rsidRPr="00455EB3">
        <w:rPr>
          <w:rFonts w:ascii="Times New Roman" w:hAnsi="Times New Roman" w:cs="Times New Roman"/>
        </w:rPr>
        <w:t xml:space="preserve"> of compliance</w:t>
      </w:r>
      <w:r w:rsidR="006707C8" w:rsidRPr="00455EB3">
        <w:rPr>
          <w:rFonts w:ascii="Times New Roman" w:hAnsi="Times New Roman" w:cs="Times New Roman"/>
        </w:rPr>
        <w:t xml:space="preserve"> seem to outweigh </w:t>
      </w:r>
      <w:r w:rsidR="00C94667" w:rsidRPr="00455EB3">
        <w:rPr>
          <w:rFonts w:ascii="Times New Roman" w:hAnsi="Times New Roman" w:cs="Times New Roman"/>
        </w:rPr>
        <w:t>the risks</w:t>
      </w:r>
      <w:r w:rsidR="00543846" w:rsidRPr="00455EB3">
        <w:rPr>
          <w:rFonts w:ascii="Times New Roman" w:hAnsi="Times New Roman" w:cs="Times New Roman"/>
        </w:rPr>
        <w:t>’</w:t>
      </w:r>
      <w:r w:rsidR="00543846" w:rsidRPr="00455EB3">
        <w:rPr>
          <w:rStyle w:val="FootnoteReference"/>
          <w:rFonts w:ascii="Times New Roman" w:hAnsi="Times New Roman" w:cs="Times New Roman"/>
        </w:rPr>
        <w:footnoteReference w:id="227"/>
      </w:r>
      <w:r w:rsidR="00543846" w:rsidRPr="00455EB3">
        <w:rPr>
          <w:rFonts w:ascii="Times New Roman" w:hAnsi="Times New Roman" w:cs="Times New Roman"/>
        </w:rPr>
        <w:t xml:space="preserve"> and</w:t>
      </w:r>
      <w:r w:rsidR="005A06F7" w:rsidRPr="00455EB3">
        <w:rPr>
          <w:rFonts w:ascii="Times New Roman" w:hAnsi="Times New Roman" w:cs="Times New Roman"/>
        </w:rPr>
        <w:t>,</w:t>
      </w:r>
      <w:r w:rsidR="009757F3" w:rsidRPr="00455EB3">
        <w:rPr>
          <w:rFonts w:ascii="Times New Roman" w:hAnsi="Times New Roman" w:cs="Times New Roman"/>
        </w:rPr>
        <w:t xml:space="preserve"> in the long term, there </w:t>
      </w:r>
      <w:r w:rsidR="00E870F1" w:rsidRPr="00455EB3">
        <w:rPr>
          <w:rFonts w:ascii="Times New Roman" w:hAnsi="Times New Roman" w:cs="Times New Roman"/>
        </w:rPr>
        <w:t xml:space="preserve">is a real danger </w:t>
      </w:r>
      <w:r w:rsidR="00CF638D">
        <w:rPr>
          <w:rFonts w:ascii="Times New Roman" w:hAnsi="Times New Roman" w:cs="Times New Roman"/>
        </w:rPr>
        <w:t>of</w:t>
      </w:r>
      <w:r w:rsidR="00CF638D" w:rsidRPr="00455EB3">
        <w:rPr>
          <w:rFonts w:ascii="Times New Roman" w:hAnsi="Times New Roman" w:cs="Times New Roman"/>
        </w:rPr>
        <w:t xml:space="preserve"> </w:t>
      </w:r>
      <w:r w:rsidR="00E870F1" w:rsidRPr="00455EB3">
        <w:rPr>
          <w:rFonts w:ascii="Times New Roman" w:hAnsi="Times New Roman" w:cs="Times New Roman"/>
        </w:rPr>
        <w:t>los</w:t>
      </w:r>
      <w:r w:rsidR="00CF638D">
        <w:rPr>
          <w:rFonts w:ascii="Times New Roman" w:hAnsi="Times New Roman" w:cs="Times New Roman"/>
        </w:rPr>
        <w:t>ing</w:t>
      </w:r>
      <w:r w:rsidR="00E870F1" w:rsidRPr="00455EB3">
        <w:rPr>
          <w:rFonts w:ascii="Times New Roman" w:hAnsi="Times New Roman" w:cs="Times New Roman"/>
        </w:rPr>
        <w:t xml:space="preserve"> the support of gatekeepers. This is not a problem </w:t>
      </w:r>
      <w:r w:rsidR="00CF638D">
        <w:rPr>
          <w:rFonts w:ascii="Times New Roman" w:hAnsi="Times New Roman" w:cs="Times New Roman"/>
        </w:rPr>
        <w:t>confined to</w:t>
      </w:r>
      <w:r w:rsidR="00CF638D" w:rsidRPr="00455EB3">
        <w:rPr>
          <w:rFonts w:ascii="Times New Roman" w:hAnsi="Times New Roman" w:cs="Times New Roman"/>
        </w:rPr>
        <w:t xml:space="preserve"> </w:t>
      </w:r>
      <w:r w:rsidR="00E870F1" w:rsidRPr="00455EB3">
        <w:rPr>
          <w:rFonts w:ascii="Times New Roman" w:hAnsi="Times New Roman" w:cs="Times New Roman"/>
        </w:rPr>
        <w:t xml:space="preserve">the real estate </w:t>
      </w:r>
      <w:r w:rsidR="00CF638D">
        <w:rPr>
          <w:rFonts w:ascii="Times New Roman" w:hAnsi="Times New Roman" w:cs="Times New Roman"/>
        </w:rPr>
        <w:t>sector;</w:t>
      </w:r>
      <w:r w:rsidR="00E870F1" w:rsidRPr="00455EB3">
        <w:rPr>
          <w:rFonts w:ascii="Times New Roman" w:hAnsi="Times New Roman" w:cs="Times New Roman"/>
        </w:rPr>
        <w:t xml:space="preserve"> it has also been observed in other sectors (e.g. banking) where financial and reputational interests have influenced AML compliance.</w:t>
      </w:r>
      <w:r w:rsidR="00E870F1" w:rsidRPr="00455EB3">
        <w:rPr>
          <w:rStyle w:val="FootnoteReference"/>
          <w:rFonts w:ascii="Times New Roman" w:hAnsi="Times New Roman" w:cs="Times New Roman"/>
        </w:rPr>
        <w:footnoteReference w:id="228"/>
      </w:r>
    </w:p>
    <w:p w14:paraId="0BEB256C" w14:textId="687C2C0F" w:rsidR="00C9195F" w:rsidRPr="00455EB3" w:rsidRDefault="00416D4B" w:rsidP="00AB4266">
      <w:pPr>
        <w:jc w:val="both"/>
        <w:rPr>
          <w:rFonts w:ascii="Times New Roman" w:hAnsi="Times New Roman" w:cs="Times New Roman"/>
        </w:rPr>
      </w:pPr>
      <w:r w:rsidRPr="00455EB3">
        <w:rPr>
          <w:rFonts w:ascii="Times New Roman" w:hAnsi="Times New Roman" w:cs="Times New Roman"/>
        </w:rPr>
        <w:tab/>
      </w:r>
      <w:r w:rsidR="00C2440E" w:rsidRPr="00455EB3">
        <w:rPr>
          <w:rFonts w:ascii="Times New Roman" w:hAnsi="Times New Roman" w:cs="Times New Roman"/>
        </w:rPr>
        <w:t>Another finding of our study is that t</w:t>
      </w:r>
      <w:r w:rsidR="00645F45" w:rsidRPr="00455EB3">
        <w:rPr>
          <w:rFonts w:ascii="Times New Roman" w:hAnsi="Times New Roman" w:cs="Times New Roman"/>
        </w:rPr>
        <w:t>he AML regime</w:t>
      </w:r>
      <w:r w:rsidR="004229B3" w:rsidRPr="00455EB3">
        <w:rPr>
          <w:rFonts w:ascii="Times New Roman" w:hAnsi="Times New Roman" w:cs="Times New Roman"/>
        </w:rPr>
        <w:t xml:space="preserve"> is</w:t>
      </w:r>
      <w:r w:rsidR="004B765D" w:rsidRPr="00455EB3">
        <w:rPr>
          <w:rFonts w:ascii="Times New Roman" w:hAnsi="Times New Roman" w:cs="Times New Roman"/>
        </w:rPr>
        <w:t xml:space="preserve"> </w:t>
      </w:r>
      <w:r w:rsidR="00845936" w:rsidRPr="00455EB3">
        <w:rPr>
          <w:rFonts w:ascii="Times New Roman" w:hAnsi="Times New Roman" w:cs="Times New Roman"/>
        </w:rPr>
        <w:t xml:space="preserve">perceived by EAs </w:t>
      </w:r>
      <w:r w:rsidR="004B765D" w:rsidRPr="00455EB3">
        <w:rPr>
          <w:rFonts w:ascii="Times New Roman" w:hAnsi="Times New Roman" w:cs="Times New Roman"/>
        </w:rPr>
        <w:t xml:space="preserve">as being </w:t>
      </w:r>
      <w:r w:rsidR="00243659" w:rsidRPr="00455EB3">
        <w:rPr>
          <w:rFonts w:ascii="Times New Roman" w:hAnsi="Times New Roman" w:cs="Times New Roman"/>
        </w:rPr>
        <w:t xml:space="preserve">flawed by what can be </w:t>
      </w:r>
      <w:r w:rsidR="00B7269F" w:rsidRPr="00455EB3">
        <w:rPr>
          <w:rFonts w:ascii="Times New Roman" w:hAnsi="Times New Roman" w:cs="Times New Roman"/>
        </w:rPr>
        <w:t>described</w:t>
      </w:r>
      <w:r w:rsidR="00243659" w:rsidRPr="00455EB3">
        <w:rPr>
          <w:rFonts w:ascii="Times New Roman" w:hAnsi="Times New Roman" w:cs="Times New Roman"/>
        </w:rPr>
        <w:t xml:space="preserve"> as a lack of commitment by national authorities towards </w:t>
      </w:r>
      <w:proofErr w:type="spellStart"/>
      <w:r w:rsidR="000B2B8D" w:rsidRPr="00455EB3">
        <w:rPr>
          <w:rFonts w:ascii="Times New Roman" w:hAnsi="Times New Roman" w:cs="Times New Roman"/>
        </w:rPr>
        <w:t>regulatees</w:t>
      </w:r>
      <w:proofErr w:type="spellEnd"/>
      <w:r w:rsidR="000B2B8D" w:rsidRPr="00455EB3">
        <w:rPr>
          <w:rFonts w:ascii="Times New Roman" w:hAnsi="Times New Roman" w:cs="Times New Roman"/>
        </w:rPr>
        <w:t>. Indeed, as emerges from various interviews, the</w:t>
      </w:r>
      <w:r w:rsidR="00B7269F" w:rsidRPr="00455EB3">
        <w:rPr>
          <w:rFonts w:ascii="Times New Roman" w:hAnsi="Times New Roman" w:cs="Times New Roman"/>
        </w:rPr>
        <w:t xml:space="preserve">re is a general frustration </w:t>
      </w:r>
      <w:r w:rsidR="004D7FEA" w:rsidRPr="00455EB3">
        <w:rPr>
          <w:rFonts w:ascii="Times New Roman" w:hAnsi="Times New Roman" w:cs="Times New Roman"/>
        </w:rPr>
        <w:t>amongst</w:t>
      </w:r>
      <w:r w:rsidR="00B7269F" w:rsidRPr="00455EB3">
        <w:rPr>
          <w:rFonts w:ascii="Times New Roman" w:hAnsi="Times New Roman" w:cs="Times New Roman"/>
        </w:rPr>
        <w:t xml:space="preserve"> EAs for </w:t>
      </w:r>
      <w:r w:rsidR="000A5CAB" w:rsidRPr="00455EB3">
        <w:rPr>
          <w:rFonts w:ascii="Times New Roman" w:hAnsi="Times New Roman" w:cs="Times New Roman"/>
        </w:rPr>
        <w:t xml:space="preserve">the lack or </w:t>
      </w:r>
      <w:r w:rsidR="000E71E0" w:rsidRPr="00455EB3">
        <w:rPr>
          <w:rFonts w:ascii="Times New Roman" w:hAnsi="Times New Roman" w:cs="Times New Roman"/>
        </w:rPr>
        <w:t>inconsistency of</w:t>
      </w:r>
      <w:r w:rsidR="000A5CAB" w:rsidRPr="00455EB3">
        <w:rPr>
          <w:rFonts w:ascii="Times New Roman" w:hAnsi="Times New Roman" w:cs="Times New Roman"/>
        </w:rPr>
        <w:t xml:space="preserve"> guidelines </w:t>
      </w:r>
      <w:r w:rsidR="000E71E0" w:rsidRPr="00455EB3">
        <w:rPr>
          <w:rFonts w:ascii="Times New Roman" w:hAnsi="Times New Roman" w:cs="Times New Roman"/>
        </w:rPr>
        <w:t>provided</w:t>
      </w:r>
      <w:r w:rsidR="000A5CAB" w:rsidRPr="00455EB3">
        <w:rPr>
          <w:rFonts w:ascii="Times New Roman" w:hAnsi="Times New Roman" w:cs="Times New Roman"/>
        </w:rPr>
        <w:t xml:space="preserve"> by HMRC and NCA </w:t>
      </w:r>
      <w:r w:rsidR="00DE6DB1" w:rsidRPr="00455EB3">
        <w:rPr>
          <w:rFonts w:ascii="Times New Roman" w:hAnsi="Times New Roman" w:cs="Times New Roman"/>
        </w:rPr>
        <w:t xml:space="preserve">regarding fundamental aspects of their </w:t>
      </w:r>
      <w:r w:rsidR="00A04685" w:rsidRPr="00455EB3">
        <w:rPr>
          <w:rFonts w:ascii="Times New Roman" w:hAnsi="Times New Roman" w:cs="Times New Roman"/>
        </w:rPr>
        <w:t>A</w:t>
      </w:r>
      <w:r w:rsidR="00DE6DB1" w:rsidRPr="00455EB3">
        <w:rPr>
          <w:rFonts w:ascii="Times New Roman" w:hAnsi="Times New Roman" w:cs="Times New Roman"/>
        </w:rPr>
        <w:t>ML obligations, such as CDD checks and SARs.</w:t>
      </w:r>
      <w:r w:rsidR="0067585D" w:rsidRPr="00455EB3">
        <w:rPr>
          <w:rStyle w:val="FootnoteReference"/>
          <w:rFonts w:ascii="Times New Roman" w:hAnsi="Times New Roman" w:cs="Times New Roman"/>
        </w:rPr>
        <w:footnoteReference w:id="229"/>
      </w:r>
      <w:r w:rsidR="006B2200" w:rsidRPr="00455EB3">
        <w:rPr>
          <w:rFonts w:ascii="Times New Roman" w:hAnsi="Times New Roman" w:cs="Times New Roman"/>
        </w:rPr>
        <w:t xml:space="preserve"> </w:t>
      </w:r>
      <w:r w:rsidR="00C9195F" w:rsidRPr="00455EB3">
        <w:rPr>
          <w:rFonts w:ascii="Times New Roman" w:hAnsi="Times New Roman" w:cs="Times New Roman"/>
        </w:rPr>
        <w:t xml:space="preserve">It is evident that there is a need for better guidance and information for EAs. While there is, admittedly, </w:t>
      </w:r>
      <w:r w:rsidR="00C9195F" w:rsidRPr="00756DD6">
        <w:rPr>
          <w:rFonts w:ascii="Times New Roman" w:hAnsi="Times New Roman" w:cs="Times New Roman"/>
        </w:rPr>
        <w:t>some sector-specific guidance,</w:t>
      </w:r>
      <w:r w:rsidR="00C9195F" w:rsidRPr="00756DD6">
        <w:rPr>
          <w:rStyle w:val="FootnoteReference"/>
          <w:rFonts w:ascii="Times New Roman" w:hAnsi="Times New Roman" w:cs="Times New Roman"/>
        </w:rPr>
        <w:footnoteReference w:id="230"/>
      </w:r>
      <w:r w:rsidR="00C9195F" w:rsidRPr="00455EB3">
        <w:rPr>
          <w:rFonts w:ascii="Times New Roman" w:hAnsi="Times New Roman" w:cs="Times New Roman"/>
        </w:rPr>
        <w:t xml:space="preserve"> the terminology used is often </w:t>
      </w:r>
      <w:r w:rsidR="00C9195F" w:rsidRPr="00455EB3">
        <w:rPr>
          <w:rFonts w:ascii="Times New Roman" w:hAnsi="Times New Roman" w:cs="Times New Roman"/>
        </w:rPr>
        <w:lastRenderedPageBreak/>
        <w:t>vague</w:t>
      </w:r>
      <w:r w:rsidR="00830996">
        <w:rPr>
          <w:rFonts w:ascii="Times New Roman" w:hAnsi="Times New Roman" w:cs="Times New Roman"/>
        </w:rPr>
        <w:t>,</w:t>
      </w:r>
      <w:r w:rsidR="00C9195F" w:rsidRPr="00455EB3">
        <w:rPr>
          <w:rFonts w:ascii="Times New Roman" w:hAnsi="Times New Roman" w:cs="Times New Roman"/>
        </w:rPr>
        <w:t xml:space="preserve"> and there is a tendency to adopt a broad-brush approach that can be applied to different sectors. This might be a reasonable method to promote general consistency </w:t>
      </w:r>
      <w:r w:rsidR="00C9195F" w:rsidRPr="00455EB3">
        <w:rPr>
          <w:rFonts w:ascii="Times New Roman" w:hAnsi="Times New Roman" w:cs="Times New Roman"/>
          <w:i/>
          <w:iCs/>
        </w:rPr>
        <w:t>across</w:t>
      </w:r>
      <w:r w:rsidR="00C9195F" w:rsidRPr="00455EB3">
        <w:rPr>
          <w:rFonts w:ascii="Times New Roman" w:hAnsi="Times New Roman" w:cs="Times New Roman"/>
        </w:rPr>
        <w:t xml:space="preserve"> regulated sectors, but EAs criticise the lack of detail or sector-tailored policies and provisions which they would need to cope with specific issues encountered </w:t>
      </w:r>
      <w:r w:rsidR="004229B3" w:rsidRPr="00455EB3">
        <w:rPr>
          <w:rFonts w:ascii="Times New Roman" w:hAnsi="Times New Roman" w:cs="Times New Roman"/>
          <w:i/>
          <w:iCs/>
        </w:rPr>
        <w:t>with</w:t>
      </w:r>
      <w:r w:rsidR="00C9195F" w:rsidRPr="00455EB3">
        <w:rPr>
          <w:rFonts w:ascii="Times New Roman" w:hAnsi="Times New Roman" w:cs="Times New Roman"/>
          <w:i/>
          <w:iCs/>
        </w:rPr>
        <w:t>in</w:t>
      </w:r>
      <w:r w:rsidR="00C9195F" w:rsidRPr="00455EB3">
        <w:rPr>
          <w:rFonts w:ascii="Times New Roman" w:hAnsi="Times New Roman" w:cs="Times New Roman"/>
        </w:rPr>
        <w:t xml:space="preserve"> the real estate market. Some interviewees particularly lament the ‘one-size-fit</w:t>
      </w:r>
      <w:r w:rsidR="009C1036" w:rsidRPr="00455EB3">
        <w:rPr>
          <w:rFonts w:ascii="Times New Roman" w:hAnsi="Times New Roman" w:cs="Times New Roman"/>
        </w:rPr>
        <w:t>s</w:t>
      </w:r>
      <w:r w:rsidR="00C9195F" w:rsidRPr="00455EB3">
        <w:rPr>
          <w:rFonts w:ascii="Times New Roman" w:hAnsi="Times New Roman" w:cs="Times New Roman"/>
        </w:rPr>
        <w:t>-all’ approach in relation to SARs.</w:t>
      </w:r>
      <w:r w:rsidR="00C9195F" w:rsidRPr="00455EB3">
        <w:rPr>
          <w:rStyle w:val="FootnoteReference"/>
          <w:rFonts w:ascii="Times New Roman" w:hAnsi="Times New Roman" w:cs="Times New Roman"/>
        </w:rPr>
        <w:footnoteReference w:id="231"/>
      </w:r>
    </w:p>
    <w:p w14:paraId="4DDBA70E" w14:textId="13E535BD" w:rsidR="0013087E" w:rsidRPr="00455EB3" w:rsidRDefault="005C0B8A" w:rsidP="00AB4266">
      <w:pPr>
        <w:pStyle w:val="TextBody"/>
        <w:spacing w:after="0"/>
        <w:ind w:firstLine="720"/>
        <w:jc w:val="both"/>
        <w:rPr>
          <w:rFonts w:ascii="Times New Roman" w:hAnsi="Times New Roman" w:cs="Times New Roman"/>
          <w:lang w:val="en-GB"/>
        </w:rPr>
      </w:pPr>
      <w:r w:rsidRPr="00455EB3">
        <w:rPr>
          <w:rFonts w:ascii="Times New Roman" w:hAnsi="Times New Roman" w:cs="Times New Roman"/>
          <w:lang w:val="en-GB"/>
        </w:rPr>
        <w:t>From the foregoing</w:t>
      </w:r>
      <w:r w:rsidR="004A4327">
        <w:rPr>
          <w:rFonts w:ascii="Times New Roman" w:hAnsi="Times New Roman" w:cs="Times New Roman"/>
          <w:lang w:val="en-GB"/>
        </w:rPr>
        <w:t>,</w:t>
      </w:r>
      <w:r w:rsidR="005E580E" w:rsidRPr="00455EB3">
        <w:rPr>
          <w:rFonts w:ascii="Times New Roman" w:hAnsi="Times New Roman" w:cs="Times New Roman"/>
          <w:lang w:val="en-GB"/>
        </w:rPr>
        <w:t xml:space="preserve"> it </w:t>
      </w:r>
      <w:r w:rsidR="00AE750A" w:rsidRPr="00455EB3">
        <w:rPr>
          <w:rFonts w:ascii="Times New Roman" w:hAnsi="Times New Roman" w:cs="Times New Roman"/>
          <w:lang w:val="en-GB"/>
        </w:rPr>
        <w:t>emerges</w:t>
      </w:r>
      <w:r w:rsidR="005E580E" w:rsidRPr="00455EB3">
        <w:rPr>
          <w:rFonts w:ascii="Times New Roman" w:hAnsi="Times New Roman" w:cs="Times New Roman"/>
          <w:lang w:val="en-GB"/>
        </w:rPr>
        <w:t xml:space="preserve"> that</w:t>
      </w:r>
      <w:r w:rsidRPr="00455EB3">
        <w:rPr>
          <w:rFonts w:ascii="Times New Roman" w:hAnsi="Times New Roman" w:cs="Times New Roman"/>
          <w:lang w:val="en-GB"/>
        </w:rPr>
        <w:t>, d</w:t>
      </w:r>
      <w:r w:rsidR="006B2200" w:rsidRPr="00455EB3">
        <w:rPr>
          <w:rFonts w:ascii="Times New Roman" w:hAnsi="Times New Roman" w:cs="Times New Roman"/>
          <w:lang w:val="en-GB"/>
        </w:rPr>
        <w:t xml:space="preserve">espite the </w:t>
      </w:r>
      <w:r w:rsidR="000E71E0" w:rsidRPr="00455EB3">
        <w:rPr>
          <w:rFonts w:ascii="Times New Roman" w:hAnsi="Times New Roman" w:cs="Times New Roman"/>
          <w:lang w:val="en-GB"/>
        </w:rPr>
        <w:t xml:space="preserve">good disposition of many in the sector, EAs </w:t>
      </w:r>
      <w:r w:rsidR="00576B60" w:rsidRPr="00455EB3">
        <w:rPr>
          <w:rFonts w:ascii="Times New Roman" w:hAnsi="Times New Roman" w:cs="Times New Roman"/>
          <w:lang w:val="en-GB"/>
        </w:rPr>
        <w:t xml:space="preserve">denounce the limits of the governance </w:t>
      </w:r>
      <w:r w:rsidR="00803A4B" w:rsidRPr="00455EB3">
        <w:rPr>
          <w:rFonts w:ascii="Times New Roman" w:hAnsi="Times New Roman" w:cs="Times New Roman"/>
          <w:lang w:val="en-GB"/>
        </w:rPr>
        <w:t xml:space="preserve">imposed on them, and they struggle to </w:t>
      </w:r>
      <w:r w:rsidR="00F5070A" w:rsidRPr="00455EB3">
        <w:rPr>
          <w:rFonts w:ascii="Times New Roman" w:hAnsi="Times New Roman" w:cs="Times New Roman"/>
          <w:lang w:val="en-GB"/>
        </w:rPr>
        <w:t xml:space="preserve">reconcile their new responsibilities with </w:t>
      </w:r>
      <w:r w:rsidR="003C06DC" w:rsidRPr="00455EB3">
        <w:rPr>
          <w:rFonts w:ascii="Times New Roman" w:hAnsi="Times New Roman" w:cs="Times New Roman"/>
          <w:lang w:val="en-GB"/>
        </w:rPr>
        <w:t xml:space="preserve">the limited </w:t>
      </w:r>
      <w:r w:rsidR="00E85C97" w:rsidRPr="00455EB3">
        <w:rPr>
          <w:rFonts w:ascii="Times New Roman" w:hAnsi="Times New Roman" w:cs="Times New Roman"/>
          <w:lang w:val="en-GB"/>
        </w:rPr>
        <w:t xml:space="preserve">engagement </w:t>
      </w:r>
      <w:r w:rsidR="003C06DC" w:rsidRPr="00455EB3">
        <w:rPr>
          <w:rFonts w:ascii="Times New Roman" w:hAnsi="Times New Roman" w:cs="Times New Roman"/>
          <w:lang w:val="en-GB"/>
        </w:rPr>
        <w:t xml:space="preserve">from national authorities. </w:t>
      </w:r>
      <w:r w:rsidR="00EE06C8" w:rsidRPr="00455EB3">
        <w:rPr>
          <w:rFonts w:ascii="Times New Roman" w:hAnsi="Times New Roman" w:cs="Times New Roman"/>
          <w:lang w:val="en-GB"/>
        </w:rPr>
        <w:t xml:space="preserve">As an interviewee told us, </w:t>
      </w:r>
      <w:r w:rsidR="00C14583" w:rsidRPr="00455EB3">
        <w:rPr>
          <w:rFonts w:ascii="Times New Roman" w:hAnsi="Times New Roman" w:cs="Times New Roman"/>
          <w:lang w:val="en-GB"/>
        </w:rPr>
        <w:t>‘</w:t>
      </w:r>
      <w:r w:rsidR="00C14583" w:rsidRPr="00455EB3">
        <w:rPr>
          <w:rFonts w:ascii="Times New Roman" w:hAnsi="Times New Roman" w:cs="Times New Roman"/>
          <w:lang w:val="en-US"/>
        </w:rPr>
        <w:t>I think the guidance which HMRC issued is okay, but if you ever go to them to say, “What would we do in this situation?” Their advice is always, “It’s up to you, it’s your business, you need to make your own decision”. […]</w:t>
      </w:r>
      <w:r w:rsidR="00A04685" w:rsidRPr="00455EB3">
        <w:rPr>
          <w:rFonts w:ascii="Times New Roman" w:hAnsi="Times New Roman" w:cs="Times New Roman"/>
          <w:lang w:val="en-US"/>
        </w:rPr>
        <w:t xml:space="preserve"> </w:t>
      </w:r>
      <w:r w:rsidR="00C14583" w:rsidRPr="00455EB3">
        <w:rPr>
          <w:rFonts w:ascii="Times New Roman" w:hAnsi="Times New Roman" w:cs="Times New Roman"/>
          <w:lang w:val="en-US"/>
        </w:rPr>
        <w:t>They’re very non-committal on helping firms. I think it’s always a case of “Read the guidance, it’s there”’.</w:t>
      </w:r>
      <w:r w:rsidR="00C14583" w:rsidRPr="00455EB3">
        <w:rPr>
          <w:rStyle w:val="FootnoteReference"/>
          <w:rFonts w:ascii="Times New Roman" w:hAnsi="Times New Roman" w:cs="Times New Roman"/>
          <w:lang w:val="en-US"/>
        </w:rPr>
        <w:footnoteReference w:id="232"/>
      </w:r>
      <w:r w:rsidR="00C14583" w:rsidRPr="00455EB3">
        <w:rPr>
          <w:rFonts w:ascii="Times New Roman" w:hAnsi="Times New Roman" w:cs="Times New Roman"/>
          <w:lang w:val="en-US"/>
        </w:rPr>
        <w:t xml:space="preserve"> </w:t>
      </w:r>
      <w:r w:rsidR="00EB52C6" w:rsidRPr="00455EB3">
        <w:rPr>
          <w:rFonts w:ascii="Times New Roman" w:hAnsi="Times New Roman" w:cs="Times New Roman"/>
          <w:lang w:val="en-GB"/>
        </w:rPr>
        <w:t>This</w:t>
      </w:r>
      <w:r w:rsidR="00A76471" w:rsidRPr="00455EB3">
        <w:rPr>
          <w:rFonts w:ascii="Times New Roman" w:hAnsi="Times New Roman" w:cs="Times New Roman"/>
          <w:lang w:val="en-GB"/>
        </w:rPr>
        <w:t xml:space="preserve"> discrepancy in</w:t>
      </w:r>
      <w:r w:rsidR="00A73A9D" w:rsidRPr="00455EB3">
        <w:rPr>
          <w:rFonts w:ascii="Times New Roman" w:hAnsi="Times New Roman" w:cs="Times New Roman"/>
          <w:lang w:val="en-GB"/>
        </w:rPr>
        <w:t xml:space="preserve"> the </w:t>
      </w:r>
      <w:r w:rsidR="00C06D1F" w:rsidRPr="00455EB3">
        <w:rPr>
          <w:rFonts w:ascii="Times New Roman" w:hAnsi="Times New Roman" w:cs="Times New Roman"/>
          <w:lang w:val="en-GB"/>
        </w:rPr>
        <w:t>authorities</w:t>
      </w:r>
      <w:r w:rsidR="00A27040" w:rsidRPr="00455EB3">
        <w:rPr>
          <w:rFonts w:ascii="Times New Roman" w:hAnsi="Times New Roman" w:cs="Times New Roman"/>
          <w:lang w:val="en-GB"/>
        </w:rPr>
        <w:t>’</w:t>
      </w:r>
      <w:r w:rsidR="00A73A9D" w:rsidRPr="00455EB3">
        <w:rPr>
          <w:rFonts w:ascii="Times New Roman" w:hAnsi="Times New Roman" w:cs="Times New Roman"/>
          <w:lang w:val="en-GB"/>
        </w:rPr>
        <w:t xml:space="preserve"> </w:t>
      </w:r>
      <w:r w:rsidR="00C06D1F" w:rsidRPr="00455EB3">
        <w:rPr>
          <w:rFonts w:ascii="Times New Roman" w:hAnsi="Times New Roman" w:cs="Times New Roman"/>
          <w:lang w:val="en-GB"/>
        </w:rPr>
        <w:t xml:space="preserve">approach risks </w:t>
      </w:r>
      <w:r w:rsidR="006429F5" w:rsidRPr="00455EB3">
        <w:rPr>
          <w:rFonts w:ascii="Times New Roman" w:hAnsi="Times New Roman" w:cs="Times New Roman"/>
          <w:lang w:val="en-GB"/>
        </w:rPr>
        <w:t>widen</w:t>
      </w:r>
      <w:r w:rsidR="006C3F8B" w:rsidRPr="00455EB3">
        <w:rPr>
          <w:rFonts w:ascii="Times New Roman" w:hAnsi="Times New Roman" w:cs="Times New Roman"/>
          <w:lang w:val="en-GB"/>
        </w:rPr>
        <w:t>ing</w:t>
      </w:r>
      <w:r w:rsidR="006429F5" w:rsidRPr="00455EB3">
        <w:rPr>
          <w:rFonts w:ascii="Times New Roman" w:hAnsi="Times New Roman" w:cs="Times New Roman"/>
          <w:lang w:val="en-GB"/>
        </w:rPr>
        <w:t xml:space="preserve"> the gap between EAs and governing bodies, rather than </w:t>
      </w:r>
      <w:r w:rsidR="006C3F8B" w:rsidRPr="00455EB3">
        <w:rPr>
          <w:rFonts w:ascii="Times New Roman" w:hAnsi="Times New Roman" w:cs="Times New Roman"/>
          <w:lang w:val="en-GB"/>
        </w:rPr>
        <w:t xml:space="preserve">reducing it, and it resembles the findings of </w:t>
      </w:r>
      <w:r w:rsidR="00A142EE" w:rsidRPr="00455EB3">
        <w:rPr>
          <w:rFonts w:ascii="Times New Roman" w:hAnsi="Times New Roman" w:cs="Times New Roman"/>
          <w:lang w:val="en-GB"/>
        </w:rPr>
        <w:t xml:space="preserve">studies carried out on </w:t>
      </w:r>
      <w:r w:rsidR="00642FC9">
        <w:rPr>
          <w:rFonts w:ascii="Times New Roman" w:hAnsi="Times New Roman" w:cs="Times New Roman"/>
          <w:lang w:val="en-GB"/>
        </w:rPr>
        <w:t xml:space="preserve">other </w:t>
      </w:r>
      <w:r w:rsidR="00A142EE" w:rsidRPr="00455EB3">
        <w:rPr>
          <w:rFonts w:ascii="Times New Roman" w:hAnsi="Times New Roman" w:cs="Times New Roman"/>
          <w:lang w:val="en-GB"/>
        </w:rPr>
        <w:t xml:space="preserve">AML </w:t>
      </w:r>
      <w:r w:rsidR="00642FC9">
        <w:rPr>
          <w:rFonts w:ascii="Times New Roman" w:hAnsi="Times New Roman" w:cs="Times New Roman"/>
          <w:lang w:val="en-GB"/>
        </w:rPr>
        <w:t>regulated sectors</w:t>
      </w:r>
      <w:r w:rsidR="00A142EE" w:rsidRPr="00455EB3">
        <w:rPr>
          <w:rFonts w:ascii="Times New Roman" w:hAnsi="Times New Roman" w:cs="Times New Roman"/>
          <w:lang w:val="en-GB"/>
        </w:rPr>
        <w:t>.</w:t>
      </w:r>
      <w:r w:rsidR="00A142EE" w:rsidRPr="00455EB3">
        <w:rPr>
          <w:rStyle w:val="FootnoteReference"/>
          <w:rFonts w:ascii="Times New Roman" w:hAnsi="Times New Roman" w:cs="Times New Roman"/>
        </w:rPr>
        <w:footnoteReference w:id="233"/>
      </w:r>
      <w:r w:rsidR="00C06D1F" w:rsidRPr="00455EB3">
        <w:rPr>
          <w:rFonts w:ascii="Times New Roman" w:hAnsi="Times New Roman" w:cs="Times New Roman"/>
          <w:lang w:val="en-GB"/>
        </w:rPr>
        <w:t xml:space="preserve"> </w:t>
      </w:r>
      <w:r w:rsidR="00A142EE" w:rsidRPr="00455EB3">
        <w:rPr>
          <w:rFonts w:ascii="Times New Roman" w:hAnsi="Times New Roman" w:cs="Times New Roman"/>
          <w:lang w:val="en-GB"/>
        </w:rPr>
        <w:t xml:space="preserve">Indeed, </w:t>
      </w:r>
      <w:r w:rsidR="00B77481" w:rsidRPr="00455EB3">
        <w:rPr>
          <w:rFonts w:ascii="Times New Roman" w:hAnsi="Times New Roman" w:cs="Times New Roman"/>
          <w:lang w:val="en-GB"/>
        </w:rPr>
        <w:t xml:space="preserve">the lack of support and guidance for EAs </w:t>
      </w:r>
      <w:r w:rsidR="0009037A" w:rsidRPr="00455EB3">
        <w:rPr>
          <w:rFonts w:ascii="Times New Roman" w:hAnsi="Times New Roman" w:cs="Times New Roman"/>
          <w:lang w:val="en-GB"/>
        </w:rPr>
        <w:t xml:space="preserve">affects </w:t>
      </w:r>
      <w:r w:rsidR="00EA0A43">
        <w:rPr>
          <w:rFonts w:ascii="Times New Roman" w:hAnsi="Times New Roman" w:cs="Times New Roman"/>
          <w:lang w:val="en-GB"/>
        </w:rPr>
        <w:t xml:space="preserve">the relationship between regulators and </w:t>
      </w:r>
      <w:proofErr w:type="spellStart"/>
      <w:r w:rsidR="00EA0A43">
        <w:rPr>
          <w:rFonts w:ascii="Times New Roman" w:hAnsi="Times New Roman" w:cs="Times New Roman"/>
          <w:lang w:val="en-GB"/>
        </w:rPr>
        <w:t>regulatees</w:t>
      </w:r>
      <w:proofErr w:type="spellEnd"/>
      <w:r w:rsidR="00EA0A43">
        <w:rPr>
          <w:rFonts w:ascii="Times New Roman" w:hAnsi="Times New Roman" w:cs="Times New Roman"/>
          <w:lang w:val="en-GB"/>
        </w:rPr>
        <w:t xml:space="preserve"> negatively</w:t>
      </w:r>
      <w:r w:rsidR="00730087" w:rsidRPr="00455EB3">
        <w:rPr>
          <w:rFonts w:ascii="Times New Roman" w:hAnsi="Times New Roman" w:cs="Times New Roman"/>
          <w:lang w:val="en-GB"/>
        </w:rPr>
        <w:t xml:space="preserve">. </w:t>
      </w:r>
      <w:r w:rsidR="00192DFE" w:rsidRPr="00455EB3">
        <w:rPr>
          <w:rFonts w:ascii="Times New Roman" w:hAnsi="Times New Roman" w:cs="Times New Roman"/>
          <w:lang w:val="en-GB"/>
        </w:rPr>
        <w:t>Furthermore, once EAs are subject to the AML regime, and the associated obligations, so too are there expectations on their part – and these expectations of support and guidance are not being met</w:t>
      </w:r>
      <w:r w:rsidR="009F277B" w:rsidRPr="00455EB3">
        <w:rPr>
          <w:rFonts w:ascii="Times New Roman" w:hAnsi="Times New Roman" w:cs="Times New Roman"/>
          <w:lang w:val="en-GB"/>
        </w:rPr>
        <w:t>.</w:t>
      </w:r>
    </w:p>
    <w:p w14:paraId="507377AF" w14:textId="73CC462D" w:rsidR="000151D1" w:rsidRPr="00455EB3" w:rsidRDefault="005857F2" w:rsidP="00AB4266">
      <w:pPr>
        <w:jc w:val="both"/>
        <w:rPr>
          <w:rFonts w:ascii="Times New Roman" w:hAnsi="Times New Roman" w:cs="Times New Roman"/>
        </w:rPr>
      </w:pPr>
      <w:r w:rsidRPr="00455EB3">
        <w:rPr>
          <w:rFonts w:ascii="Times New Roman" w:hAnsi="Times New Roman" w:cs="Times New Roman"/>
        </w:rPr>
        <w:tab/>
      </w:r>
      <w:r w:rsidR="001643A7" w:rsidRPr="00455EB3">
        <w:rPr>
          <w:rFonts w:ascii="Times New Roman" w:hAnsi="Times New Roman" w:cs="Times New Roman"/>
        </w:rPr>
        <w:t xml:space="preserve">The </w:t>
      </w:r>
      <w:r w:rsidR="00F30F30" w:rsidRPr="00455EB3">
        <w:rPr>
          <w:rFonts w:ascii="Times New Roman" w:hAnsi="Times New Roman" w:cs="Times New Roman"/>
        </w:rPr>
        <w:t>m</w:t>
      </w:r>
      <w:r w:rsidR="001643A7" w:rsidRPr="00455EB3">
        <w:rPr>
          <w:rFonts w:ascii="Times New Roman" w:hAnsi="Times New Roman" w:cs="Times New Roman"/>
        </w:rPr>
        <w:t xml:space="preserve">isalignment between </w:t>
      </w:r>
      <w:r w:rsidR="00F30F30" w:rsidRPr="00455EB3">
        <w:rPr>
          <w:rFonts w:ascii="Times New Roman" w:hAnsi="Times New Roman" w:cs="Times New Roman"/>
        </w:rPr>
        <w:t xml:space="preserve">obligations and support </w:t>
      </w:r>
      <w:r w:rsidR="00105EF3" w:rsidRPr="00455EB3">
        <w:rPr>
          <w:rFonts w:ascii="Times New Roman" w:hAnsi="Times New Roman" w:cs="Times New Roman"/>
        </w:rPr>
        <w:t xml:space="preserve">has </w:t>
      </w:r>
      <w:r w:rsidR="00D57719" w:rsidRPr="00455EB3">
        <w:rPr>
          <w:rFonts w:ascii="Times New Roman" w:hAnsi="Times New Roman" w:cs="Times New Roman"/>
        </w:rPr>
        <w:t>contributed to the spread of</w:t>
      </w:r>
      <w:r w:rsidR="00105EF3" w:rsidRPr="00455EB3">
        <w:rPr>
          <w:rFonts w:ascii="Times New Roman" w:hAnsi="Times New Roman" w:cs="Times New Roman"/>
        </w:rPr>
        <w:t xml:space="preserve"> a </w:t>
      </w:r>
      <w:r w:rsidR="00301621" w:rsidRPr="00455EB3">
        <w:rPr>
          <w:rFonts w:ascii="Times New Roman" w:hAnsi="Times New Roman" w:cs="Times New Roman"/>
        </w:rPr>
        <w:t xml:space="preserve">‘do-it-yourself’ </w:t>
      </w:r>
      <w:r w:rsidR="00D57719" w:rsidRPr="00455EB3">
        <w:rPr>
          <w:rFonts w:ascii="Times New Roman" w:hAnsi="Times New Roman" w:cs="Times New Roman"/>
        </w:rPr>
        <w:t xml:space="preserve">approach among EAs, which now applies to various obligations, including CDD checks and SARs. </w:t>
      </w:r>
      <w:r w:rsidR="00E01571" w:rsidRPr="00455EB3">
        <w:rPr>
          <w:rFonts w:ascii="Times New Roman" w:hAnsi="Times New Roman" w:cs="Times New Roman"/>
        </w:rPr>
        <w:t xml:space="preserve">From the analysis of our interviews, </w:t>
      </w:r>
      <w:r w:rsidR="00A06B9B" w:rsidRPr="00455EB3">
        <w:rPr>
          <w:rFonts w:ascii="Times New Roman" w:hAnsi="Times New Roman" w:cs="Times New Roman"/>
        </w:rPr>
        <w:t xml:space="preserve">it is clear that EAs have tried to fill in the gaps themselves </w:t>
      </w:r>
      <w:r w:rsidR="0034687B" w:rsidRPr="00455EB3">
        <w:rPr>
          <w:rFonts w:ascii="Times New Roman" w:hAnsi="Times New Roman" w:cs="Times New Roman"/>
        </w:rPr>
        <w:t xml:space="preserve">by adopting flexible methods of compliance and </w:t>
      </w:r>
      <w:r w:rsidR="00810BE4" w:rsidRPr="00455EB3">
        <w:rPr>
          <w:rFonts w:ascii="Times New Roman" w:hAnsi="Times New Roman" w:cs="Times New Roman"/>
        </w:rPr>
        <w:t xml:space="preserve">finding alternative solutions to problems emerging in their daily practice. </w:t>
      </w:r>
      <w:r w:rsidR="00B67A4C" w:rsidRPr="00455EB3">
        <w:rPr>
          <w:rFonts w:ascii="Times New Roman" w:hAnsi="Times New Roman" w:cs="Times New Roman"/>
        </w:rPr>
        <w:t xml:space="preserve">For instance, the </w:t>
      </w:r>
      <w:r w:rsidR="00090794" w:rsidRPr="00455EB3">
        <w:rPr>
          <w:rFonts w:ascii="Times New Roman" w:hAnsi="Times New Roman" w:cs="Times New Roman"/>
        </w:rPr>
        <w:t xml:space="preserve">need to </w:t>
      </w:r>
      <w:proofErr w:type="gramStart"/>
      <w:r w:rsidR="00090794" w:rsidRPr="00455EB3">
        <w:rPr>
          <w:rFonts w:ascii="Times New Roman" w:hAnsi="Times New Roman" w:cs="Times New Roman"/>
        </w:rPr>
        <w:t>take into account</w:t>
      </w:r>
      <w:proofErr w:type="gramEnd"/>
      <w:r w:rsidR="00090794" w:rsidRPr="00455EB3">
        <w:rPr>
          <w:rFonts w:ascii="Times New Roman" w:hAnsi="Times New Roman" w:cs="Times New Roman"/>
        </w:rPr>
        <w:t xml:space="preserve"> well-known customers or </w:t>
      </w:r>
      <w:r w:rsidR="0065327A" w:rsidRPr="00455EB3">
        <w:rPr>
          <w:rFonts w:ascii="Times New Roman" w:hAnsi="Times New Roman" w:cs="Times New Roman"/>
        </w:rPr>
        <w:t xml:space="preserve">the variety of clients involved in property transactions </w:t>
      </w:r>
      <w:r w:rsidR="0004522D" w:rsidRPr="00455EB3">
        <w:rPr>
          <w:rFonts w:ascii="Times New Roman" w:hAnsi="Times New Roman" w:cs="Times New Roman"/>
        </w:rPr>
        <w:t xml:space="preserve">has pushed EAs to </w:t>
      </w:r>
      <w:r w:rsidR="003B3921" w:rsidRPr="00455EB3">
        <w:rPr>
          <w:rFonts w:ascii="Times New Roman" w:hAnsi="Times New Roman" w:cs="Times New Roman"/>
        </w:rPr>
        <w:t xml:space="preserve">implement </w:t>
      </w:r>
      <w:r w:rsidR="00605573" w:rsidRPr="00455EB3">
        <w:rPr>
          <w:rFonts w:ascii="Times New Roman" w:hAnsi="Times New Roman" w:cs="Times New Roman"/>
        </w:rPr>
        <w:t xml:space="preserve">diverse compliance strategies </w:t>
      </w:r>
      <w:r w:rsidR="004C7864" w:rsidRPr="00455EB3">
        <w:rPr>
          <w:rFonts w:ascii="Times New Roman" w:hAnsi="Times New Roman" w:cs="Times New Roman"/>
        </w:rPr>
        <w:t xml:space="preserve">that are not provided by national authorities. This phenomenon </w:t>
      </w:r>
      <w:r w:rsidR="00872DC3" w:rsidRPr="00455EB3">
        <w:rPr>
          <w:rFonts w:ascii="Times New Roman" w:hAnsi="Times New Roman" w:cs="Times New Roman"/>
        </w:rPr>
        <w:t xml:space="preserve">is not necessarily a negative outcome per se. </w:t>
      </w:r>
      <w:r w:rsidR="007721F2" w:rsidRPr="00455EB3">
        <w:rPr>
          <w:rFonts w:ascii="Times New Roman" w:hAnsi="Times New Roman" w:cs="Times New Roman"/>
        </w:rPr>
        <w:t xml:space="preserve">On the contrary, it can </w:t>
      </w:r>
      <w:r w:rsidR="00036E3D" w:rsidRPr="00455EB3">
        <w:rPr>
          <w:rFonts w:ascii="Times New Roman" w:hAnsi="Times New Roman" w:cs="Times New Roman"/>
        </w:rPr>
        <w:t>be</w:t>
      </w:r>
      <w:r w:rsidR="004C7864" w:rsidRPr="00455EB3">
        <w:rPr>
          <w:rFonts w:ascii="Times New Roman" w:hAnsi="Times New Roman" w:cs="Times New Roman"/>
        </w:rPr>
        <w:t xml:space="preserve"> a </w:t>
      </w:r>
      <w:r w:rsidR="007E5209" w:rsidRPr="00455EB3">
        <w:rPr>
          <w:rFonts w:ascii="Times New Roman" w:hAnsi="Times New Roman" w:cs="Times New Roman"/>
        </w:rPr>
        <w:t xml:space="preserve">positive development </w:t>
      </w:r>
      <w:r w:rsidR="00036E3D" w:rsidRPr="00455EB3">
        <w:rPr>
          <w:rFonts w:ascii="Times New Roman" w:hAnsi="Times New Roman" w:cs="Times New Roman"/>
        </w:rPr>
        <w:t>for</w:t>
      </w:r>
      <w:r w:rsidR="007E5209" w:rsidRPr="00455EB3">
        <w:rPr>
          <w:rFonts w:ascii="Times New Roman" w:hAnsi="Times New Roman" w:cs="Times New Roman"/>
        </w:rPr>
        <w:t xml:space="preserve"> the</w:t>
      </w:r>
      <w:r w:rsidR="007721F2" w:rsidRPr="00455EB3">
        <w:rPr>
          <w:rFonts w:ascii="Times New Roman" w:hAnsi="Times New Roman" w:cs="Times New Roman"/>
        </w:rPr>
        <w:t xml:space="preserve"> </w:t>
      </w:r>
      <w:r w:rsidR="00642FC9">
        <w:rPr>
          <w:rFonts w:ascii="Times New Roman" w:hAnsi="Times New Roman" w:cs="Times New Roman"/>
        </w:rPr>
        <w:t>real estate</w:t>
      </w:r>
      <w:r w:rsidR="00642FC9" w:rsidRPr="00455EB3">
        <w:rPr>
          <w:rFonts w:ascii="Times New Roman" w:hAnsi="Times New Roman" w:cs="Times New Roman"/>
        </w:rPr>
        <w:t xml:space="preserve"> </w:t>
      </w:r>
      <w:r w:rsidR="007E5209" w:rsidRPr="00455EB3">
        <w:rPr>
          <w:rFonts w:ascii="Times New Roman" w:hAnsi="Times New Roman" w:cs="Times New Roman"/>
        </w:rPr>
        <w:t xml:space="preserve">sector, and the AML regime as a whole, because it </w:t>
      </w:r>
      <w:r w:rsidR="00E631EF" w:rsidRPr="00455EB3">
        <w:rPr>
          <w:rFonts w:ascii="Times New Roman" w:hAnsi="Times New Roman" w:cs="Times New Roman"/>
        </w:rPr>
        <w:t xml:space="preserve">reinforces the idea of a </w:t>
      </w:r>
      <w:r w:rsidR="00B80ABA" w:rsidRPr="00455EB3">
        <w:rPr>
          <w:rFonts w:ascii="Times New Roman" w:hAnsi="Times New Roman" w:cs="Times New Roman"/>
        </w:rPr>
        <w:t>‘</w:t>
      </w:r>
      <w:r w:rsidR="00E631EF" w:rsidRPr="00455EB3">
        <w:rPr>
          <w:rFonts w:ascii="Times New Roman" w:hAnsi="Times New Roman" w:cs="Times New Roman"/>
        </w:rPr>
        <w:t>community</w:t>
      </w:r>
      <w:r w:rsidR="00B80ABA" w:rsidRPr="00455EB3">
        <w:rPr>
          <w:rFonts w:ascii="Times New Roman" w:hAnsi="Times New Roman" w:cs="Times New Roman"/>
        </w:rPr>
        <w:t>’</w:t>
      </w:r>
      <w:r w:rsidR="00E631EF" w:rsidRPr="00455EB3">
        <w:rPr>
          <w:rFonts w:ascii="Times New Roman" w:hAnsi="Times New Roman" w:cs="Times New Roman"/>
        </w:rPr>
        <w:t xml:space="preserve"> of </w:t>
      </w:r>
      <w:r w:rsidR="00B80ABA" w:rsidRPr="00455EB3">
        <w:rPr>
          <w:rFonts w:ascii="Times New Roman" w:hAnsi="Times New Roman" w:cs="Times New Roman"/>
        </w:rPr>
        <w:t xml:space="preserve">subjects </w:t>
      </w:r>
      <w:r w:rsidR="00E631EF" w:rsidRPr="00455EB3">
        <w:rPr>
          <w:rFonts w:ascii="Times New Roman" w:hAnsi="Times New Roman" w:cs="Times New Roman"/>
        </w:rPr>
        <w:t>that works to achieve AML purposes</w:t>
      </w:r>
      <w:r w:rsidR="00B80ABA" w:rsidRPr="00455EB3">
        <w:rPr>
          <w:rFonts w:ascii="Times New Roman" w:hAnsi="Times New Roman" w:cs="Times New Roman"/>
        </w:rPr>
        <w:t xml:space="preserve">. </w:t>
      </w:r>
      <w:r w:rsidR="009F5A98" w:rsidRPr="00455EB3">
        <w:rPr>
          <w:rFonts w:ascii="Times New Roman" w:hAnsi="Times New Roman" w:cs="Times New Roman"/>
        </w:rPr>
        <w:t xml:space="preserve">Moreover, </w:t>
      </w:r>
      <w:r w:rsidR="004C6B03" w:rsidRPr="00455EB3">
        <w:rPr>
          <w:rFonts w:ascii="Times New Roman" w:hAnsi="Times New Roman" w:cs="Times New Roman"/>
        </w:rPr>
        <w:t>the</w:t>
      </w:r>
      <w:r w:rsidR="00DE04CB" w:rsidRPr="00455EB3">
        <w:rPr>
          <w:rFonts w:ascii="Times New Roman" w:hAnsi="Times New Roman" w:cs="Times New Roman"/>
        </w:rPr>
        <w:t xml:space="preserve"> </w:t>
      </w:r>
      <w:r w:rsidR="00EB1614" w:rsidRPr="00455EB3">
        <w:rPr>
          <w:rFonts w:ascii="Times New Roman" w:hAnsi="Times New Roman" w:cs="Times New Roman"/>
        </w:rPr>
        <w:t>direct</w:t>
      </w:r>
      <w:r w:rsidR="007C4A46" w:rsidRPr="00455EB3">
        <w:rPr>
          <w:rFonts w:ascii="Times New Roman" w:hAnsi="Times New Roman" w:cs="Times New Roman"/>
        </w:rPr>
        <w:t xml:space="preserve"> </w:t>
      </w:r>
      <w:r w:rsidR="00F3717D" w:rsidRPr="00455EB3">
        <w:rPr>
          <w:rFonts w:ascii="Times New Roman" w:hAnsi="Times New Roman" w:cs="Times New Roman"/>
        </w:rPr>
        <w:t>initiative</w:t>
      </w:r>
      <w:r w:rsidR="007C4A46" w:rsidRPr="00455EB3">
        <w:rPr>
          <w:rFonts w:ascii="Times New Roman" w:hAnsi="Times New Roman" w:cs="Times New Roman"/>
        </w:rPr>
        <w:t>s</w:t>
      </w:r>
      <w:r w:rsidR="00F3717D" w:rsidRPr="00455EB3">
        <w:rPr>
          <w:rFonts w:ascii="Times New Roman" w:hAnsi="Times New Roman" w:cs="Times New Roman"/>
        </w:rPr>
        <w:t xml:space="preserve"> </w:t>
      </w:r>
      <w:r w:rsidR="004C6B03" w:rsidRPr="00455EB3">
        <w:rPr>
          <w:rFonts w:ascii="Times New Roman" w:hAnsi="Times New Roman" w:cs="Times New Roman"/>
        </w:rPr>
        <w:t xml:space="preserve">of EAs </w:t>
      </w:r>
      <w:r w:rsidR="00213D07" w:rsidRPr="00455EB3">
        <w:rPr>
          <w:rFonts w:ascii="Times New Roman" w:hAnsi="Times New Roman" w:cs="Times New Roman"/>
        </w:rPr>
        <w:t>show</w:t>
      </w:r>
      <w:r w:rsidR="004C6B03" w:rsidRPr="00455EB3">
        <w:rPr>
          <w:rFonts w:ascii="Times New Roman" w:hAnsi="Times New Roman" w:cs="Times New Roman"/>
        </w:rPr>
        <w:t xml:space="preserve"> </w:t>
      </w:r>
      <w:r w:rsidR="034E7DA9" w:rsidRPr="00455EB3">
        <w:rPr>
          <w:rFonts w:ascii="Times New Roman" w:hAnsi="Times New Roman" w:cs="Times New Roman"/>
        </w:rPr>
        <w:t>the risk-based approach</w:t>
      </w:r>
      <w:r w:rsidR="00F565C7" w:rsidRPr="00455EB3">
        <w:rPr>
          <w:rFonts w:ascii="Times New Roman" w:hAnsi="Times New Roman" w:cs="Times New Roman"/>
        </w:rPr>
        <w:t xml:space="preserve"> in action</w:t>
      </w:r>
      <w:r w:rsidR="009357D7" w:rsidRPr="00455EB3">
        <w:rPr>
          <w:rFonts w:ascii="Times New Roman" w:hAnsi="Times New Roman" w:cs="Times New Roman"/>
        </w:rPr>
        <w:t xml:space="preserve">, and </w:t>
      </w:r>
      <w:r w:rsidR="007C4A46" w:rsidRPr="00455EB3">
        <w:rPr>
          <w:rFonts w:ascii="Times New Roman" w:hAnsi="Times New Roman" w:cs="Times New Roman"/>
        </w:rPr>
        <w:t xml:space="preserve">they </w:t>
      </w:r>
      <w:r w:rsidR="009357D7" w:rsidRPr="00455EB3">
        <w:rPr>
          <w:rFonts w:ascii="Times New Roman" w:hAnsi="Times New Roman" w:cs="Times New Roman"/>
        </w:rPr>
        <w:t xml:space="preserve">demonstrate </w:t>
      </w:r>
      <w:r w:rsidR="00C15ED5" w:rsidRPr="00455EB3">
        <w:rPr>
          <w:rFonts w:ascii="Times New Roman" w:hAnsi="Times New Roman" w:cs="Times New Roman"/>
        </w:rPr>
        <w:t xml:space="preserve">the </w:t>
      </w:r>
      <w:r w:rsidR="007C4A46" w:rsidRPr="00455EB3">
        <w:rPr>
          <w:rFonts w:ascii="Times New Roman" w:hAnsi="Times New Roman" w:cs="Times New Roman"/>
        </w:rPr>
        <w:t xml:space="preserve">effects of </w:t>
      </w:r>
      <w:r w:rsidR="00734CA4" w:rsidRPr="00455EB3">
        <w:rPr>
          <w:rFonts w:ascii="Times New Roman" w:hAnsi="Times New Roman" w:cs="Times New Roman"/>
        </w:rPr>
        <w:t>an independent</w:t>
      </w:r>
      <w:r w:rsidR="00F140BD" w:rsidRPr="00455EB3">
        <w:rPr>
          <w:rFonts w:ascii="Times New Roman" w:hAnsi="Times New Roman" w:cs="Times New Roman"/>
        </w:rPr>
        <w:t xml:space="preserve"> </w:t>
      </w:r>
      <w:r w:rsidR="00A00CF8" w:rsidRPr="00455EB3">
        <w:rPr>
          <w:rFonts w:ascii="Times New Roman" w:hAnsi="Times New Roman" w:cs="Times New Roman"/>
        </w:rPr>
        <w:t>undertaking</w:t>
      </w:r>
      <w:r w:rsidR="00734CA4" w:rsidRPr="00455EB3">
        <w:rPr>
          <w:rFonts w:ascii="Times New Roman" w:hAnsi="Times New Roman" w:cs="Times New Roman"/>
        </w:rPr>
        <w:t xml:space="preserve"> by </w:t>
      </w:r>
      <w:r w:rsidR="007C4A46" w:rsidRPr="00455EB3">
        <w:rPr>
          <w:rFonts w:ascii="Times New Roman" w:hAnsi="Times New Roman" w:cs="Times New Roman"/>
        </w:rPr>
        <w:t>private actors</w:t>
      </w:r>
      <w:r w:rsidR="00F565C7" w:rsidRPr="00455EB3">
        <w:rPr>
          <w:rFonts w:ascii="Times New Roman" w:hAnsi="Times New Roman" w:cs="Times New Roman"/>
        </w:rPr>
        <w:t>.</w:t>
      </w:r>
      <w:r w:rsidR="004C6B03" w:rsidRPr="00455EB3">
        <w:rPr>
          <w:rFonts w:ascii="Times New Roman" w:hAnsi="Times New Roman" w:cs="Times New Roman"/>
        </w:rPr>
        <w:t xml:space="preserve"> </w:t>
      </w:r>
      <w:r w:rsidR="007018E1" w:rsidRPr="00455EB3">
        <w:rPr>
          <w:rFonts w:ascii="Times New Roman" w:hAnsi="Times New Roman" w:cs="Times New Roman"/>
        </w:rPr>
        <w:t xml:space="preserve">This </w:t>
      </w:r>
      <w:r w:rsidR="003F5E34" w:rsidRPr="00455EB3">
        <w:rPr>
          <w:rFonts w:ascii="Times New Roman" w:hAnsi="Times New Roman" w:cs="Times New Roman"/>
        </w:rPr>
        <w:t xml:space="preserve">finding is in line with </w:t>
      </w:r>
      <w:r w:rsidR="00642FC9">
        <w:rPr>
          <w:rFonts w:ascii="Times New Roman" w:hAnsi="Times New Roman" w:cs="Times New Roman"/>
        </w:rPr>
        <w:t>research</w:t>
      </w:r>
      <w:r w:rsidR="003F5E34" w:rsidRPr="00455EB3">
        <w:rPr>
          <w:rFonts w:ascii="Times New Roman" w:hAnsi="Times New Roman" w:cs="Times New Roman"/>
        </w:rPr>
        <w:t xml:space="preserve"> by </w:t>
      </w:r>
      <w:proofErr w:type="spellStart"/>
      <w:r w:rsidR="002A3531" w:rsidRPr="00455EB3">
        <w:rPr>
          <w:rFonts w:ascii="Times New Roman" w:hAnsi="Times New Roman" w:cs="Times New Roman"/>
        </w:rPr>
        <w:t>Tsingou</w:t>
      </w:r>
      <w:proofErr w:type="spellEnd"/>
      <w:r w:rsidR="002A3531" w:rsidRPr="00455EB3">
        <w:rPr>
          <w:rFonts w:ascii="Times New Roman" w:hAnsi="Times New Roman" w:cs="Times New Roman"/>
        </w:rPr>
        <w:t xml:space="preserve"> on compliance officials, where it is said that ‘professionalization has led to an extension of governance functions, from implementation, to active interpretation of rules, to shaping the content of governance through regulatory creep’.</w:t>
      </w:r>
      <w:r w:rsidR="002A3531" w:rsidRPr="00455EB3">
        <w:rPr>
          <w:rStyle w:val="FootnoteReference"/>
          <w:rFonts w:ascii="Times New Roman" w:hAnsi="Times New Roman" w:cs="Times New Roman"/>
        </w:rPr>
        <w:footnoteReference w:id="234"/>
      </w:r>
    </w:p>
    <w:p w14:paraId="1AF7008A" w14:textId="36F3696F" w:rsidR="007A4790" w:rsidRPr="00455EB3" w:rsidRDefault="00057488" w:rsidP="00AB4266">
      <w:pPr>
        <w:ind w:firstLine="720"/>
        <w:jc w:val="both"/>
        <w:rPr>
          <w:rFonts w:ascii="Times New Roman" w:hAnsi="Times New Roman" w:cs="Times New Roman"/>
        </w:rPr>
      </w:pPr>
      <w:r w:rsidRPr="00455EB3">
        <w:rPr>
          <w:rFonts w:ascii="Times New Roman" w:hAnsi="Times New Roman" w:cs="Times New Roman"/>
        </w:rPr>
        <w:t>The multiple</w:t>
      </w:r>
      <w:r w:rsidR="0096222F" w:rsidRPr="00455EB3">
        <w:rPr>
          <w:rFonts w:ascii="Times New Roman" w:hAnsi="Times New Roman" w:cs="Times New Roman"/>
        </w:rPr>
        <w:t xml:space="preserve"> compliance</w:t>
      </w:r>
      <w:r w:rsidRPr="00455EB3">
        <w:rPr>
          <w:rFonts w:ascii="Times New Roman" w:hAnsi="Times New Roman" w:cs="Times New Roman"/>
        </w:rPr>
        <w:t xml:space="preserve"> methods and approaches adopted by EAs, however, can also be detrimental to the </w:t>
      </w:r>
      <w:r w:rsidR="003B67C0" w:rsidRPr="00455EB3">
        <w:rPr>
          <w:rFonts w:ascii="Times New Roman" w:hAnsi="Times New Roman" w:cs="Times New Roman"/>
        </w:rPr>
        <w:t xml:space="preserve">AML </w:t>
      </w:r>
      <w:r w:rsidR="004A41FB">
        <w:rPr>
          <w:rFonts w:ascii="Times New Roman" w:hAnsi="Times New Roman" w:cs="Times New Roman"/>
        </w:rPr>
        <w:t>regime</w:t>
      </w:r>
      <w:r w:rsidR="003B67C0" w:rsidRPr="00455EB3">
        <w:rPr>
          <w:rFonts w:ascii="Times New Roman" w:hAnsi="Times New Roman" w:cs="Times New Roman"/>
        </w:rPr>
        <w:t xml:space="preserve">. This is particularly true if we </w:t>
      </w:r>
      <w:r w:rsidR="00013C2C" w:rsidRPr="00455EB3">
        <w:rPr>
          <w:rFonts w:ascii="Times New Roman" w:hAnsi="Times New Roman" w:cs="Times New Roman"/>
        </w:rPr>
        <w:t xml:space="preserve">look at the justifications given by EAs </w:t>
      </w:r>
      <w:r w:rsidR="00A90158" w:rsidRPr="00455EB3">
        <w:rPr>
          <w:rFonts w:ascii="Times New Roman" w:hAnsi="Times New Roman" w:cs="Times New Roman"/>
        </w:rPr>
        <w:t>for their compliance strategies and the outcomes of these</w:t>
      </w:r>
      <w:r w:rsidR="0096222F" w:rsidRPr="00455EB3">
        <w:rPr>
          <w:rFonts w:ascii="Times New Roman" w:hAnsi="Times New Roman" w:cs="Times New Roman"/>
        </w:rPr>
        <w:t xml:space="preserve"> </w:t>
      </w:r>
      <w:r w:rsidR="006A1274" w:rsidRPr="00455EB3">
        <w:rPr>
          <w:rFonts w:ascii="Times New Roman" w:hAnsi="Times New Roman" w:cs="Times New Roman"/>
        </w:rPr>
        <w:t xml:space="preserve">choices. </w:t>
      </w:r>
      <w:r w:rsidR="004C2357" w:rsidRPr="00455EB3">
        <w:rPr>
          <w:rFonts w:ascii="Times New Roman" w:hAnsi="Times New Roman" w:cs="Times New Roman"/>
        </w:rPr>
        <w:t xml:space="preserve">As already recalled, EAs </w:t>
      </w:r>
      <w:r w:rsidR="00043E54" w:rsidRPr="00455EB3">
        <w:rPr>
          <w:rFonts w:ascii="Times New Roman" w:hAnsi="Times New Roman" w:cs="Times New Roman"/>
        </w:rPr>
        <w:t xml:space="preserve">quite often </w:t>
      </w:r>
      <w:r w:rsidR="004C2357" w:rsidRPr="00455EB3">
        <w:rPr>
          <w:rFonts w:ascii="Times New Roman" w:hAnsi="Times New Roman" w:cs="Times New Roman"/>
        </w:rPr>
        <w:t>seem to</w:t>
      </w:r>
      <w:r w:rsidR="00043E54" w:rsidRPr="00455EB3">
        <w:rPr>
          <w:rFonts w:ascii="Times New Roman" w:hAnsi="Times New Roman" w:cs="Times New Roman"/>
        </w:rPr>
        <w:t xml:space="preserve"> rely on</w:t>
      </w:r>
      <w:r w:rsidR="004C2357" w:rsidRPr="00455EB3">
        <w:rPr>
          <w:rFonts w:ascii="Times New Roman" w:hAnsi="Times New Roman" w:cs="Times New Roman"/>
        </w:rPr>
        <w:t xml:space="preserve"> self-justif</w:t>
      </w:r>
      <w:r w:rsidR="00043E54" w:rsidRPr="00455EB3">
        <w:rPr>
          <w:rFonts w:ascii="Times New Roman" w:hAnsi="Times New Roman" w:cs="Times New Roman"/>
        </w:rPr>
        <w:t>ication</w:t>
      </w:r>
      <w:r w:rsidR="004C2357" w:rsidRPr="00455EB3">
        <w:rPr>
          <w:rFonts w:ascii="Times New Roman" w:hAnsi="Times New Roman" w:cs="Times New Roman"/>
        </w:rPr>
        <w:t xml:space="preserve"> and self-protect</w:t>
      </w:r>
      <w:r w:rsidR="00043E54" w:rsidRPr="00455EB3">
        <w:rPr>
          <w:rFonts w:ascii="Times New Roman" w:hAnsi="Times New Roman" w:cs="Times New Roman"/>
        </w:rPr>
        <w:t xml:space="preserve">ion </w:t>
      </w:r>
      <w:r w:rsidR="00EE2B06" w:rsidRPr="00455EB3">
        <w:rPr>
          <w:rFonts w:ascii="Times New Roman" w:hAnsi="Times New Roman" w:cs="Times New Roman"/>
        </w:rPr>
        <w:t xml:space="preserve">when coping with challenges </w:t>
      </w:r>
      <w:r w:rsidR="00192697" w:rsidRPr="00455EB3">
        <w:rPr>
          <w:rFonts w:ascii="Times New Roman" w:hAnsi="Times New Roman" w:cs="Times New Roman"/>
        </w:rPr>
        <w:t xml:space="preserve">in implementing their AML obligations. </w:t>
      </w:r>
      <w:r w:rsidR="00983848" w:rsidRPr="00455EB3">
        <w:rPr>
          <w:rFonts w:ascii="Times New Roman" w:hAnsi="Times New Roman" w:cs="Times New Roman"/>
        </w:rPr>
        <w:t xml:space="preserve">In so </w:t>
      </w:r>
      <w:r w:rsidR="00983848" w:rsidRPr="00455EB3">
        <w:rPr>
          <w:rFonts w:ascii="Times New Roman" w:hAnsi="Times New Roman" w:cs="Times New Roman"/>
        </w:rPr>
        <w:lastRenderedPageBreak/>
        <w:t xml:space="preserve">doing, EAs </w:t>
      </w:r>
      <w:r w:rsidR="00720F1F" w:rsidRPr="00455EB3">
        <w:rPr>
          <w:rFonts w:ascii="Times New Roman" w:hAnsi="Times New Roman" w:cs="Times New Roman"/>
        </w:rPr>
        <w:t xml:space="preserve">choose to apply ‘passively’ </w:t>
      </w:r>
      <w:r w:rsidR="00ED3B7B" w:rsidRPr="00455EB3">
        <w:rPr>
          <w:rFonts w:ascii="Times New Roman" w:hAnsi="Times New Roman" w:cs="Times New Roman"/>
        </w:rPr>
        <w:t>AML provisions without exercising the necessary level o</w:t>
      </w:r>
      <w:r w:rsidR="00A70425" w:rsidRPr="00455EB3">
        <w:rPr>
          <w:rFonts w:ascii="Times New Roman" w:hAnsi="Times New Roman" w:cs="Times New Roman"/>
        </w:rPr>
        <w:t xml:space="preserve">f critical assessment required by the </w:t>
      </w:r>
      <w:r w:rsidR="51CB944D" w:rsidRPr="00455EB3">
        <w:rPr>
          <w:rFonts w:ascii="Times New Roman" w:hAnsi="Times New Roman" w:cs="Times New Roman"/>
        </w:rPr>
        <w:t>risk-based approach</w:t>
      </w:r>
      <w:r w:rsidR="00A70425" w:rsidRPr="00455EB3">
        <w:rPr>
          <w:rFonts w:ascii="Times New Roman" w:hAnsi="Times New Roman" w:cs="Times New Roman"/>
        </w:rPr>
        <w:t xml:space="preserve">. </w:t>
      </w:r>
      <w:r w:rsidR="007F4DE5" w:rsidRPr="00455EB3">
        <w:rPr>
          <w:rFonts w:ascii="Times New Roman" w:hAnsi="Times New Roman" w:cs="Times New Roman"/>
        </w:rPr>
        <w:t xml:space="preserve">In other words, they do not </w:t>
      </w:r>
      <w:r w:rsidR="007C3E37" w:rsidRPr="00455EB3">
        <w:rPr>
          <w:rFonts w:ascii="Times New Roman" w:hAnsi="Times New Roman" w:cs="Times New Roman"/>
        </w:rPr>
        <w:t xml:space="preserve">always evaluate actively the risks associated with a transaction, but they prefer to </w:t>
      </w:r>
      <w:r w:rsidR="008E2074" w:rsidRPr="00455EB3">
        <w:rPr>
          <w:rFonts w:ascii="Times New Roman" w:hAnsi="Times New Roman" w:cs="Times New Roman"/>
        </w:rPr>
        <w:t>count on</w:t>
      </w:r>
      <w:r w:rsidR="002E58EA" w:rsidRPr="00455EB3">
        <w:rPr>
          <w:rFonts w:ascii="Times New Roman" w:hAnsi="Times New Roman" w:cs="Times New Roman"/>
        </w:rPr>
        <w:t xml:space="preserve"> </w:t>
      </w:r>
      <w:r w:rsidR="008E2074" w:rsidRPr="00455EB3">
        <w:rPr>
          <w:rFonts w:ascii="Times New Roman" w:hAnsi="Times New Roman" w:cs="Times New Roman"/>
        </w:rPr>
        <w:t xml:space="preserve">subsequent evaluation made by </w:t>
      </w:r>
      <w:r w:rsidR="00BD1500" w:rsidRPr="00455EB3">
        <w:rPr>
          <w:rFonts w:ascii="Times New Roman" w:hAnsi="Times New Roman" w:cs="Times New Roman"/>
        </w:rPr>
        <w:t>national authorities, such as the NCA.</w:t>
      </w:r>
      <w:r w:rsidR="00245BC7" w:rsidRPr="00455EB3">
        <w:rPr>
          <w:rFonts w:ascii="Times New Roman" w:hAnsi="Times New Roman" w:cs="Times New Roman"/>
        </w:rPr>
        <w:t xml:space="preserve"> This</w:t>
      </w:r>
      <w:r w:rsidR="00E47737" w:rsidRPr="00455EB3">
        <w:rPr>
          <w:rFonts w:ascii="Times New Roman" w:hAnsi="Times New Roman" w:cs="Times New Roman"/>
        </w:rPr>
        <w:t xml:space="preserve"> </w:t>
      </w:r>
      <w:r w:rsidR="005930A7" w:rsidRPr="00455EB3">
        <w:rPr>
          <w:rFonts w:ascii="Times New Roman" w:hAnsi="Times New Roman" w:cs="Times New Roman"/>
        </w:rPr>
        <w:t xml:space="preserve">approach </w:t>
      </w:r>
      <w:r w:rsidR="00E47737" w:rsidRPr="00455EB3">
        <w:rPr>
          <w:rFonts w:ascii="Times New Roman" w:hAnsi="Times New Roman" w:cs="Times New Roman"/>
        </w:rPr>
        <w:t xml:space="preserve">frustrates the objectives of the </w:t>
      </w:r>
      <w:r w:rsidR="00E76027" w:rsidRPr="00455EB3">
        <w:rPr>
          <w:rFonts w:ascii="Times New Roman" w:hAnsi="Times New Roman" w:cs="Times New Roman"/>
        </w:rPr>
        <w:t>multilevel</w:t>
      </w:r>
      <w:r w:rsidR="00E47737" w:rsidRPr="00455EB3">
        <w:rPr>
          <w:rFonts w:ascii="Times New Roman" w:hAnsi="Times New Roman" w:cs="Times New Roman"/>
        </w:rPr>
        <w:t xml:space="preserve"> AML regime</w:t>
      </w:r>
      <w:r w:rsidR="00BA6A49" w:rsidRPr="00455EB3">
        <w:rPr>
          <w:rFonts w:ascii="Times New Roman" w:hAnsi="Times New Roman" w:cs="Times New Roman"/>
        </w:rPr>
        <w:t>,</w:t>
      </w:r>
      <w:r w:rsidR="00E47737" w:rsidRPr="00455EB3">
        <w:rPr>
          <w:rFonts w:ascii="Times New Roman" w:hAnsi="Times New Roman" w:cs="Times New Roman"/>
        </w:rPr>
        <w:t xml:space="preserve"> and it</w:t>
      </w:r>
      <w:r w:rsidR="00245BC7" w:rsidRPr="00455EB3">
        <w:rPr>
          <w:rFonts w:ascii="Times New Roman" w:hAnsi="Times New Roman" w:cs="Times New Roman"/>
        </w:rPr>
        <w:t xml:space="preserve"> </w:t>
      </w:r>
      <w:r w:rsidR="00B4170C" w:rsidRPr="00455EB3">
        <w:rPr>
          <w:rFonts w:ascii="Times New Roman" w:hAnsi="Times New Roman" w:cs="Times New Roman"/>
        </w:rPr>
        <w:t xml:space="preserve">might </w:t>
      </w:r>
      <w:r w:rsidR="00E47737" w:rsidRPr="00455EB3">
        <w:rPr>
          <w:rFonts w:ascii="Times New Roman" w:hAnsi="Times New Roman" w:cs="Times New Roman"/>
        </w:rPr>
        <w:t xml:space="preserve">also </w:t>
      </w:r>
      <w:r w:rsidR="00B4170C" w:rsidRPr="00455EB3">
        <w:rPr>
          <w:rFonts w:ascii="Times New Roman" w:hAnsi="Times New Roman" w:cs="Times New Roman"/>
        </w:rPr>
        <w:t>overload the system</w:t>
      </w:r>
      <w:r w:rsidR="00E47737" w:rsidRPr="00455EB3">
        <w:rPr>
          <w:rFonts w:ascii="Times New Roman" w:hAnsi="Times New Roman" w:cs="Times New Roman"/>
        </w:rPr>
        <w:t>,</w:t>
      </w:r>
      <w:r w:rsidR="00E76027" w:rsidRPr="00455EB3">
        <w:rPr>
          <w:rFonts w:ascii="Times New Roman" w:hAnsi="Times New Roman" w:cs="Times New Roman"/>
        </w:rPr>
        <w:t xml:space="preserve"> </w:t>
      </w:r>
      <w:r w:rsidR="006D1FC7">
        <w:rPr>
          <w:rFonts w:ascii="Times New Roman" w:hAnsi="Times New Roman" w:cs="Times New Roman"/>
        </w:rPr>
        <w:t>most evidently with overly defensive reporting</w:t>
      </w:r>
      <w:r w:rsidR="00D90893" w:rsidRPr="00455EB3">
        <w:rPr>
          <w:rFonts w:ascii="Times New Roman" w:hAnsi="Times New Roman" w:cs="Times New Roman"/>
        </w:rPr>
        <w:t>.</w:t>
      </w:r>
      <w:r w:rsidR="002A7643" w:rsidRPr="00455EB3">
        <w:rPr>
          <w:rFonts w:ascii="Times New Roman" w:hAnsi="Times New Roman" w:cs="Times New Roman"/>
        </w:rPr>
        <w:t xml:space="preserve"> </w:t>
      </w:r>
      <w:r w:rsidR="006D1FC7">
        <w:rPr>
          <w:rFonts w:ascii="Times New Roman" w:hAnsi="Times New Roman" w:cs="Times New Roman"/>
        </w:rPr>
        <w:t>The result is ‘</w:t>
      </w:r>
      <w:r w:rsidR="00562E99" w:rsidRPr="00455EB3">
        <w:rPr>
          <w:rFonts w:ascii="Times New Roman" w:hAnsi="Times New Roman" w:cs="Times New Roman"/>
        </w:rPr>
        <w:t>a burdensome bureaucracy for the innocent, whilst providing scant deterrent for the launderer’.</w:t>
      </w:r>
      <w:r w:rsidR="00562E99" w:rsidRPr="00455EB3">
        <w:rPr>
          <w:rStyle w:val="FootnoteReference"/>
          <w:rFonts w:ascii="Times New Roman" w:hAnsi="Times New Roman" w:cs="Times New Roman"/>
        </w:rPr>
        <w:footnoteReference w:id="235"/>
      </w:r>
      <w:r w:rsidR="00A04685" w:rsidRPr="00455EB3">
        <w:rPr>
          <w:rFonts w:ascii="Times New Roman" w:hAnsi="Times New Roman" w:cs="Times New Roman"/>
        </w:rPr>
        <w:t xml:space="preserve"> </w:t>
      </w:r>
      <w:r w:rsidR="00DF232E" w:rsidRPr="00455EB3">
        <w:rPr>
          <w:rFonts w:ascii="Times New Roman" w:hAnsi="Times New Roman" w:cs="Times New Roman"/>
        </w:rPr>
        <w:t xml:space="preserve">Moreover, </w:t>
      </w:r>
      <w:r w:rsidR="00BC54D2" w:rsidRPr="00455EB3">
        <w:rPr>
          <w:rFonts w:ascii="Times New Roman" w:hAnsi="Times New Roman" w:cs="Times New Roman"/>
        </w:rPr>
        <w:t xml:space="preserve">by adopting an </w:t>
      </w:r>
      <w:r w:rsidR="00376311" w:rsidRPr="00455EB3">
        <w:rPr>
          <w:rFonts w:ascii="Times New Roman" w:hAnsi="Times New Roman" w:cs="Times New Roman"/>
        </w:rPr>
        <w:t>‘</w:t>
      </w:r>
      <w:r w:rsidR="00BC54D2" w:rsidRPr="00455EB3">
        <w:rPr>
          <w:rFonts w:ascii="Times New Roman" w:hAnsi="Times New Roman" w:cs="Times New Roman"/>
        </w:rPr>
        <w:t>automated</w:t>
      </w:r>
      <w:r w:rsidR="00376311" w:rsidRPr="00455EB3">
        <w:rPr>
          <w:rFonts w:ascii="Times New Roman" w:hAnsi="Times New Roman" w:cs="Times New Roman"/>
        </w:rPr>
        <w:t>’</w:t>
      </w:r>
      <w:r w:rsidR="00BC54D2" w:rsidRPr="00455EB3">
        <w:rPr>
          <w:rFonts w:ascii="Times New Roman" w:hAnsi="Times New Roman" w:cs="Times New Roman"/>
        </w:rPr>
        <w:t xml:space="preserve"> response to </w:t>
      </w:r>
      <w:r w:rsidR="00376311" w:rsidRPr="00455EB3">
        <w:rPr>
          <w:rFonts w:ascii="Times New Roman" w:hAnsi="Times New Roman" w:cs="Times New Roman"/>
        </w:rPr>
        <w:t xml:space="preserve">ML risks or suspicious transactions, </w:t>
      </w:r>
      <w:r w:rsidR="000F50E9" w:rsidRPr="00455EB3">
        <w:rPr>
          <w:rFonts w:ascii="Times New Roman" w:hAnsi="Times New Roman" w:cs="Times New Roman"/>
        </w:rPr>
        <w:t>EAs</w:t>
      </w:r>
      <w:r w:rsidR="00A7771A" w:rsidRPr="00455EB3">
        <w:rPr>
          <w:rFonts w:ascii="Times New Roman" w:hAnsi="Times New Roman" w:cs="Times New Roman"/>
        </w:rPr>
        <w:t xml:space="preserve"> </w:t>
      </w:r>
      <w:r w:rsidR="000F50E9" w:rsidRPr="00455EB3">
        <w:rPr>
          <w:rFonts w:ascii="Times New Roman" w:hAnsi="Times New Roman" w:cs="Times New Roman"/>
        </w:rPr>
        <w:t>can create risks</w:t>
      </w:r>
      <w:r w:rsidR="0081244B" w:rsidRPr="00455EB3">
        <w:rPr>
          <w:rFonts w:ascii="Times New Roman" w:hAnsi="Times New Roman" w:cs="Times New Roman"/>
        </w:rPr>
        <w:t xml:space="preserve"> </w:t>
      </w:r>
      <w:r w:rsidR="002D7B58" w:rsidRPr="00455EB3">
        <w:rPr>
          <w:rFonts w:ascii="Times New Roman" w:hAnsi="Times New Roman" w:cs="Times New Roman"/>
        </w:rPr>
        <w:t xml:space="preserve">of false positives or false negatives </w:t>
      </w:r>
      <w:r w:rsidR="0081244B" w:rsidRPr="00455EB3">
        <w:rPr>
          <w:rFonts w:ascii="Times New Roman" w:hAnsi="Times New Roman" w:cs="Times New Roman"/>
        </w:rPr>
        <w:t xml:space="preserve">that </w:t>
      </w:r>
      <w:r w:rsidR="002D7B58" w:rsidRPr="00455EB3">
        <w:rPr>
          <w:rFonts w:ascii="Times New Roman" w:hAnsi="Times New Roman" w:cs="Times New Roman"/>
        </w:rPr>
        <w:t>impact</w:t>
      </w:r>
      <w:r w:rsidR="0081244B" w:rsidRPr="00455EB3">
        <w:rPr>
          <w:rFonts w:ascii="Times New Roman" w:hAnsi="Times New Roman" w:cs="Times New Roman"/>
        </w:rPr>
        <w:t xml:space="preserve"> the regulatory regime</w:t>
      </w:r>
      <w:r w:rsidR="00050720" w:rsidRPr="00455EB3">
        <w:rPr>
          <w:rFonts w:ascii="Times New Roman" w:hAnsi="Times New Roman" w:cs="Times New Roman"/>
        </w:rPr>
        <w:t xml:space="preserve"> negatively</w:t>
      </w:r>
      <w:r w:rsidR="0081244B" w:rsidRPr="00455EB3">
        <w:rPr>
          <w:rFonts w:ascii="Times New Roman" w:hAnsi="Times New Roman" w:cs="Times New Roman"/>
        </w:rPr>
        <w:t>.</w:t>
      </w:r>
      <w:r w:rsidR="002D7B58" w:rsidRPr="00455EB3">
        <w:rPr>
          <w:rStyle w:val="FootnoteReference"/>
          <w:rFonts w:ascii="Times New Roman" w:hAnsi="Times New Roman" w:cs="Times New Roman"/>
        </w:rPr>
        <w:footnoteReference w:id="236"/>
      </w:r>
      <w:r w:rsidR="0081244B" w:rsidRPr="00455EB3">
        <w:rPr>
          <w:rFonts w:ascii="Times New Roman" w:hAnsi="Times New Roman" w:cs="Times New Roman"/>
        </w:rPr>
        <w:t xml:space="preserve"> I</w:t>
      </w:r>
      <w:r w:rsidR="00A24513" w:rsidRPr="00455EB3">
        <w:rPr>
          <w:rFonts w:ascii="Times New Roman" w:hAnsi="Times New Roman" w:cs="Times New Roman"/>
        </w:rPr>
        <w:t>ndeed</w:t>
      </w:r>
      <w:r w:rsidR="0081244B" w:rsidRPr="00455EB3">
        <w:rPr>
          <w:rFonts w:ascii="Times New Roman" w:hAnsi="Times New Roman" w:cs="Times New Roman"/>
        </w:rPr>
        <w:t>,</w:t>
      </w:r>
      <w:r w:rsidR="00A24513" w:rsidRPr="00455EB3">
        <w:rPr>
          <w:rFonts w:ascii="Times New Roman" w:hAnsi="Times New Roman" w:cs="Times New Roman"/>
        </w:rPr>
        <w:t xml:space="preserve"> if </w:t>
      </w:r>
      <w:proofErr w:type="spellStart"/>
      <w:r w:rsidR="00556DE1" w:rsidRPr="00455EB3">
        <w:rPr>
          <w:rFonts w:ascii="Times New Roman" w:hAnsi="Times New Roman" w:cs="Times New Roman"/>
        </w:rPr>
        <w:t>regulatees</w:t>
      </w:r>
      <w:proofErr w:type="spellEnd"/>
      <w:r w:rsidR="00556DE1" w:rsidRPr="00455EB3">
        <w:rPr>
          <w:rFonts w:ascii="Times New Roman" w:hAnsi="Times New Roman" w:cs="Times New Roman"/>
        </w:rPr>
        <w:t xml:space="preserve"> </w:t>
      </w:r>
      <w:r w:rsidR="00747A65" w:rsidRPr="00455EB3">
        <w:rPr>
          <w:rFonts w:ascii="Times New Roman" w:hAnsi="Times New Roman" w:cs="Times New Roman"/>
        </w:rPr>
        <w:t xml:space="preserve">do not implement AML regulation with </w:t>
      </w:r>
      <w:r w:rsidR="007B07C9" w:rsidRPr="00455EB3">
        <w:rPr>
          <w:rFonts w:ascii="Times New Roman" w:hAnsi="Times New Roman" w:cs="Times New Roman"/>
        </w:rPr>
        <w:t>a correct judg</w:t>
      </w:r>
      <w:r w:rsidR="00DE5BCB" w:rsidRPr="00455EB3">
        <w:rPr>
          <w:rFonts w:ascii="Times New Roman" w:hAnsi="Times New Roman" w:cs="Times New Roman"/>
        </w:rPr>
        <w:t>e</w:t>
      </w:r>
      <w:r w:rsidR="007B07C9" w:rsidRPr="00455EB3">
        <w:rPr>
          <w:rFonts w:ascii="Times New Roman" w:hAnsi="Times New Roman" w:cs="Times New Roman"/>
        </w:rPr>
        <w:t>ment,</w:t>
      </w:r>
      <w:r w:rsidR="00F401CE" w:rsidRPr="00455EB3">
        <w:rPr>
          <w:rStyle w:val="FootnoteReference"/>
          <w:rFonts w:ascii="Times New Roman" w:hAnsi="Times New Roman" w:cs="Times New Roman"/>
        </w:rPr>
        <w:footnoteReference w:id="237"/>
      </w:r>
      <w:r w:rsidR="007B07C9" w:rsidRPr="00455EB3">
        <w:rPr>
          <w:rFonts w:ascii="Times New Roman" w:hAnsi="Times New Roman" w:cs="Times New Roman"/>
        </w:rPr>
        <w:t xml:space="preserve"> </w:t>
      </w:r>
      <w:r w:rsidR="001D3771" w:rsidRPr="00455EB3">
        <w:rPr>
          <w:rFonts w:ascii="Times New Roman" w:hAnsi="Times New Roman" w:cs="Times New Roman"/>
        </w:rPr>
        <w:t xml:space="preserve">the filtering obligations imposed on them </w:t>
      </w:r>
      <w:r w:rsidR="00B33752" w:rsidRPr="00455EB3">
        <w:rPr>
          <w:rFonts w:ascii="Times New Roman" w:hAnsi="Times New Roman" w:cs="Times New Roman"/>
        </w:rPr>
        <w:t>would</w:t>
      </w:r>
      <w:r w:rsidR="001D3771" w:rsidRPr="00455EB3">
        <w:rPr>
          <w:rFonts w:ascii="Times New Roman" w:hAnsi="Times New Roman" w:cs="Times New Roman"/>
        </w:rPr>
        <w:t xml:space="preserve"> have no effect</w:t>
      </w:r>
      <w:r w:rsidR="00240E0A" w:rsidRPr="00455EB3">
        <w:rPr>
          <w:rFonts w:ascii="Times New Roman" w:hAnsi="Times New Roman" w:cs="Times New Roman"/>
        </w:rPr>
        <w:t>,</w:t>
      </w:r>
      <w:r w:rsidR="001D3771" w:rsidRPr="00455EB3">
        <w:rPr>
          <w:rFonts w:ascii="Times New Roman" w:hAnsi="Times New Roman" w:cs="Times New Roman"/>
        </w:rPr>
        <w:t xml:space="preserve"> </w:t>
      </w:r>
      <w:r w:rsidR="00B33752" w:rsidRPr="00455EB3">
        <w:rPr>
          <w:rFonts w:ascii="Times New Roman" w:hAnsi="Times New Roman" w:cs="Times New Roman"/>
        </w:rPr>
        <w:t xml:space="preserve">and the AML system would be </w:t>
      </w:r>
      <w:r w:rsidR="002D7B58" w:rsidRPr="00455EB3">
        <w:rPr>
          <w:rFonts w:ascii="Times New Roman" w:hAnsi="Times New Roman" w:cs="Times New Roman"/>
        </w:rPr>
        <w:t>undermined</w:t>
      </w:r>
      <w:r w:rsidR="00421E6A" w:rsidRPr="00455EB3">
        <w:rPr>
          <w:rFonts w:ascii="Times New Roman" w:hAnsi="Times New Roman" w:cs="Times New Roman"/>
        </w:rPr>
        <w:t>.</w:t>
      </w:r>
      <w:r w:rsidR="00797E6C" w:rsidRPr="00455EB3">
        <w:rPr>
          <w:rFonts w:ascii="Times New Roman" w:hAnsi="Times New Roman" w:cs="Times New Roman"/>
        </w:rPr>
        <w:t xml:space="preserve"> This is particularly evident when looking at EAs’ views on </w:t>
      </w:r>
      <w:r w:rsidR="00874C5C" w:rsidRPr="00455EB3">
        <w:rPr>
          <w:rFonts w:ascii="Times New Roman" w:hAnsi="Times New Roman" w:cs="Times New Roman"/>
        </w:rPr>
        <w:t xml:space="preserve">identification checks and how </w:t>
      </w:r>
      <w:r w:rsidR="00FC3C89" w:rsidRPr="00455EB3">
        <w:rPr>
          <w:rFonts w:ascii="Times New Roman" w:hAnsi="Times New Roman" w:cs="Times New Roman"/>
        </w:rPr>
        <w:t>they</w:t>
      </w:r>
      <w:r w:rsidR="00874C5C" w:rsidRPr="00455EB3">
        <w:rPr>
          <w:rFonts w:ascii="Times New Roman" w:hAnsi="Times New Roman" w:cs="Times New Roman"/>
        </w:rPr>
        <w:t xml:space="preserve"> deal with PEPs.</w:t>
      </w:r>
    </w:p>
    <w:p w14:paraId="04DFDD0B" w14:textId="51377C30" w:rsidR="00A4724A" w:rsidRPr="00455EB3" w:rsidRDefault="00FC3C89" w:rsidP="00AB4266">
      <w:pPr>
        <w:jc w:val="both"/>
        <w:rPr>
          <w:rFonts w:ascii="Times New Roman" w:hAnsi="Times New Roman" w:cs="Times New Roman"/>
        </w:rPr>
      </w:pPr>
      <w:r w:rsidRPr="00455EB3">
        <w:rPr>
          <w:rFonts w:ascii="Times New Roman" w:hAnsi="Times New Roman" w:cs="Times New Roman"/>
        </w:rPr>
        <w:tab/>
      </w:r>
      <w:r w:rsidR="00773987" w:rsidRPr="00455EB3">
        <w:rPr>
          <w:rFonts w:ascii="Times New Roman" w:hAnsi="Times New Roman" w:cs="Times New Roman"/>
        </w:rPr>
        <w:t xml:space="preserve">The </w:t>
      </w:r>
      <w:r w:rsidR="00B236B4" w:rsidRPr="00455EB3">
        <w:rPr>
          <w:rFonts w:ascii="Times New Roman" w:hAnsi="Times New Roman" w:cs="Times New Roman"/>
        </w:rPr>
        <w:t xml:space="preserve">consequences of </w:t>
      </w:r>
      <w:r w:rsidR="00DA7439">
        <w:rPr>
          <w:rFonts w:ascii="Times New Roman" w:hAnsi="Times New Roman" w:cs="Times New Roman"/>
        </w:rPr>
        <w:t>poor</w:t>
      </w:r>
      <w:r w:rsidR="00B236B4" w:rsidRPr="00455EB3">
        <w:rPr>
          <w:rFonts w:ascii="Times New Roman" w:hAnsi="Times New Roman" w:cs="Times New Roman"/>
        </w:rPr>
        <w:t xml:space="preserve"> </w:t>
      </w:r>
      <w:r w:rsidR="007A06B1" w:rsidRPr="00455EB3">
        <w:rPr>
          <w:rFonts w:ascii="Times New Roman" w:hAnsi="Times New Roman" w:cs="Times New Roman"/>
        </w:rPr>
        <w:t>implement</w:t>
      </w:r>
      <w:r w:rsidR="00B236B4" w:rsidRPr="00455EB3">
        <w:rPr>
          <w:rFonts w:ascii="Times New Roman" w:hAnsi="Times New Roman" w:cs="Times New Roman"/>
        </w:rPr>
        <w:t>ation of</w:t>
      </w:r>
      <w:r w:rsidR="007A06B1" w:rsidRPr="00455EB3">
        <w:rPr>
          <w:rFonts w:ascii="Times New Roman" w:hAnsi="Times New Roman" w:cs="Times New Roman"/>
        </w:rPr>
        <w:t xml:space="preserve"> AML regulation by EAs</w:t>
      </w:r>
      <w:r w:rsidR="000A0838" w:rsidRPr="00455EB3">
        <w:rPr>
          <w:rFonts w:ascii="Times New Roman" w:hAnsi="Times New Roman" w:cs="Times New Roman"/>
        </w:rPr>
        <w:t xml:space="preserve"> are not limited to </w:t>
      </w:r>
      <w:r w:rsidR="001D35F1" w:rsidRPr="00455EB3">
        <w:rPr>
          <w:rFonts w:ascii="Times New Roman" w:hAnsi="Times New Roman" w:cs="Times New Roman"/>
        </w:rPr>
        <w:t xml:space="preserve">the discovery of ‘bad practices’ and practical issues. </w:t>
      </w:r>
      <w:r w:rsidR="00F6053B" w:rsidRPr="00455EB3">
        <w:rPr>
          <w:rFonts w:ascii="Times New Roman" w:hAnsi="Times New Roman" w:cs="Times New Roman"/>
        </w:rPr>
        <w:t xml:space="preserve">They </w:t>
      </w:r>
      <w:r w:rsidR="005B5F2F" w:rsidRPr="00455EB3">
        <w:rPr>
          <w:rFonts w:ascii="Times New Roman" w:hAnsi="Times New Roman" w:cs="Times New Roman"/>
        </w:rPr>
        <w:t xml:space="preserve">are </w:t>
      </w:r>
      <w:r w:rsidR="00F6053B" w:rsidRPr="00455EB3">
        <w:rPr>
          <w:rFonts w:ascii="Times New Roman" w:hAnsi="Times New Roman" w:cs="Times New Roman"/>
        </w:rPr>
        <w:t xml:space="preserve">also </w:t>
      </w:r>
      <w:r w:rsidR="00375E38" w:rsidRPr="00455EB3">
        <w:rPr>
          <w:rFonts w:ascii="Times New Roman" w:hAnsi="Times New Roman" w:cs="Times New Roman"/>
        </w:rPr>
        <w:t>linked to</w:t>
      </w:r>
      <w:r w:rsidR="00F6053B" w:rsidRPr="00455EB3">
        <w:rPr>
          <w:rFonts w:ascii="Times New Roman" w:hAnsi="Times New Roman" w:cs="Times New Roman"/>
        </w:rPr>
        <w:t xml:space="preserve"> </w:t>
      </w:r>
      <w:r w:rsidR="00D045D0" w:rsidRPr="00455EB3">
        <w:rPr>
          <w:rFonts w:ascii="Times New Roman" w:hAnsi="Times New Roman" w:cs="Times New Roman"/>
        </w:rPr>
        <w:t xml:space="preserve">the question as to whether </w:t>
      </w:r>
      <w:r w:rsidR="006A789C" w:rsidRPr="00455EB3">
        <w:rPr>
          <w:rFonts w:ascii="Times New Roman" w:hAnsi="Times New Roman" w:cs="Times New Roman"/>
        </w:rPr>
        <w:t xml:space="preserve">EAs </w:t>
      </w:r>
      <w:r w:rsidR="00D045D0" w:rsidRPr="00455EB3">
        <w:rPr>
          <w:rFonts w:ascii="Times New Roman" w:hAnsi="Times New Roman" w:cs="Times New Roman"/>
        </w:rPr>
        <w:t>can</w:t>
      </w:r>
      <w:r w:rsidR="006A789C" w:rsidRPr="00455EB3">
        <w:rPr>
          <w:rFonts w:ascii="Times New Roman" w:hAnsi="Times New Roman" w:cs="Times New Roman"/>
        </w:rPr>
        <w:t xml:space="preserve"> </w:t>
      </w:r>
      <w:r w:rsidR="005B5F2F" w:rsidRPr="00455EB3">
        <w:rPr>
          <w:rFonts w:ascii="Times New Roman" w:hAnsi="Times New Roman" w:cs="Times New Roman"/>
        </w:rPr>
        <w:t>conduct</w:t>
      </w:r>
      <w:r w:rsidR="00375E38" w:rsidRPr="00455EB3">
        <w:rPr>
          <w:rFonts w:ascii="Times New Roman" w:hAnsi="Times New Roman" w:cs="Times New Roman"/>
        </w:rPr>
        <w:t xml:space="preserve"> their business </w:t>
      </w:r>
      <w:r w:rsidR="005B5F2F" w:rsidRPr="00455EB3">
        <w:rPr>
          <w:rFonts w:ascii="Times New Roman" w:hAnsi="Times New Roman" w:cs="Times New Roman"/>
        </w:rPr>
        <w:t>and pursue transactions</w:t>
      </w:r>
      <w:r w:rsidR="00883441" w:rsidRPr="00455EB3">
        <w:rPr>
          <w:rFonts w:ascii="Times New Roman" w:hAnsi="Times New Roman" w:cs="Times New Roman"/>
        </w:rPr>
        <w:t xml:space="preserve"> without being affected negatively </w:t>
      </w:r>
      <w:r w:rsidR="00364C21" w:rsidRPr="00455EB3">
        <w:rPr>
          <w:rFonts w:ascii="Times New Roman" w:hAnsi="Times New Roman" w:cs="Times New Roman"/>
        </w:rPr>
        <w:t xml:space="preserve">or unduly influenced </w:t>
      </w:r>
      <w:r w:rsidR="00883441" w:rsidRPr="00455EB3">
        <w:rPr>
          <w:rFonts w:ascii="Times New Roman" w:hAnsi="Times New Roman" w:cs="Times New Roman"/>
        </w:rPr>
        <w:t xml:space="preserve">by </w:t>
      </w:r>
      <w:r w:rsidR="00364C21" w:rsidRPr="00455EB3">
        <w:rPr>
          <w:rFonts w:ascii="Times New Roman" w:hAnsi="Times New Roman" w:cs="Times New Roman"/>
        </w:rPr>
        <w:t>AML compliance</w:t>
      </w:r>
      <w:r w:rsidR="00796BBA" w:rsidRPr="00455EB3">
        <w:rPr>
          <w:rFonts w:ascii="Times New Roman" w:hAnsi="Times New Roman" w:cs="Times New Roman"/>
        </w:rPr>
        <w:t xml:space="preserve">. As </w:t>
      </w:r>
      <w:r w:rsidR="00AC4E22" w:rsidRPr="00455EB3">
        <w:rPr>
          <w:rFonts w:ascii="Times New Roman" w:hAnsi="Times New Roman" w:cs="Times New Roman"/>
        </w:rPr>
        <w:t>recalled previ</w:t>
      </w:r>
      <w:r w:rsidR="003A6E64" w:rsidRPr="00455EB3">
        <w:rPr>
          <w:rFonts w:ascii="Times New Roman" w:hAnsi="Times New Roman" w:cs="Times New Roman"/>
        </w:rPr>
        <w:t xml:space="preserve">ously, </w:t>
      </w:r>
      <w:r w:rsidR="00796BBA" w:rsidRPr="00455EB3">
        <w:rPr>
          <w:rFonts w:ascii="Times New Roman" w:hAnsi="Times New Roman" w:cs="Times New Roman"/>
        </w:rPr>
        <w:t xml:space="preserve">some EAs </w:t>
      </w:r>
      <w:r w:rsidR="00BD6F60" w:rsidRPr="00455EB3">
        <w:rPr>
          <w:rFonts w:ascii="Times New Roman" w:hAnsi="Times New Roman" w:cs="Times New Roman"/>
        </w:rPr>
        <w:t xml:space="preserve">argue that </w:t>
      </w:r>
      <w:r w:rsidR="000A5B2D" w:rsidRPr="00455EB3">
        <w:rPr>
          <w:rFonts w:ascii="Times New Roman" w:hAnsi="Times New Roman" w:cs="Times New Roman"/>
        </w:rPr>
        <w:t xml:space="preserve">the nature of their business and the </w:t>
      </w:r>
      <w:r w:rsidR="00EC77D5" w:rsidRPr="00455EB3">
        <w:rPr>
          <w:rFonts w:ascii="Times New Roman" w:hAnsi="Times New Roman" w:cs="Times New Roman"/>
        </w:rPr>
        <w:t xml:space="preserve">negative impact </w:t>
      </w:r>
      <w:r w:rsidR="00CA1B09" w:rsidRPr="00455EB3">
        <w:rPr>
          <w:rFonts w:ascii="Times New Roman" w:hAnsi="Times New Roman" w:cs="Times New Roman"/>
        </w:rPr>
        <w:t xml:space="preserve">on their relationship with customers </w:t>
      </w:r>
      <w:r w:rsidR="0017544E" w:rsidRPr="00455EB3">
        <w:rPr>
          <w:rFonts w:ascii="Times New Roman" w:hAnsi="Times New Roman" w:cs="Times New Roman"/>
        </w:rPr>
        <w:t>play a crucial role in</w:t>
      </w:r>
      <w:r w:rsidR="00957101">
        <w:rPr>
          <w:rFonts w:ascii="Times New Roman" w:hAnsi="Times New Roman" w:cs="Times New Roman"/>
        </w:rPr>
        <w:t xml:space="preserve"> the extent of</w:t>
      </w:r>
      <w:r w:rsidR="0017544E" w:rsidRPr="00455EB3">
        <w:rPr>
          <w:rFonts w:ascii="Times New Roman" w:hAnsi="Times New Roman" w:cs="Times New Roman"/>
        </w:rPr>
        <w:t xml:space="preserve"> </w:t>
      </w:r>
      <w:r w:rsidR="00AC4E22" w:rsidRPr="00455EB3">
        <w:rPr>
          <w:rFonts w:ascii="Times New Roman" w:hAnsi="Times New Roman" w:cs="Times New Roman"/>
        </w:rPr>
        <w:t xml:space="preserve">their compliance with AML obligations. </w:t>
      </w:r>
      <w:r w:rsidR="00535B83" w:rsidRPr="00455EB3">
        <w:rPr>
          <w:rFonts w:ascii="Times New Roman" w:hAnsi="Times New Roman" w:cs="Times New Roman"/>
        </w:rPr>
        <w:t xml:space="preserve">From the analysis of our interviews, it might be said that </w:t>
      </w:r>
      <w:r w:rsidR="00486431" w:rsidRPr="00455EB3">
        <w:rPr>
          <w:rFonts w:ascii="Times New Roman" w:hAnsi="Times New Roman" w:cs="Times New Roman"/>
        </w:rPr>
        <w:t>in various cases</w:t>
      </w:r>
      <w:r w:rsidR="009C1036" w:rsidRPr="00455EB3">
        <w:rPr>
          <w:rFonts w:ascii="Times New Roman" w:hAnsi="Times New Roman" w:cs="Times New Roman"/>
        </w:rPr>
        <w:t>,</w:t>
      </w:r>
      <w:r w:rsidR="00486431" w:rsidRPr="00455EB3">
        <w:rPr>
          <w:rFonts w:ascii="Times New Roman" w:hAnsi="Times New Roman" w:cs="Times New Roman"/>
        </w:rPr>
        <w:t xml:space="preserve"> the first victims of compliance are compliant EAs.</w:t>
      </w:r>
      <w:r w:rsidR="00535B83" w:rsidRPr="00455EB3">
        <w:rPr>
          <w:rFonts w:ascii="Times New Roman" w:hAnsi="Times New Roman" w:cs="Times New Roman"/>
        </w:rPr>
        <w:t xml:space="preserve"> </w:t>
      </w:r>
      <w:r w:rsidR="003A6E64" w:rsidRPr="00455EB3">
        <w:rPr>
          <w:rFonts w:ascii="Times New Roman" w:hAnsi="Times New Roman" w:cs="Times New Roman"/>
        </w:rPr>
        <w:t xml:space="preserve">In this sense, </w:t>
      </w:r>
      <w:r w:rsidR="00776963" w:rsidRPr="00455EB3">
        <w:rPr>
          <w:rFonts w:ascii="Times New Roman" w:hAnsi="Times New Roman" w:cs="Times New Roman"/>
        </w:rPr>
        <w:t>two</w:t>
      </w:r>
      <w:r w:rsidR="0034365E" w:rsidRPr="00455EB3">
        <w:rPr>
          <w:rFonts w:ascii="Times New Roman" w:hAnsi="Times New Roman" w:cs="Times New Roman"/>
        </w:rPr>
        <w:t xml:space="preserve"> important aspect</w:t>
      </w:r>
      <w:r w:rsidR="00776963" w:rsidRPr="00455EB3">
        <w:rPr>
          <w:rFonts w:ascii="Times New Roman" w:hAnsi="Times New Roman" w:cs="Times New Roman"/>
        </w:rPr>
        <w:t xml:space="preserve">s must be </w:t>
      </w:r>
      <w:r w:rsidR="0034365E" w:rsidRPr="00455EB3">
        <w:rPr>
          <w:rFonts w:ascii="Times New Roman" w:hAnsi="Times New Roman" w:cs="Times New Roman"/>
        </w:rPr>
        <w:t>consider</w:t>
      </w:r>
      <w:r w:rsidR="00776963" w:rsidRPr="00455EB3">
        <w:rPr>
          <w:rFonts w:ascii="Times New Roman" w:hAnsi="Times New Roman" w:cs="Times New Roman"/>
        </w:rPr>
        <w:t xml:space="preserve">ed when </w:t>
      </w:r>
      <w:r w:rsidR="004D1E1C" w:rsidRPr="004D1E1C">
        <w:rPr>
          <w:rFonts w:ascii="Times New Roman" w:hAnsi="Times New Roman" w:cs="Times New Roman"/>
        </w:rPr>
        <w:t>designing</w:t>
      </w:r>
      <w:r w:rsidR="004D1E1C" w:rsidRPr="00455EB3">
        <w:rPr>
          <w:rFonts w:ascii="Times New Roman" w:hAnsi="Times New Roman" w:cs="Times New Roman"/>
        </w:rPr>
        <w:t xml:space="preserve"> </w:t>
      </w:r>
      <w:r w:rsidR="00776963" w:rsidRPr="00455EB3">
        <w:rPr>
          <w:rFonts w:ascii="Times New Roman" w:hAnsi="Times New Roman" w:cs="Times New Roman"/>
        </w:rPr>
        <w:t>AML regulation. The first is</w:t>
      </w:r>
      <w:r w:rsidR="008E0CCF" w:rsidRPr="00455EB3">
        <w:rPr>
          <w:rFonts w:ascii="Times New Roman" w:hAnsi="Times New Roman" w:cs="Times New Roman"/>
        </w:rPr>
        <w:t xml:space="preserve"> to avoid possible disadvantages for </w:t>
      </w:r>
      <w:r w:rsidR="002D7B58" w:rsidRPr="00455EB3">
        <w:rPr>
          <w:rFonts w:ascii="Times New Roman" w:hAnsi="Times New Roman" w:cs="Times New Roman"/>
        </w:rPr>
        <w:t>those</w:t>
      </w:r>
      <w:r w:rsidR="008E0CCF" w:rsidRPr="00455EB3">
        <w:rPr>
          <w:rFonts w:ascii="Times New Roman" w:hAnsi="Times New Roman" w:cs="Times New Roman"/>
        </w:rPr>
        <w:t xml:space="preserve"> </w:t>
      </w:r>
      <w:r w:rsidR="006D1FC7">
        <w:rPr>
          <w:rFonts w:ascii="Times New Roman" w:hAnsi="Times New Roman" w:cs="Times New Roman"/>
        </w:rPr>
        <w:t>private actors</w:t>
      </w:r>
      <w:r w:rsidR="006D1FC7" w:rsidRPr="00455EB3">
        <w:rPr>
          <w:rFonts w:ascii="Times New Roman" w:hAnsi="Times New Roman" w:cs="Times New Roman"/>
        </w:rPr>
        <w:t xml:space="preserve"> </w:t>
      </w:r>
      <w:r w:rsidR="00F84E4F" w:rsidRPr="00455EB3">
        <w:rPr>
          <w:rFonts w:ascii="Times New Roman" w:hAnsi="Times New Roman" w:cs="Times New Roman"/>
        </w:rPr>
        <w:t>who</w:t>
      </w:r>
      <w:r w:rsidR="008E0CCF" w:rsidRPr="00455EB3">
        <w:rPr>
          <w:rFonts w:ascii="Times New Roman" w:hAnsi="Times New Roman" w:cs="Times New Roman"/>
        </w:rPr>
        <w:t xml:space="preserve"> are compliant with AML</w:t>
      </w:r>
      <w:r w:rsidR="00397217" w:rsidRPr="00455EB3">
        <w:rPr>
          <w:rFonts w:ascii="Times New Roman" w:hAnsi="Times New Roman" w:cs="Times New Roman"/>
        </w:rPr>
        <w:t>.</w:t>
      </w:r>
      <w:r w:rsidR="0020207A" w:rsidRPr="00455EB3">
        <w:rPr>
          <w:rFonts w:ascii="Times New Roman" w:hAnsi="Times New Roman" w:cs="Times New Roman"/>
        </w:rPr>
        <w:t xml:space="preserve"> </w:t>
      </w:r>
      <w:r w:rsidR="00957101">
        <w:rPr>
          <w:rFonts w:ascii="Times New Roman" w:hAnsi="Times New Roman" w:cs="Times New Roman"/>
        </w:rPr>
        <w:t>In other words, there is a need</w:t>
      </w:r>
      <w:r w:rsidR="0020207A" w:rsidRPr="00455EB3">
        <w:rPr>
          <w:rFonts w:ascii="Times New Roman" w:hAnsi="Times New Roman" w:cs="Times New Roman"/>
        </w:rPr>
        <w:t xml:space="preserve"> to provide clear, </w:t>
      </w:r>
      <w:r w:rsidR="00A47DBD" w:rsidRPr="00455EB3">
        <w:rPr>
          <w:rFonts w:ascii="Times New Roman" w:hAnsi="Times New Roman" w:cs="Times New Roman"/>
        </w:rPr>
        <w:t>consistent guidance to whole sector</w:t>
      </w:r>
      <w:r w:rsidR="00957101">
        <w:rPr>
          <w:rFonts w:ascii="Times New Roman" w:hAnsi="Times New Roman" w:cs="Times New Roman"/>
        </w:rPr>
        <w:t>s</w:t>
      </w:r>
      <w:r w:rsidR="00A47DBD" w:rsidRPr="00455EB3">
        <w:rPr>
          <w:rFonts w:ascii="Times New Roman" w:hAnsi="Times New Roman" w:cs="Times New Roman"/>
        </w:rPr>
        <w:t xml:space="preserve"> and to facilitate compliance </w:t>
      </w:r>
      <w:r w:rsidR="00B41B0E" w:rsidRPr="00455EB3">
        <w:rPr>
          <w:rFonts w:ascii="Times New Roman" w:hAnsi="Times New Roman" w:cs="Times New Roman"/>
        </w:rPr>
        <w:t>responses, for instance</w:t>
      </w:r>
      <w:r w:rsidR="009C1036" w:rsidRPr="00455EB3">
        <w:rPr>
          <w:rFonts w:ascii="Times New Roman" w:hAnsi="Times New Roman" w:cs="Times New Roman"/>
        </w:rPr>
        <w:t>,</w:t>
      </w:r>
      <w:r w:rsidR="00B41B0E" w:rsidRPr="00455EB3">
        <w:rPr>
          <w:rFonts w:ascii="Times New Roman" w:hAnsi="Times New Roman" w:cs="Times New Roman"/>
        </w:rPr>
        <w:t xml:space="preserve"> when filing SARs or conducting CDD checks.</w:t>
      </w:r>
      <w:r w:rsidR="00397217" w:rsidRPr="00455EB3">
        <w:rPr>
          <w:rFonts w:ascii="Times New Roman" w:hAnsi="Times New Roman" w:cs="Times New Roman"/>
        </w:rPr>
        <w:t xml:space="preserve"> </w:t>
      </w:r>
      <w:r w:rsidR="00B6581A" w:rsidRPr="00455EB3">
        <w:rPr>
          <w:rFonts w:ascii="Times New Roman" w:hAnsi="Times New Roman" w:cs="Times New Roman"/>
        </w:rPr>
        <w:t xml:space="preserve">The second aspect pertains </w:t>
      </w:r>
      <w:r w:rsidR="00397217" w:rsidRPr="00455EB3">
        <w:rPr>
          <w:rFonts w:ascii="Times New Roman" w:hAnsi="Times New Roman" w:cs="Times New Roman"/>
        </w:rPr>
        <w:t xml:space="preserve">the </w:t>
      </w:r>
      <w:r w:rsidR="00B6581A" w:rsidRPr="00455EB3">
        <w:rPr>
          <w:rFonts w:ascii="Times New Roman" w:hAnsi="Times New Roman" w:cs="Times New Roman"/>
        </w:rPr>
        <w:t xml:space="preserve">need for the </w:t>
      </w:r>
      <w:r w:rsidR="00397217" w:rsidRPr="00455EB3">
        <w:rPr>
          <w:rFonts w:ascii="Times New Roman" w:hAnsi="Times New Roman" w:cs="Times New Roman"/>
        </w:rPr>
        <w:t xml:space="preserve">legislator </w:t>
      </w:r>
      <w:r w:rsidR="00B6581A" w:rsidRPr="00455EB3">
        <w:rPr>
          <w:rFonts w:ascii="Times New Roman" w:hAnsi="Times New Roman" w:cs="Times New Roman"/>
        </w:rPr>
        <w:t xml:space="preserve">to </w:t>
      </w:r>
      <w:r w:rsidR="00BD576E" w:rsidRPr="00455EB3">
        <w:rPr>
          <w:rFonts w:ascii="Times New Roman" w:hAnsi="Times New Roman" w:cs="Times New Roman"/>
        </w:rPr>
        <w:t xml:space="preserve">recognise the </w:t>
      </w:r>
      <w:r w:rsidR="00200E7C" w:rsidRPr="00455EB3">
        <w:rPr>
          <w:rFonts w:ascii="Times New Roman" w:hAnsi="Times New Roman" w:cs="Times New Roman"/>
        </w:rPr>
        <w:t>potential impact of compliance on the business of EAs</w:t>
      </w:r>
      <w:r w:rsidR="005C615A" w:rsidRPr="00455EB3">
        <w:rPr>
          <w:rFonts w:ascii="Times New Roman" w:hAnsi="Times New Roman" w:cs="Times New Roman"/>
        </w:rPr>
        <w:t xml:space="preserve">. Indeed, some commentators suggest that there may be a need for the </w:t>
      </w:r>
      <w:r w:rsidR="00732E6B" w:rsidRPr="00455EB3">
        <w:rPr>
          <w:rFonts w:ascii="Times New Roman" w:hAnsi="Times New Roman" w:cs="Times New Roman"/>
        </w:rPr>
        <w:t>S</w:t>
      </w:r>
      <w:r w:rsidR="005C615A" w:rsidRPr="00455EB3">
        <w:rPr>
          <w:rFonts w:ascii="Times New Roman" w:hAnsi="Times New Roman" w:cs="Times New Roman"/>
        </w:rPr>
        <w:t>tate to incentivise compliance.</w:t>
      </w:r>
      <w:r w:rsidR="005C615A" w:rsidRPr="00455EB3">
        <w:rPr>
          <w:rStyle w:val="FootnoteReference"/>
          <w:rFonts w:ascii="Times New Roman" w:hAnsi="Times New Roman" w:cs="Times New Roman"/>
        </w:rPr>
        <w:footnoteReference w:id="238"/>
      </w:r>
    </w:p>
    <w:p w14:paraId="37DA1D00" w14:textId="4DB1BF75" w:rsidR="00C179BE" w:rsidRPr="00455EB3" w:rsidRDefault="00170167" w:rsidP="00AB4266">
      <w:pPr>
        <w:ind w:firstLine="720"/>
        <w:jc w:val="both"/>
      </w:pPr>
      <w:r w:rsidRPr="006D1FC7">
        <w:rPr>
          <w:rFonts w:ascii="Times New Roman" w:hAnsi="Times New Roman" w:cs="Times New Roman"/>
          <w:color w:val="000000" w:themeColor="text1"/>
        </w:rPr>
        <w:t xml:space="preserve">Having </w:t>
      </w:r>
      <w:r w:rsidR="00A54F3D" w:rsidRPr="006D1FC7">
        <w:rPr>
          <w:rFonts w:ascii="Times New Roman" w:hAnsi="Times New Roman" w:cs="Times New Roman"/>
          <w:color w:val="000000" w:themeColor="text1"/>
        </w:rPr>
        <w:t xml:space="preserve">discussed the meaning and relevance of the findings obtained in this study, it is possible to make some final considerations on the </w:t>
      </w:r>
      <w:r w:rsidR="00364D58" w:rsidRPr="006D1FC7">
        <w:rPr>
          <w:rFonts w:ascii="Times New Roman" w:hAnsi="Times New Roman" w:cs="Times New Roman"/>
          <w:color w:val="000000" w:themeColor="text1"/>
        </w:rPr>
        <w:t>value of th</w:t>
      </w:r>
      <w:r w:rsidR="006E768D" w:rsidRPr="006D1FC7">
        <w:rPr>
          <w:rFonts w:ascii="Times New Roman" w:hAnsi="Times New Roman" w:cs="Times New Roman"/>
          <w:color w:val="000000" w:themeColor="text1"/>
        </w:rPr>
        <w:t xml:space="preserve">is </w:t>
      </w:r>
      <w:r w:rsidR="00C179BE" w:rsidRPr="006D1FC7">
        <w:rPr>
          <w:rFonts w:ascii="Times New Roman" w:hAnsi="Times New Roman" w:cs="Times New Roman"/>
          <w:color w:val="000000" w:themeColor="text1"/>
        </w:rPr>
        <w:t>contribution</w:t>
      </w:r>
      <w:r w:rsidR="00364D58" w:rsidRPr="006D1FC7">
        <w:rPr>
          <w:rFonts w:ascii="Times New Roman" w:hAnsi="Times New Roman" w:cs="Times New Roman"/>
          <w:color w:val="000000" w:themeColor="text1"/>
        </w:rPr>
        <w:t xml:space="preserve"> and possible future </w:t>
      </w:r>
      <w:r w:rsidR="006E768D" w:rsidRPr="006D1FC7">
        <w:rPr>
          <w:rFonts w:ascii="Times New Roman" w:hAnsi="Times New Roman" w:cs="Times New Roman"/>
          <w:color w:val="000000" w:themeColor="text1"/>
        </w:rPr>
        <w:t xml:space="preserve">research </w:t>
      </w:r>
      <w:r w:rsidR="00C179BE" w:rsidRPr="006D1FC7">
        <w:rPr>
          <w:rFonts w:ascii="Times New Roman" w:hAnsi="Times New Roman" w:cs="Times New Roman"/>
          <w:color w:val="000000" w:themeColor="text1"/>
        </w:rPr>
        <w:t>on the topic.</w:t>
      </w:r>
    </w:p>
    <w:p w14:paraId="7BFE5C4C" w14:textId="06CD942F" w:rsidR="00583C5F" w:rsidRPr="00455EB3" w:rsidRDefault="00C179BE" w:rsidP="00AB4266">
      <w:pPr>
        <w:jc w:val="both"/>
        <w:rPr>
          <w:rFonts w:ascii="Times New Roman" w:hAnsi="Times New Roman" w:cs="Times New Roman"/>
        </w:rPr>
      </w:pPr>
      <w:r>
        <w:rPr>
          <w:rFonts w:ascii="Times New Roman" w:hAnsi="Times New Roman" w:cs="Times New Roman"/>
        </w:rPr>
        <w:tab/>
      </w:r>
      <w:r w:rsidR="00583C5F" w:rsidRPr="00455EB3">
        <w:rPr>
          <w:rFonts w:ascii="Times New Roman" w:hAnsi="Times New Roman" w:cs="Times New Roman"/>
        </w:rPr>
        <w:t>Alongside the extension of the AML regime</w:t>
      </w:r>
      <w:r w:rsidR="009F0F17" w:rsidRPr="00455EB3">
        <w:rPr>
          <w:rFonts w:ascii="Times New Roman" w:hAnsi="Times New Roman" w:cs="Times New Roman"/>
        </w:rPr>
        <w:t xml:space="preserve"> </w:t>
      </w:r>
      <w:r w:rsidR="00583C5F" w:rsidRPr="00455EB3">
        <w:rPr>
          <w:rFonts w:ascii="Times New Roman" w:hAnsi="Times New Roman" w:cs="Times New Roman"/>
        </w:rPr>
        <w:t>to encompass non-financial businesses and professions</w:t>
      </w:r>
      <w:r w:rsidR="009F0F17" w:rsidRPr="00455EB3">
        <w:rPr>
          <w:rFonts w:ascii="Times New Roman" w:hAnsi="Times New Roman" w:cs="Times New Roman"/>
        </w:rPr>
        <w:t xml:space="preserve"> as </w:t>
      </w:r>
      <w:r w:rsidR="00236E3A" w:rsidRPr="00455EB3">
        <w:rPr>
          <w:rFonts w:ascii="Times New Roman" w:hAnsi="Times New Roman" w:cs="Times New Roman"/>
        </w:rPr>
        <w:t xml:space="preserve">additional </w:t>
      </w:r>
      <w:r w:rsidR="009F0F17" w:rsidRPr="00455EB3">
        <w:rPr>
          <w:rFonts w:ascii="Times New Roman" w:hAnsi="Times New Roman" w:cs="Times New Roman"/>
        </w:rPr>
        <w:t>gatekeepers</w:t>
      </w:r>
      <w:r w:rsidR="00583C5F" w:rsidRPr="00455EB3">
        <w:rPr>
          <w:rFonts w:ascii="Times New Roman" w:hAnsi="Times New Roman" w:cs="Times New Roman"/>
        </w:rPr>
        <w:t>, a vast, critical literature has emerged. Notwithstanding the global evaluations undertaken by the FATF,</w:t>
      </w:r>
      <w:r w:rsidR="00583C5F" w:rsidRPr="00455EB3">
        <w:rPr>
          <w:rStyle w:val="FootnoteReference"/>
          <w:rFonts w:ascii="Times New Roman" w:hAnsi="Times New Roman" w:cs="Times New Roman"/>
        </w:rPr>
        <w:footnoteReference w:id="239"/>
      </w:r>
      <w:r w:rsidR="00583C5F" w:rsidRPr="00455EB3">
        <w:rPr>
          <w:rFonts w:ascii="Times New Roman" w:hAnsi="Times New Roman" w:cs="Times New Roman"/>
        </w:rPr>
        <w:t xml:space="preserve"> which </w:t>
      </w:r>
      <w:r w:rsidR="00583C5F" w:rsidRPr="00455EB3">
        <w:rPr>
          <w:rFonts w:ascii="Times New Roman" w:hAnsi="Times New Roman" w:cs="Times New Roman"/>
        </w:rPr>
        <w:lastRenderedPageBreak/>
        <w:t>purport to measure the ‘effectiveness’ of AML in different jurisdictions, it is not possible to say whether AML works or not. Notwithstanding various anecdotes, ‘there is still very little scientific knowledge about the effectiveness and efficiency of the countermeasures adopted to combat the phenomenon’.</w:t>
      </w:r>
      <w:r w:rsidR="00583C5F" w:rsidRPr="00455EB3">
        <w:rPr>
          <w:rStyle w:val="FootnoteReference"/>
          <w:rFonts w:ascii="Times New Roman" w:hAnsi="Times New Roman" w:cs="Times New Roman"/>
        </w:rPr>
        <w:footnoteReference w:id="240"/>
      </w:r>
      <w:r w:rsidR="00583C5F" w:rsidRPr="00455EB3">
        <w:rPr>
          <w:rFonts w:ascii="Times New Roman" w:hAnsi="Times New Roman" w:cs="Times New Roman"/>
        </w:rPr>
        <w:t xml:space="preserve"> In</w:t>
      </w:r>
      <w:r w:rsidR="00C9636B" w:rsidRPr="00455EB3">
        <w:rPr>
          <w:rFonts w:ascii="Times New Roman" w:hAnsi="Times New Roman" w:cs="Times New Roman"/>
        </w:rPr>
        <w:t>deed</w:t>
      </w:r>
      <w:r w:rsidR="00583C5F" w:rsidRPr="00455EB3">
        <w:rPr>
          <w:rFonts w:ascii="Times New Roman" w:hAnsi="Times New Roman" w:cs="Times New Roman"/>
        </w:rPr>
        <w:t>, ‘a huge amount of money (we do not know how much) is now being spent on a global surveillance and reporting system, and we do not know whether and to what extent the system works or not’</w:t>
      </w:r>
      <w:r w:rsidR="002F6EF3" w:rsidRPr="00455EB3">
        <w:rPr>
          <w:rFonts w:ascii="Times New Roman" w:hAnsi="Times New Roman" w:cs="Times New Roman"/>
        </w:rPr>
        <w:t>.</w:t>
      </w:r>
      <w:r w:rsidR="00583C5F" w:rsidRPr="00455EB3">
        <w:rPr>
          <w:rStyle w:val="FootnoteReference"/>
          <w:rFonts w:ascii="Times New Roman" w:hAnsi="Times New Roman" w:cs="Times New Roman"/>
        </w:rPr>
        <w:footnoteReference w:id="241"/>
      </w:r>
      <w:r w:rsidR="4BB701E4" w:rsidRPr="00455EB3">
        <w:rPr>
          <w:rStyle w:val="FootnoteReference"/>
          <w:rFonts w:ascii="Times New Roman" w:hAnsi="Times New Roman" w:cs="Times New Roman"/>
        </w:rPr>
        <w:t xml:space="preserve"> </w:t>
      </w:r>
      <w:r w:rsidR="00336E6E" w:rsidRPr="00455EB3">
        <w:rPr>
          <w:rFonts w:ascii="Times New Roman" w:hAnsi="Times New Roman" w:cs="Times New Roman"/>
        </w:rPr>
        <w:t xml:space="preserve">Moreover, </w:t>
      </w:r>
      <w:r w:rsidR="56F3C830" w:rsidRPr="00455EB3">
        <w:rPr>
          <w:rFonts w:ascii="Times New Roman" w:hAnsi="Times New Roman" w:cs="Times New Roman"/>
        </w:rPr>
        <w:t>the AML regime ‘</w:t>
      </w:r>
      <w:r w:rsidR="00336E6E" w:rsidRPr="00455EB3">
        <w:rPr>
          <w:rFonts w:ascii="Times New Roman" w:hAnsi="Times New Roman" w:cs="Times New Roman"/>
        </w:rPr>
        <w:t>exhibits many deficiencies and imposes extensive costs on the private and public sectors, and harms upon the public’.</w:t>
      </w:r>
      <w:r w:rsidR="00336E6E" w:rsidRPr="00455EB3">
        <w:rPr>
          <w:rStyle w:val="FootnoteReference"/>
          <w:rFonts w:ascii="Times New Roman" w:hAnsi="Times New Roman" w:cs="Times New Roman"/>
        </w:rPr>
        <w:footnoteReference w:id="242"/>
      </w:r>
    </w:p>
    <w:p w14:paraId="0B8BAAE0" w14:textId="29E694C6" w:rsidR="00583C5F" w:rsidRPr="00455EB3" w:rsidRDefault="00583C5F" w:rsidP="00AB4266">
      <w:pPr>
        <w:ind w:firstLine="720"/>
        <w:jc w:val="both"/>
        <w:rPr>
          <w:rFonts w:ascii="Times New Roman" w:hAnsi="Times New Roman" w:cs="Times New Roman"/>
        </w:rPr>
      </w:pPr>
      <w:r w:rsidRPr="00455EB3">
        <w:rPr>
          <w:rFonts w:ascii="Times New Roman" w:hAnsi="Times New Roman" w:cs="Times New Roman"/>
        </w:rPr>
        <w:t>Thus, rather than expansion of the AML regime (which continues unabated – as evident in recent Money Laundering Directives;</w:t>
      </w:r>
      <w:r w:rsidRPr="00455EB3">
        <w:rPr>
          <w:rStyle w:val="FootnoteReference"/>
          <w:rFonts w:ascii="Times New Roman" w:hAnsi="Times New Roman" w:cs="Times New Roman"/>
        </w:rPr>
        <w:footnoteReference w:id="243"/>
      </w:r>
      <w:r w:rsidRPr="00455EB3">
        <w:rPr>
          <w:rFonts w:ascii="Times New Roman" w:hAnsi="Times New Roman" w:cs="Times New Roman"/>
        </w:rPr>
        <w:t xml:space="preserve"> various FATF efforts;</w:t>
      </w:r>
      <w:r w:rsidRPr="00455EB3">
        <w:rPr>
          <w:rStyle w:val="FootnoteReference"/>
          <w:rFonts w:ascii="Times New Roman" w:hAnsi="Times New Roman" w:cs="Times New Roman"/>
        </w:rPr>
        <w:footnoteReference w:id="244"/>
      </w:r>
      <w:r w:rsidRPr="00455EB3">
        <w:rPr>
          <w:rFonts w:ascii="Times New Roman" w:hAnsi="Times New Roman" w:cs="Times New Roman"/>
        </w:rPr>
        <w:t xml:space="preserve"> and domestic legislative amendment</w:t>
      </w:r>
      <w:r w:rsidR="001336D9" w:rsidRPr="00455EB3">
        <w:rPr>
          <w:rFonts w:ascii="Times New Roman" w:hAnsi="Times New Roman" w:cs="Times New Roman"/>
        </w:rPr>
        <w:t>s</w:t>
      </w:r>
      <w:r w:rsidRPr="00455EB3">
        <w:rPr>
          <w:rStyle w:val="FootnoteReference"/>
          <w:rFonts w:ascii="Times New Roman" w:hAnsi="Times New Roman" w:cs="Times New Roman"/>
        </w:rPr>
        <w:footnoteReference w:id="245"/>
      </w:r>
      <w:r w:rsidRPr="00455EB3">
        <w:rPr>
          <w:rFonts w:ascii="Times New Roman" w:hAnsi="Times New Roman" w:cs="Times New Roman"/>
        </w:rPr>
        <w:t>)</w:t>
      </w:r>
      <w:r w:rsidR="00FF6156" w:rsidRPr="00455EB3">
        <w:rPr>
          <w:rFonts w:ascii="Times New Roman" w:hAnsi="Times New Roman" w:cs="Times New Roman"/>
        </w:rPr>
        <w:t>,</w:t>
      </w:r>
      <w:r w:rsidRPr="00455EB3">
        <w:rPr>
          <w:rFonts w:ascii="Times New Roman" w:hAnsi="Times New Roman" w:cs="Times New Roman"/>
        </w:rPr>
        <w:t xml:space="preserve"> it is timely to reflect upon operation in practice. To put it bluntly, the extant AML regime is problematic and does not work well in practice</w:t>
      </w:r>
      <w:r w:rsidR="007B037A" w:rsidRPr="00455EB3">
        <w:rPr>
          <w:rFonts w:ascii="Times New Roman" w:hAnsi="Times New Roman" w:cs="Times New Roman"/>
        </w:rPr>
        <w:t xml:space="preserve"> </w:t>
      </w:r>
      <w:r w:rsidR="00954E7F" w:rsidRPr="00455EB3">
        <w:rPr>
          <w:rFonts w:ascii="Times New Roman" w:hAnsi="Times New Roman" w:cs="Times New Roman"/>
        </w:rPr>
        <w:t>because</w:t>
      </w:r>
      <w:r w:rsidRPr="00455EB3">
        <w:rPr>
          <w:rFonts w:ascii="Times New Roman" w:hAnsi="Times New Roman" w:cs="Times New Roman"/>
        </w:rPr>
        <w:t>,</w:t>
      </w:r>
      <w:r w:rsidR="007B037A" w:rsidRPr="00455EB3">
        <w:rPr>
          <w:rFonts w:ascii="Times New Roman" w:hAnsi="Times New Roman" w:cs="Times New Roman"/>
        </w:rPr>
        <w:t xml:space="preserve"> as Henry Ford once said,</w:t>
      </w:r>
      <w:r w:rsidRPr="00455EB3">
        <w:rPr>
          <w:rFonts w:ascii="Times New Roman" w:hAnsi="Times New Roman" w:cs="Times New Roman"/>
        </w:rPr>
        <w:t xml:space="preserve"> ‘if you always do what you’ve always done, you’ll always get what you’ve always got’. </w:t>
      </w:r>
      <w:r w:rsidR="003D7E45" w:rsidRPr="00455EB3">
        <w:rPr>
          <w:rFonts w:ascii="Times New Roman" w:hAnsi="Times New Roman" w:cs="Times New Roman"/>
        </w:rPr>
        <w:t>Thus</w:t>
      </w:r>
      <w:r w:rsidR="009938D0" w:rsidRPr="00455EB3">
        <w:rPr>
          <w:rFonts w:ascii="Times New Roman" w:hAnsi="Times New Roman" w:cs="Times New Roman"/>
        </w:rPr>
        <w:t>, t</w:t>
      </w:r>
      <w:r w:rsidRPr="00455EB3">
        <w:rPr>
          <w:rFonts w:ascii="Times New Roman" w:hAnsi="Times New Roman" w:cs="Times New Roman"/>
        </w:rPr>
        <w:t>h</w:t>
      </w:r>
      <w:r w:rsidR="009938D0" w:rsidRPr="00455EB3">
        <w:rPr>
          <w:rFonts w:ascii="Times New Roman" w:hAnsi="Times New Roman" w:cs="Times New Roman"/>
        </w:rPr>
        <w:t>is article has aimed</w:t>
      </w:r>
      <w:r w:rsidRPr="00455EB3">
        <w:rPr>
          <w:rFonts w:ascii="Times New Roman" w:hAnsi="Times New Roman" w:cs="Times New Roman"/>
        </w:rPr>
        <w:t xml:space="preserve"> to reflect upon the experiences of EAs tasked with implementation of AML in practice.</w:t>
      </w:r>
    </w:p>
    <w:p w14:paraId="5D022212" w14:textId="6968AA4E" w:rsidR="00583C5F" w:rsidRPr="00455EB3" w:rsidRDefault="00583C5F" w:rsidP="00AB4266">
      <w:pPr>
        <w:ind w:firstLine="720"/>
        <w:jc w:val="both"/>
        <w:rPr>
          <w:rFonts w:ascii="Times New Roman" w:hAnsi="Times New Roman" w:cs="Times New Roman"/>
        </w:rPr>
      </w:pPr>
      <w:r w:rsidRPr="00455EB3">
        <w:rPr>
          <w:rFonts w:ascii="Times New Roman" w:hAnsi="Times New Roman" w:cs="Times New Roman"/>
        </w:rPr>
        <w:t>First of all, our research reinforces concerns as to the operation of ‘suspicion’. While the broad-brush approach in POCA requires a report to be made where a person knows or suspects, or has reasonable grounds for knowing or suspecting,</w:t>
      </w:r>
      <w:r w:rsidR="00DB19B2">
        <w:rPr>
          <w:rFonts w:ascii="Times New Roman" w:hAnsi="Times New Roman" w:cs="Times New Roman"/>
        </w:rPr>
        <w:t xml:space="preserve"> that another person is engaged in money laundering,</w:t>
      </w:r>
      <w:r w:rsidR="00DB19B2" w:rsidRPr="00455EB3">
        <w:rPr>
          <w:rStyle w:val="FootnoteReference"/>
          <w:rFonts w:ascii="Times New Roman" w:hAnsi="Times New Roman" w:cs="Times New Roman"/>
        </w:rPr>
        <w:footnoteReference w:id="246"/>
      </w:r>
      <w:r w:rsidRPr="00455EB3">
        <w:rPr>
          <w:rFonts w:ascii="Times New Roman" w:hAnsi="Times New Roman" w:cs="Times New Roman"/>
        </w:rPr>
        <w:t xml:space="preserve"> this has proved problematic in practice. Moreover, as the Law Commission highlighted in its 2019 review, ‘there is currently no means of ensuring that the burden of reporting is proportionate to the gravity of the offence, the value of the criminal property and the benefit to law enforcement agencies of this intelligence’.</w:t>
      </w:r>
      <w:r w:rsidRPr="00455EB3">
        <w:rPr>
          <w:rStyle w:val="FootnoteReference"/>
          <w:rFonts w:ascii="Times New Roman" w:hAnsi="Times New Roman" w:cs="Times New Roman"/>
        </w:rPr>
        <w:footnoteReference w:id="247"/>
      </w:r>
      <w:r w:rsidRPr="00455EB3">
        <w:rPr>
          <w:rFonts w:ascii="Times New Roman" w:hAnsi="Times New Roman" w:cs="Times New Roman"/>
        </w:rPr>
        <w:t xml:space="preserve"> Thus, the burden of compliance is oft</w:t>
      </w:r>
      <w:r w:rsidR="00AB0490" w:rsidRPr="00455EB3">
        <w:rPr>
          <w:rFonts w:ascii="Times New Roman" w:hAnsi="Times New Roman" w:cs="Times New Roman"/>
        </w:rPr>
        <w:t xml:space="preserve">en </w:t>
      </w:r>
      <w:r w:rsidRPr="00455EB3">
        <w:rPr>
          <w:rFonts w:ascii="Times New Roman" w:hAnsi="Times New Roman" w:cs="Times New Roman"/>
        </w:rPr>
        <w:t>ignored in policy development, whereas - as our study shows - considerations of burden (and opportunity lost) significantly influence compliance. Further, the</w:t>
      </w:r>
      <w:r w:rsidR="09724057" w:rsidRPr="00455EB3">
        <w:rPr>
          <w:rFonts w:ascii="Times New Roman" w:hAnsi="Times New Roman" w:cs="Times New Roman"/>
        </w:rPr>
        <w:t xml:space="preserve"> risk-based approach</w:t>
      </w:r>
      <w:r w:rsidRPr="00455EB3">
        <w:rPr>
          <w:rFonts w:ascii="Times New Roman" w:hAnsi="Times New Roman" w:cs="Times New Roman"/>
        </w:rPr>
        <w:t xml:space="preserve"> is undermined by the desire for self-protection and</w:t>
      </w:r>
      <w:r w:rsidR="00E811C2">
        <w:rPr>
          <w:rFonts w:ascii="Times New Roman" w:hAnsi="Times New Roman" w:cs="Times New Roman"/>
        </w:rPr>
        <w:t>,</w:t>
      </w:r>
      <w:r w:rsidRPr="00455EB3">
        <w:rPr>
          <w:rFonts w:ascii="Times New Roman" w:hAnsi="Times New Roman" w:cs="Times New Roman"/>
        </w:rPr>
        <w:t xml:space="preserve"> consequently</w:t>
      </w:r>
      <w:r w:rsidR="00E811C2">
        <w:rPr>
          <w:rFonts w:ascii="Times New Roman" w:hAnsi="Times New Roman" w:cs="Times New Roman"/>
        </w:rPr>
        <w:t>,</w:t>
      </w:r>
      <w:r w:rsidRPr="00455EB3">
        <w:rPr>
          <w:rFonts w:ascii="Times New Roman" w:hAnsi="Times New Roman" w:cs="Times New Roman"/>
        </w:rPr>
        <w:t xml:space="preserve"> anything remotely suspicious being reported, which overwhelms law enforcement capacity to analyse SARs.</w:t>
      </w:r>
    </w:p>
    <w:p w14:paraId="35E2009B" w14:textId="6446F2B0" w:rsidR="00583C5F" w:rsidRPr="00455EB3" w:rsidRDefault="00583C5F" w:rsidP="00AB4266">
      <w:pPr>
        <w:ind w:firstLine="720"/>
        <w:jc w:val="both"/>
        <w:rPr>
          <w:rFonts w:ascii="Times New Roman" w:hAnsi="Times New Roman" w:cs="Times New Roman"/>
        </w:rPr>
      </w:pPr>
      <w:r w:rsidRPr="00455EB3">
        <w:rPr>
          <w:rFonts w:ascii="Times New Roman" w:hAnsi="Times New Roman" w:cs="Times New Roman"/>
        </w:rPr>
        <w:t xml:space="preserve">Second, our study focuses on the operation of AML within one sector. A recurring complaint was the differences inherent in that sector and the need for sector-specific guidance. The </w:t>
      </w:r>
      <w:r w:rsidR="003D7E45" w:rsidRPr="00455EB3">
        <w:rPr>
          <w:rFonts w:ascii="Times New Roman" w:hAnsi="Times New Roman" w:cs="Times New Roman"/>
        </w:rPr>
        <w:t>Law Commission has acknowledged the need for a sector-</w:t>
      </w:r>
      <w:r w:rsidR="00F26125" w:rsidRPr="00455EB3">
        <w:rPr>
          <w:rFonts w:ascii="Times New Roman" w:hAnsi="Times New Roman" w:cs="Times New Roman"/>
        </w:rPr>
        <w:t>tailored</w:t>
      </w:r>
      <w:r w:rsidR="003D7E45" w:rsidRPr="00455EB3">
        <w:rPr>
          <w:rFonts w:ascii="Times New Roman" w:hAnsi="Times New Roman" w:cs="Times New Roman"/>
        </w:rPr>
        <w:t xml:space="preserve"> approach</w:t>
      </w:r>
      <w:r w:rsidRPr="00455EB3">
        <w:rPr>
          <w:rFonts w:ascii="Times New Roman" w:hAnsi="Times New Roman" w:cs="Times New Roman"/>
        </w:rPr>
        <w:t xml:space="preserve">, but it </w:t>
      </w:r>
      <w:r w:rsidR="003D7E45" w:rsidRPr="00455EB3">
        <w:rPr>
          <w:rFonts w:ascii="Times New Roman" w:hAnsi="Times New Roman" w:cs="Times New Roman"/>
        </w:rPr>
        <w:t xml:space="preserve">has </w:t>
      </w:r>
      <w:r w:rsidRPr="00455EB3">
        <w:rPr>
          <w:rFonts w:ascii="Times New Roman" w:hAnsi="Times New Roman" w:cs="Times New Roman"/>
        </w:rPr>
        <w:t xml:space="preserve">also stressed that ‘There remains a strong argument for having a single, accessible, interpretation of universal legal concepts common to all </w:t>
      </w:r>
      <w:proofErr w:type="gramStart"/>
      <w:r w:rsidRPr="00455EB3">
        <w:rPr>
          <w:rFonts w:ascii="Times New Roman" w:hAnsi="Times New Roman" w:cs="Times New Roman"/>
        </w:rPr>
        <w:t>sectors’</w:t>
      </w:r>
      <w:proofErr w:type="gramEnd"/>
      <w:r w:rsidR="003D7E45" w:rsidRPr="00455EB3">
        <w:rPr>
          <w:rFonts w:ascii="Times New Roman" w:hAnsi="Times New Roman" w:cs="Times New Roman"/>
        </w:rPr>
        <w:t>.</w:t>
      </w:r>
      <w:r w:rsidRPr="00455EB3">
        <w:rPr>
          <w:rStyle w:val="FootnoteReference"/>
          <w:rFonts w:ascii="Times New Roman" w:hAnsi="Times New Roman" w:cs="Times New Roman"/>
        </w:rPr>
        <w:footnoteReference w:id="248"/>
      </w:r>
      <w:r w:rsidRPr="00455EB3">
        <w:rPr>
          <w:rFonts w:ascii="Times New Roman" w:hAnsi="Times New Roman" w:cs="Times New Roman"/>
        </w:rPr>
        <w:t xml:space="preserve"> </w:t>
      </w:r>
      <w:r w:rsidRPr="00455EB3">
        <w:rPr>
          <w:rFonts w:ascii="Times New Roman" w:hAnsi="Times New Roman" w:cs="Times New Roman"/>
        </w:rPr>
        <w:lastRenderedPageBreak/>
        <w:t xml:space="preserve">Such a stand-alone document encompassing the various legal concepts (such as ‘suspicion’) would be valuable but should be accompanied by supervisor-approved guidance for individual sectors. This combination would result in greater clarity and consistency for EAs (and other </w:t>
      </w:r>
      <w:proofErr w:type="spellStart"/>
      <w:r w:rsidRPr="00455EB3">
        <w:rPr>
          <w:rFonts w:ascii="Times New Roman" w:hAnsi="Times New Roman" w:cs="Times New Roman"/>
        </w:rPr>
        <w:t>regulatees</w:t>
      </w:r>
      <w:proofErr w:type="spellEnd"/>
      <w:r w:rsidRPr="00455EB3">
        <w:rPr>
          <w:rFonts w:ascii="Times New Roman" w:hAnsi="Times New Roman" w:cs="Times New Roman"/>
        </w:rPr>
        <w:t>).</w:t>
      </w:r>
      <w:r w:rsidR="00B74503">
        <w:rPr>
          <w:rFonts w:ascii="Times New Roman" w:hAnsi="Times New Roman" w:cs="Times New Roman"/>
        </w:rPr>
        <w:t xml:space="preserve"> It remains to be seen whether updated guidance issued in October 2020 will address practical concerns in the sector.</w:t>
      </w:r>
      <w:r w:rsidR="00B74503">
        <w:rPr>
          <w:rStyle w:val="FootnoteReference"/>
          <w:rFonts w:ascii="Times New Roman" w:hAnsi="Times New Roman" w:cs="Times New Roman"/>
        </w:rPr>
        <w:footnoteReference w:id="249"/>
      </w:r>
    </w:p>
    <w:p w14:paraId="3A3DFBA6" w14:textId="4E5368B0" w:rsidR="00583C5F" w:rsidRPr="00455EB3" w:rsidRDefault="00583C5F" w:rsidP="00AB4266">
      <w:pPr>
        <w:ind w:firstLine="720"/>
        <w:jc w:val="both"/>
        <w:rPr>
          <w:rFonts w:ascii="Times New Roman" w:hAnsi="Times New Roman" w:cs="Times New Roman"/>
        </w:rPr>
      </w:pPr>
      <w:r w:rsidRPr="00455EB3">
        <w:rPr>
          <w:rFonts w:ascii="Times New Roman" w:hAnsi="Times New Roman" w:cs="Times New Roman"/>
        </w:rPr>
        <w:t xml:space="preserve">Third, the burden of compliance is compounded by ambiguity. While the legislation itself is relatively </w:t>
      </w:r>
      <w:r w:rsidR="00E36AD5">
        <w:rPr>
          <w:rFonts w:ascii="Times New Roman" w:hAnsi="Times New Roman" w:cs="Times New Roman"/>
        </w:rPr>
        <w:t>straightforward</w:t>
      </w:r>
      <w:r w:rsidRPr="00455EB3">
        <w:rPr>
          <w:rFonts w:ascii="Times New Roman" w:hAnsi="Times New Roman" w:cs="Times New Roman"/>
        </w:rPr>
        <w:t xml:space="preserve">, practice evidences many instances where </w:t>
      </w:r>
      <w:proofErr w:type="spellStart"/>
      <w:r w:rsidRPr="00455EB3">
        <w:rPr>
          <w:rFonts w:ascii="Times New Roman" w:hAnsi="Times New Roman" w:cs="Times New Roman"/>
        </w:rPr>
        <w:t>regulatees</w:t>
      </w:r>
      <w:proofErr w:type="spellEnd"/>
      <w:r w:rsidRPr="00455EB3">
        <w:rPr>
          <w:rFonts w:ascii="Times New Roman" w:hAnsi="Times New Roman" w:cs="Times New Roman"/>
        </w:rPr>
        <w:t xml:space="preserve"> determined to comply are confronted with uncertainty. </w:t>
      </w:r>
      <w:r w:rsidR="00E035FF" w:rsidRPr="00455EB3">
        <w:rPr>
          <w:rFonts w:ascii="Times New Roman" w:hAnsi="Times New Roman" w:cs="Times New Roman"/>
        </w:rPr>
        <w:t>Given the a</w:t>
      </w:r>
      <w:r w:rsidRPr="00455EB3">
        <w:rPr>
          <w:rFonts w:ascii="Times New Roman" w:hAnsi="Times New Roman" w:cs="Times New Roman"/>
        </w:rPr>
        <w:t>bsen</w:t>
      </w:r>
      <w:r w:rsidR="00E035FF" w:rsidRPr="00455EB3">
        <w:rPr>
          <w:rFonts w:ascii="Times New Roman" w:hAnsi="Times New Roman" w:cs="Times New Roman"/>
        </w:rPr>
        <w:t>ce of</w:t>
      </w:r>
      <w:r w:rsidRPr="00455EB3">
        <w:rPr>
          <w:rFonts w:ascii="Times New Roman" w:hAnsi="Times New Roman" w:cs="Times New Roman"/>
        </w:rPr>
        <w:t xml:space="preserve"> clear, sector-tailored guidance</w:t>
      </w:r>
      <w:r w:rsidR="00E035FF" w:rsidRPr="00455EB3">
        <w:rPr>
          <w:rFonts w:ascii="Times New Roman" w:hAnsi="Times New Roman" w:cs="Times New Roman"/>
        </w:rPr>
        <w:t>,</w:t>
      </w:r>
      <w:r w:rsidRPr="00455EB3">
        <w:rPr>
          <w:rFonts w:ascii="Times New Roman" w:hAnsi="Times New Roman" w:cs="Times New Roman"/>
        </w:rPr>
        <w:t xml:space="preserve"> the tendency is, again, to report as a means of self-protection. The lack of engagement from enforcement</w:t>
      </w:r>
      <w:r w:rsidR="00DC05B6" w:rsidRPr="00455EB3">
        <w:rPr>
          <w:rFonts w:ascii="Times New Roman" w:hAnsi="Times New Roman" w:cs="Times New Roman"/>
        </w:rPr>
        <w:t xml:space="preserve"> agencies</w:t>
      </w:r>
      <w:r w:rsidRPr="00455EB3">
        <w:rPr>
          <w:rFonts w:ascii="Times New Roman" w:hAnsi="Times New Roman" w:cs="Times New Roman"/>
        </w:rPr>
        <w:t xml:space="preserve"> when such uncertainty arises reinforces the sense of vulnerability amongst EAs and can result in poor-quality reports. Further, the process of reporting is hindered (and burden of compliance increased) as a </w:t>
      </w:r>
      <w:r w:rsidR="00C10964" w:rsidRPr="00455EB3">
        <w:rPr>
          <w:rFonts w:ascii="Times New Roman" w:hAnsi="Times New Roman" w:cs="Times New Roman"/>
        </w:rPr>
        <w:t>result</w:t>
      </w:r>
      <w:r w:rsidRPr="00455EB3">
        <w:rPr>
          <w:rFonts w:ascii="Times New Roman" w:hAnsi="Times New Roman" w:cs="Times New Roman"/>
        </w:rPr>
        <w:t xml:space="preserve"> of difficulties with the SARs reporting system and the lack of a joined-up gateway/portal for both HMRC and </w:t>
      </w:r>
      <w:r w:rsidR="00777938" w:rsidRPr="00455EB3">
        <w:rPr>
          <w:rFonts w:ascii="Times New Roman" w:hAnsi="Times New Roman" w:cs="Times New Roman"/>
        </w:rPr>
        <w:t xml:space="preserve">the </w:t>
      </w:r>
      <w:r w:rsidRPr="00455EB3">
        <w:rPr>
          <w:rFonts w:ascii="Times New Roman" w:hAnsi="Times New Roman" w:cs="Times New Roman"/>
        </w:rPr>
        <w:t>NCA, which adds unnecessary complexity.</w:t>
      </w:r>
    </w:p>
    <w:p w14:paraId="76EBD1C3" w14:textId="37CF9F09" w:rsidR="00583C5F" w:rsidRPr="00455EB3" w:rsidRDefault="00583C5F" w:rsidP="00AB4266">
      <w:pPr>
        <w:ind w:firstLine="720"/>
        <w:jc w:val="both"/>
        <w:rPr>
          <w:rFonts w:ascii="Times New Roman" w:hAnsi="Times New Roman" w:cs="Times New Roman"/>
        </w:rPr>
      </w:pPr>
      <w:r w:rsidRPr="00455EB3">
        <w:rPr>
          <w:rFonts w:ascii="Times New Roman" w:hAnsi="Times New Roman" w:cs="Times New Roman"/>
        </w:rPr>
        <w:t xml:space="preserve">Fourth, AML compliance impacts upon the business of </w:t>
      </w:r>
      <w:proofErr w:type="spellStart"/>
      <w:r w:rsidRPr="00455EB3">
        <w:rPr>
          <w:rFonts w:ascii="Times New Roman" w:hAnsi="Times New Roman" w:cs="Times New Roman"/>
        </w:rPr>
        <w:t>regulatees</w:t>
      </w:r>
      <w:proofErr w:type="spellEnd"/>
      <w:r w:rsidRPr="00455EB3">
        <w:rPr>
          <w:rFonts w:ascii="Times New Roman" w:hAnsi="Times New Roman" w:cs="Times New Roman"/>
        </w:rPr>
        <w:t xml:space="preserve">, most obviously in terms of costs and time, but </w:t>
      </w:r>
      <w:r w:rsidR="00842B97" w:rsidRPr="00455EB3">
        <w:rPr>
          <w:rFonts w:ascii="Times New Roman" w:hAnsi="Times New Roman" w:cs="Times New Roman"/>
        </w:rPr>
        <w:t xml:space="preserve">it </w:t>
      </w:r>
      <w:r w:rsidR="00B346D5" w:rsidRPr="00455EB3">
        <w:rPr>
          <w:rFonts w:ascii="Times New Roman" w:hAnsi="Times New Roman" w:cs="Times New Roman"/>
        </w:rPr>
        <w:t xml:space="preserve">can </w:t>
      </w:r>
      <w:r w:rsidRPr="00455EB3">
        <w:rPr>
          <w:rFonts w:ascii="Times New Roman" w:hAnsi="Times New Roman" w:cs="Times New Roman"/>
        </w:rPr>
        <w:t xml:space="preserve">also </w:t>
      </w:r>
      <w:r w:rsidR="00B346D5" w:rsidRPr="00455EB3">
        <w:rPr>
          <w:rFonts w:ascii="Times New Roman" w:hAnsi="Times New Roman" w:cs="Times New Roman"/>
        </w:rPr>
        <w:t xml:space="preserve">affect </w:t>
      </w:r>
      <w:r w:rsidRPr="00455EB3">
        <w:rPr>
          <w:rFonts w:ascii="Times New Roman" w:hAnsi="Times New Roman" w:cs="Times New Roman"/>
        </w:rPr>
        <w:t xml:space="preserve">the relationship with clients. Moreover, compliance can unduly delay transactions. Inevitably, those EAs that </w:t>
      </w:r>
      <w:r w:rsidR="00020170" w:rsidRPr="00455EB3">
        <w:rPr>
          <w:rFonts w:ascii="Times New Roman" w:hAnsi="Times New Roman" w:cs="Times New Roman"/>
        </w:rPr>
        <w:t xml:space="preserve">seek </w:t>
      </w:r>
      <w:r w:rsidRPr="00455EB3">
        <w:rPr>
          <w:rFonts w:ascii="Times New Roman" w:hAnsi="Times New Roman" w:cs="Times New Roman"/>
        </w:rPr>
        <w:t xml:space="preserve">to ensure that they comply are adversely affected, with concerns that those who are </w:t>
      </w:r>
      <w:r w:rsidR="008F7552" w:rsidRPr="00455EB3">
        <w:rPr>
          <w:rFonts w:ascii="Times New Roman" w:hAnsi="Times New Roman" w:cs="Times New Roman"/>
        </w:rPr>
        <w:t>laxer</w:t>
      </w:r>
      <w:r w:rsidRPr="00455EB3">
        <w:rPr>
          <w:rFonts w:ascii="Times New Roman" w:hAnsi="Times New Roman" w:cs="Times New Roman"/>
        </w:rPr>
        <w:t xml:space="preserve"> with their obligations </w:t>
      </w:r>
      <w:r w:rsidR="00676703" w:rsidRPr="00455EB3">
        <w:rPr>
          <w:rFonts w:ascii="Times New Roman" w:hAnsi="Times New Roman" w:cs="Times New Roman"/>
        </w:rPr>
        <w:t xml:space="preserve">would </w:t>
      </w:r>
      <w:r w:rsidR="00732E82" w:rsidRPr="00455EB3">
        <w:rPr>
          <w:rFonts w:ascii="Times New Roman" w:hAnsi="Times New Roman" w:cs="Times New Roman"/>
        </w:rPr>
        <w:t>be advantaged</w:t>
      </w:r>
      <w:r w:rsidRPr="00455EB3">
        <w:rPr>
          <w:rFonts w:ascii="Times New Roman" w:hAnsi="Times New Roman" w:cs="Times New Roman"/>
        </w:rPr>
        <w:t>.</w:t>
      </w:r>
      <w:r w:rsidR="00BF3D93" w:rsidRPr="00455EB3">
        <w:rPr>
          <w:rFonts w:ascii="Times New Roman" w:hAnsi="Times New Roman" w:cs="Times New Roman"/>
        </w:rPr>
        <w:t xml:space="preserve"> </w:t>
      </w:r>
      <w:r w:rsidR="004E67E9" w:rsidRPr="00455EB3">
        <w:rPr>
          <w:rFonts w:ascii="Times New Roman" w:hAnsi="Times New Roman" w:cs="Times New Roman"/>
        </w:rPr>
        <w:t>In this sense, a</w:t>
      </w:r>
      <w:r w:rsidRPr="00455EB3">
        <w:rPr>
          <w:rFonts w:ascii="Times New Roman" w:hAnsi="Times New Roman" w:cs="Times New Roman"/>
        </w:rPr>
        <w:t xml:space="preserve">ny system of regulation that results in compliant </w:t>
      </w:r>
      <w:proofErr w:type="spellStart"/>
      <w:r w:rsidRPr="00455EB3">
        <w:rPr>
          <w:rFonts w:ascii="Times New Roman" w:hAnsi="Times New Roman" w:cs="Times New Roman"/>
        </w:rPr>
        <w:t>regulatees</w:t>
      </w:r>
      <w:proofErr w:type="spellEnd"/>
      <w:r w:rsidRPr="00455EB3">
        <w:rPr>
          <w:rFonts w:ascii="Times New Roman" w:hAnsi="Times New Roman" w:cs="Times New Roman"/>
        </w:rPr>
        <w:t xml:space="preserve"> losing out risks inherently undermining itself.</w:t>
      </w:r>
    </w:p>
    <w:p w14:paraId="38C3C128" w14:textId="12FA88DE" w:rsidR="00541984" w:rsidRDefault="00583C5F" w:rsidP="00AB4266">
      <w:pPr>
        <w:ind w:firstLine="720"/>
        <w:jc w:val="both"/>
        <w:rPr>
          <w:rFonts w:ascii="Times New Roman" w:hAnsi="Times New Roman" w:cs="Times New Roman"/>
        </w:rPr>
      </w:pPr>
      <w:r w:rsidRPr="00455EB3">
        <w:rPr>
          <w:rFonts w:ascii="Times New Roman" w:hAnsi="Times New Roman" w:cs="Times New Roman"/>
        </w:rPr>
        <w:t>Finally, our study demonstrates a</w:t>
      </w:r>
      <w:r w:rsidR="002E627B">
        <w:rPr>
          <w:rFonts w:ascii="Times New Roman" w:hAnsi="Times New Roman" w:cs="Times New Roman"/>
        </w:rPr>
        <w:t xml:space="preserve"> relevant </w:t>
      </w:r>
      <w:r w:rsidRPr="00455EB3">
        <w:rPr>
          <w:rFonts w:ascii="Times New Roman" w:hAnsi="Times New Roman" w:cs="Times New Roman"/>
        </w:rPr>
        <w:t xml:space="preserve">finding </w:t>
      </w:r>
      <w:r w:rsidR="00E36AD5">
        <w:rPr>
          <w:rFonts w:ascii="Times New Roman" w:hAnsi="Times New Roman" w:cs="Times New Roman"/>
        </w:rPr>
        <w:t>concerning</w:t>
      </w:r>
      <w:r w:rsidRPr="00455EB3">
        <w:rPr>
          <w:rFonts w:ascii="Times New Roman" w:hAnsi="Times New Roman" w:cs="Times New Roman"/>
        </w:rPr>
        <w:t xml:space="preserve"> support for the AML regime, at least in principle. Contrary to our initial expectations, there was </w:t>
      </w:r>
      <w:r w:rsidR="00BA195C">
        <w:rPr>
          <w:rFonts w:ascii="Times New Roman" w:hAnsi="Times New Roman" w:cs="Times New Roman"/>
        </w:rPr>
        <w:t>significant</w:t>
      </w:r>
      <w:r w:rsidR="00BA195C" w:rsidRPr="00455EB3">
        <w:rPr>
          <w:rFonts w:ascii="Times New Roman" w:hAnsi="Times New Roman" w:cs="Times New Roman"/>
        </w:rPr>
        <w:t xml:space="preserve"> </w:t>
      </w:r>
      <w:r w:rsidRPr="00455EB3">
        <w:rPr>
          <w:rFonts w:ascii="Times New Roman" w:hAnsi="Times New Roman" w:cs="Times New Roman"/>
        </w:rPr>
        <w:t>support for AML obligations and the role of EAs as important gatekeepers. Many interviewees felt that they had an important role to play as part of ‘the first line of defence’.</w:t>
      </w:r>
      <w:r w:rsidRPr="00455EB3">
        <w:rPr>
          <w:rStyle w:val="FootnoteReference"/>
          <w:rFonts w:ascii="Times New Roman" w:hAnsi="Times New Roman" w:cs="Times New Roman"/>
        </w:rPr>
        <w:footnoteReference w:id="250"/>
      </w:r>
      <w:r w:rsidRPr="00455EB3">
        <w:rPr>
          <w:rFonts w:ascii="Times New Roman" w:hAnsi="Times New Roman" w:cs="Times New Roman"/>
        </w:rPr>
        <w:t xml:space="preserve"> Thus, criticism of the AML regime related more to practical hurdles and/or burdens, rather than the issue of whether EAs have a role to play in AML. Notably, the one-size-fits-all approach was criticised</w:t>
      </w:r>
      <w:r w:rsidR="00567514" w:rsidRPr="00455EB3">
        <w:rPr>
          <w:rFonts w:ascii="Times New Roman" w:hAnsi="Times New Roman" w:cs="Times New Roman"/>
        </w:rPr>
        <w:t>,</w:t>
      </w:r>
      <w:r w:rsidRPr="00455EB3">
        <w:rPr>
          <w:rFonts w:ascii="Times New Roman" w:hAnsi="Times New Roman" w:cs="Times New Roman"/>
        </w:rPr>
        <w:t xml:space="preserve"> and a recurring theme was that obligations imposed upon EAs do not adequately take account of the lived realities of how estate agency business operates. This final quote aptly sums up the feeling of many: ‘</w:t>
      </w:r>
      <w:r w:rsidRPr="00455EB3">
        <w:rPr>
          <w:rFonts w:ascii="Times New Roman" w:hAnsi="Times New Roman" w:cs="Times New Roman"/>
          <w:lang w:val="en-US"/>
        </w:rPr>
        <w:t>it’s a drag, it’s horrible, it’s aggravation, but I get it and we do it - we have to do it</w:t>
      </w:r>
      <w:r w:rsidRPr="00455EB3">
        <w:rPr>
          <w:rFonts w:ascii="Times New Roman" w:hAnsi="Times New Roman" w:cs="Times New Roman"/>
        </w:rPr>
        <w:t>’.</w:t>
      </w:r>
      <w:r w:rsidRPr="00455EB3">
        <w:rPr>
          <w:rStyle w:val="FootnoteReference"/>
          <w:rFonts w:ascii="Times New Roman" w:hAnsi="Times New Roman" w:cs="Times New Roman"/>
        </w:rPr>
        <w:footnoteReference w:id="251"/>
      </w:r>
    </w:p>
    <w:p w14:paraId="1930CE70" w14:textId="418FA5FE" w:rsidR="00BD4885" w:rsidRPr="00455EB3" w:rsidRDefault="00DF6B88" w:rsidP="00AB4266">
      <w:pPr>
        <w:ind w:firstLine="720"/>
        <w:jc w:val="both"/>
        <w:rPr>
          <w:rFonts w:ascii="Times New Roman" w:hAnsi="Times New Roman" w:cs="Times New Roman"/>
        </w:rPr>
      </w:pPr>
      <w:r>
        <w:rPr>
          <w:rFonts w:ascii="Times New Roman" w:hAnsi="Times New Roman" w:cs="Times New Roman"/>
        </w:rPr>
        <w:t xml:space="preserve">Future research on the topic </w:t>
      </w:r>
      <w:r w:rsidR="00A34AE4">
        <w:rPr>
          <w:rFonts w:ascii="Times New Roman" w:hAnsi="Times New Roman" w:cs="Times New Roman"/>
        </w:rPr>
        <w:t>of AML implementation</w:t>
      </w:r>
      <w:r w:rsidR="00BA195C">
        <w:rPr>
          <w:rFonts w:ascii="Times New Roman" w:hAnsi="Times New Roman" w:cs="Times New Roman"/>
        </w:rPr>
        <w:t>, and associated challenges,</w:t>
      </w:r>
      <w:r w:rsidR="00A34AE4">
        <w:rPr>
          <w:rFonts w:ascii="Times New Roman" w:hAnsi="Times New Roman" w:cs="Times New Roman"/>
        </w:rPr>
        <w:t xml:space="preserve"> in the UK real estate market </w:t>
      </w:r>
      <w:r w:rsidR="00AD3986">
        <w:rPr>
          <w:rFonts w:ascii="Times New Roman" w:hAnsi="Times New Roman" w:cs="Times New Roman"/>
        </w:rPr>
        <w:t xml:space="preserve">could focus </w:t>
      </w:r>
      <w:r w:rsidR="00091658">
        <w:rPr>
          <w:rFonts w:ascii="Times New Roman" w:hAnsi="Times New Roman" w:cs="Times New Roman"/>
        </w:rPr>
        <w:t>on</w:t>
      </w:r>
      <w:r w:rsidR="00AD3986">
        <w:rPr>
          <w:rFonts w:ascii="Times New Roman" w:hAnsi="Times New Roman" w:cs="Times New Roman"/>
        </w:rPr>
        <w:t xml:space="preserve"> two aspects that </w:t>
      </w:r>
      <w:r w:rsidR="00A34AE4">
        <w:rPr>
          <w:rFonts w:ascii="Times New Roman" w:hAnsi="Times New Roman" w:cs="Times New Roman"/>
        </w:rPr>
        <w:t>are not</w:t>
      </w:r>
      <w:r w:rsidR="00AD3986">
        <w:rPr>
          <w:rFonts w:ascii="Times New Roman" w:hAnsi="Times New Roman" w:cs="Times New Roman"/>
        </w:rPr>
        <w:t xml:space="preserve"> </w:t>
      </w:r>
      <w:r w:rsidR="00017C79">
        <w:rPr>
          <w:rFonts w:ascii="Times New Roman" w:hAnsi="Times New Roman" w:cs="Times New Roman"/>
        </w:rPr>
        <w:t>within</w:t>
      </w:r>
      <w:r w:rsidR="00AD3986">
        <w:rPr>
          <w:rFonts w:ascii="Times New Roman" w:hAnsi="Times New Roman" w:cs="Times New Roman"/>
        </w:rPr>
        <w:t xml:space="preserve"> the scope of this article</w:t>
      </w:r>
      <w:r w:rsidR="0025601B">
        <w:rPr>
          <w:rFonts w:ascii="Times New Roman" w:hAnsi="Times New Roman" w:cs="Times New Roman"/>
        </w:rPr>
        <w:t>,</w:t>
      </w:r>
      <w:r w:rsidR="009531A7">
        <w:rPr>
          <w:rFonts w:ascii="Times New Roman" w:hAnsi="Times New Roman" w:cs="Times New Roman"/>
        </w:rPr>
        <w:t xml:space="preserve"> but that could be investigated as independent stream</w:t>
      </w:r>
      <w:r w:rsidR="000F546E">
        <w:rPr>
          <w:rFonts w:ascii="Times New Roman" w:hAnsi="Times New Roman" w:cs="Times New Roman"/>
        </w:rPr>
        <w:t>s</w:t>
      </w:r>
      <w:r w:rsidR="009531A7">
        <w:rPr>
          <w:rFonts w:ascii="Times New Roman" w:hAnsi="Times New Roman" w:cs="Times New Roman"/>
        </w:rPr>
        <w:t xml:space="preserve"> of </w:t>
      </w:r>
      <w:r w:rsidR="000F546E">
        <w:rPr>
          <w:rFonts w:ascii="Times New Roman" w:hAnsi="Times New Roman" w:cs="Times New Roman"/>
        </w:rPr>
        <w:t>research</w:t>
      </w:r>
      <w:r w:rsidR="00AD3986">
        <w:rPr>
          <w:rFonts w:ascii="Times New Roman" w:hAnsi="Times New Roman" w:cs="Times New Roman"/>
        </w:rPr>
        <w:t>.</w:t>
      </w:r>
      <w:r w:rsidR="005A6923">
        <w:rPr>
          <w:rFonts w:ascii="Times New Roman" w:hAnsi="Times New Roman" w:cs="Times New Roman"/>
        </w:rPr>
        <w:t xml:space="preserve"> </w:t>
      </w:r>
      <w:r w:rsidR="00091658">
        <w:rPr>
          <w:rFonts w:ascii="Times New Roman" w:hAnsi="Times New Roman" w:cs="Times New Roman"/>
        </w:rPr>
        <w:t>First</w:t>
      </w:r>
      <w:r w:rsidR="00AD3986">
        <w:rPr>
          <w:rFonts w:ascii="Times New Roman" w:hAnsi="Times New Roman" w:cs="Times New Roman"/>
        </w:rPr>
        <w:t xml:space="preserve">, the </w:t>
      </w:r>
      <w:r w:rsidR="00BC1588">
        <w:rPr>
          <w:rFonts w:ascii="Times New Roman" w:hAnsi="Times New Roman" w:cs="Times New Roman"/>
        </w:rPr>
        <w:t xml:space="preserve">question </w:t>
      </w:r>
      <w:r w:rsidR="004E7452">
        <w:rPr>
          <w:rFonts w:ascii="Times New Roman" w:hAnsi="Times New Roman" w:cs="Times New Roman"/>
        </w:rPr>
        <w:t xml:space="preserve">of </w:t>
      </w:r>
      <w:r w:rsidR="00BC1588">
        <w:rPr>
          <w:rFonts w:ascii="Times New Roman" w:hAnsi="Times New Roman" w:cs="Times New Roman"/>
        </w:rPr>
        <w:t>self-regulation of EAs</w:t>
      </w:r>
      <w:r w:rsidR="00BA195C">
        <w:rPr>
          <w:rFonts w:ascii="Times New Roman" w:hAnsi="Times New Roman" w:cs="Times New Roman"/>
        </w:rPr>
        <w:t xml:space="preserve"> (and indeed other sectors)</w:t>
      </w:r>
      <w:r w:rsidR="00D04E9D">
        <w:rPr>
          <w:rFonts w:ascii="Times New Roman" w:hAnsi="Times New Roman" w:cs="Times New Roman"/>
        </w:rPr>
        <w:t xml:space="preserve"> </w:t>
      </w:r>
      <w:r w:rsidR="00017C79">
        <w:rPr>
          <w:rFonts w:ascii="Times New Roman" w:hAnsi="Times New Roman" w:cs="Times New Roman"/>
        </w:rPr>
        <w:t>persists</w:t>
      </w:r>
      <w:r w:rsidR="00D04E9D">
        <w:rPr>
          <w:rFonts w:ascii="Times New Roman" w:hAnsi="Times New Roman" w:cs="Times New Roman"/>
        </w:rPr>
        <w:t xml:space="preserve">. It would be especially interesting to evaluate the role of self-regulation </w:t>
      </w:r>
      <w:r w:rsidR="00FC675B">
        <w:rPr>
          <w:rFonts w:ascii="Times New Roman" w:hAnsi="Times New Roman" w:cs="Times New Roman"/>
        </w:rPr>
        <w:t xml:space="preserve">for compliance purposes and to what extent this might </w:t>
      </w:r>
      <w:r w:rsidR="00D65DE7">
        <w:rPr>
          <w:rFonts w:ascii="Times New Roman" w:hAnsi="Times New Roman" w:cs="Times New Roman"/>
        </w:rPr>
        <w:t xml:space="preserve">have an impact on the implementation of AML regulation by private actors. </w:t>
      </w:r>
      <w:r w:rsidR="00626526">
        <w:rPr>
          <w:rFonts w:ascii="Times New Roman" w:hAnsi="Times New Roman" w:cs="Times New Roman"/>
        </w:rPr>
        <w:t xml:space="preserve">Indeed, as demonstrated in our study, EAs are often left </w:t>
      </w:r>
      <w:r w:rsidR="005A7805">
        <w:rPr>
          <w:rFonts w:ascii="Times New Roman" w:hAnsi="Times New Roman" w:cs="Times New Roman"/>
        </w:rPr>
        <w:t>to decide the best approach to fulfil their AML obligations</w:t>
      </w:r>
      <w:r w:rsidR="003225E9">
        <w:rPr>
          <w:rFonts w:ascii="Times New Roman" w:hAnsi="Times New Roman" w:cs="Times New Roman"/>
        </w:rPr>
        <w:t>,</w:t>
      </w:r>
      <w:r w:rsidR="005A7805">
        <w:rPr>
          <w:rFonts w:ascii="Times New Roman" w:hAnsi="Times New Roman" w:cs="Times New Roman"/>
        </w:rPr>
        <w:t xml:space="preserve"> and this creates </w:t>
      </w:r>
      <w:r w:rsidR="005A2249">
        <w:rPr>
          <w:rFonts w:ascii="Times New Roman" w:hAnsi="Times New Roman" w:cs="Times New Roman"/>
        </w:rPr>
        <w:t xml:space="preserve">a quite </w:t>
      </w:r>
      <w:r w:rsidR="00DF0B20">
        <w:rPr>
          <w:rFonts w:ascii="Times New Roman" w:hAnsi="Times New Roman" w:cs="Times New Roman"/>
        </w:rPr>
        <w:t>scattered</w:t>
      </w:r>
      <w:r w:rsidR="005A2249">
        <w:rPr>
          <w:rFonts w:ascii="Times New Roman" w:hAnsi="Times New Roman" w:cs="Times New Roman"/>
        </w:rPr>
        <w:t xml:space="preserve"> </w:t>
      </w:r>
      <w:r w:rsidR="00BA195C">
        <w:rPr>
          <w:rFonts w:ascii="Times New Roman" w:hAnsi="Times New Roman" w:cs="Times New Roman"/>
        </w:rPr>
        <w:t xml:space="preserve">picture </w:t>
      </w:r>
      <w:r w:rsidR="003225E9">
        <w:rPr>
          <w:rFonts w:ascii="Times New Roman" w:hAnsi="Times New Roman" w:cs="Times New Roman"/>
        </w:rPr>
        <w:t xml:space="preserve">with </w:t>
      </w:r>
      <w:r w:rsidR="00DF0B20">
        <w:rPr>
          <w:rFonts w:ascii="Times New Roman" w:hAnsi="Times New Roman" w:cs="Times New Roman"/>
        </w:rPr>
        <w:t xml:space="preserve">many variations </w:t>
      </w:r>
      <w:r w:rsidR="00DC3B9E">
        <w:rPr>
          <w:rFonts w:ascii="Times New Roman" w:hAnsi="Times New Roman" w:cs="Times New Roman"/>
        </w:rPr>
        <w:t>in the sector</w:t>
      </w:r>
      <w:r w:rsidR="00F44D54">
        <w:rPr>
          <w:rFonts w:ascii="Times New Roman" w:hAnsi="Times New Roman" w:cs="Times New Roman"/>
        </w:rPr>
        <w:t xml:space="preserve"> and initiatives adopted independently from legislative </w:t>
      </w:r>
      <w:r w:rsidR="00BA195C">
        <w:rPr>
          <w:rFonts w:ascii="Times New Roman" w:hAnsi="Times New Roman" w:cs="Times New Roman"/>
        </w:rPr>
        <w:t>requirements</w:t>
      </w:r>
      <w:r w:rsidR="00DC3B9E">
        <w:rPr>
          <w:rFonts w:ascii="Times New Roman" w:hAnsi="Times New Roman" w:cs="Times New Roman"/>
        </w:rPr>
        <w:t>.</w:t>
      </w:r>
      <w:r w:rsidR="00DF0B20">
        <w:rPr>
          <w:rFonts w:ascii="Times New Roman" w:hAnsi="Times New Roman" w:cs="Times New Roman"/>
        </w:rPr>
        <w:t xml:space="preserve"> </w:t>
      </w:r>
      <w:r w:rsidR="00D65DE7">
        <w:rPr>
          <w:rFonts w:ascii="Times New Roman" w:hAnsi="Times New Roman" w:cs="Times New Roman"/>
        </w:rPr>
        <w:t xml:space="preserve">Second, </w:t>
      </w:r>
      <w:r w:rsidR="003A35A4">
        <w:rPr>
          <w:rFonts w:ascii="Times New Roman" w:hAnsi="Times New Roman" w:cs="Times New Roman"/>
        </w:rPr>
        <w:t xml:space="preserve">attention could be given to the existence of possible differences </w:t>
      </w:r>
      <w:r w:rsidR="00FD20FD">
        <w:rPr>
          <w:rFonts w:ascii="Times New Roman" w:hAnsi="Times New Roman" w:cs="Times New Roman"/>
        </w:rPr>
        <w:t xml:space="preserve">among EAs in relation to reputational incentives based on their </w:t>
      </w:r>
      <w:r w:rsidR="00BA195C">
        <w:rPr>
          <w:rFonts w:ascii="Times New Roman" w:hAnsi="Times New Roman" w:cs="Times New Roman"/>
        </w:rPr>
        <w:t xml:space="preserve">role </w:t>
      </w:r>
      <w:r w:rsidR="000C2861">
        <w:rPr>
          <w:rFonts w:ascii="Times New Roman" w:hAnsi="Times New Roman" w:cs="Times New Roman"/>
        </w:rPr>
        <w:t>as buying</w:t>
      </w:r>
      <w:r w:rsidR="00BA195C">
        <w:rPr>
          <w:rFonts w:ascii="Times New Roman" w:hAnsi="Times New Roman" w:cs="Times New Roman"/>
        </w:rPr>
        <w:t>,</w:t>
      </w:r>
      <w:r w:rsidR="000C2861">
        <w:rPr>
          <w:rFonts w:ascii="Times New Roman" w:hAnsi="Times New Roman" w:cs="Times New Roman"/>
        </w:rPr>
        <w:t xml:space="preserve"> selling</w:t>
      </w:r>
      <w:r w:rsidR="00BA195C">
        <w:rPr>
          <w:rFonts w:ascii="Times New Roman" w:hAnsi="Times New Roman" w:cs="Times New Roman"/>
        </w:rPr>
        <w:t>, or letting</w:t>
      </w:r>
      <w:r w:rsidR="000C2861">
        <w:rPr>
          <w:rFonts w:ascii="Times New Roman" w:hAnsi="Times New Roman" w:cs="Times New Roman"/>
        </w:rPr>
        <w:t xml:space="preserve"> agents. In this sense, </w:t>
      </w:r>
      <w:r w:rsidR="00A3327B">
        <w:rPr>
          <w:rFonts w:ascii="Times New Roman" w:hAnsi="Times New Roman" w:cs="Times New Roman"/>
        </w:rPr>
        <w:t>future research</w:t>
      </w:r>
      <w:r w:rsidR="00E14C4F">
        <w:rPr>
          <w:rFonts w:ascii="Times New Roman" w:hAnsi="Times New Roman" w:cs="Times New Roman"/>
        </w:rPr>
        <w:t xml:space="preserve"> might </w:t>
      </w:r>
      <w:r w:rsidR="007176F0">
        <w:rPr>
          <w:rFonts w:ascii="Times New Roman" w:hAnsi="Times New Roman" w:cs="Times New Roman"/>
        </w:rPr>
        <w:t>analyse</w:t>
      </w:r>
      <w:r w:rsidR="00BD4885">
        <w:rPr>
          <w:rFonts w:ascii="Times New Roman" w:hAnsi="Times New Roman" w:cs="Times New Roman"/>
        </w:rPr>
        <w:t xml:space="preserve"> </w:t>
      </w:r>
      <w:r w:rsidR="003D4EF1">
        <w:rPr>
          <w:rFonts w:ascii="Times New Roman" w:hAnsi="Times New Roman" w:cs="Times New Roman"/>
        </w:rPr>
        <w:t xml:space="preserve">if and how </w:t>
      </w:r>
      <w:r w:rsidR="006B71FA">
        <w:rPr>
          <w:rFonts w:ascii="Times New Roman" w:hAnsi="Times New Roman" w:cs="Times New Roman"/>
        </w:rPr>
        <w:t>AML compliance varies</w:t>
      </w:r>
      <w:r w:rsidR="003D4EF1">
        <w:rPr>
          <w:rFonts w:ascii="Times New Roman" w:hAnsi="Times New Roman" w:cs="Times New Roman"/>
        </w:rPr>
        <w:t xml:space="preserve"> when different types </w:t>
      </w:r>
      <w:r w:rsidR="006F47B8">
        <w:rPr>
          <w:rFonts w:ascii="Times New Roman" w:hAnsi="Times New Roman" w:cs="Times New Roman"/>
        </w:rPr>
        <w:t xml:space="preserve">of </w:t>
      </w:r>
      <w:r w:rsidR="003D4EF1">
        <w:rPr>
          <w:rFonts w:ascii="Times New Roman" w:hAnsi="Times New Roman" w:cs="Times New Roman"/>
        </w:rPr>
        <w:t xml:space="preserve">EAs are involved in a property transaction, especially </w:t>
      </w:r>
      <w:r w:rsidR="007176F0">
        <w:rPr>
          <w:rFonts w:ascii="Times New Roman" w:hAnsi="Times New Roman" w:cs="Times New Roman"/>
        </w:rPr>
        <w:lastRenderedPageBreak/>
        <w:t xml:space="preserve">looking at the effects that </w:t>
      </w:r>
      <w:r w:rsidR="00BC06B5">
        <w:rPr>
          <w:rFonts w:ascii="Times New Roman" w:hAnsi="Times New Roman" w:cs="Times New Roman"/>
        </w:rPr>
        <w:t xml:space="preserve">the fulfilment of AML obligations might have on the relationship with customers. </w:t>
      </w:r>
      <w:r w:rsidR="00BE72EE">
        <w:rPr>
          <w:rFonts w:ascii="Times New Roman" w:hAnsi="Times New Roman" w:cs="Times New Roman"/>
        </w:rPr>
        <w:t xml:space="preserve">However, this type of research would </w:t>
      </w:r>
      <w:r w:rsidR="004A41FB">
        <w:rPr>
          <w:rFonts w:ascii="Times New Roman" w:hAnsi="Times New Roman" w:cs="Times New Roman"/>
        </w:rPr>
        <w:t>require</w:t>
      </w:r>
      <w:r w:rsidR="00BE72EE">
        <w:rPr>
          <w:rFonts w:ascii="Times New Roman" w:hAnsi="Times New Roman" w:cs="Times New Roman"/>
        </w:rPr>
        <w:t xml:space="preserve"> a </w:t>
      </w:r>
      <w:r w:rsidR="00D570CA">
        <w:rPr>
          <w:rFonts w:ascii="Times New Roman" w:hAnsi="Times New Roman" w:cs="Times New Roman"/>
        </w:rPr>
        <w:t xml:space="preserve">large data set with </w:t>
      </w:r>
      <w:r w:rsidR="00074DB0">
        <w:rPr>
          <w:rFonts w:ascii="Times New Roman" w:hAnsi="Times New Roman" w:cs="Times New Roman"/>
        </w:rPr>
        <w:t>many interviews and opinions gathered from the sector.</w:t>
      </w:r>
      <w:r w:rsidR="0084066E">
        <w:rPr>
          <w:rFonts w:ascii="Times New Roman" w:hAnsi="Times New Roman" w:cs="Times New Roman"/>
        </w:rPr>
        <w:t xml:space="preserve"> Indeed, only with an extensive amount of data would </w:t>
      </w:r>
      <w:r w:rsidR="006F47B8">
        <w:rPr>
          <w:rFonts w:ascii="Times New Roman" w:hAnsi="Times New Roman" w:cs="Times New Roman"/>
        </w:rPr>
        <w:t xml:space="preserve">it </w:t>
      </w:r>
      <w:r w:rsidR="0084066E">
        <w:rPr>
          <w:rFonts w:ascii="Times New Roman" w:hAnsi="Times New Roman" w:cs="Times New Roman"/>
        </w:rPr>
        <w:t xml:space="preserve">be possible to identify </w:t>
      </w:r>
      <w:r w:rsidR="00C62B44">
        <w:rPr>
          <w:rFonts w:ascii="Times New Roman" w:hAnsi="Times New Roman" w:cs="Times New Roman"/>
        </w:rPr>
        <w:t xml:space="preserve">significant findings and make relevant considerations as to the </w:t>
      </w:r>
      <w:r w:rsidR="00E545D9">
        <w:rPr>
          <w:rFonts w:ascii="Times New Roman" w:hAnsi="Times New Roman" w:cs="Times New Roman"/>
        </w:rPr>
        <w:t>topic.</w:t>
      </w:r>
    </w:p>
    <w:sectPr w:rsidR="00BD4885" w:rsidRPr="00455EB3" w:rsidSect="00E433B8">
      <w:headerReference w:type="default" r:id="rId13"/>
      <w:footerReference w:type="default" r:id="rId14"/>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3BD6F" w14:textId="77777777" w:rsidR="00C82391" w:rsidRDefault="00C82391" w:rsidP="00186EC1">
      <w:r>
        <w:separator/>
      </w:r>
    </w:p>
  </w:endnote>
  <w:endnote w:type="continuationSeparator" w:id="0">
    <w:p w14:paraId="35C3DA7E" w14:textId="77777777" w:rsidR="00C82391" w:rsidRDefault="00C82391" w:rsidP="00186EC1">
      <w:r>
        <w:continuationSeparator/>
      </w:r>
    </w:p>
  </w:endnote>
  <w:endnote w:type="continuationNotice" w:id="1">
    <w:p w14:paraId="1DBE4D63" w14:textId="77777777" w:rsidR="00C82391" w:rsidRDefault="00C823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f3">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648696"/>
      <w:docPartObj>
        <w:docPartGallery w:val="Page Numbers (Bottom of Page)"/>
        <w:docPartUnique/>
      </w:docPartObj>
    </w:sdtPr>
    <w:sdtEndPr>
      <w:rPr>
        <w:noProof/>
      </w:rPr>
    </w:sdtEndPr>
    <w:sdtContent>
      <w:p w14:paraId="37605640" w14:textId="6B332987" w:rsidR="002D68DE" w:rsidRDefault="002D68DE">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444E9A8C" w14:textId="77777777" w:rsidR="002D68DE" w:rsidRDefault="002D6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17411" w14:textId="77777777" w:rsidR="00C82391" w:rsidRDefault="00C82391" w:rsidP="00186EC1">
      <w:r>
        <w:separator/>
      </w:r>
    </w:p>
  </w:footnote>
  <w:footnote w:type="continuationSeparator" w:id="0">
    <w:p w14:paraId="47438AF1" w14:textId="77777777" w:rsidR="00C82391" w:rsidRDefault="00C82391" w:rsidP="00186EC1">
      <w:r>
        <w:continuationSeparator/>
      </w:r>
    </w:p>
  </w:footnote>
  <w:footnote w:type="continuationNotice" w:id="1">
    <w:p w14:paraId="09674CC2" w14:textId="77777777" w:rsidR="00C82391" w:rsidRDefault="00C82391"/>
  </w:footnote>
  <w:footnote w:id="2">
    <w:p w14:paraId="0AC8817E" w14:textId="3E153530" w:rsidR="00AB4266" w:rsidRDefault="00AB4266" w:rsidP="00AB4266">
      <w:pPr>
        <w:pStyle w:val="FootnoteText"/>
      </w:pPr>
      <w:r>
        <w:rPr>
          <w:rStyle w:val="FootnoteReference"/>
        </w:rPr>
        <w:footnoteRef/>
      </w:r>
      <w:r>
        <w:t xml:space="preserve"> University of Leeds and University of London, respectively. Contact email: </w:t>
      </w:r>
      <w:hyperlink r:id="rId1" w:history="1">
        <w:r w:rsidRPr="00645FD5">
          <w:rPr>
            <w:rStyle w:val="Hyperlink"/>
          </w:rPr>
          <w:t>colin.king@sas.ac.uk</w:t>
        </w:r>
      </w:hyperlink>
      <w:r>
        <w:t xml:space="preserve"> </w:t>
      </w:r>
    </w:p>
  </w:footnote>
  <w:footnote w:id="3">
    <w:p w14:paraId="16CFFC8A" w14:textId="324BFC7A" w:rsidR="00C07067" w:rsidRPr="003C2762" w:rsidRDefault="002D68DE"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For wider discussion about effectiveness, see K. Getz, ‘The Effectiveness of Global Prohibition Regimes: Corruption and the Antibribery Convention’ (2006) 45 </w:t>
      </w:r>
      <w:r w:rsidRPr="003C2762">
        <w:rPr>
          <w:rFonts w:ascii="Times New Roman" w:hAnsi="Times New Roman" w:cs="Times New Roman"/>
          <w:i/>
        </w:rPr>
        <w:t>Business and Society</w:t>
      </w:r>
      <w:r w:rsidRPr="003C2762">
        <w:rPr>
          <w:rFonts w:ascii="Times New Roman" w:hAnsi="Times New Roman" w:cs="Times New Roman"/>
        </w:rPr>
        <w:t xml:space="preserve"> 254. In the specific context of AML see, for instance, R.F. Pol, ‘Anti-money laundering effectiveness: assessing outcomes or ticking boxes?’ (2018) 21 </w:t>
      </w:r>
      <w:r w:rsidRPr="003C2762">
        <w:rPr>
          <w:rFonts w:ascii="Times New Roman" w:hAnsi="Times New Roman" w:cs="Times New Roman"/>
          <w:i/>
          <w:iCs/>
        </w:rPr>
        <w:t xml:space="preserve">Journal of Money Laundering Control </w:t>
      </w:r>
      <w:r w:rsidRPr="003C2762">
        <w:rPr>
          <w:rFonts w:ascii="Times New Roman" w:hAnsi="Times New Roman" w:cs="Times New Roman"/>
        </w:rPr>
        <w:t>215</w:t>
      </w:r>
      <w:r w:rsidR="00C07067">
        <w:rPr>
          <w:rFonts w:ascii="Times New Roman" w:hAnsi="Times New Roman" w:cs="Times New Roman"/>
        </w:rPr>
        <w:t xml:space="preserve">; </w:t>
      </w:r>
      <w:r w:rsidR="00C07067" w:rsidRPr="00C07067">
        <w:rPr>
          <w:rFonts w:ascii="Times New Roman" w:hAnsi="Times New Roman" w:cs="Times New Roman"/>
        </w:rPr>
        <w:t>B</w:t>
      </w:r>
      <w:r w:rsidR="00C07067">
        <w:rPr>
          <w:rFonts w:ascii="Times New Roman" w:hAnsi="Times New Roman" w:cs="Times New Roman"/>
        </w:rPr>
        <w:t>. Unger</w:t>
      </w:r>
      <w:r w:rsidR="00C07067" w:rsidRPr="00C07067">
        <w:rPr>
          <w:rFonts w:ascii="Times New Roman" w:hAnsi="Times New Roman" w:cs="Times New Roman"/>
        </w:rPr>
        <w:t xml:space="preserve"> et al, </w:t>
      </w:r>
      <w:r w:rsidR="00C07067" w:rsidRPr="00C07067">
        <w:rPr>
          <w:rFonts w:ascii="Times New Roman" w:hAnsi="Times New Roman" w:cs="Times New Roman"/>
          <w:i/>
        </w:rPr>
        <w:t>The Economic and Legal Effectiveness of the European Union’s Anti-Money Laundering Policy</w:t>
      </w:r>
      <w:r w:rsidR="00C07067" w:rsidRPr="00C07067">
        <w:rPr>
          <w:rFonts w:ascii="Times New Roman" w:hAnsi="Times New Roman" w:cs="Times New Roman"/>
        </w:rPr>
        <w:t xml:space="preserve"> (Edward Elgar, 2014).</w:t>
      </w:r>
    </w:p>
  </w:footnote>
  <w:footnote w:id="4">
    <w:p w14:paraId="4FC3C9BE" w14:textId="05A0A5DB"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On the compliance activities of actors in the AML regime, see A. </w:t>
      </w:r>
      <w:proofErr w:type="spellStart"/>
      <w:r w:rsidRPr="003C2762">
        <w:rPr>
          <w:rFonts w:ascii="Times New Roman" w:hAnsi="Times New Roman" w:cs="Times New Roman"/>
        </w:rPr>
        <w:t>Verhage</w:t>
      </w:r>
      <w:proofErr w:type="spellEnd"/>
      <w:r w:rsidRPr="003C2762">
        <w:rPr>
          <w:rFonts w:ascii="Times New Roman" w:hAnsi="Times New Roman" w:cs="Times New Roman"/>
        </w:rPr>
        <w:t xml:space="preserve">, </w:t>
      </w:r>
      <w:r w:rsidRPr="003C2762">
        <w:rPr>
          <w:rFonts w:ascii="Times New Roman" w:hAnsi="Times New Roman" w:cs="Times New Roman"/>
          <w:i/>
          <w:iCs/>
        </w:rPr>
        <w:t>The Anti Money Laundering Complex and the Compliance Industry</w:t>
      </w:r>
      <w:r w:rsidRPr="003C2762">
        <w:rPr>
          <w:rFonts w:ascii="Times New Roman" w:hAnsi="Times New Roman" w:cs="Times New Roman"/>
        </w:rPr>
        <w:t xml:space="preserve"> (Oxon: Routledge, 2011).</w:t>
      </w:r>
    </w:p>
  </w:footnote>
  <w:footnote w:id="5">
    <w:p w14:paraId="19916780" w14:textId="2BEAEFD7"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On AML compliance in different sectors and countries, see C. </w:t>
      </w:r>
      <w:proofErr w:type="spellStart"/>
      <w:r w:rsidRPr="003C2762">
        <w:rPr>
          <w:rFonts w:ascii="Times New Roman" w:hAnsi="Times New Roman" w:cs="Times New Roman"/>
        </w:rPr>
        <w:t>Verdugo</w:t>
      </w:r>
      <w:proofErr w:type="spellEnd"/>
      <w:r w:rsidRPr="003C2762">
        <w:rPr>
          <w:rFonts w:ascii="Times New Roman" w:hAnsi="Times New Roman" w:cs="Times New Roman"/>
        </w:rPr>
        <w:t xml:space="preserve"> </w:t>
      </w:r>
      <w:proofErr w:type="spellStart"/>
      <w:r w:rsidRPr="003C2762">
        <w:rPr>
          <w:rFonts w:ascii="Times New Roman" w:hAnsi="Times New Roman" w:cs="Times New Roman"/>
        </w:rPr>
        <w:t>Yepes</w:t>
      </w:r>
      <w:proofErr w:type="spellEnd"/>
      <w:r w:rsidRPr="003C2762">
        <w:rPr>
          <w:rFonts w:ascii="Times New Roman" w:hAnsi="Times New Roman" w:cs="Times New Roman"/>
        </w:rPr>
        <w:t xml:space="preserve">, ‘Compliance with the AML/CFT International Standard: Lessons from a Cross-Country Analysis’ (2011) </w:t>
      </w:r>
      <w:r w:rsidRPr="003C2762">
        <w:rPr>
          <w:rFonts w:ascii="Times New Roman" w:hAnsi="Times New Roman" w:cs="Times New Roman"/>
          <w:i/>
          <w:iCs/>
        </w:rPr>
        <w:t xml:space="preserve">IMF Working Papers </w:t>
      </w:r>
      <w:r w:rsidRPr="003C2762">
        <w:rPr>
          <w:rFonts w:ascii="Times New Roman" w:hAnsi="Times New Roman" w:cs="Times New Roman"/>
        </w:rPr>
        <w:t xml:space="preserve">1; A. </w:t>
      </w:r>
      <w:proofErr w:type="spellStart"/>
      <w:r w:rsidRPr="003C2762">
        <w:rPr>
          <w:rFonts w:ascii="Times New Roman" w:hAnsi="Times New Roman" w:cs="Times New Roman"/>
        </w:rPr>
        <w:t>Verhage</w:t>
      </w:r>
      <w:proofErr w:type="spellEnd"/>
      <w:r w:rsidRPr="003C2762">
        <w:rPr>
          <w:rFonts w:ascii="Times New Roman" w:hAnsi="Times New Roman" w:cs="Times New Roman"/>
        </w:rPr>
        <w:t xml:space="preserve">, </w:t>
      </w:r>
      <w:r w:rsidRPr="003C2762">
        <w:rPr>
          <w:rFonts w:ascii="Times New Roman" w:hAnsi="Times New Roman" w:cs="Times New Roman"/>
          <w:i/>
          <w:iCs/>
        </w:rPr>
        <w:t xml:space="preserve">The </w:t>
      </w:r>
      <w:proofErr w:type="spellStart"/>
      <w:r w:rsidRPr="003C2762">
        <w:rPr>
          <w:rFonts w:ascii="Times New Roman" w:hAnsi="Times New Roman" w:cs="Times New Roman"/>
          <w:i/>
          <w:iCs/>
        </w:rPr>
        <w:t>anti money</w:t>
      </w:r>
      <w:proofErr w:type="spellEnd"/>
      <w:r w:rsidRPr="003C2762">
        <w:rPr>
          <w:rFonts w:ascii="Times New Roman" w:hAnsi="Times New Roman" w:cs="Times New Roman"/>
          <w:i/>
          <w:iCs/>
        </w:rPr>
        <w:t xml:space="preserve"> laundering complex and the compliance industry </w:t>
      </w:r>
      <w:r w:rsidRPr="003C2762">
        <w:rPr>
          <w:rFonts w:ascii="Times New Roman" w:hAnsi="Times New Roman" w:cs="Times New Roman"/>
        </w:rPr>
        <w:t>(Oxon: Routledge, 2011).</w:t>
      </w:r>
    </w:p>
  </w:footnote>
  <w:footnote w:id="6">
    <w:p w14:paraId="2236BB4A" w14:textId="6ACB8373" w:rsidR="00957101" w:rsidRPr="009824ED" w:rsidRDefault="00957101" w:rsidP="00AB4266">
      <w:pPr>
        <w:pStyle w:val="FootnoteText"/>
        <w:jc w:val="both"/>
        <w:rPr>
          <w:rFonts w:ascii="Times New Roman" w:hAnsi="Times New Roman" w:cs="Times New Roman"/>
          <w:color w:val="FFFFFF"/>
        </w:rPr>
      </w:pPr>
      <w:r w:rsidRPr="003C2762">
        <w:rPr>
          <w:rStyle w:val="FootnoteReference"/>
          <w:rFonts w:ascii="Times New Roman" w:hAnsi="Times New Roman" w:cs="Times New Roman"/>
        </w:rPr>
        <w:footnoteRef/>
      </w:r>
      <w:r w:rsidRPr="003C2762">
        <w:rPr>
          <w:rFonts w:ascii="Times New Roman" w:hAnsi="Times New Roman" w:cs="Times New Roman"/>
        </w:rPr>
        <w:t xml:space="preserve"> For an overview of the current framework</w:t>
      </w:r>
      <w:r w:rsidR="00110508" w:rsidRPr="003C2762">
        <w:rPr>
          <w:rFonts w:ascii="Times New Roman" w:hAnsi="Times New Roman" w:cs="Times New Roman"/>
        </w:rPr>
        <w:t xml:space="preserve"> and how it relates to estate agents</w:t>
      </w:r>
      <w:r w:rsidRPr="003C2762">
        <w:rPr>
          <w:rFonts w:ascii="Times New Roman" w:hAnsi="Times New Roman" w:cs="Times New Roman"/>
        </w:rPr>
        <w:t xml:space="preserve">, see HMRC, </w:t>
      </w:r>
      <w:r w:rsidRPr="003C2762">
        <w:rPr>
          <w:rFonts w:ascii="Times New Roman" w:hAnsi="Times New Roman" w:cs="Times New Roman"/>
          <w:i/>
        </w:rPr>
        <w:t>Estate agency business guidance for money laundering supervision</w:t>
      </w:r>
      <w:r w:rsidRPr="003C2762">
        <w:rPr>
          <w:rFonts w:ascii="Times New Roman" w:hAnsi="Times New Roman" w:cs="Times New Roman"/>
        </w:rPr>
        <w:t xml:space="preserve"> (Updated October 2020).</w:t>
      </w:r>
    </w:p>
  </w:footnote>
  <w:footnote w:id="7">
    <w:p w14:paraId="717A45D8" w14:textId="382DA2E5"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Money Laundering, Terrorist Financing and Transfer of Funds (Information on the Payer) Regulations 2017.</w:t>
      </w:r>
    </w:p>
  </w:footnote>
  <w:footnote w:id="8">
    <w:p w14:paraId="405A69BA" w14:textId="480DD74C"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T.R. Tyler, </w:t>
      </w:r>
      <w:r w:rsidRPr="003C2762">
        <w:rPr>
          <w:rFonts w:ascii="Times New Roman" w:hAnsi="Times New Roman" w:cs="Times New Roman"/>
          <w:i/>
          <w:iCs/>
        </w:rPr>
        <w:t>Why People Obey the Law</w:t>
      </w:r>
      <w:r w:rsidRPr="003C2762">
        <w:rPr>
          <w:rFonts w:ascii="Times New Roman" w:hAnsi="Times New Roman" w:cs="Times New Roman"/>
        </w:rPr>
        <w:t xml:space="preserve"> (New Haven: Yale University Press, 1990); J. Sunshine and T.R. Tyler, ‘The Role of Procedural Justice and Legitimacy in Shaping Public Support for Policing’ (2003) 37 </w:t>
      </w:r>
      <w:r w:rsidRPr="003C2762">
        <w:rPr>
          <w:rFonts w:ascii="Times New Roman" w:hAnsi="Times New Roman" w:cs="Times New Roman"/>
          <w:i/>
          <w:iCs/>
        </w:rPr>
        <w:t>Law &amp; Society Review</w:t>
      </w:r>
      <w:r w:rsidRPr="003C2762">
        <w:rPr>
          <w:rFonts w:ascii="Times New Roman" w:hAnsi="Times New Roman" w:cs="Times New Roman"/>
        </w:rPr>
        <w:t xml:space="preserve"> 513. For scepticism on whether there is correlation between procedurally just treatment and perceived legitimacy/compliance, see D. Nagin and C. </w:t>
      </w:r>
      <w:proofErr w:type="spellStart"/>
      <w:r w:rsidRPr="003C2762">
        <w:rPr>
          <w:rFonts w:ascii="Times New Roman" w:hAnsi="Times New Roman" w:cs="Times New Roman"/>
        </w:rPr>
        <w:t>Telep</w:t>
      </w:r>
      <w:proofErr w:type="spellEnd"/>
      <w:r w:rsidRPr="003C2762">
        <w:rPr>
          <w:rFonts w:ascii="Times New Roman" w:hAnsi="Times New Roman" w:cs="Times New Roman"/>
        </w:rPr>
        <w:t xml:space="preserve">, ‘Procedural Justice and Legal Compliance’ (2017) 13 </w:t>
      </w:r>
      <w:r w:rsidRPr="003C2762">
        <w:rPr>
          <w:rFonts w:ascii="Times New Roman" w:hAnsi="Times New Roman" w:cs="Times New Roman"/>
          <w:i/>
          <w:iCs/>
        </w:rPr>
        <w:t>Annual Review of Law and Social Science</w:t>
      </w:r>
      <w:r w:rsidRPr="003C2762">
        <w:rPr>
          <w:rFonts w:ascii="Times New Roman" w:hAnsi="Times New Roman" w:cs="Times New Roman"/>
        </w:rPr>
        <w:t xml:space="preserve"> 5. In response, Tyler affirms that procedural justice is the ‘best available model’ and is supported by empirical research. He argues that from a policy perspective widespread reliance on procedural justice is justified: T.R. Tyler, ‘Procedural Justice and Policing: A Rush to Judgment?’ (2017) 13 </w:t>
      </w:r>
      <w:r w:rsidRPr="003C2762">
        <w:rPr>
          <w:rFonts w:ascii="Times New Roman" w:hAnsi="Times New Roman" w:cs="Times New Roman"/>
          <w:i/>
          <w:iCs/>
        </w:rPr>
        <w:t>Annual Review of Law and Social Science</w:t>
      </w:r>
      <w:r w:rsidRPr="003C2762">
        <w:rPr>
          <w:rFonts w:ascii="Times New Roman" w:hAnsi="Times New Roman" w:cs="Times New Roman"/>
        </w:rPr>
        <w:t xml:space="preserve"> 29.</w:t>
      </w:r>
    </w:p>
  </w:footnote>
  <w:footnote w:id="9">
    <w:p w14:paraId="43E7502C" w14:textId="560957EC"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A related consideration is whether people question the legitimacy of relevant laws, such as AML. For wider discussion, see K. Murphy, T.R. Tyler, and A. Curtis, ‘Nurturing Regulatory Compliance: Is Procedural Justice Effective When People Question the Legitimacy of the Law?’ (2009) 3 </w:t>
      </w:r>
      <w:r w:rsidRPr="003C2762">
        <w:rPr>
          <w:rFonts w:ascii="Times New Roman" w:hAnsi="Times New Roman" w:cs="Times New Roman"/>
          <w:i/>
          <w:iCs/>
        </w:rPr>
        <w:t>Regulation and Governance</w:t>
      </w:r>
      <w:r w:rsidRPr="003C2762">
        <w:rPr>
          <w:rFonts w:ascii="Times New Roman" w:hAnsi="Times New Roman" w:cs="Times New Roman"/>
        </w:rPr>
        <w:t xml:space="preserve"> 1.</w:t>
      </w:r>
    </w:p>
  </w:footnote>
  <w:footnote w:id="10">
    <w:p w14:paraId="4D9B759E" w14:textId="025800F0"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P. Alldridge, </w:t>
      </w:r>
      <w:r w:rsidRPr="003C2762">
        <w:rPr>
          <w:rFonts w:ascii="Times New Roman" w:hAnsi="Times New Roman" w:cs="Times New Roman"/>
          <w:i/>
          <w:iCs/>
        </w:rPr>
        <w:t>What Went Wrong with Money Laundering Law?</w:t>
      </w:r>
      <w:r w:rsidRPr="003C2762">
        <w:rPr>
          <w:rFonts w:ascii="Times New Roman" w:hAnsi="Times New Roman" w:cs="Times New Roman"/>
        </w:rPr>
        <w:t xml:space="preserve"> (London: Palgrave Macmillan, 2016); A. </w:t>
      </w:r>
      <w:proofErr w:type="spellStart"/>
      <w:r w:rsidRPr="003C2762">
        <w:rPr>
          <w:rFonts w:ascii="Times New Roman" w:hAnsi="Times New Roman" w:cs="Times New Roman"/>
        </w:rPr>
        <w:t>Verhage</w:t>
      </w:r>
      <w:proofErr w:type="spellEnd"/>
      <w:r w:rsidRPr="003C2762">
        <w:rPr>
          <w:rFonts w:ascii="Times New Roman" w:hAnsi="Times New Roman" w:cs="Times New Roman"/>
        </w:rPr>
        <w:t xml:space="preserve">, ‘Great Expectations </w:t>
      </w:r>
      <w:proofErr w:type="gramStart"/>
      <w:r w:rsidRPr="003C2762">
        <w:rPr>
          <w:rFonts w:ascii="Times New Roman" w:hAnsi="Times New Roman" w:cs="Times New Roman"/>
        </w:rPr>
        <w:t>But</w:t>
      </w:r>
      <w:proofErr w:type="gramEnd"/>
      <w:r w:rsidRPr="003C2762">
        <w:rPr>
          <w:rFonts w:ascii="Times New Roman" w:hAnsi="Times New Roman" w:cs="Times New Roman"/>
        </w:rPr>
        <w:t xml:space="preserve"> Little Evidence: Policing Money Laundering’ (2017) 37 </w:t>
      </w:r>
      <w:r w:rsidRPr="003C2762">
        <w:rPr>
          <w:rFonts w:ascii="Times New Roman" w:hAnsi="Times New Roman" w:cs="Times New Roman"/>
          <w:i/>
          <w:iCs/>
        </w:rPr>
        <w:t>International Journal of Sociology and Social Policy</w:t>
      </w:r>
      <w:r w:rsidRPr="003C2762">
        <w:rPr>
          <w:rFonts w:ascii="Times New Roman" w:hAnsi="Times New Roman" w:cs="Times New Roman"/>
        </w:rPr>
        <w:t xml:space="preserve"> 477; P. van Duyne, J. Harvey, and L. </w:t>
      </w:r>
      <w:proofErr w:type="spellStart"/>
      <w:r w:rsidRPr="003C2762">
        <w:rPr>
          <w:rFonts w:ascii="Times New Roman" w:hAnsi="Times New Roman" w:cs="Times New Roman"/>
        </w:rPr>
        <w:t>Gelemerova</w:t>
      </w:r>
      <w:proofErr w:type="spellEnd"/>
      <w:r w:rsidRPr="003C2762">
        <w:rPr>
          <w:rFonts w:ascii="Times New Roman" w:hAnsi="Times New Roman" w:cs="Times New Roman"/>
        </w:rPr>
        <w:t xml:space="preserve">, </w:t>
      </w:r>
      <w:r w:rsidRPr="003C2762">
        <w:rPr>
          <w:rFonts w:ascii="Times New Roman" w:hAnsi="Times New Roman" w:cs="Times New Roman"/>
          <w:i/>
          <w:iCs/>
        </w:rPr>
        <w:t xml:space="preserve">The Critical Handbook of Money Laundering: Policy, Analysis and Myths </w:t>
      </w:r>
      <w:r w:rsidRPr="003C2762">
        <w:rPr>
          <w:rFonts w:ascii="Times New Roman" w:hAnsi="Times New Roman" w:cs="Times New Roman"/>
        </w:rPr>
        <w:t>(London: Palgrave Macmillan, 2018).</w:t>
      </w:r>
    </w:p>
  </w:footnote>
  <w:footnote w:id="11">
    <w:p w14:paraId="2BED09B1" w14:textId="676FBC38"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r w:rsidRPr="003C2762">
        <w:rPr>
          <w:rFonts w:ascii="Times New Roman" w:eastAsia="Times New Roman" w:hAnsi="Times New Roman" w:cs="Times New Roman"/>
        </w:rPr>
        <w:t xml:space="preserve">In the AML context, it is increasingly recognised that private actors ‘are not only responsible for implementing AML rules but also affect the content of governance’. See E. </w:t>
      </w:r>
      <w:proofErr w:type="spellStart"/>
      <w:r w:rsidRPr="003C2762">
        <w:rPr>
          <w:rFonts w:ascii="Times New Roman" w:eastAsia="Times New Roman" w:hAnsi="Times New Roman" w:cs="Times New Roman"/>
        </w:rPr>
        <w:t>Tsingou</w:t>
      </w:r>
      <w:proofErr w:type="spellEnd"/>
      <w:r w:rsidRPr="003C2762">
        <w:rPr>
          <w:rFonts w:ascii="Times New Roman" w:eastAsia="Times New Roman" w:hAnsi="Times New Roman" w:cs="Times New Roman"/>
        </w:rPr>
        <w:t xml:space="preserve">, ‘New Governors on the Block: The Rise of Anti-Money Laundering Professionals’ (2018) 69 </w:t>
      </w:r>
      <w:r w:rsidRPr="003C2762">
        <w:rPr>
          <w:rFonts w:ascii="Times New Roman" w:eastAsia="Times New Roman" w:hAnsi="Times New Roman" w:cs="Times New Roman"/>
          <w:i/>
          <w:iCs/>
        </w:rPr>
        <w:t>Crime, Law and Social Change</w:t>
      </w:r>
      <w:r w:rsidRPr="003C2762">
        <w:rPr>
          <w:rFonts w:ascii="Times New Roman" w:eastAsia="Times New Roman" w:hAnsi="Times New Roman" w:cs="Times New Roman"/>
        </w:rPr>
        <w:t xml:space="preserve"> 191. Moreover, there have been some concerns that regulators have adopted a light-touch approach in supervision and enforcement (though contrast recent activity, partly as a response to such criticism and concerns regarding the property sector: HMRC, </w:t>
      </w:r>
      <w:r w:rsidRPr="003C2762">
        <w:rPr>
          <w:rFonts w:ascii="Times New Roman" w:eastAsia="Times New Roman" w:hAnsi="Times New Roman" w:cs="Times New Roman"/>
          <w:i/>
          <w:iCs/>
        </w:rPr>
        <w:t>Estate agents targeted in money laundering crackdown</w:t>
      </w:r>
      <w:r w:rsidRPr="003C2762">
        <w:rPr>
          <w:rFonts w:ascii="Times New Roman" w:eastAsia="Times New Roman" w:hAnsi="Times New Roman" w:cs="Times New Roman"/>
        </w:rPr>
        <w:t xml:space="preserve"> (March, 2019)). While it is important that policymakers and regulators do take into consideration the experiences of </w:t>
      </w:r>
      <w:proofErr w:type="spellStart"/>
      <w:r w:rsidRPr="003C2762">
        <w:rPr>
          <w:rFonts w:ascii="Times New Roman" w:eastAsia="Times New Roman" w:hAnsi="Times New Roman" w:cs="Times New Roman"/>
        </w:rPr>
        <w:t>regulatees</w:t>
      </w:r>
      <w:proofErr w:type="spellEnd"/>
      <w:r w:rsidRPr="003C2762">
        <w:rPr>
          <w:rFonts w:ascii="Times New Roman" w:eastAsia="Times New Roman" w:hAnsi="Times New Roman" w:cs="Times New Roman"/>
        </w:rPr>
        <w:t>, not least to ensure legitimacy of the AML regime, the views of such actors ought not necessarily be determinative.</w:t>
      </w:r>
    </w:p>
  </w:footnote>
  <w:footnote w:id="12">
    <w:p w14:paraId="1381D97D" w14:textId="550E2DC6"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G7, </w:t>
      </w:r>
      <w:r w:rsidRPr="003C2762">
        <w:rPr>
          <w:rFonts w:ascii="Times New Roman" w:hAnsi="Times New Roman" w:cs="Times New Roman"/>
          <w:i/>
          <w:iCs/>
        </w:rPr>
        <w:t>Economic Declaration</w:t>
      </w:r>
      <w:r w:rsidRPr="003C2762">
        <w:rPr>
          <w:rFonts w:ascii="Times New Roman" w:hAnsi="Times New Roman" w:cs="Times New Roman"/>
        </w:rPr>
        <w:t xml:space="preserve">, Paris Summit (16 July 1989), para 53. Examples of earlier AML efforts include, </w:t>
      </w:r>
      <w:r w:rsidRPr="003C2762">
        <w:rPr>
          <w:rFonts w:ascii="Times New Roman" w:hAnsi="Times New Roman" w:cs="Times New Roman"/>
          <w:i/>
        </w:rPr>
        <w:t>inter alia</w:t>
      </w:r>
      <w:r w:rsidRPr="003C2762">
        <w:rPr>
          <w:rFonts w:ascii="Times New Roman" w:hAnsi="Times New Roman" w:cs="Times New Roman"/>
        </w:rPr>
        <w:t xml:space="preserve">, the US Money Laundering Control Act 1986; the Vienna Convention 1988; and the Basel Committee, </w:t>
      </w:r>
      <w:r w:rsidRPr="003C2762">
        <w:rPr>
          <w:rFonts w:ascii="Times New Roman" w:hAnsi="Times New Roman" w:cs="Times New Roman"/>
          <w:i/>
          <w:iCs/>
        </w:rPr>
        <w:t>Prevention of Criminal Use of the Banking System for the Purpose of Money-Laundering</w:t>
      </w:r>
      <w:r w:rsidRPr="003C2762">
        <w:rPr>
          <w:rFonts w:ascii="Times New Roman" w:hAnsi="Times New Roman" w:cs="Times New Roman"/>
        </w:rPr>
        <w:t xml:space="preserve"> (December 1988).</w:t>
      </w:r>
    </w:p>
  </w:footnote>
  <w:footnote w:id="13">
    <w:p w14:paraId="778146BB" w14:textId="16F7DEE4"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These Recommendations were subsequently revised, and their current form is: </w:t>
      </w:r>
      <w:r w:rsidRPr="003C2762">
        <w:rPr>
          <w:rFonts w:ascii="Times New Roman" w:hAnsi="Times New Roman" w:cs="Times New Roman"/>
          <w:lang w:val="en-US"/>
        </w:rPr>
        <w:t xml:space="preserve">FATF, </w:t>
      </w:r>
      <w:r w:rsidRPr="003C2762">
        <w:rPr>
          <w:rFonts w:ascii="Times New Roman" w:hAnsi="Times New Roman" w:cs="Times New Roman"/>
          <w:i/>
          <w:lang w:val="en-US"/>
        </w:rPr>
        <w:t>International Standards on Combating Money Laundering and the Financing of Terrorism and Proliferation</w:t>
      </w:r>
      <w:r w:rsidRPr="003C2762">
        <w:rPr>
          <w:rFonts w:ascii="Times New Roman" w:hAnsi="Times New Roman" w:cs="Times New Roman"/>
          <w:lang w:val="en-US"/>
        </w:rPr>
        <w:t xml:space="preserve"> (2012-2020).</w:t>
      </w:r>
    </w:p>
  </w:footnote>
  <w:footnote w:id="14">
    <w:p w14:paraId="35836839" w14:textId="19FF153D"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European Council, </w:t>
      </w:r>
      <w:r w:rsidRPr="003C2762">
        <w:rPr>
          <w:rStyle w:val="Strong"/>
          <w:rFonts w:ascii="Times New Roman" w:hAnsi="Times New Roman" w:cs="Times New Roman"/>
          <w:b w:val="0"/>
        </w:rPr>
        <w:t>Council Directive of 10 June 1991 on prevention of the use of the financial system for the purpose of money laundering, 91/308/EEC, OJEC L166/77, 28 June 1991.</w:t>
      </w:r>
    </w:p>
  </w:footnote>
  <w:footnote w:id="15">
    <w:p w14:paraId="0D4228F4" w14:textId="50C0177D"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Directive 2001/97/EC of the European Parliament and of the Council of 4 December 2001 amending Council Directive 91/308/EEC on prevention of the use of the financial system for the purpose of money laundering, OJ L344/76, 28 December 2001.</w:t>
      </w:r>
    </w:p>
  </w:footnote>
  <w:footnote w:id="16">
    <w:p w14:paraId="4686A84A" w14:textId="42504445"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The list of regulated sectors continues to expand. For example, the</w:t>
      </w:r>
      <w:r w:rsidRPr="003C2762">
        <w:rPr>
          <w:rFonts w:ascii="Times New Roman" w:hAnsi="Times New Roman" w:cs="Times New Roman"/>
          <w:vertAlign w:val="superscript"/>
        </w:rPr>
        <w:t xml:space="preserve"> </w:t>
      </w:r>
      <w:r w:rsidRPr="003C2762">
        <w:rPr>
          <w:rFonts w:ascii="Times New Roman" w:hAnsi="Times New Roman" w:cs="Times New Roman"/>
        </w:rPr>
        <w:t xml:space="preserve">Fifth MLD extends AML obligations to, </w:t>
      </w:r>
      <w:r w:rsidRPr="003C2762">
        <w:rPr>
          <w:rFonts w:ascii="Times New Roman" w:hAnsi="Times New Roman" w:cs="Times New Roman"/>
          <w:i/>
        </w:rPr>
        <w:t>inter alia</w:t>
      </w:r>
      <w:r w:rsidRPr="003C2762">
        <w:rPr>
          <w:rFonts w:ascii="Times New Roman" w:hAnsi="Times New Roman" w:cs="Times New Roman"/>
        </w:rPr>
        <w:t>, letting agents, art dealers, providers engaged in exchange services between virtual and fiat currencies, and custodian wallet providers. See Directive (EU) 2018/843 of the European Parliament and of the Council of 30 May 2018 amending Directive (EU) 2015/849 on the prevention of the use of the financial system for the purposes of money laundering or terrorist financing, and amending Directives 2009/138/EC and 2013/36/EU, OJ L156/43, 19 June 2018, Art 1.</w:t>
      </w:r>
    </w:p>
  </w:footnote>
  <w:footnote w:id="17">
    <w:p w14:paraId="3E29CEBD" w14:textId="6085E47F"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See, for example, UN Office on Drugs and Crime, United Nations Convention against Corruption, UN GA Res 58/4, 31 October 2003, entered into force 14 December 2005.</w:t>
      </w:r>
    </w:p>
  </w:footnote>
  <w:footnote w:id="18">
    <w:p w14:paraId="64ED080B" w14:textId="0989D2C1"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J. Sharman, </w:t>
      </w:r>
      <w:r w:rsidRPr="003C2762">
        <w:rPr>
          <w:rFonts w:ascii="Times New Roman" w:hAnsi="Times New Roman" w:cs="Times New Roman"/>
          <w:i/>
        </w:rPr>
        <w:t>The Despot’s Guide to Wealth Management: On the International Campaign against Grand Corruption</w:t>
      </w:r>
      <w:r w:rsidRPr="003C2762">
        <w:rPr>
          <w:rFonts w:ascii="Times New Roman" w:hAnsi="Times New Roman" w:cs="Times New Roman"/>
        </w:rPr>
        <w:t xml:space="preserve"> (Ithaca: Cornell University Press, 2017) 6-7.</w:t>
      </w:r>
    </w:p>
  </w:footnote>
  <w:footnote w:id="19">
    <w:p w14:paraId="745A7099" w14:textId="5D9A7B6F"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r w:rsidRPr="003C2762">
        <w:rPr>
          <w:rFonts w:ascii="Times New Roman" w:hAnsi="Times New Roman" w:cs="Times New Roman"/>
          <w:i/>
          <w:iCs/>
        </w:rPr>
        <w:t>ibid</w:t>
      </w:r>
      <w:r w:rsidRPr="003C2762">
        <w:rPr>
          <w:rFonts w:ascii="Times New Roman" w:hAnsi="Times New Roman" w:cs="Times New Roman"/>
        </w:rPr>
        <w:t>, 17.</w:t>
      </w:r>
    </w:p>
  </w:footnote>
  <w:footnote w:id="20">
    <w:p w14:paraId="15BE75F4" w14:textId="4FD56557"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D. Cameron, Anti-Corruption Summit 2016: PM’s Closing Remarks (12 May 2016) at </w:t>
      </w:r>
      <w:hyperlink r:id="rId2" w:history="1">
        <w:r w:rsidRPr="003C2762">
          <w:rPr>
            <w:rStyle w:val="Hyperlink"/>
            <w:rFonts w:ascii="Times New Roman" w:hAnsi="Times New Roman" w:cs="Times New Roman"/>
            <w:color w:val="auto"/>
          </w:rPr>
          <w:t>https://www.gov.uk/government/speeches/anti-corruption-summit-2016-pms-closing-remarks</w:t>
        </w:r>
      </w:hyperlink>
      <w:r w:rsidRPr="003C2762">
        <w:rPr>
          <w:rFonts w:ascii="Times New Roman" w:hAnsi="Times New Roman" w:cs="Times New Roman"/>
        </w:rPr>
        <w:t xml:space="preserve"> (last accessed 8 May 2020).</w:t>
      </w:r>
    </w:p>
  </w:footnote>
  <w:footnote w:id="21">
    <w:p w14:paraId="46BFCE38" w14:textId="489DAB26"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r w:rsidRPr="003C2762">
        <w:rPr>
          <w:rFonts w:ascii="Times New Roman" w:hAnsi="Times New Roman" w:cs="Times New Roman"/>
          <w:i/>
          <w:iCs/>
        </w:rPr>
        <w:t>ibid</w:t>
      </w:r>
      <w:r w:rsidRPr="003C2762">
        <w:rPr>
          <w:rFonts w:ascii="Times New Roman" w:hAnsi="Times New Roman" w:cs="Times New Roman"/>
        </w:rPr>
        <w:t>.</w:t>
      </w:r>
    </w:p>
  </w:footnote>
  <w:footnote w:id="22">
    <w:p w14:paraId="7CA7B948" w14:textId="308B9941"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Home Affairs Select Committee, </w:t>
      </w:r>
      <w:r w:rsidRPr="003C2762">
        <w:rPr>
          <w:rFonts w:ascii="Times New Roman" w:hAnsi="Times New Roman" w:cs="Times New Roman"/>
          <w:i/>
        </w:rPr>
        <w:t>Proceeds of Crime</w:t>
      </w:r>
      <w:r w:rsidRPr="003C2762">
        <w:rPr>
          <w:rFonts w:ascii="Times New Roman" w:hAnsi="Times New Roman" w:cs="Times New Roman"/>
        </w:rPr>
        <w:t xml:space="preserve">, HC 25 (2016-17). This claim was based on figures suggested by Transparency International during oral evidence. However, it must be acknowledged that it is virtually impossible to identify precisely the extent of money laundering. See M. Levi, P. Reuter and T. Halliday, ‘Can the AML System Be Evaluated Without Better Data?’ (2018) 69 </w:t>
      </w:r>
      <w:r w:rsidRPr="003C2762">
        <w:rPr>
          <w:rFonts w:ascii="Times New Roman" w:hAnsi="Times New Roman" w:cs="Times New Roman"/>
          <w:i/>
        </w:rPr>
        <w:t>Crime, Law and Social Change</w:t>
      </w:r>
      <w:r w:rsidRPr="003C2762">
        <w:rPr>
          <w:rFonts w:ascii="Times New Roman" w:hAnsi="Times New Roman" w:cs="Times New Roman"/>
        </w:rPr>
        <w:t xml:space="preserve"> 307.</w:t>
      </w:r>
    </w:p>
  </w:footnote>
  <w:footnote w:id="23">
    <w:p w14:paraId="74BAB91B" w14:textId="76831F43"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Transparency International UK and Thomson Reuters, </w:t>
      </w:r>
      <w:r w:rsidRPr="003C2762">
        <w:rPr>
          <w:rFonts w:ascii="Times New Roman" w:hAnsi="Times New Roman" w:cs="Times New Roman"/>
          <w:i/>
          <w:iCs/>
        </w:rPr>
        <w:t>London Property: A Top Destination for Money Launderer</w:t>
      </w:r>
      <w:r w:rsidRPr="003C2762">
        <w:rPr>
          <w:rFonts w:ascii="Times New Roman" w:hAnsi="Times New Roman" w:cs="Times New Roman"/>
        </w:rPr>
        <w:t>s (TI-UK, 2016).</w:t>
      </w:r>
    </w:p>
  </w:footnote>
  <w:footnote w:id="24">
    <w:p w14:paraId="3A5C25E3" w14:textId="70A255EB"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Home Affairs Select Committee, </w:t>
      </w:r>
      <w:r w:rsidRPr="003C2762">
        <w:rPr>
          <w:rFonts w:ascii="Times New Roman" w:hAnsi="Times New Roman" w:cs="Times New Roman"/>
          <w:i/>
        </w:rPr>
        <w:t>Proceeds of Crime</w:t>
      </w:r>
      <w:r w:rsidRPr="003C2762">
        <w:rPr>
          <w:rFonts w:ascii="Times New Roman" w:hAnsi="Times New Roman" w:cs="Times New Roman"/>
        </w:rPr>
        <w:t>, HC 25 (2016-17), para 61.</w:t>
      </w:r>
    </w:p>
  </w:footnote>
  <w:footnote w:id="25">
    <w:p w14:paraId="7C2650A6" w14:textId="35160D62"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Home Office, HM Revenue and Customs, and Ben Wallace MP, ‘Campaign to Prevent Properties Being Bought </w:t>
      </w:r>
      <w:proofErr w:type="gramStart"/>
      <w:r w:rsidRPr="003C2762">
        <w:rPr>
          <w:rFonts w:ascii="Times New Roman" w:hAnsi="Times New Roman" w:cs="Times New Roman"/>
        </w:rPr>
        <w:t>With</w:t>
      </w:r>
      <w:proofErr w:type="gramEnd"/>
      <w:r w:rsidRPr="003C2762">
        <w:rPr>
          <w:rFonts w:ascii="Times New Roman" w:hAnsi="Times New Roman" w:cs="Times New Roman"/>
        </w:rPr>
        <w:t xml:space="preserve"> Dirty Money’ (26 October 2018).</w:t>
      </w:r>
    </w:p>
  </w:footnote>
  <w:footnote w:id="26">
    <w:p w14:paraId="639DCE5A" w14:textId="2A0C3DDF"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Criminal Finances Act 2017, Part 1. For consideration of the first UWO, see </w:t>
      </w:r>
      <w:proofErr w:type="spellStart"/>
      <w:r w:rsidRPr="003C2762">
        <w:rPr>
          <w:rFonts w:ascii="Times New Roman" w:hAnsi="Times New Roman" w:cs="Times New Roman"/>
          <w:i/>
        </w:rPr>
        <w:t>Hajiyeva</w:t>
      </w:r>
      <w:proofErr w:type="spellEnd"/>
      <w:r w:rsidRPr="003C2762">
        <w:rPr>
          <w:rFonts w:ascii="Times New Roman" w:hAnsi="Times New Roman" w:cs="Times New Roman"/>
          <w:i/>
        </w:rPr>
        <w:t xml:space="preserve"> v National Crime Agency</w:t>
      </w:r>
      <w:r w:rsidRPr="003C2762">
        <w:rPr>
          <w:rFonts w:ascii="Times New Roman" w:hAnsi="Times New Roman" w:cs="Times New Roman"/>
        </w:rPr>
        <w:t xml:space="preserve"> [2020] EWCA </w:t>
      </w:r>
      <w:proofErr w:type="spellStart"/>
      <w:r w:rsidRPr="003C2762">
        <w:rPr>
          <w:rFonts w:ascii="Times New Roman" w:hAnsi="Times New Roman" w:cs="Times New Roman"/>
        </w:rPr>
        <w:t>Civ</w:t>
      </w:r>
      <w:proofErr w:type="spellEnd"/>
      <w:r w:rsidRPr="003C2762">
        <w:rPr>
          <w:rFonts w:ascii="Times New Roman" w:hAnsi="Times New Roman" w:cs="Times New Roman"/>
        </w:rPr>
        <w:t xml:space="preserve"> 108.</w:t>
      </w:r>
    </w:p>
  </w:footnote>
  <w:footnote w:id="27">
    <w:p w14:paraId="2EF9E598" w14:textId="0F40376A"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Money Laundering, Terrorist Financing and Transfer of Funds (Information on the Payer) Regulations 2017; Money Laundering and Terrorist Financing (Amendment) Regulations 2019.</w:t>
      </w:r>
    </w:p>
  </w:footnote>
  <w:footnote w:id="28">
    <w:p w14:paraId="71895BC5" w14:textId="53D213AC"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See National Crime Agency, </w:t>
      </w:r>
      <w:r w:rsidRPr="003C2762">
        <w:rPr>
          <w:rFonts w:ascii="Times New Roman" w:hAnsi="Times New Roman" w:cs="Times New Roman"/>
          <w:i/>
        </w:rPr>
        <w:t>Annual Plan 2018-19</w:t>
      </w:r>
      <w:r w:rsidRPr="003C2762">
        <w:rPr>
          <w:rFonts w:ascii="Times New Roman" w:hAnsi="Times New Roman" w:cs="Times New Roman"/>
        </w:rPr>
        <w:t>, 12.</w:t>
      </w:r>
    </w:p>
  </w:footnote>
  <w:footnote w:id="29">
    <w:p w14:paraId="3D929405" w14:textId="77DF8829"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Department for Business, Energy &amp; Industrial Strategy, </w:t>
      </w:r>
      <w:r w:rsidRPr="003C2762">
        <w:rPr>
          <w:rFonts w:ascii="Times New Roman" w:hAnsi="Times New Roman" w:cs="Times New Roman"/>
          <w:i/>
        </w:rPr>
        <w:t xml:space="preserve">Register of People with Significant Control: Guidance for Registered and Unregistered Companies, </w:t>
      </w:r>
      <w:proofErr w:type="spellStart"/>
      <w:r w:rsidRPr="003C2762">
        <w:rPr>
          <w:rFonts w:ascii="Times New Roman" w:hAnsi="Times New Roman" w:cs="Times New Roman"/>
          <w:i/>
        </w:rPr>
        <w:t>Societates</w:t>
      </w:r>
      <w:proofErr w:type="spellEnd"/>
      <w:r w:rsidRPr="003C2762">
        <w:rPr>
          <w:rFonts w:ascii="Times New Roman" w:hAnsi="Times New Roman" w:cs="Times New Roman"/>
          <w:i/>
        </w:rPr>
        <w:t xml:space="preserve"> </w:t>
      </w:r>
      <w:proofErr w:type="spellStart"/>
      <w:r w:rsidRPr="003C2762">
        <w:rPr>
          <w:rFonts w:ascii="Times New Roman" w:hAnsi="Times New Roman" w:cs="Times New Roman"/>
          <w:i/>
        </w:rPr>
        <w:t>Europaeae</w:t>
      </w:r>
      <w:proofErr w:type="spellEnd"/>
      <w:r w:rsidRPr="003C2762">
        <w:rPr>
          <w:rFonts w:ascii="Times New Roman" w:hAnsi="Times New Roman" w:cs="Times New Roman"/>
          <w:i/>
        </w:rPr>
        <w:t>, Limited Liability Partnerships, and Eligible Scottish Partnerships (Scottish Limited Partnerships and Scottish Qualifying Partnerships). Version 4</w:t>
      </w:r>
      <w:r w:rsidRPr="003C2762">
        <w:rPr>
          <w:rFonts w:ascii="Times New Roman" w:hAnsi="Times New Roman" w:cs="Times New Roman"/>
        </w:rPr>
        <w:t xml:space="preserve"> (June 2017).</w:t>
      </w:r>
    </w:p>
  </w:footnote>
  <w:footnote w:id="30">
    <w:p w14:paraId="3B455C9B" w14:textId="40F657AA"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See M.  Harris, ‘Anti-Money Laundering and Property: The Government Has Upped the Ante’, </w:t>
      </w:r>
      <w:r w:rsidRPr="003C2762">
        <w:rPr>
          <w:rFonts w:ascii="Times New Roman" w:hAnsi="Times New Roman" w:cs="Times New Roman"/>
          <w:i/>
        </w:rPr>
        <w:t>Estate Agent Today</w:t>
      </w:r>
      <w:r w:rsidRPr="003C2762">
        <w:rPr>
          <w:rFonts w:ascii="Times New Roman" w:hAnsi="Times New Roman" w:cs="Times New Roman"/>
        </w:rPr>
        <w:t xml:space="preserve"> (14 April 2018).</w:t>
      </w:r>
    </w:p>
  </w:footnote>
  <w:footnote w:id="31">
    <w:p w14:paraId="7894350D" w14:textId="27AC53A9"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See, for example, </w:t>
      </w:r>
      <w:proofErr w:type="spellStart"/>
      <w:r w:rsidRPr="003C2762">
        <w:rPr>
          <w:rFonts w:ascii="Times New Roman" w:hAnsi="Times New Roman" w:cs="Times New Roman"/>
        </w:rPr>
        <w:t>Austrac</w:t>
      </w:r>
      <w:proofErr w:type="spellEnd"/>
      <w:r w:rsidRPr="003C2762">
        <w:rPr>
          <w:rFonts w:ascii="Times New Roman" w:hAnsi="Times New Roman" w:cs="Times New Roman"/>
        </w:rPr>
        <w:t xml:space="preserve">, </w:t>
      </w:r>
      <w:r w:rsidRPr="003C2762">
        <w:rPr>
          <w:rFonts w:ascii="Times New Roman" w:hAnsi="Times New Roman" w:cs="Times New Roman"/>
          <w:i/>
        </w:rPr>
        <w:t>Strategic Analysis Brief: Money Laundering Through Real Estate</w:t>
      </w:r>
      <w:r w:rsidRPr="003C2762">
        <w:rPr>
          <w:rFonts w:ascii="Times New Roman" w:hAnsi="Times New Roman" w:cs="Times New Roman"/>
        </w:rPr>
        <w:t xml:space="preserve"> (</w:t>
      </w:r>
      <w:proofErr w:type="spellStart"/>
      <w:r w:rsidRPr="003C2762">
        <w:rPr>
          <w:rFonts w:ascii="Times New Roman" w:hAnsi="Times New Roman" w:cs="Times New Roman"/>
        </w:rPr>
        <w:t>Austrac</w:t>
      </w:r>
      <w:proofErr w:type="spellEnd"/>
      <w:r w:rsidRPr="003C2762">
        <w:rPr>
          <w:rFonts w:ascii="Times New Roman" w:hAnsi="Times New Roman" w:cs="Times New Roman"/>
        </w:rPr>
        <w:t xml:space="preserve">, 2015); M. Maloney, T. Somerville, and B. Unger, </w:t>
      </w:r>
      <w:r w:rsidRPr="003C2762">
        <w:rPr>
          <w:rFonts w:ascii="Times New Roman" w:hAnsi="Times New Roman" w:cs="Times New Roman"/>
          <w:i/>
        </w:rPr>
        <w:t>Combating Money Laundering in BC Real Estate</w:t>
      </w:r>
      <w:r w:rsidRPr="003C2762">
        <w:rPr>
          <w:rFonts w:ascii="Times New Roman" w:hAnsi="Times New Roman" w:cs="Times New Roman"/>
        </w:rPr>
        <w:t xml:space="preserve"> (Expert Panel on Money Laundering in BC Real Estate, 2019); Financial Crimes Enforcement Network, </w:t>
      </w:r>
      <w:r w:rsidRPr="003C2762">
        <w:rPr>
          <w:rFonts w:ascii="Times New Roman" w:hAnsi="Times New Roman" w:cs="Times New Roman"/>
          <w:i/>
        </w:rPr>
        <w:t>News Release – FinCEN Reissues Real Estate Geographic Targeting Orders for 12 Metropolitan Areas</w:t>
      </w:r>
      <w:r w:rsidRPr="003C2762">
        <w:rPr>
          <w:rFonts w:ascii="Times New Roman" w:hAnsi="Times New Roman" w:cs="Times New Roman"/>
        </w:rPr>
        <w:t xml:space="preserve"> (15 May 2019).</w:t>
      </w:r>
    </w:p>
  </w:footnote>
  <w:footnote w:id="32">
    <w:p w14:paraId="35EE5350" w14:textId="3F5312D8"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Transparency International UK, </w:t>
      </w:r>
      <w:r w:rsidRPr="003C2762">
        <w:rPr>
          <w:rFonts w:ascii="Times New Roman" w:hAnsi="Times New Roman" w:cs="Times New Roman"/>
          <w:i/>
        </w:rPr>
        <w:t>Faulty Towers: Understanding the Impact of Overseas Corruption on the London Property Market</w:t>
      </w:r>
      <w:r w:rsidRPr="003C2762">
        <w:rPr>
          <w:rFonts w:ascii="Times New Roman" w:hAnsi="Times New Roman" w:cs="Times New Roman"/>
        </w:rPr>
        <w:t xml:space="preserve"> (TI-UK, 2017).</w:t>
      </w:r>
    </w:p>
  </w:footnote>
  <w:footnote w:id="33">
    <w:p w14:paraId="11DB1FF7" w14:textId="6E0523A9"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P. </w:t>
      </w:r>
      <w:proofErr w:type="spellStart"/>
      <w:r w:rsidRPr="003C2762">
        <w:rPr>
          <w:rFonts w:ascii="Times New Roman" w:hAnsi="Times New Roman" w:cs="Times New Roman"/>
        </w:rPr>
        <w:t>Grabosky</w:t>
      </w:r>
      <w:proofErr w:type="spellEnd"/>
      <w:r w:rsidRPr="003C2762">
        <w:rPr>
          <w:rFonts w:ascii="Times New Roman" w:hAnsi="Times New Roman" w:cs="Times New Roman"/>
        </w:rPr>
        <w:t xml:space="preserve">, ‘On the Interface of Criminal Justice and Regulation’ in H. Quirk, T. Seddon, and G. Smith (eds), </w:t>
      </w:r>
      <w:r w:rsidRPr="003C2762">
        <w:rPr>
          <w:rFonts w:ascii="Times New Roman" w:hAnsi="Times New Roman" w:cs="Times New Roman"/>
          <w:i/>
        </w:rPr>
        <w:t>Regulation and Criminal Justice: Innovations in Policy and Research</w:t>
      </w:r>
      <w:r w:rsidRPr="003C2762">
        <w:rPr>
          <w:rFonts w:ascii="Times New Roman" w:hAnsi="Times New Roman" w:cs="Times New Roman"/>
        </w:rPr>
        <w:t xml:space="preserve"> (Cambridge: CUP, 2010) 83-84.</w:t>
      </w:r>
    </w:p>
  </w:footnote>
  <w:footnote w:id="34">
    <w:p w14:paraId="5CA76668" w14:textId="1C3AFEE1"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C. </w:t>
      </w:r>
      <w:proofErr w:type="spellStart"/>
      <w:r w:rsidRPr="003C2762">
        <w:rPr>
          <w:rFonts w:ascii="Times New Roman" w:hAnsi="Times New Roman" w:cs="Times New Roman"/>
        </w:rPr>
        <w:t>Veljanovski</w:t>
      </w:r>
      <w:proofErr w:type="spellEnd"/>
      <w:r w:rsidRPr="003C2762">
        <w:rPr>
          <w:rFonts w:ascii="Times New Roman" w:hAnsi="Times New Roman" w:cs="Times New Roman"/>
        </w:rPr>
        <w:t xml:space="preserve">, ‘Strategic Use of Regulation’ in R. Baldwin, M. Cave, and M. Lodge (eds), </w:t>
      </w:r>
      <w:r w:rsidRPr="003C2762">
        <w:rPr>
          <w:rFonts w:ascii="Times New Roman" w:hAnsi="Times New Roman" w:cs="Times New Roman"/>
          <w:i/>
        </w:rPr>
        <w:t>The Oxford Handbook of Regulation</w:t>
      </w:r>
      <w:r w:rsidRPr="003C2762">
        <w:rPr>
          <w:rFonts w:ascii="Times New Roman" w:hAnsi="Times New Roman" w:cs="Times New Roman"/>
        </w:rPr>
        <w:t xml:space="preserve"> (Oxford: OUP, 2010) 87.</w:t>
      </w:r>
    </w:p>
  </w:footnote>
  <w:footnote w:id="35">
    <w:p w14:paraId="511D6703" w14:textId="6D7F24CE"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However, in practice there is confusion as to the purpose of AML: see J. </w:t>
      </w:r>
      <w:proofErr w:type="spellStart"/>
      <w:r w:rsidRPr="003C2762">
        <w:rPr>
          <w:rFonts w:ascii="Times New Roman" w:hAnsi="Times New Roman" w:cs="Times New Roman"/>
        </w:rPr>
        <w:t>Ferwerda</w:t>
      </w:r>
      <w:proofErr w:type="spellEnd"/>
      <w:r w:rsidRPr="003C2762">
        <w:rPr>
          <w:rFonts w:ascii="Times New Roman" w:hAnsi="Times New Roman" w:cs="Times New Roman"/>
        </w:rPr>
        <w:t xml:space="preserve">, ‘The Effectiveness of Anti-Money Laundering Policy: A Cost-Benefit Perspective’ in C. King, C. Walker, and J. </w:t>
      </w:r>
      <w:proofErr w:type="spellStart"/>
      <w:r w:rsidRPr="003C2762">
        <w:rPr>
          <w:rFonts w:ascii="Times New Roman" w:hAnsi="Times New Roman" w:cs="Times New Roman"/>
        </w:rPr>
        <w:t>Gurulé</w:t>
      </w:r>
      <w:proofErr w:type="spellEnd"/>
      <w:r w:rsidRPr="003C2762">
        <w:rPr>
          <w:rFonts w:ascii="Times New Roman" w:hAnsi="Times New Roman" w:cs="Times New Roman"/>
        </w:rPr>
        <w:t xml:space="preserve"> (eds), </w:t>
      </w:r>
      <w:r w:rsidRPr="003C2762">
        <w:rPr>
          <w:rFonts w:ascii="Times New Roman" w:hAnsi="Times New Roman" w:cs="Times New Roman"/>
          <w:i/>
          <w:iCs/>
        </w:rPr>
        <w:t xml:space="preserve">The Palgrave Handbook of Criminal and Terrorism Financing Law </w:t>
      </w:r>
      <w:r w:rsidRPr="003C2762">
        <w:rPr>
          <w:rFonts w:ascii="Times New Roman" w:hAnsi="Times New Roman" w:cs="Times New Roman"/>
        </w:rPr>
        <w:t>(London: Palgrave Macmillan, 2018).</w:t>
      </w:r>
    </w:p>
  </w:footnote>
  <w:footnote w:id="36">
    <w:p w14:paraId="2C791298" w14:textId="07A8C3AB"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M. Bergstrom, K. Svedberg </w:t>
      </w:r>
      <w:proofErr w:type="spellStart"/>
      <w:r w:rsidRPr="003C2762">
        <w:rPr>
          <w:rFonts w:ascii="Times New Roman" w:hAnsi="Times New Roman" w:cs="Times New Roman"/>
        </w:rPr>
        <w:t>Helgesson</w:t>
      </w:r>
      <w:proofErr w:type="spellEnd"/>
      <w:r w:rsidRPr="003C2762">
        <w:rPr>
          <w:rFonts w:ascii="Times New Roman" w:hAnsi="Times New Roman" w:cs="Times New Roman"/>
        </w:rPr>
        <w:t xml:space="preserve">, and U. </w:t>
      </w:r>
      <w:proofErr w:type="spellStart"/>
      <w:r w:rsidRPr="003C2762">
        <w:rPr>
          <w:rFonts w:ascii="Times New Roman" w:hAnsi="Times New Roman" w:cs="Times New Roman"/>
        </w:rPr>
        <w:t>Morth</w:t>
      </w:r>
      <w:proofErr w:type="spellEnd"/>
      <w:r w:rsidRPr="003C2762">
        <w:rPr>
          <w:rFonts w:ascii="Times New Roman" w:hAnsi="Times New Roman" w:cs="Times New Roman"/>
        </w:rPr>
        <w:t xml:space="preserve">, ‘A New Role for For-Profit Actors? The Case of Anti-Money Laundering and Risk Management’ (2011) 49 </w:t>
      </w:r>
      <w:r w:rsidRPr="003C2762">
        <w:rPr>
          <w:rFonts w:ascii="Times New Roman" w:hAnsi="Times New Roman" w:cs="Times New Roman"/>
          <w:i/>
        </w:rPr>
        <w:t>Journal of Common Market Studies</w:t>
      </w:r>
      <w:r w:rsidRPr="003C2762">
        <w:rPr>
          <w:rFonts w:ascii="Times New Roman" w:hAnsi="Times New Roman" w:cs="Times New Roman"/>
        </w:rPr>
        <w:t xml:space="preserve"> 1043.</w:t>
      </w:r>
    </w:p>
  </w:footnote>
  <w:footnote w:id="37">
    <w:p w14:paraId="7F424CDB" w14:textId="70672067" w:rsidR="00957101" w:rsidRPr="003C2762" w:rsidRDefault="00957101" w:rsidP="00AB4266">
      <w:pPr>
        <w:pStyle w:val="NoSpacing"/>
        <w:jc w:val="both"/>
        <w:rPr>
          <w:rFonts w:ascii="Times New Roman" w:hAnsi="Times New Roman" w:cs="Times New Roman"/>
          <w:sz w:val="20"/>
          <w:szCs w:val="20"/>
        </w:rPr>
      </w:pPr>
      <w:r w:rsidRPr="003C2762">
        <w:rPr>
          <w:rStyle w:val="FootnoteReference"/>
          <w:rFonts w:ascii="Times New Roman" w:hAnsi="Times New Roman" w:cs="Times New Roman"/>
          <w:sz w:val="20"/>
          <w:szCs w:val="20"/>
        </w:rPr>
        <w:footnoteRef/>
      </w:r>
      <w:r w:rsidRPr="003C2762">
        <w:rPr>
          <w:rFonts w:ascii="Times New Roman" w:hAnsi="Times New Roman" w:cs="Times New Roman"/>
          <w:sz w:val="20"/>
          <w:szCs w:val="20"/>
        </w:rPr>
        <w:t xml:space="preserve"> V. Ramachandran, M. Collin, and M. </w:t>
      </w:r>
      <w:proofErr w:type="spellStart"/>
      <w:r w:rsidRPr="003C2762">
        <w:rPr>
          <w:rFonts w:ascii="Times New Roman" w:hAnsi="Times New Roman" w:cs="Times New Roman"/>
          <w:sz w:val="20"/>
          <w:szCs w:val="20"/>
        </w:rPr>
        <w:t>Juden</w:t>
      </w:r>
      <w:proofErr w:type="spellEnd"/>
      <w:r w:rsidRPr="003C2762">
        <w:rPr>
          <w:rFonts w:ascii="Times New Roman" w:hAnsi="Times New Roman" w:cs="Times New Roman"/>
          <w:sz w:val="20"/>
          <w:szCs w:val="20"/>
        </w:rPr>
        <w:t xml:space="preserve">, ‘De-Risking: An Unintended Negative Consequence of AML/CFT Regulation’ in C. King, C. Walker, and J. </w:t>
      </w:r>
      <w:proofErr w:type="spellStart"/>
      <w:r w:rsidRPr="003C2762">
        <w:rPr>
          <w:rFonts w:ascii="Times New Roman" w:hAnsi="Times New Roman" w:cs="Times New Roman"/>
          <w:sz w:val="20"/>
          <w:szCs w:val="20"/>
        </w:rPr>
        <w:t>Gurulé</w:t>
      </w:r>
      <w:proofErr w:type="spellEnd"/>
      <w:r w:rsidRPr="003C2762">
        <w:rPr>
          <w:rFonts w:ascii="Times New Roman" w:hAnsi="Times New Roman" w:cs="Times New Roman"/>
          <w:sz w:val="20"/>
          <w:szCs w:val="20"/>
        </w:rPr>
        <w:t xml:space="preserve"> (eds), </w:t>
      </w:r>
      <w:r w:rsidRPr="003C2762">
        <w:rPr>
          <w:rFonts w:ascii="Times New Roman" w:hAnsi="Times New Roman" w:cs="Times New Roman"/>
          <w:i/>
          <w:iCs/>
          <w:sz w:val="20"/>
          <w:szCs w:val="20"/>
        </w:rPr>
        <w:t xml:space="preserve">The Palgrave Handbook of Criminal and Terrorism Financing Law </w:t>
      </w:r>
      <w:r w:rsidRPr="003C2762">
        <w:rPr>
          <w:rFonts w:ascii="Times New Roman" w:hAnsi="Times New Roman" w:cs="Times New Roman"/>
          <w:sz w:val="20"/>
          <w:szCs w:val="20"/>
        </w:rPr>
        <w:t>(London: Palgrave Macmillan, 2018).</w:t>
      </w:r>
    </w:p>
  </w:footnote>
  <w:footnote w:id="38">
    <w:p w14:paraId="77BAC7AF" w14:textId="7659DE51"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See n 2 above</w:t>
      </w:r>
      <w:r w:rsidR="008F1B52">
        <w:rPr>
          <w:rFonts w:ascii="Times New Roman" w:hAnsi="Times New Roman" w:cs="Times New Roman"/>
        </w:rPr>
        <w:t>.</w:t>
      </w:r>
    </w:p>
  </w:footnote>
  <w:footnote w:id="39">
    <w:p w14:paraId="538B806E" w14:textId="661A4C68"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For instance, see K. Benson, </w:t>
      </w:r>
      <w:r w:rsidRPr="003C2762">
        <w:rPr>
          <w:rFonts w:ascii="Times New Roman" w:hAnsi="Times New Roman" w:cs="Times New Roman"/>
          <w:i/>
        </w:rPr>
        <w:t>Lawyers and the Proceeds of Crime: The Facilitation of Money Laundering and its Control</w:t>
      </w:r>
      <w:r w:rsidRPr="003C2762">
        <w:rPr>
          <w:rFonts w:ascii="Times New Roman" w:hAnsi="Times New Roman" w:cs="Times New Roman"/>
        </w:rPr>
        <w:t xml:space="preserve"> (Oxon: Routledge, 2020); B. Unger and J. </w:t>
      </w:r>
      <w:proofErr w:type="spellStart"/>
      <w:r w:rsidRPr="003C2762">
        <w:rPr>
          <w:rFonts w:ascii="Times New Roman" w:hAnsi="Times New Roman" w:cs="Times New Roman"/>
        </w:rPr>
        <w:t>Ferwerda</w:t>
      </w:r>
      <w:proofErr w:type="spellEnd"/>
      <w:r w:rsidRPr="003C2762">
        <w:rPr>
          <w:rFonts w:ascii="Times New Roman" w:hAnsi="Times New Roman" w:cs="Times New Roman"/>
        </w:rPr>
        <w:t xml:space="preserve">, </w:t>
      </w:r>
      <w:r w:rsidRPr="003C2762">
        <w:rPr>
          <w:rFonts w:ascii="Times New Roman" w:hAnsi="Times New Roman" w:cs="Times New Roman"/>
          <w:i/>
          <w:iCs/>
        </w:rPr>
        <w:t xml:space="preserve">Money Laundering in the Real Estate Sector: Suspicious Properties </w:t>
      </w:r>
      <w:r w:rsidRPr="003C2762">
        <w:rPr>
          <w:rFonts w:ascii="Times New Roman" w:hAnsi="Times New Roman" w:cs="Times New Roman"/>
        </w:rPr>
        <w:t>(Cheltenham: Edward Elgar, 2011).</w:t>
      </w:r>
    </w:p>
  </w:footnote>
  <w:footnote w:id="40">
    <w:p w14:paraId="2474D3E3" w14:textId="37558E1E" w:rsidR="00957101" w:rsidRPr="003C2762" w:rsidRDefault="00957101" w:rsidP="00AB4266">
      <w:pPr>
        <w:autoSpaceDE w:val="0"/>
        <w:autoSpaceDN w:val="0"/>
        <w:adjustRightInd w:val="0"/>
        <w:jc w:val="both"/>
        <w:rPr>
          <w:rFonts w:ascii="Times New Roman" w:hAnsi="Times New Roman" w:cs="Times New Roman"/>
          <w:sz w:val="20"/>
          <w:szCs w:val="20"/>
        </w:rPr>
      </w:pPr>
      <w:r w:rsidRPr="003C2762">
        <w:rPr>
          <w:rStyle w:val="FootnoteReference"/>
          <w:rFonts w:ascii="Times New Roman" w:hAnsi="Times New Roman" w:cs="Times New Roman"/>
          <w:sz w:val="20"/>
          <w:szCs w:val="20"/>
        </w:rPr>
        <w:footnoteRef/>
      </w:r>
      <w:r w:rsidRPr="003C2762">
        <w:rPr>
          <w:rFonts w:ascii="Times New Roman" w:hAnsi="Times New Roman" w:cs="Times New Roman"/>
          <w:sz w:val="20"/>
          <w:szCs w:val="20"/>
        </w:rPr>
        <w:t xml:space="preserve"> A classic example is the regulatory pyramid: I. Ayres and J. Braithwaite, </w:t>
      </w:r>
      <w:r w:rsidRPr="003C2762">
        <w:rPr>
          <w:rFonts w:ascii="Times New Roman" w:hAnsi="Times New Roman" w:cs="Times New Roman"/>
          <w:i/>
          <w:sz w:val="20"/>
          <w:szCs w:val="20"/>
        </w:rPr>
        <w:t>Responsive Regulation: Transcending the Deregulation Debate</w:t>
      </w:r>
      <w:r w:rsidRPr="003C2762">
        <w:rPr>
          <w:rFonts w:ascii="Times New Roman" w:hAnsi="Times New Roman" w:cs="Times New Roman"/>
          <w:sz w:val="20"/>
          <w:szCs w:val="20"/>
        </w:rPr>
        <w:t xml:space="preserve"> (New York: OUP, 1992). See also H.E. Jackson, ‘Variation in the Intensity of Financial Regulation: Preliminary Evidence and Potential Implications’ (2007) 24 </w:t>
      </w:r>
      <w:r w:rsidRPr="003C2762">
        <w:rPr>
          <w:rFonts w:ascii="Times New Roman" w:hAnsi="Times New Roman" w:cs="Times New Roman"/>
          <w:i/>
          <w:sz w:val="20"/>
          <w:szCs w:val="20"/>
        </w:rPr>
        <w:t>Yale Journal on Regulation</w:t>
      </w:r>
      <w:r w:rsidRPr="003C2762">
        <w:rPr>
          <w:rFonts w:ascii="Times New Roman" w:hAnsi="Times New Roman" w:cs="Times New Roman"/>
          <w:sz w:val="20"/>
          <w:szCs w:val="20"/>
        </w:rPr>
        <w:t xml:space="preserve"> 253.</w:t>
      </w:r>
    </w:p>
  </w:footnote>
  <w:footnote w:id="41">
    <w:p w14:paraId="30F17319" w14:textId="54A066E6"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See, for example, S.L. Schwarz, ‘Protecting Financial Markets: Lessons from the Subprime Mortgage Meltdown’ (2008) 93 </w:t>
      </w:r>
      <w:r w:rsidRPr="003C2762">
        <w:rPr>
          <w:rFonts w:ascii="Times New Roman" w:hAnsi="Times New Roman" w:cs="Times New Roman"/>
          <w:i/>
        </w:rPr>
        <w:t>Minnesota Law Review</w:t>
      </w:r>
      <w:r w:rsidRPr="003C2762">
        <w:rPr>
          <w:rFonts w:ascii="Times New Roman" w:hAnsi="Times New Roman" w:cs="Times New Roman"/>
        </w:rPr>
        <w:t xml:space="preserve"> 373.</w:t>
      </w:r>
    </w:p>
  </w:footnote>
  <w:footnote w:id="42">
    <w:p w14:paraId="39D9526F" w14:textId="2377B050"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Though there are notable exceptions such as C. Parker and V. Lehmann Nielson, ‘Do Businesses Take Compliance Systems Seriously – An Empirical Study of the Implementation of Trade Practices Compliance Systems in Australia’ (2006) 30 </w:t>
      </w:r>
      <w:r w:rsidRPr="003C2762">
        <w:rPr>
          <w:rFonts w:ascii="Times New Roman" w:hAnsi="Times New Roman" w:cs="Times New Roman"/>
          <w:i/>
        </w:rPr>
        <w:t>Melbourne University Law Review</w:t>
      </w:r>
      <w:r w:rsidRPr="003C2762">
        <w:rPr>
          <w:rFonts w:ascii="Times New Roman" w:hAnsi="Times New Roman" w:cs="Times New Roman"/>
        </w:rPr>
        <w:t xml:space="preserve"> 441.</w:t>
      </w:r>
    </w:p>
  </w:footnote>
  <w:footnote w:id="43">
    <w:p w14:paraId="613C49AF" w14:textId="01810147"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G.C. </w:t>
      </w:r>
      <w:proofErr w:type="spellStart"/>
      <w:r w:rsidRPr="003C2762">
        <w:rPr>
          <w:rFonts w:ascii="Times New Roman" w:hAnsi="Times New Roman" w:cs="Times New Roman"/>
        </w:rPr>
        <w:t>Gray</w:t>
      </w:r>
      <w:proofErr w:type="spellEnd"/>
      <w:r w:rsidRPr="003C2762">
        <w:rPr>
          <w:rFonts w:ascii="Times New Roman" w:hAnsi="Times New Roman" w:cs="Times New Roman"/>
        </w:rPr>
        <w:t xml:space="preserve"> and S.S. </w:t>
      </w:r>
      <w:proofErr w:type="spellStart"/>
      <w:r w:rsidRPr="003C2762">
        <w:rPr>
          <w:rFonts w:ascii="Times New Roman" w:hAnsi="Times New Roman" w:cs="Times New Roman"/>
        </w:rPr>
        <w:t>Silbey</w:t>
      </w:r>
      <w:proofErr w:type="spellEnd"/>
      <w:r w:rsidRPr="003C2762">
        <w:rPr>
          <w:rFonts w:ascii="Times New Roman" w:hAnsi="Times New Roman" w:cs="Times New Roman"/>
        </w:rPr>
        <w:t xml:space="preserve">, ‘The Other Side of the Compliance Relationship’ in C. Parker and V. Lehmann Nielsen (eds), </w:t>
      </w:r>
      <w:r w:rsidRPr="003C2762">
        <w:rPr>
          <w:rFonts w:ascii="Times New Roman" w:hAnsi="Times New Roman" w:cs="Times New Roman"/>
          <w:i/>
        </w:rPr>
        <w:t>Explaining Compliance: Business Responses to Regulation</w:t>
      </w:r>
      <w:r w:rsidRPr="003C2762">
        <w:rPr>
          <w:rFonts w:ascii="Times New Roman" w:hAnsi="Times New Roman" w:cs="Times New Roman"/>
        </w:rPr>
        <w:t xml:space="preserve"> (Cheltenham: Edward Elgar, 2011) 123.</w:t>
      </w:r>
    </w:p>
  </w:footnote>
  <w:footnote w:id="44">
    <w:p w14:paraId="183816B7" w14:textId="5EA92A87"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r w:rsidRPr="003C2762">
        <w:rPr>
          <w:rFonts w:ascii="Times New Roman" w:hAnsi="Times New Roman" w:cs="Times New Roman"/>
          <w:i/>
          <w:iCs/>
        </w:rPr>
        <w:t>ibid</w:t>
      </w:r>
      <w:r w:rsidRPr="003C2762">
        <w:rPr>
          <w:rFonts w:ascii="Times New Roman" w:hAnsi="Times New Roman" w:cs="Times New Roman"/>
        </w:rPr>
        <w:t>, 127.</w:t>
      </w:r>
    </w:p>
  </w:footnote>
  <w:footnote w:id="45">
    <w:p w14:paraId="41F28C46" w14:textId="26F55B98"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V. </w:t>
      </w:r>
      <w:proofErr w:type="spellStart"/>
      <w:r w:rsidRPr="003C2762">
        <w:rPr>
          <w:rFonts w:ascii="Times New Roman" w:hAnsi="Times New Roman" w:cs="Times New Roman"/>
        </w:rPr>
        <w:t>Iafolla</w:t>
      </w:r>
      <w:proofErr w:type="spellEnd"/>
      <w:r w:rsidRPr="003C2762">
        <w:rPr>
          <w:rFonts w:ascii="Times New Roman" w:hAnsi="Times New Roman" w:cs="Times New Roman"/>
        </w:rPr>
        <w:t xml:space="preserve">, ‘The Production of Suspicion in Retail Banking: An Examination of Unusual Transaction Reporting’ in C. King, C. Walker, and J. </w:t>
      </w:r>
      <w:proofErr w:type="spellStart"/>
      <w:r w:rsidRPr="003C2762">
        <w:rPr>
          <w:rFonts w:ascii="Times New Roman" w:hAnsi="Times New Roman" w:cs="Times New Roman"/>
        </w:rPr>
        <w:t>Gurulé</w:t>
      </w:r>
      <w:proofErr w:type="spellEnd"/>
      <w:r w:rsidRPr="003C2762">
        <w:rPr>
          <w:rFonts w:ascii="Times New Roman" w:hAnsi="Times New Roman" w:cs="Times New Roman"/>
        </w:rPr>
        <w:t xml:space="preserve"> (eds), </w:t>
      </w:r>
      <w:r w:rsidRPr="003C2762">
        <w:rPr>
          <w:rFonts w:ascii="Times New Roman" w:hAnsi="Times New Roman" w:cs="Times New Roman"/>
          <w:i/>
          <w:iCs/>
        </w:rPr>
        <w:t xml:space="preserve">The Palgrave Handbook of Criminal and Terrorism Financing Law </w:t>
      </w:r>
      <w:r w:rsidRPr="003C2762">
        <w:rPr>
          <w:rFonts w:ascii="Times New Roman" w:hAnsi="Times New Roman" w:cs="Times New Roman"/>
        </w:rPr>
        <w:t>(London: Palgrave Macmillan, 2018).</w:t>
      </w:r>
    </w:p>
  </w:footnote>
  <w:footnote w:id="46">
    <w:p w14:paraId="308EC265" w14:textId="1F6A36B0" w:rsidR="003C5A2D"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r w:rsidRPr="003C2762">
        <w:rPr>
          <w:rFonts w:ascii="Times New Roman" w:hAnsi="Times New Roman" w:cs="Times New Roman"/>
          <w:i/>
          <w:iCs/>
        </w:rPr>
        <w:t>ibid</w:t>
      </w:r>
      <w:r w:rsidRPr="003C2762">
        <w:rPr>
          <w:rFonts w:ascii="Times New Roman" w:hAnsi="Times New Roman" w:cs="Times New Roman"/>
        </w:rPr>
        <w:t>.</w:t>
      </w:r>
      <w:r w:rsidR="003C5A2D" w:rsidRPr="003C2762">
        <w:rPr>
          <w:rFonts w:ascii="Times New Roman" w:hAnsi="Times New Roman" w:cs="Times New Roman"/>
        </w:rPr>
        <w:t xml:space="preserve"> For consideration of profiling and SARs in the context of counter-terrorism finance, see N</w:t>
      </w:r>
      <w:r w:rsidR="0023114C">
        <w:rPr>
          <w:rFonts w:ascii="Times New Roman" w:hAnsi="Times New Roman" w:cs="Times New Roman"/>
        </w:rPr>
        <w:t>.</w:t>
      </w:r>
      <w:r w:rsidR="003C5A2D" w:rsidRPr="003C2762">
        <w:rPr>
          <w:rFonts w:ascii="Times New Roman" w:hAnsi="Times New Roman" w:cs="Times New Roman"/>
        </w:rPr>
        <w:t xml:space="preserve"> Ryder and U</w:t>
      </w:r>
      <w:r w:rsidR="0023114C">
        <w:rPr>
          <w:rFonts w:ascii="Times New Roman" w:hAnsi="Times New Roman" w:cs="Times New Roman"/>
        </w:rPr>
        <w:t>.</w:t>
      </w:r>
      <w:r w:rsidR="003C5A2D" w:rsidRPr="003C2762">
        <w:rPr>
          <w:rFonts w:ascii="Times New Roman" w:hAnsi="Times New Roman" w:cs="Times New Roman"/>
        </w:rPr>
        <w:t xml:space="preserve"> </w:t>
      </w:r>
      <w:proofErr w:type="spellStart"/>
      <w:r w:rsidR="003C5A2D" w:rsidRPr="003C2762">
        <w:rPr>
          <w:rFonts w:ascii="Times New Roman" w:hAnsi="Times New Roman" w:cs="Times New Roman"/>
        </w:rPr>
        <w:t>Turksen</w:t>
      </w:r>
      <w:proofErr w:type="spellEnd"/>
      <w:r w:rsidR="003C5A2D" w:rsidRPr="003C2762">
        <w:rPr>
          <w:rFonts w:ascii="Times New Roman" w:hAnsi="Times New Roman" w:cs="Times New Roman"/>
        </w:rPr>
        <w:t xml:space="preserve">, ‘Banks in defence of the homeland: Nexus of ethics and suspicious activity reporting’ (2013) 12 </w:t>
      </w:r>
      <w:r w:rsidR="003C5A2D" w:rsidRPr="003C2762">
        <w:rPr>
          <w:rFonts w:ascii="Times New Roman" w:hAnsi="Times New Roman" w:cs="Times New Roman"/>
          <w:i/>
        </w:rPr>
        <w:t>Contemporary Issues in Law</w:t>
      </w:r>
      <w:r w:rsidR="003C5A2D" w:rsidRPr="003C2762">
        <w:rPr>
          <w:rFonts w:ascii="Times New Roman" w:hAnsi="Times New Roman" w:cs="Times New Roman"/>
        </w:rPr>
        <w:t xml:space="preserve"> 311.</w:t>
      </w:r>
    </w:p>
  </w:footnote>
  <w:footnote w:id="47">
    <w:p w14:paraId="061CDC97" w14:textId="132DC53C"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n 2 above, 68</w:t>
      </w:r>
      <w:r w:rsidR="008F1B52">
        <w:rPr>
          <w:rFonts w:ascii="Times New Roman" w:hAnsi="Times New Roman" w:cs="Times New Roman"/>
        </w:rPr>
        <w:t>.</w:t>
      </w:r>
    </w:p>
  </w:footnote>
  <w:footnote w:id="48">
    <w:p w14:paraId="3E7612E9" w14:textId="2B972DBC"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r w:rsidRPr="003C2762">
        <w:rPr>
          <w:rFonts w:ascii="Times New Roman" w:hAnsi="Times New Roman" w:cs="Times New Roman"/>
          <w:i/>
          <w:iCs/>
        </w:rPr>
        <w:t>ibid</w:t>
      </w:r>
      <w:r w:rsidRPr="003C2762">
        <w:rPr>
          <w:rFonts w:ascii="Times New Roman" w:hAnsi="Times New Roman" w:cs="Times New Roman"/>
        </w:rPr>
        <w:t>.</w:t>
      </w:r>
    </w:p>
  </w:footnote>
  <w:footnote w:id="49">
    <w:p w14:paraId="448C0754" w14:textId="6F0E37E8"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For recent media reports related to money laundering, see BBC News, ‘Countrywide Fined £215,000 Over Money-Laundering Failings’ (4 March 2019); J. Evans, ‘UK Estate Agents Hit by Crackdown on Money Laundering’, </w:t>
      </w:r>
      <w:r w:rsidRPr="003C2762">
        <w:rPr>
          <w:rFonts w:ascii="Times New Roman" w:hAnsi="Times New Roman" w:cs="Times New Roman"/>
          <w:i/>
        </w:rPr>
        <w:t>Financial Times</w:t>
      </w:r>
      <w:r w:rsidRPr="003C2762">
        <w:rPr>
          <w:rFonts w:ascii="Times New Roman" w:hAnsi="Times New Roman" w:cs="Times New Roman"/>
        </w:rPr>
        <w:t xml:space="preserve"> (9 March 2019).</w:t>
      </w:r>
    </w:p>
  </w:footnote>
  <w:footnote w:id="50">
    <w:p w14:paraId="4B020A7D" w14:textId="59D08BA7"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K. Murphy, ‘Procedural Justice and Its Role in Promoting Voluntary Compliance’ in P. </w:t>
      </w:r>
      <w:proofErr w:type="spellStart"/>
      <w:r w:rsidRPr="003C2762">
        <w:rPr>
          <w:rFonts w:ascii="Times New Roman" w:hAnsi="Times New Roman" w:cs="Times New Roman"/>
        </w:rPr>
        <w:t>Drahos</w:t>
      </w:r>
      <w:proofErr w:type="spellEnd"/>
      <w:r w:rsidRPr="003C2762">
        <w:rPr>
          <w:rFonts w:ascii="Times New Roman" w:hAnsi="Times New Roman" w:cs="Times New Roman"/>
        </w:rPr>
        <w:t xml:space="preserve"> (ed), </w:t>
      </w:r>
      <w:r w:rsidRPr="003C2762">
        <w:rPr>
          <w:rFonts w:ascii="Times New Roman" w:hAnsi="Times New Roman" w:cs="Times New Roman"/>
          <w:i/>
        </w:rPr>
        <w:t>Regulatory Theory: Foundations and Applications</w:t>
      </w:r>
      <w:r w:rsidRPr="003C2762">
        <w:rPr>
          <w:rFonts w:ascii="Times New Roman" w:hAnsi="Times New Roman" w:cs="Times New Roman"/>
        </w:rPr>
        <w:t xml:space="preserve"> (Acton: ANU Press, 2017) 47.</w:t>
      </w:r>
    </w:p>
  </w:footnote>
  <w:footnote w:id="51">
    <w:p w14:paraId="4C29EBC5" w14:textId="6C38A5C6"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T.R. Tyler, ‘Procedural Justice, Legitimacy, and the Effective Rule of Law’ (2003) 30 </w:t>
      </w:r>
      <w:r w:rsidRPr="003C2762">
        <w:rPr>
          <w:rFonts w:ascii="Times New Roman" w:hAnsi="Times New Roman" w:cs="Times New Roman"/>
          <w:i/>
        </w:rPr>
        <w:t>Crime &amp; Justice</w:t>
      </w:r>
      <w:r w:rsidRPr="003C2762">
        <w:rPr>
          <w:rFonts w:ascii="Times New Roman" w:hAnsi="Times New Roman" w:cs="Times New Roman"/>
        </w:rPr>
        <w:t xml:space="preserve"> 283.</w:t>
      </w:r>
    </w:p>
  </w:footnote>
  <w:footnote w:id="52">
    <w:p w14:paraId="034833C7" w14:textId="014161E2"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Ethical approval was granted by the University of Sussex (reference: ER/CK298/3).</w:t>
      </w:r>
    </w:p>
  </w:footnote>
  <w:footnote w:id="53">
    <w:p w14:paraId="0AC2E189" w14:textId="1B27CE64" w:rsidR="00957101" w:rsidRPr="003C2762" w:rsidRDefault="00957101" w:rsidP="00AB4266">
      <w:pPr>
        <w:jc w:val="both"/>
        <w:rPr>
          <w:rFonts w:ascii="Times New Roman" w:hAnsi="Times New Roman" w:cs="Times New Roman"/>
          <w:sz w:val="20"/>
          <w:szCs w:val="20"/>
        </w:rPr>
      </w:pPr>
      <w:r w:rsidRPr="003C2762">
        <w:rPr>
          <w:rFonts w:ascii="Times New Roman" w:hAnsi="Times New Roman" w:cs="Times New Roman"/>
          <w:sz w:val="20"/>
          <w:szCs w:val="20"/>
          <w:vertAlign w:val="superscript"/>
        </w:rPr>
        <w:footnoteRef/>
      </w:r>
      <w:r w:rsidRPr="003C2762">
        <w:rPr>
          <w:rFonts w:ascii="Times New Roman" w:hAnsi="Times New Roman" w:cs="Times New Roman"/>
          <w:sz w:val="20"/>
          <w:szCs w:val="20"/>
          <w:vertAlign w:val="superscript"/>
        </w:rPr>
        <w:t xml:space="preserve"> </w:t>
      </w:r>
      <w:r w:rsidRPr="003C2762">
        <w:rPr>
          <w:rFonts w:ascii="Times New Roman" w:eastAsia="Times New Roman" w:hAnsi="Times New Roman" w:cs="Times New Roman"/>
          <w:sz w:val="20"/>
          <w:szCs w:val="20"/>
        </w:rPr>
        <w:t xml:space="preserve">Home Office and HM Treasury, </w:t>
      </w:r>
      <w:r w:rsidRPr="003C2762">
        <w:rPr>
          <w:rFonts w:ascii="Times New Roman" w:eastAsia="Times New Roman" w:hAnsi="Times New Roman" w:cs="Times New Roman"/>
          <w:i/>
          <w:iCs/>
          <w:sz w:val="20"/>
          <w:szCs w:val="20"/>
        </w:rPr>
        <w:t>Action Plan for Anti-Money Laundering and Counter-Terrorist Finance</w:t>
      </w:r>
      <w:r w:rsidRPr="003C2762">
        <w:rPr>
          <w:rFonts w:ascii="Times New Roman" w:eastAsia="Times New Roman" w:hAnsi="Times New Roman" w:cs="Times New Roman"/>
          <w:sz w:val="20"/>
          <w:szCs w:val="20"/>
        </w:rPr>
        <w:t xml:space="preserve"> (April 2016) 12.</w:t>
      </w:r>
    </w:p>
  </w:footnote>
  <w:footnote w:id="54">
    <w:p w14:paraId="123EE01C" w14:textId="1D201FEA" w:rsidR="00957101" w:rsidRPr="003C2762" w:rsidRDefault="00957101" w:rsidP="00AB4266">
      <w:pPr>
        <w:jc w:val="both"/>
        <w:rPr>
          <w:rFonts w:ascii="Times New Roman" w:hAnsi="Times New Roman" w:cs="Times New Roman"/>
          <w:sz w:val="20"/>
          <w:szCs w:val="20"/>
        </w:rPr>
      </w:pPr>
      <w:r w:rsidRPr="003C2762">
        <w:rPr>
          <w:rFonts w:ascii="Times New Roman" w:hAnsi="Times New Roman" w:cs="Times New Roman"/>
          <w:sz w:val="20"/>
          <w:szCs w:val="20"/>
          <w:vertAlign w:val="superscript"/>
        </w:rPr>
        <w:footnoteRef/>
      </w:r>
      <w:r w:rsidRPr="003C2762">
        <w:rPr>
          <w:rFonts w:ascii="Times New Roman" w:hAnsi="Times New Roman" w:cs="Times New Roman"/>
          <w:sz w:val="20"/>
          <w:szCs w:val="20"/>
        </w:rPr>
        <w:t xml:space="preserve"> </w:t>
      </w:r>
      <w:r w:rsidRPr="003C2762">
        <w:rPr>
          <w:rFonts w:ascii="Times New Roman" w:eastAsia="Calibri" w:hAnsi="Times New Roman" w:cs="Times New Roman"/>
          <w:sz w:val="20"/>
          <w:szCs w:val="20"/>
        </w:rPr>
        <w:t>A number of themes arose in this analysis, including money laundering red flags; awareness and understanding of AML obligations; implementation and compliance; specific activities of real estate professionals; opinions on the AML regime; views of, and engagement with, regulators and law enforcement; and emerging issues (e</w:t>
      </w:r>
      <w:r w:rsidR="00675057">
        <w:rPr>
          <w:rFonts w:ascii="Times New Roman" w:eastAsia="Calibri" w:hAnsi="Times New Roman" w:cs="Times New Roman"/>
          <w:sz w:val="20"/>
          <w:szCs w:val="20"/>
        </w:rPr>
        <w:t>.</w:t>
      </w:r>
      <w:r w:rsidRPr="003C2762">
        <w:rPr>
          <w:rFonts w:ascii="Times New Roman" w:eastAsia="Calibri" w:hAnsi="Times New Roman" w:cs="Times New Roman"/>
          <w:sz w:val="20"/>
          <w:szCs w:val="20"/>
        </w:rPr>
        <w:t>g</w:t>
      </w:r>
      <w:r w:rsidR="00675057">
        <w:rPr>
          <w:rFonts w:ascii="Times New Roman" w:eastAsia="Calibri" w:hAnsi="Times New Roman" w:cs="Times New Roman"/>
          <w:sz w:val="20"/>
          <w:szCs w:val="20"/>
        </w:rPr>
        <w:t>.</w:t>
      </w:r>
      <w:r w:rsidRPr="003C2762">
        <w:rPr>
          <w:rFonts w:ascii="Times New Roman" w:eastAsia="Calibri" w:hAnsi="Times New Roman" w:cs="Times New Roman"/>
          <w:sz w:val="20"/>
          <w:szCs w:val="20"/>
        </w:rPr>
        <w:t xml:space="preserve"> Brexit; cryptocurrencies). For discussion of some of these themes not covered in this article, see I. Zavoli and C. King, ‘Preventive AML in the UK property market: inside views from the sector’ in P. van Duyne et al (eds), </w:t>
      </w:r>
      <w:r w:rsidRPr="003C2762">
        <w:rPr>
          <w:rFonts w:ascii="Times New Roman" w:eastAsia="Calibri" w:hAnsi="Times New Roman" w:cs="Times New Roman"/>
          <w:i/>
          <w:iCs/>
          <w:sz w:val="20"/>
          <w:szCs w:val="20"/>
        </w:rPr>
        <w:t>Criminal defiance in Europe and beyond: From organised crime to crime-terror nexus</w:t>
      </w:r>
      <w:r w:rsidRPr="003C2762">
        <w:rPr>
          <w:rFonts w:ascii="Times New Roman" w:eastAsia="Calibri" w:hAnsi="Times New Roman" w:cs="Times New Roman"/>
          <w:sz w:val="20"/>
          <w:szCs w:val="20"/>
        </w:rPr>
        <w:t xml:space="preserve"> (Eleven International Publishing, 2020); I. Zavoli, ‘The use of cryptocurrency in the UK real estate market: An assessment of money laundering risks’ in K. Benson et al (eds), </w:t>
      </w:r>
      <w:r w:rsidRPr="003C2762">
        <w:rPr>
          <w:rFonts w:ascii="Times New Roman" w:eastAsia="Calibri" w:hAnsi="Times New Roman" w:cs="Times New Roman"/>
          <w:i/>
          <w:iCs/>
          <w:sz w:val="20"/>
          <w:szCs w:val="20"/>
        </w:rPr>
        <w:t>Assets, Crime and the State: Innovations in 21</w:t>
      </w:r>
      <w:r w:rsidRPr="003C2762">
        <w:rPr>
          <w:rFonts w:ascii="Times New Roman" w:eastAsia="Calibri" w:hAnsi="Times New Roman" w:cs="Times New Roman"/>
          <w:i/>
          <w:iCs/>
          <w:sz w:val="20"/>
          <w:szCs w:val="20"/>
          <w:vertAlign w:val="superscript"/>
        </w:rPr>
        <w:t>st</w:t>
      </w:r>
      <w:r w:rsidRPr="003C2762">
        <w:rPr>
          <w:rFonts w:ascii="Times New Roman" w:eastAsia="Calibri" w:hAnsi="Times New Roman" w:cs="Times New Roman"/>
          <w:i/>
          <w:iCs/>
          <w:sz w:val="20"/>
          <w:szCs w:val="20"/>
        </w:rPr>
        <w:t xml:space="preserve"> Century Legal Responses</w:t>
      </w:r>
      <w:r w:rsidRPr="003C2762">
        <w:rPr>
          <w:rFonts w:ascii="Times New Roman" w:eastAsia="Calibri" w:hAnsi="Times New Roman" w:cs="Times New Roman"/>
          <w:sz w:val="20"/>
          <w:szCs w:val="20"/>
        </w:rPr>
        <w:t xml:space="preserve"> (Oxon: Routledge, 2020).</w:t>
      </w:r>
    </w:p>
  </w:footnote>
  <w:footnote w:id="55">
    <w:p w14:paraId="2E1710B1" w14:textId="4648B1E6"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However, these backgrounds are represented on our Advisory Board. The Advisory Board consisted of an investigator in the National Crime Agency; a financial intelligence officer in the Metropolitan Police; a barrister; an official in an NGO; and a senior (international) academic.</w:t>
      </w:r>
    </w:p>
  </w:footnote>
  <w:footnote w:id="56">
    <w:p w14:paraId="45E82CFE" w14:textId="5C01F652"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For wider discussion, see N. </w:t>
      </w:r>
      <w:proofErr w:type="spellStart"/>
      <w:r w:rsidRPr="003C2762">
        <w:rPr>
          <w:rFonts w:ascii="Times New Roman" w:hAnsi="Times New Roman" w:cs="Times New Roman"/>
        </w:rPr>
        <w:t>Golafshani</w:t>
      </w:r>
      <w:proofErr w:type="spellEnd"/>
      <w:r w:rsidRPr="003C2762">
        <w:rPr>
          <w:rFonts w:ascii="Times New Roman" w:hAnsi="Times New Roman" w:cs="Times New Roman"/>
        </w:rPr>
        <w:t xml:space="preserve">, ‘Understanding Reliability and Validity in Qualitative Research’ (2003) 8 </w:t>
      </w:r>
      <w:r w:rsidRPr="003C2762">
        <w:rPr>
          <w:rFonts w:ascii="Times New Roman" w:hAnsi="Times New Roman" w:cs="Times New Roman"/>
          <w:i/>
        </w:rPr>
        <w:t>The Qualitative Report</w:t>
      </w:r>
      <w:r w:rsidRPr="003C2762">
        <w:rPr>
          <w:rFonts w:ascii="Times New Roman" w:hAnsi="Times New Roman" w:cs="Times New Roman"/>
        </w:rPr>
        <w:t xml:space="preserve"> 597.</w:t>
      </w:r>
    </w:p>
  </w:footnote>
  <w:footnote w:id="57">
    <w:p w14:paraId="7712EC2E" w14:textId="493C5994"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For example, a typical reply would come from a PA saying: ‘I have spoken with XXX regarding your request and regretfully he is unable to participate at this time but thanks you for your interest in our company.’ Others replied directly to say, for example, ‘Thank you for contacting me but unfortunately I do not have the time to commit to this interview.’; or ‘Over the years I have spent many hours participating in government surveys and my experience has been that they listen politely but do not take any notice whatsoever. As a consequence, I have stopped participating - Sorry’.</w:t>
      </w:r>
    </w:p>
  </w:footnote>
  <w:footnote w:id="58">
    <w:p w14:paraId="5690B190" w14:textId="0F3220EF"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For consideration of what ‘regulation’ is, see J. Black</w:t>
      </w:r>
      <w:r w:rsidR="00B45331">
        <w:rPr>
          <w:rFonts w:ascii="Times New Roman" w:hAnsi="Times New Roman" w:cs="Times New Roman"/>
        </w:rPr>
        <w:t>,</w:t>
      </w:r>
      <w:r w:rsidRPr="003C2762">
        <w:rPr>
          <w:rFonts w:ascii="Times New Roman" w:hAnsi="Times New Roman" w:cs="Times New Roman"/>
        </w:rPr>
        <w:t xml:space="preserve"> ‘Critical Reflections on Regulation’ (2002) 27 </w:t>
      </w:r>
      <w:r w:rsidRPr="003C2762">
        <w:rPr>
          <w:rFonts w:ascii="Times New Roman" w:hAnsi="Times New Roman" w:cs="Times New Roman"/>
          <w:i/>
          <w:iCs/>
        </w:rPr>
        <w:t>Australian Journal of Legal Philosophy</w:t>
      </w:r>
      <w:r w:rsidRPr="003C2762">
        <w:rPr>
          <w:rFonts w:ascii="Times New Roman" w:hAnsi="Times New Roman" w:cs="Times New Roman"/>
        </w:rPr>
        <w:t xml:space="preserve"> 1; B. Orbach</w:t>
      </w:r>
      <w:r w:rsidR="00B45331">
        <w:rPr>
          <w:rFonts w:ascii="Times New Roman" w:hAnsi="Times New Roman" w:cs="Times New Roman"/>
        </w:rPr>
        <w:t>,</w:t>
      </w:r>
      <w:r w:rsidRPr="003C2762">
        <w:rPr>
          <w:rFonts w:ascii="Times New Roman" w:hAnsi="Times New Roman" w:cs="Times New Roman"/>
        </w:rPr>
        <w:t xml:space="preserve"> ‘What is Regulation?’ (2012) 30 </w:t>
      </w:r>
      <w:r w:rsidRPr="003C2762">
        <w:rPr>
          <w:rFonts w:ascii="Times New Roman" w:hAnsi="Times New Roman" w:cs="Times New Roman"/>
          <w:i/>
          <w:iCs/>
        </w:rPr>
        <w:t>Yale Journal on Regulation Online</w:t>
      </w:r>
      <w:r w:rsidRPr="003C2762">
        <w:rPr>
          <w:rFonts w:ascii="Times New Roman" w:hAnsi="Times New Roman" w:cs="Times New Roman"/>
        </w:rPr>
        <w:t xml:space="preserve"> 1.</w:t>
      </w:r>
    </w:p>
  </w:footnote>
  <w:footnote w:id="59">
    <w:p w14:paraId="07F8C0DA" w14:textId="6DDD9733"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For recent review, see </w:t>
      </w:r>
      <w:r w:rsidRPr="003C2762">
        <w:rPr>
          <w:rFonts w:ascii="Times New Roman" w:eastAsia="Times New Roman" w:hAnsi="Times New Roman" w:cs="Times New Roman"/>
        </w:rPr>
        <w:t xml:space="preserve">Regulation of Property Agents Working Group, </w:t>
      </w:r>
      <w:r w:rsidRPr="003C2762">
        <w:rPr>
          <w:rFonts w:ascii="Times New Roman" w:eastAsia="Times New Roman" w:hAnsi="Times New Roman" w:cs="Times New Roman"/>
          <w:i/>
          <w:iCs/>
        </w:rPr>
        <w:t>Final Report</w:t>
      </w:r>
      <w:r w:rsidRPr="003C2762">
        <w:rPr>
          <w:rFonts w:ascii="Times New Roman" w:eastAsia="Times New Roman" w:hAnsi="Times New Roman" w:cs="Times New Roman"/>
        </w:rPr>
        <w:t xml:space="preserve"> (July 2019) 11. Chair: Lord Best.</w:t>
      </w:r>
    </w:p>
  </w:footnote>
  <w:footnote w:id="60">
    <w:p w14:paraId="6D0B0F02" w14:textId="112F029A"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For consideration of historical efforts, see M. Latham, ‘“A Fraud, a Drunkard, and a Worthless Scamp”: Estate Agents, Regulation, and Realtors in the Interwar Period’ (2017) 59 </w:t>
      </w:r>
      <w:r w:rsidRPr="003C2762">
        <w:rPr>
          <w:rFonts w:ascii="Times New Roman" w:hAnsi="Times New Roman" w:cs="Times New Roman"/>
          <w:i/>
        </w:rPr>
        <w:t>Business History</w:t>
      </w:r>
      <w:r w:rsidRPr="003C2762">
        <w:rPr>
          <w:rFonts w:ascii="Times New Roman" w:hAnsi="Times New Roman" w:cs="Times New Roman"/>
        </w:rPr>
        <w:t xml:space="preserve"> 690; P. Shears, ‘Hang Your Shingle and Carry On: Estate Agents – The Unlicensed UK Profession’ (2009) 27 </w:t>
      </w:r>
      <w:r w:rsidRPr="003C2762">
        <w:rPr>
          <w:rFonts w:ascii="Times New Roman" w:hAnsi="Times New Roman" w:cs="Times New Roman"/>
          <w:i/>
        </w:rPr>
        <w:t>Property Management</w:t>
      </w:r>
      <w:r w:rsidRPr="003C2762">
        <w:rPr>
          <w:rFonts w:ascii="Times New Roman" w:hAnsi="Times New Roman" w:cs="Times New Roman"/>
        </w:rPr>
        <w:t xml:space="preserve"> 191. For wider consideration of motivation and regulation, see M. Law and S. Kim, ‘Specialization and Regulation: The Rise of Professionals and the Emergence of Occupational Licensing Regulation’ (2005) 65 </w:t>
      </w:r>
      <w:r w:rsidRPr="003C2762">
        <w:rPr>
          <w:rFonts w:ascii="Times New Roman" w:hAnsi="Times New Roman" w:cs="Times New Roman"/>
          <w:i/>
        </w:rPr>
        <w:t>Journal of Economic History</w:t>
      </w:r>
      <w:r w:rsidRPr="003C2762">
        <w:rPr>
          <w:rFonts w:ascii="Times New Roman" w:hAnsi="Times New Roman" w:cs="Times New Roman"/>
        </w:rPr>
        <w:t xml:space="preserve"> 723.</w:t>
      </w:r>
    </w:p>
  </w:footnote>
  <w:footnote w:id="61">
    <w:p w14:paraId="6498E125" w14:textId="54595284" w:rsidR="00957101" w:rsidRPr="003C2762" w:rsidRDefault="00957101" w:rsidP="00AB4266">
      <w:pPr>
        <w:jc w:val="both"/>
        <w:rPr>
          <w:rFonts w:ascii="Times New Roman" w:hAnsi="Times New Roman" w:cs="Times New Roman"/>
          <w:sz w:val="20"/>
          <w:szCs w:val="20"/>
        </w:rPr>
      </w:pPr>
      <w:r w:rsidRPr="003C2762">
        <w:rPr>
          <w:rFonts w:ascii="Times New Roman" w:hAnsi="Times New Roman" w:cs="Times New Roman"/>
          <w:sz w:val="20"/>
          <w:szCs w:val="20"/>
          <w:vertAlign w:val="superscript"/>
        </w:rPr>
        <w:footnoteRef/>
      </w:r>
      <w:r w:rsidRPr="003C2762">
        <w:rPr>
          <w:rFonts w:ascii="Times New Roman" w:hAnsi="Times New Roman" w:cs="Times New Roman"/>
          <w:sz w:val="20"/>
          <w:szCs w:val="20"/>
          <w:vertAlign w:val="superscript"/>
        </w:rPr>
        <w:t xml:space="preserve"> </w:t>
      </w:r>
      <w:r w:rsidRPr="003C2762">
        <w:rPr>
          <w:rFonts w:ascii="Times New Roman" w:eastAsia="Calibri" w:hAnsi="Times New Roman" w:cs="Times New Roman"/>
          <w:sz w:val="20"/>
          <w:szCs w:val="20"/>
        </w:rPr>
        <w:t xml:space="preserve">See, for example, </w:t>
      </w:r>
      <w:r w:rsidRPr="003C2762">
        <w:rPr>
          <w:rFonts w:ascii="Times New Roman" w:eastAsia="Times New Roman" w:hAnsi="Times New Roman" w:cs="Times New Roman"/>
          <w:sz w:val="20"/>
          <w:szCs w:val="20"/>
        </w:rPr>
        <w:t xml:space="preserve">Estate Agents Act 1979; there is also other legislation not specific to estate </w:t>
      </w:r>
      <w:r w:rsidR="00CC0457" w:rsidRPr="003C2762">
        <w:rPr>
          <w:rFonts w:ascii="Times New Roman" w:eastAsia="Times New Roman" w:hAnsi="Times New Roman" w:cs="Times New Roman"/>
          <w:sz w:val="20"/>
          <w:szCs w:val="20"/>
        </w:rPr>
        <w:t>agents,</w:t>
      </w:r>
      <w:r w:rsidRPr="003C2762">
        <w:rPr>
          <w:rFonts w:ascii="Times New Roman" w:eastAsia="Times New Roman" w:hAnsi="Times New Roman" w:cs="Times New Roman"/>
          <w:sz w:val="20"/>
          <w:szCs w:val="20"/>
        </w:rPr>
        <w:t xml:space="preserve"> but which is applicable, such as the Consumer Protection from Unfair Trading Regulations 2008. A further avenue of regulation is industry self-regulation, for example through the various representative bodies (such as NAEA </w:t>
      </w:r>
      <w:proofErr w:type="spellStart"/>
      <w:r w:rsidRPr="003C2762">
        <w:rPr>
          <w:rFonts w:ascii="Times New Roman" w:eastAsia="Times New Roman" w:hAnsi="Times New Roman" w:cs="Times New Roman"/>
          <w:sz w:val="20"/>
          <w:szCs w:val="20"/>
        </w:rPr>
        <w:t>Propertymark</w:t>
      </w:r>
      <w:proofErr w:type="spellEnd"/>
      <w:r w:rsidRPr="003C2762">
        <w:rPr>
          <w:rFonts w:ascii="Times New Roman" w:eastAsia="Times New Roman" w:hAnsi="Times New Roman" w:cs="Times New Roman"/>
          <w:sz w:val="20"/>
          <w:szCs w:val="20"/>
        </w:rPr>
        <w:t xml:space="preserve"> (the National Association of Estate Agents)), though ‘it is not clear that there is an effective self-regulatory system for the sector as a whole’. Regulation of Property Agents Working Group, </w:t>
      </w:r>
      <w:r w:rsidRPr="003C2762">
        <w:rPr>
          <w:rFonts w:ascii="Times New Roman" w:eastAsia="Times New Roman" w:hAnsi="Times New Roman" w:cs="Times New Roman"/>
          <w:i/>
          <w:iCs/>
          <w:sz w:val="20"/>
          <w:szCs w:val="20"/>
        </w:rPr>
        <w:t>Final Report</w:t>
      </w:r>
      <w:r w:rsidRPr="003C2762">
        <w:rPr>
          <w:rFonts w:ascii="Times New Roman" w:eastAsia="Times New Roman" w:hAnsi="Times New Roman" w:cs="Times New Roman"/>
          <w:sz w:val="20"/>
          <w:szCs w:val="20"/>
        </w:rPr>
        <w:t xml:space="preserve"> (July 2019) 11. Chair: Lord Best.</w:t>
      </w:r>
    </w:p>
  </w:footnote>
  <w:footnote w:id="62">
    <w:p w14:paraId="5C4BB92F" w14:textId="01BF64E7"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BBC News, ‘Government to Crack Down on ‘Rogue’ Estate Agents’ (8 April 2018); M. Hunt, ‘Got an Issue </w:t>
      </w:r>
      <w:r w:rsidR="005E4788">
        <w:rPr>
          <w:rFonts w:ascii="Times New Roman" w:hAnsi="Times New Roman" w:cs="Times New Roman"/>
        </w:rPr>
        <w:t>w</w:t>
      </w:r>
      <w:r w:rsidRPr="003C2762">
        <w:rPr>
          <w:rFonts w:ascii="Times New Roman" w:hAnsi="Times New Roman" w:cs="Times New Roman"/>
        </w:rPr>
        <w:t xml:space="preserve">ith Your Rogue Estate Agent or Letting Agent? Here’s How You Can Claim compensation’, </w:t>
      </w:r>
      <w:r w:rsidRPr="003C2762">
        <w:rPr>
          <w:rFonts w:ascii="Times New Roman" w:hAnsi="Times New Roman" w:cs="Times New Roman"/>
          <w:i/>
        </w:rPr>
        <w:t>The Telegraph</w:t>
      </w:r>
      <w:r w:rsidRPr="003C2762">
        <w:rPr>
          <w:rFonts w:ascii="Times New Roman" w:hAnsi="Times New Roman" w:cs="Times New Roman"/>
        </w:rPr>
        <w:t xml:space="preserve"> (20 November 2019).</w:t>
      </w:r>
    </w:p>
  </w:footnote>
  <w:footnote w:id="63">
    <w:p w14:paraId="37097167" w14:textId="5B6C2659" w:rsidR="00957101" w:rsidRPr="003C2762" w:rsidRDefault="00957101" w:rsidP="00AB4266">
      <w:pPr>
        <w:pStyle w:val="FootnoteText"/>
        <w:jc w:val="both"/>
        <w:rPr>
          <w:rFonts w:ascii="Times New Roman" w:hAnsi="Times New Roman" w:cs="Times New Roman"/>
        </w:rPr>
      </w:pPr>
      <w:r w:rsidRPr="0093075F">
        <w:rPr>
          <w:rStyle w:val="FootnoteReference"/>
          <w:rFonts w:ascii="Times New Roman" w:hAnsi="Times New Roman" w:cs="Times New Roman"/>
        </w:rPr>
        <w:footnoteRef/>
      </w:r>
      <w:r w:rsidRPr="0093075F">
        <w:rPr>
          <w:rFonts w:ascii="Times New Roman" w:hAnsi="Times New Roman" w:cs="Times New Roman"/>
        </w:rPr>
        <w:t xml:space="preserve"> See n 21 above.</w:t>
      </w:r>
    </w:p>
  </w:footnote>
  <w:footnote w:id="64">
    <w:p w14:paraId="3F328833" w14:textId="025A99F7"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S. Hufnagel and C. King, ’Anti-Money Laundering Regulation and the Art Market’ (2020) 40 </w:t>
      </w:r>
      <w:r w:rsidRPr="003C2762">
        <w:rPr>
          <w:rFonts w:ascii="Times New Roman" w:hAnsi="Times New Roman" w:cs="Times New Roman"/>
          <w:i/>
          <w:iCs/>
        </w:rPr>
        <w:t>Legal Studies</w:t>
      </w:r>
      <w:r w:rsidRPr="003C2762">
        <w:rPr>
          <w:rFonts w:ascii="Times New Roman" w:hAnsi="Times New Roman" w:cs="Times New Roman"/>
        </w:rPr>
        <w:t xml:space="preserve"> 131.</w:t>
      </w:r>
    </w:p>
  </w:footnote>
  <w:footnote w:id="65">
    <w:p w14:paraId="2646256D" w14:textId="5435470C"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See n 41 above</w:t>
      </w:r>
      <w:r w:rsidR="008F1B52">
        <w:rPr>
          <w:rFonts w:ascii="Times New Roman" w:hAnsi="Times New Roman" w:cs="Times New Roman"/>
        </w:rPr>
        <w:t>.</w:t>
      </w:r>
    </w:p>
  </w:footnote>
  <w:footnote w:id="66">
    <w:p w14:paraId="166A1CD2" w14:textId="7FFCA572"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G. </w:t>
      </w:r>
      <w:proofErr w:type="spellStart"/>
      <w:r w:rsidRPr="003C2762">
        <w:rPr>
          <w:rFonts w:ascii="Times New Roman" w:hAnsi="Times New Roman" w:cs="Times New Roman"/>
        </w:rPr>
        <w:t>Stessens</w:t>
      </w:r>
      <w:proofErr w:type="spellEnd"/>
      <w:r w:rsidRPr="003C2762">
        <w:rPr>
          <w:rFonts w:ascii="Times New Roman" w:hAnsi="Times New Roman" w:cs="Times New Roman"/>
        </w:rPr>
        <w:t xml:space="preserve">, </w:t>
      </w:r>
      <w:r w:rsidRPr="003C2762">
        <w:rPr>
          <w:rFonts w:ascii="Times New Roman" w:hAnsi="Times New Roman" w:cs="Times New Roman"/>
          <w:i/>
          <w:iCs/>
        </w:rPr>
        <w:t xml:space="preserve">Money Laundering: A New International Law Enforcement Model </w:t>
      </w:r>
      <w:r w:rsidRPr="003C2762">
        <w:rPr>
          <w:rFonts w:ascii="Times New Roman" w:hAnsi="Times New Roman" w:cs="Times New Roman"/>
        </w:rPr>
        <w:t>(Cambridge: CUP, 2000) 108.</w:t>
      </w:r>
    </w:p>
  </w:footnote>
  <w:footnote w:id="67">
    <w:p w14:paraId="7FE06134" w14:textId="757061A4"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Earlier legislation also dealt with money laundering. For example, the Criminal Justice Act 1988, Part VI. On the historical development, see </w:t>
      </w:r>
      <w:r w:rsidRPr="003C2762">
        <w:rPr>
          <w:rFonts w:ascii="Times New Roman" w:hAnsi="Times New Roman" w:cs="Times New Roman"/>
          <w:i/>
        </w:rPr>
        <w:t xml:space="preserve">R v </w:t>
      </w:r>
      <w:proofErr w:type="spellStart"/>
      <w:r w:rsidRPr="003C2762">
        <w:rPr>
          <w:rFonts w:ascii="Times New Roman" w:hAnsi="Times New Roman" w:cs="Times New Roman"/>
          <w:i/>
        </w:rPr>
        <w:t>Montila</w:t>
      </w:r>
      <w:proofErr w:type="spellEnd"/>
      <w:r w:rsidRPr="003C2762">
        <w:rPr>
          <w:rFonts w:ascii="Times New Roman" w:hAnsi="Times New Roman" w:cs="Times New Roman"/>
        </w:rPr>
        <w:t xml:space="preserve"> [2004] UKHL 50.</w:t>
      </w:r>
    </w:p>
  </w:footnote>
  <w:footnote w:id="68">
    <w:p w14:paraId="5DFDFB94" w14:textId="1A64099E" w:rsidR="00957101" w:rsidRPr="003C2762" w:rsidRDefault="00957101" w:rsidP="00AB4266">
      <w:pPr>
        <w:pStyle w:val="FootnoteText"/>
        <w:jc w:val="both"/>
        <w:rPr>
          <w:rFonts w:ascii="Times New Roman" w:hAnsi="Times New Roman" w:cs="Times New Roman"/>
          <w:lang w:val="es-ES"/>
        </w:rPr>
      </w:pPr>
      <w:r w:rsidRPr="003C2762">
        <w:rPr>
          <w:rStyle w:val="FootnoteReference"/>
          <w:rFonts w:ascii="Times New Roman" w:hAnsi="Times New Roman" w:cs="Times New Roman"/>
        </w:rPr>
        <w:footnoteRef/>
      </w:r>
      <w:r w:rsidRPr="003C2762">
        <w:rPr>
          <w:rFonts w:ascii="Times New Roman" w:hAnsi="Times New Roman" w:cs="Times New Roman"/>
        </w:rPr>
        <w:t xml:space="preserve"> POCA, s 327. </w:t>
      </w:r>
      <w:r w:rsidRPr="003C2762">
        <w:rPr>
          <w:rFonts w:ascii="Times New Roman" w:hAnsi="Times New Roman" w:cs="Times New Roman"/>
          <w:lang w:val="es-ES"/>
        </w:rPr>
        <w:t xml:space="preserve">S 340 defines ‘criminal </w:t>
      </w:r>
      <w:proofErr w:type="spellStart"/>
      <w:r w:rsidRPr="003C2762">
        <w:rPr>
          <w:rFonts w:ascii="Times New Roman" w:hAnsi="Times New Roman" w:cs="Times New Roman"/>
          <w:lang w:val="es-ES"/>
        </w:rPr>
        <w:t>property</w:t>
      </w:r>
      <w:proofErr w:type="spellEnd"/>
      <w:r w:rsidRPr="003C2762">
        <w:rPr>
          <w:rFonts w:ascii="Times New Roman" w:hAnsi="Times New Roman" w:cs="Times New Roman"/>
          <w:lang w:val="es-ES"/>
        </w:rPr>
        <w:t>’.</w:t>
      </w:r>
    </w:p>
  </w:footnote>
  <w:footnote w:id="69">
    <w:p w14:paraId="73A947FC" w14:textId="2825D06D" w:rsidR="00957101" w:rsidRPr="003C2762" w:rsidRDefault="00957101" w:rsidP="00AB4266">
      <w:pPr>
        <w:pStyle w:val="FootnoteText"/>
        <w:jc w:val="both"/>
        <w:rPr>
          <w:rFonts w:ascii="Times New Roman" w:hAnsi="Times New Roman" w:cs="Times New Roman"/>
          <w:lang w:val="es-ES"/>
        </w:rPr>
      </w:pPr>
      <w:r w:rsidRPr="003C2762">
        <w:rPr>
          <w:rStyle w:val="FootnoteReference"/>
          <w:rFonts w:ascii="Times New Roman" w:hAnsi="Times New Roman" w:cs="Times New Roman"/>
        </w:rPr>
        <w:footnoteRef/>
      </w:r>
      <w:r w:rsidRPr="003C2762">
        <w:rPr>
          <w:rFonts w:ascii="Times New Roman" w:hAnsi="Times New Roman" w:cs="Times New Roman"/>
          <w:lang w:val="es-ES"/>
        </w:rPr>
        <w:t xml:space="preserve"> POCA, s 328.</w:t>
      </w:r>
    </w:p>
  </w:footnote>
  <w:footnote w:id="70">
    <w:p w14:paraId="403B8BFA" w14:textId="34D168E8" w:rsidR="00957101" w:rsidRPr="003C2762" w:rsidRDefault="00957101" w:rsidP="00AB4266">
      <w:pPr>
        <w:pStyle w:val="FootnoteText"/>
        <w:jc w:val="both"/>
        <w:rPr>
          <w:rFonts w:ascii="Times New Roman" w:hAnsi="Times New Roman" w:cs="Times New Roman"/>
          <w:lang w:val="es-ES"/>
        </w:rPr>
      </w:pPr>
      <w:r w:rsidRPr="003C2762">
        <w:rPr>
          <w:rStyle w:val="FootnoteReference"/>
          <w:rFonts w:ascii="Times New Roman" w:hAnsi="Times New Roman" w:cs="Times New Roman"/>
        </w:rPr>
        <w:footnoteRef/>
      </w:r>
      <w:r w:rsidRPr="003C2762">
        <w:rPr>
          <w:rFonts w:ascii="Times New Roman" w:hAnsi="Times New Roman" w:cs="Times New Roman"/>
          <w:lang w:val="es-ES"/>
        </w:rPr>
        <w:t xml:space="preserve"> POCA, s 329.</w:t>
      </w:r>
    </w:p>
  </w:footnote>
  <w:footnote w:id="71">
    <w:p w14:paraId="4775D25B" w14:textId="60B256C2" w:rsidR="00957101" w:rsidRPr="003C2762" w:rsidRDefault="00957101" w:rsidP="00AB4266">
      <w:pPr>
        <w:pStyle w:val="FootnoteText"/>
        <w:jc w:val="both"/>
        <w:rPr>
          <w:rFonts w:ascii="Times New Roman" w:hAnsi="Times New Roman" w:cs="Times New Roman"/>
          <w:lang w:val="es-ES"/>
        </w:rPr>
      </w:pPr>
      <w:r w:rsidRPr="003C2762">
        <w:rPr>
          <w:rStyle w:val="FootnoteReference"/>
          <w:rFonts w:ascii="Times New Roman" w:hAnsi="Times New Roman" w:cs="Times New Roman"/>
        </w:rPr>
        <w:footnoteRef/>
      </w:r>
      <w:r w:rsidRPr="003C2762">
        <w:rPr>
          <w:rFonts w:ascii="Times New Roman" w:hAnsi="Times New Roman" w:cs="Times New Roman"/>
          <w:lang w:val="es-ES"/>
        </w:rPr>
        <w:t xml:space="preserve"> POCA, </w:t>
      </w:r>
      <w:proofErr w:type="spellStart"/>
      <w:r w:rsidRPr="003C2762">
        <w:rPr>
          <w:rFonts w:ascii="Times New Roman" w:hAnsi="Times New Roman" w:cs="Times New Roman"/>
          <w:lang w:val="es-ES"/>
        </w:rPr>
        <w:t>ss</w:t>
      </w:r>
      <w:proofErr w:type="spellEnd"/>
      <w:r w:rsidRPr="003C2762">
        <w:rPr>
          <w:rFonts w:ascii="Times New Roman" w:hAnsi="Times New Roman" w:cs="Times New Roman"/>
          <w:lang w:val="es-ES"/>
        </w:rPr>
        <w:t xml:space="preserve"> 330-333.</w:t>
      </w:r>
    </w:p>
  </w:footnote>
  <w:footnote w:id="72">
    <w:p w14:paraId="0E13D36A" w14:textId="1F61731C" w:rsidR="00957101" w:rsidRPr="003C2762" w:rsidRDefault="00957101" w:rsidP="00AB4266">
      <w:pPr>
        <w:pStyle w:val="FootnoteText"/>
        <w:jc w:val="both"/>
        <w:rPr>
          <w:rFonts w:ascii="Times New Roman" w:eastAsia="Calibri"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Money Laundering, Terrorist Financing and Transfer of Funds (Information on the Payer) Regulations 2017. The ‘relevant persons’ subject to the Regulations are set out in Reg 8. </w:t>
      </w:r>
      <w:r w:rsidRPr="003C2762">
        <w:rPr>
          <w:rFonts w:ascii="Times New Roman" w:eastAsia="Calibri" w:hAnsi="Times New Roman" w:cs="Times New Roman"/>
        </w:rPr>
        <w:t>The supervisory authority for estate agency businesses is HM Revenue and Customs (HMRC).</w:t>
      </w:r>
    </w:p>
  </w:footnote>
  <w:footnote w:id="73">
    <w:p w14:paraId="29A241A1" w14:textId="7509D2A0"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ML Regs, Part 2. Estate agents are specifically identified in Regs.8(2)(f) and 13.</w:t>
      </w:r>
    </w:p>
  </w:footnote>
  <w:footnote w:id="74">
    <w:p w14:paraId="50BC9933" w14:textId="14E238A4" w:rsidR="00957101" w:rsidRPr="003C2762" w:rsidRDefault="00957101" w:rsidP="00AB4266">
      <w:pPr>
        <w:pStyle w:val="FootnoteText"/>
        <w:jc w:val="both"/>
        <w:rPr>
          <w:rFonts w:ascii="Times New Roman" w:hAnsi="Times New Roman" w:cs="Times New Roman"/>
          <w:lang w:val="de-DE"/>
        </w:rPr>
      </w:pPr>
      <w:r w:rsidRPr="003C2762">
        <w:rPr>
          <w:rStyle w:val="FootnoteReference"/>
          <w:rFonts w:ascii="Times New Roman" w:hAnsi="Times New Roman" w:cs="Times New Roman"/>
        </w:rPr>
        <w:footnoteRef/>
      </w:r>
      <w:r w:rsidRPr="003C2762">
        <w:rPr>
          <w:rFonts w:ascii="Times New Roman" w:hAnsi="Times New Roman" w:cs="Times New Roman"/>
          <w:lang w:val="de-DE"/>
        </w:rPr>
        <w:t xml:space="preserve"> ML Regs, Regs 18-21.</w:t>
      </w:r>
    </w:p>
  </w:footnote>
  <w:footnote w:id="75">
    <w:p w14:paraId="6E4E1FF4" w14:textId="45A3B070" w:rsidR="00957101" w:rsidRPr="003C2762" w:rsidRDefault="00957101" w:rsidP="00AB4266">
      <w:pPr>
        <w:pStyle w:val="FootnoteText"/>
        <w:jc w:val="both"/>
        <w:rPr>
          <w:rFonts w:ascii="Times New Roman" w:hAnsi="Times New Roman" w:cs="Times New Roman"/>
          <w:lang w:val="de-DE"/>
        </w:rPr>
      </w:pPr>
      <w:r w:rsidRPr="003C2762">
        <w:rPr>
          <w:rStyle w:val="FootnoteReference"/>
          <w:rFonts w:ascii="Times New Roman" w:hAnsi="Times New Roman" w:cs="Times New Roman"/>
        </w:rPr>
        <w:footnoteRef/>
      </w:r>
      <w:r w:rsidRPr="003C2762">
        <w:rPr>
          <w:rFonts w:ascii="Times New Roman" w:hAnsi="Times New Roman" w:cs="Times New Roman"/>
          <w:lang w:val="de-DE"/>
        </w:rPr>
        <w:t xml:space="preserve"> ML Regs, Reg 24.</w:t>
      </w:r>
    </w:p>
  </w:footnote>
  <w:footnote w:id="76">
    <w:p w14:paraId="462CB918" w14:textId="33B48FC1"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ML Regs, Part 3.</w:t>
      </w:r>
    </w:p>
  </w:footnote>
  <w:footnote w:id="77">
    <w:p w14:paraId="3CC5A576" w14:textId="30FBBB80"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ML Regs, Reg 39.</w:t>
      </w:r>
    </w:p>
  </w:footnote>
  <w:footnote w:id="78">
    <w:p w14:paraId="05696E3F" w14:textId="4454F5EA"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ML Regs, Reg 40.</w:t>
      </w:r>
    </w:p>
  </w:footnote>
  <w:footnote w:id="79">
    <w:p w14:paraId="38B71A37" w14:textId="640E2C10"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ML Regs, Part 6.</w:t>
      </w:r>
    </w:p>
  </w:footnote>
  <w:footnote w:id="80">
    <w:p w14:paraId="637573B7" w14:textId="0EBD562E"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ML Regs, Part 8.</w:t>
      </w:r>
    </w:p>
  </w:footnote>
  <w:footnote w:id="81">
    <w:p w14:paraId="2BE5151D" w14:textId="109FD990"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ML Regs, Part 9.</w:t>
      </w:r>
    </w:p>
  </w:footnote>
  <w:footnote w:id="82">
    <w:p w14:paraId="0E67C704" w14:textId="011EC55D"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HM Treasury and Home Office, </w:t>
      </w:r>
      <w:r w:rsidRPr="003C2762">
        <w:rPr>
          <w:rFonts w:ascii="Times New Roman" w:hAnsi="Times New Roman" w:cs="Times New Roman"/>
          <w:i/>
          <w:iCs/>
        </w:rPr>
        <w:t xml:space="preserve">National Risk Assessment of Money Laundering and Terrorist Financing 2017 </w:t>
      </w:r>
      <w:r w:rsidRPr="003C2762">
        <w:rPr>
          <w:rFonts w:ascii="Times New Roman" w:hAnsi="Times New Roman" w:cs="Times New Roman"/>
        </w:rPr>
        <w:t>(October 2017) 19.</w:t>
      </w:r>
    </w:p>
  </w:footnote>
  <w:footnote w:id="83">
    <w:p w14:paraId="3E4A90E3" w14:textId="669C03A9"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r w:rsidRPr="003C2762">
        <w:rPr>
          <w:rFonts w:ascii="Times New Roman" w:hAnsi="Times New Roman" w:cs="Times New Roman"/>
          <w:i/>
          <w:iCs/>
        </w:rPr>
        <w:t>ibid</w:t>
      </w:r>
      <w:r w:rsidRPr="003C2762">
        <w:rPr>
          <w:rFonts w:ascii="Times New Roman" w:hAnsi="Times New Roman" w:cs="Times New Roman"/>
        </w:rPr>
        <w:t>, 54.</w:t>
      </w:r>
    </w:p>
  </w:footnote>
  <w:footnote w:id="84">
    <w:p w14:paraId="5FE30DE1" w14:textId="34A73DEE" w:rsidR="00957101" w:rsidRPr="003C2762" w:rsidRDefault="00957101" w:rsidP="00AB4266">
      <w:pPr>
        <w:pStyle w:val="FootnoteText"/>
        <w:jc w:val="both"/>
        <w:rPr>
          <w:rFonts w:ascii="Times New Roman" w:hAnsi="Times New Roman" w:cs="Times New Roman"/>
          <w:lang w:val="en-US"/>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r w:rsidRPr="003C2762">
        <w:rPr>
          <w:rFonts w:ascii="Times New Roman" w:hAnsi="Times New Roman" w:cs="Times New Roman"/>
          <w:lang w:val="en-US"/>
        </w:rPr>
        <w:t xml:space="preserve">FATF, </w:t>
      </w:r>
      <w:r w:rsidRPr="003C2762">
        <w:rPr>
          <w:rFonts w:ascii="Times New Roman" w:eastAsia="Times New Roman" w:hAnsi="Times New Roman" w:cs="Times New Roman"/>
          <w:i/>
          <w:iCs/>
          <w:lang w:val="en-US"/>
        </w:rPr>
        <w:t>Anti-Money Laundering and Counter-Terrorist Financing Measures - United Kingdom, Mutual Evaluation Report</w:t>
      </w:r>
      <w:r w:rsidRPr="003C2762">
        <w:rPr>
          <w:rFonts w:ascii="Times New Roman" w:eastAsia="Times New Roman" w:hAnsi="Times New Roman" w:cs="Times New Roman"/>
          <w:lang w:val="en-US"/>
        </w:rPr>
        <w:t xml:space="preserve"> (December 2018) para 288.</w:t>
      </w:r>
    </w:p>
  </w:footnote>
  <w:footnote w:id="85">
    <w:p w14:paraId="7AA3871D" w14:textId="03E6F4E3" w:rsidR="00957101" w:rsidRPr="003C2762" w:rsidRDefault="00957101" w:rsidP="00AB4266">
      <w:pPr>
        <w:pStyle w:val="FootnoteText"/>
        <w:jc w:val="both"/>
        <w:rPr>
          <w:rFonts w:ascii="Times New Roman" w:hAnsi="Times New Roman" w:cs="Times New Roman"/>
          <w:lang w:val="en-US"/>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r w:rsidRPr="003C2762">
        <w:rPr>
          <w:rFonts w:ascii="Times New Roman" w:hAnsi="Times New Roman" w:cs="Times New Roman"/>
          <w:i/>
          <w:iCs/>
        </w:rPr>
        <w:t>ibid</w:t>
      </w:r>
      <w:r w:rsidRPr="003C2762">
        <w:rPr>
          <w:rFonts w:ascii="Times New Roman" w:hAnsi="Times New Roman" w:cs="Times New Roman"/>
        </w:rPr>
        <w:t xml:space="preserve">, </w:t>
      </w:r>
      <w:r w:rsidRPr="003C2762">
        <w:rPr>
          <w:rFonts w:ascii="Times New Roman" w:eastAsia="Times New Roman" w:hAnsi="Times New Roman" w:cs="Times New Roman"/>
          <w:lang w:val="en-US"/>
        </w:rPr>
        <w:t>para 312.</w:t>
      </w:r>
    </w:p>
  </w:footnote>
  <w:footnote w:id="86">
    <w:p w14:paraId="6D40F783" w14:textId="3510B4F8"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On such </w:t>
      </w:r>
      <w:proofErr w:type="spellStart"/>
      <w:r w:rsidRPr="003C2762">
        <w:rPr>
          <w:rFonts w:ascii="Times New Roman" w:hAnsi="Times New Roman" w:cs="Times New Roman"/>
        </w:rPr>
        <w:t>responsibilisation</w:t>
      </w:r>
      <w:proofErr w:type="spellEnd"/>
      <w:r w:rsidRPr="003C2762">
        <w:rPr>
          <w:rFonts w:ascii="Times New Roman" w:hAnsi="Times New Roman" w:cs="Times New Roman"/>
        </w:rPr>
        <w:t xml:space="preserve"> of private actors, see </w:t>
      </w:r>
      <w:r w:rsidRPr="003C2762">
        <w:rPr>
          <w:rFonts w:ascii="Times New Roman" w:hAnsi="Times New Roman" w:cs="Times New Roman"/>
          <w:color w:val="000000" w:themeColor="text1"/>
        </w:rPr>
        <w:t xml:space="preserve">P. O’Malley and D. Palmer, ‘Post-Keynesian Policing’ (1996) 25 </w:t>
      </w:r>
      <w:r w:rsidRPr="003C2762">
        <w:rPr>
          <w:rFonts w:ascii="Times New Roman" w:hAnsi="Times New Roman" w:cs="Times New Roman"/>
          <w:i/>
          <w:iCs/>
          <w:color w:val="000000" w:themeColor="text1"/>
        </w:rPr>
        <w:t>Economy and Society</w:t>
      </w:r>
      <w:r w:rsidRPr="003C2762">
        <w:rPr>
          <w:rFonts w:ascii="Times New Roman" w:hAnsi="Times New Roman" w:cs="Times New Roman"/>
          <w:color w:val="000000" w:themeColor="text1"/>
        </w:rPr>
        <w:t xml:space="preserve"> 137; </w:t>
      </w:r>
      <w:r w:rsidRPr="003C2762">
        <w:rPr>
          <w:rFonts w:ascii="Times New Roman" w:hAnsi="Times New Roman" w:cs="Times New Roman"/>
        </w:rPr>
        <w:t xml:space="preserve">D. Garland, </w:t>
      </w:r>
      <w:r w:rsidRPr="003C2762">
        <w:rPr>
          <w:rFonts w:ascii="Times New Roman" w:hAnsi="Times New Roman" w:cs="Times New Roman"/>
          <w:i/>
          <w:iCs/>
        </w:rPr>
        <w:t>The Culture of Control: Crime and Social Order in Contemporary Society</w:t>
      </w:r>
      <w:r w:rsidRPr="003C2762">
        <w:rPr>
          <w:rFonts w:ascii="Times New Roman" w:hAnsi="Times New Roman" w:cs="Times New Roman"/>
        </w:rPr>
        <w:t xml:space="preserve"> (Oxford: OUP, 2001) 126; G.C. </w:t>
      </w:r>
      <w:proofErr w:type="spellStart"/>
      <w:r w:rsidRPr="003C2762">
        <w:rPr>
          <w:rFonts w:ascii="Times New Roman" w:hAnsi="Times New Roman" w:cs="Times New Roman"/>
        </w:rPr>
        <w:t>Gray</w:t>
      </w:r>
      <w:proofErr w:type="spellEnd"/>
      <w:r w:rsidRPr="003C2762">
        <w:rPr>
          <w:rFonts w:ascii="Times New Roman" w:hAnsi="Times New Roman" w:cs="Times New Roman"/>
        </w:rPr>
        <w:t xml:space="preserve">, ‘The </w:t>
      </w:r>
      <w:proofErr w:type="spellStart"/>
      <w:r w:rsidRPr="003C2762">
        <w:rPr>
          <w:rFonts w:ascii="Times New Roman" w:hAnsi="Times New Roman" w:cs="Times New Roman"/>
        </w:rPr>
        <w:t>Responsibilization</w:t>
      </w:r>
      <w:proofErr w:type="spellEnd"/>
      <w:r w:rsidRPr="003C2762">
        <w:rPr>
          <w:rFonts w:ascii="Times New Roman" w:hAnsi="Times New Roman" w:cs="Times New Roman"/>
        </w:rPr>
        <w:t xml:space="preserve"> Strategy of Health and Safety: Neo-liberalism and the Reconfiguration of Individual Responsibility for Risk’ (2009) 49 </w:t>
      </w:r>
      <w:r w:rsidRPr="003C2762">
        <w:rPr>
          <w:rFonts w:ascii="Times New Roman" w:hAnsi="Times New Roman" w:cs="Times New Roman"/>
          <w:i/>
          <w:iCs/>
        </w:rPr>
        <w:t>British Journal of Criminology</w:t>
      </w:r>
      <w:r w:rsidRPr="003C2762">
        <w:rPr>
          <w:rFonts w:ascii="Times New Roman" w:hAnsi="Times New Roman" w:cs="Times New Roman"/>
        </w:rPr>
        <w:t xml:space="preserve"> 326.</w:t>
      </w:r>
    </w:p>
  </w:footnote>
  <w:footnote w:id="87">
    <w:p w14:paraId="50B27D51" w14:textId="12D8275F"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See M. Egan, ‘The Role of the Regulated Sector in the UK Anti-Money Laundering Framework: Pushing the Boundaries of the Private Police’ (2010) </w:t>
      </w:r>
      <w:r w:rsidR="00260D2B">
        <w:rPr>
          <w:rFonts w:ascii="Times New Roman" w:hAnsi="Times New Roman" w:cs="Times New Roman"/>
        </w:rPr>
        <w:t xml:space="preserve">6 </w:t>
      </w:r>
      <w:r w:rsidRPr="003C2762">
        <w:rPr>
          <w:rFonts w:ascii="Times New Roman" w:hAnsi="Times New Roman" w:cs="Times New Roman"/>
          <w:i/>
        </w:rPr>
        <w:t>Journal of Contemporary European Research</w:t>
      </w:r>
      <w:r w:rsidRPr="003C2762">
        <w:rPr>
          <w:rFonts w:ascii="Times New Roman" w:hAnsi="Times New Roman" w:cs="Times New Roman"/>
        </w:rPr>
        <w:t xml:space="preserve"> 272, 285 who contends that ‘the implementation of AML measures by the regulated sector increases the amount of intelligence available to policing agencies and thereby assists the public police in making appropriate operational choices’</w:t>
      </w:r>
      <w:r w:rsidR="00C90DC8">
        <w:rPr>
          <w:rFonts w:ascii="Times New Roman" w:hAnsi="Times New Roman" w:cs="Times New Roman"/>
        </w:rPr>
        <w:t>.</w:t>
      </w:r>
    </w:p>
  </w:footnote>
  <w:footnote w:id="88">
    <w:p w14:paraId="7F78B02F" w14:textId="6D444A73"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See n 2 above, 79-80</w:t>
      </w:r>
      <w:r w:rsidR="008F1B52">
        <w:rPr>
          <w:rFonts w:ascii="Times New Roman" w:hAnsi="Times New Roman" w:cs="Times New Roman"/>
        </w:rPr>
        <w:t>.</w:t>
      </w:r>
    </w:p>
  </w:footnote>
  <w:footnote w:id="89">
    <w:p w14:paraId="540C0551" w14:textId="728F0270"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Home Office and HM Treasury, </w:t>
      </w:r>
      <w:r w:rsidRPr="003C2762">
        <w:rPr>
          <w:rFonts w:ascii="Times New Roman" w:hAnsi="Times New Roman" w:cs="Times New Roman"/>
          <w:i/>
        </w:rPr>
        <w:t>Action Plan for Anti-Money Laundering and Counter-Terrorist Finance</w:t>
      </w:r>
      <w:r w:rsidRPr="003C2762">
        <w:rPr>
          <w:rFonts w:ascii="Times New Roman" w:hAnsi="Times New Roman" w:cs="Times New Roman"/>
        </w:rPr>
        <w:t xml:space="preserve"> (April 2016) 12.</w:t>
      </w:r>
    </w:p>
  </w:footnote>
  <w:footnote w:id="90">
    <w:p w14:paraId="4F616A5B" w14:textId="1870DC69"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As provided for by ML Regs, Reg 27(1).</w:t>
      </w:r>
    </w:p>
  </w:footnote>
  <w:footnote w:id="91">
    <w:p w14:paraId="6739F767" w14:textId="1A9DC366" w:rsidR="00957101" w:rsidRPr="003C2762" w:rsidRDefault="00957101" w:rsidP="00AB4266">
      <w:pPr>
        <w:pStyle w:val="FootnoteText"/>
        <w:jc w:val="both"/>
        <w:rPr>
          <w:rFonts w:ascii="Times New Roman" w:hAnsi="Times New Roman" w:cs="Times New Roman"/>
          <w:lang w:val="de-DE"/>
        </w:rPr>
      </w:pPr>
      <w:r w:rsidRPr="003C2762">
        <w:rPr>
          <w:rStyle w:val="FootnoteReference"/>
          <w:rFonts w:ascii="Times New Roman" w:hAnsi="Times New Roman" w:cs="Times New Roman"/>
        </w:rPr>
        <w:footnoteRef/>
      </w:r>
      <w:r w:rsidRPr="003C2762">
        <w:rPr>
          <w:rFonts w:ascii="Times New Roman" w:hAnsi="Times New Roman" w:cs="Times New Roman"/>
          <w:lang w:val="de-DE"/>
        </w:rPr>
        <w:t xml:space="preserve"> ML Regs, Reg 28(2).</w:t>
      </w:r>
    </w:p>
  </w:footnote>
  <w:footnote w:id="92">
    <w:p w14:paraId="35D51C29" w14:textId="7840D1CC" w:rsidR="00957101" w:rsidRPr="003C2762" w:rsidRDefault="00957101" w:rsidP="00AB4266">
      <w:pPr>
        <w:pStyle w:val="FootnoteText"/>
        <w:jc w:val="both"/>
        <w:rPr>
          <w:rFonts w:ascii="Times New Roman" w:hAnsi="Times New Roman" w:cs="Times New Roman"/>
          <w:lang w:val="de-DE"/>
        </w:rPr>
      </w:pPr>
      <w:r w:rsidRPr="003C2762">
        <w:rPr>
          <w:rStyle w:val="FootnoteReference"/>
          <w:rFonts w:ascii="Times New Roman" w:hAnsi="Times New Roman" w:cs="Times New Roman"/>
        </w:rPr>
        <w:footnoteRef/>
      </w:r>
      <w:r w:rsidRPr="003C2762">
        <w:rPr>
          <w:rFonts w:ascii="Times New Roman" w:hAnsi="Times New Roman" w:cs="Times New Roman"/>
          <w:lang w:val="de-DE"/>
        </w:rPr>
        <w:t xml:space="preserve"> ML Regs, Reg 28(11).</w:t>
      </w:r>
    </w:p>
  </w:footnote>
  <w:footnote w:id="93">
    <w:p w14:paraId="4BA62065" w14:textId="5FA3F75D"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n 34 above, 1050.</w:t>
      </w:r>
    </w:p>
  </w:footnote>
  <w:footnote w:id="94">
    <w:p w14:paraId="3F3591D1" w14:textId="4ED7CDD0"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M. Gill and G. Taylor, ‘Preventing Money Laundering or Obstructing Business? Financial Companies’ Perspectives on “Know Your Customer” Procedures’ (2004) 44 </w:t>
      </w:r>
      <w:r w:rsidRPr="003C2762">
        <w:rPr>
          <w:rFonts w:ascii="Times New Roman" w:hAnsi="Times New Roman" w:cs="Times New Roman"/>
          <w:i/>
        </w:rPr>
        <w:t>British Journal of Criminology</w:t>
      </w:r>
      <w:r w:rsidRPr="003C2762">
        <w:rPr>
          <w:rFonts w:ascii="Times New Roman" w:hAnsi="Times New Roman" w:cs="Times New Roman"/>
        </w:rPr>
        <w:t xml:space="preserve"> 582, 587.</w:t>
      </w:r>
    </w:p>
  </w:footnote>
  <w:footnote w:id="95">
    <w:p w14:paraId="0527D193" w14:textId="31759203"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proofErr w:type="spellStart"/>
      <w:r w:rsidRPr="003C2762">
        <w:rPr>
          <w:rFonts w:ascii="Times New Roman" w:hAnsi="Times New Roman" w:cs="Times New Roman"/>
        </w:rPr>
        <w:t>eg</w:t>
      </w:r>
      <w:proofErr w:type="spellEnd"/>
      <w:r w:rsidRPr="003C2762">
        <w:rPr>
          <w:rFonts w:ascii="Times New Roman" w:hAnsi="Times New Roman" w:cs="Times New Roman"/>
        </w:rPr>
        <w:t xml:space="preserve"> Interview 14.</w:t>
      </w:r>
    </w:p>
  </w:footnote>
  <w:footnote w:id="96">
    <w:p w14:paraId="639FB54A" w14:textId="77777777"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Interview 1.</w:t>
      </w:r>
    </w:p>
  </w:footnote>
  <w:footnote w:id="97">
    <w:p w14:paraId="00FABD44" w14:textId="77777777"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Interview 2.</w:t>
      </w:r>
    </w:p>
  </w:footnote>
  <w:footnote w:id="98">
    <w:p w14:paraId="2B63E831" w14:textId="75673CA9"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proofErr w:type="spellStart"/>
      <w:r w:rsidRPr="003C2762">
        <w:rPr>
          <w:rFonts w:ascii="Times New Roman" w:hAnsi="Times New Roman" w:cs="Times New Roman"/>
        </w:rPr>
        <w:t>eg</w:t>
      </w:r>
      <w:proofErr w:type="spellEnd"/>
      <w:r w:rsidRPr="003C2762">
        <w:rPr>
          <w:rFonts w:ascii="Times New Roman" w:hAnsi="Times New Roman" w:cs="Times New Roman"/>
        </w:rPr>
        <w:t xml:space="preserve"> Interviews 3; 12.</w:t>
      </w:r>
    </w:p>
  </w:footnote>
  <w:footnote w:id="99">
    <w:p w14:paraId="2E3B83F7" w14:textId="148F12F0"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proofErr w:type="spellStart"/>
      <w:r w:rsidRPr="003C2762">
        <w:rPr>
          <w:rFonts w:ascii="Times New Roman" w:hAnsi="Times New Roman" w:cs="Times New Roman"/>
        </w:rPr>
        <w:t>eg</w:t>
      </w:r>
      <w:proofErr w:type="spellEnd"/>
      <w:r w:rsidRPr="003C2762" w:rsidDel="00A23B10">
        <w:rPr>
          <w:rFonts w:ascii="Times New Roman" w:hAnsi="Times New Roman" w:cs="Times New Roman"/>
        </w:rPr>
        <w:t xml:space="preserve"> </w:t>
      </w:r>
      <w:r w:rsidRPr="003C2762">
        <w:rPr>
          <w:rFonts w:ascii="Times New Roman" w:hAnsi="Times New Roman" w:cs="Times New Roman"/>
        </w:rPr>
        <w:t>Interview 2.</w:t>
      </w:r>
    </w:p>
  </w:footnote>
  <w:footnote w:id="100">
    <w:p w14:paraId="0437A3BD" w14:textId="4FD63842"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proofErr w:type="spellStart"/>
      <w:r w:rsidRPr="003C2762">
        <w:rPr>
          <w:rFonts w:ascii="Times New Roman" w:hAnsi="Times New Roman" w:cs="Times New Roman"/>
        </w:rPr>
        <w:t>eg</w:t>
      </w:r>
      <w:proofErr w:type="spellEnd"/>
      <w:r w:rsidRPr="003C2762" w:rsidDel="00A23B10">
        <w:rPr>
          <w:rFonts w:ascii="Times New Roman" w:hAnsi="Times New Roman" w:cs="Times New Roman"/>
        </w:rPr>
        <w:t xml:space="preserve"> </w:t>
      </w:r>
      <w:r w:rsidRPr="003C2762">
        <w:rPr>
          <w:rFonts w:ascii="Times New Roman" w:hAnsi="Times New Roman" w:cs="Times New Roman"/>
        </w:rPr>
        <w:t>Interview 3.</w:t>
      </w:r>
    </w:p>
  </w:footnote>
  <w:footnote w:id="101">
    <w:p w14:paraId="3C425F4B" w14:textId="4065590D"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proofErr w:type="spellStart"/>
      <w:r w:rsidRPr="003C2762">
        <w:rPr>
          <w:rFonts w:ascii="Times New Roman" w:hAnsi="Times New Roman" w:cs="Times New Roman"/>
        </w:rPr>
        <w:t>eg</w:t>
      </w:r>
      <w:proofErr w:type="spellEnd"/>
      <w:r w:rsidRPr="003C2762">
        <w:rPr>
          <w:rFonts w:ascii="Times New Roman" w:hAnsi="Times New Roman" w:cs="Times New Roman"/>
        </w:rPr>
        <w:t xml:space="preserve"> Interviews 8; 14.</w:t>
      </w:r>
    </w:p>
  </w:footnote>
  <w:footnote w:id="102">
    <w:p w14:paraId="3B9B3C7A" w14:textId="0B1626A9"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proofErr w:type="spellStart"/>
      <w:r w:rsidRPr="003C2762">
        <w:rPr>
          <w:rFonts w:ascii="Times New Roman" w:hAnsi="Times New Roman" w:cs="Times New Roman"/>
        </w:rPr>
        <w:t>eg</w:t>
      </w:r>
      <w:proofErr w:type="spellEnd"/>
      <w:r w:rsidRPr="003C2762" w:rsidDel="00D775F6">
        <w:rPr>
          <w:rFonts w:ascii="Times New Roman" w:hAnsi="Times New Roman" w:cs="Times New Roman"/>
        </w:rPr>
        <w:t xml:space="preserve"> </w:t>
      </w:r>
      <w:r w:rsidRPr="003C2762">
        <w:rPr>
          <w:rFonts w:ascii="Times New Roman" w:hAnsi="Times New Roman" w:cs="Times New Roman"/>
        </w:rPr>
        <w:t>Interview 1.</w:t>
      </w:r>
    </w:p>
  </w:footnote>
  <w:footnote w:id="103">
    <w:p w14:paraId="4D6BF56D" w14:textId="52AD1D3E"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Interview 6.</w:t>
      </w:r>
    </w:p>
  </w:footnote>
  <w:footnote w:id="104">
    <w:p w14:paraId="41B34006" w14:textId="6BD5DA30"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See M. Albertson Fineman, ‘The Vulnerable Subject and the Responsive State’ (2010) 60 </w:t>
      </w:r>
      <w:r w:rsidRPr="003C2762">
        <w:rPr>
          <w:rFonts w:ascii="Times New Roman" w:hAnsi="Times New Roman" w:cs="Times New Roman"/>
          <w:i/>
        </w:rPr>
        <w:t xml:space="preserve">Emory Law Journal </w:t>
      </w:r>
      <w:r w:rsidRPr="003C2762">
        <w:rPr>
          <w:rFonts w:ascii="Times New Roman" w:hAnsi="Times New Roman" w:cs="Times New Roman"/>
        </w:rPr>
        <w:t>251.</w:t>
      </w:r>
    </w:p>
  </w:footnote>
  <w:footnote w:id="105">
    <w:p w14:paraId="14ABEF76" w14:textId="06205781"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proofErr w:type="spellStart"/>
      <w:r w:rsidRPr="003C2762">
        <w:rPr>
          <w:rFonts w:ascii="Times New Roman" w:hAnsi="Times New Roman" w:cs="Times New Roman"/>
        </w:rPr>
        <w:t>eg</w:t>
      </w:r>
      <w:proofErr w:type="spellEnd"/>
      <w:r w:rsidRPr="003C2762" w:rsidDel="00D775F6">
        <w:rPr>
          <w:rFonts w:ascii="Times New Roman" w:hAnsi="Times New Roman" w:cs="Times New Roman"/>
        </w:rPr>
        <w:t xml:space="preserve"> </w:t>
      </w:r>
      <w:r w:rsidRPr="003C2762">
        <w:rPr>
          <w:rFonts w:ascii="Times New Roman" w:hAnsi="Times New Roman" w:cs="Times New Roman"/>
        </w:rPr>
        <w:t>Interviews 3; 9.</w:t>
      </w:r>
    </w:p>
  </w:footnote>
  <w:footnote w:id="106">
    <w:p w14:paraId="230E4E12" w14:textId="77777777"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Interview 3.</w:t>
      </w:r>
    </w:p>
  </w:footnote>
  <w:footnote w:id="107">
    <w:p w14:paraId="76D5D7F6" w14:textId="08F9DCC3"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n 9</w:t>
      </w:r>
      <w:r w:rsidR="00BB5882">
        <w:rPr>
          <w:rFonts w:ascii="Times New Roman" w:hAnsi="Times New Roman" w:cs="Times New Roman"/>
        </w:rPr>
        <w:t>2</w:t>
      </w:r>
      <w:r w:rsidRPr="003C2762">
        <w:rPr>
          <w:rFonts w:ascii="Times New Roman" w:hAnsi="Times New Roman" w:cs="Times New Roman"/>
        </w:rPr>
        <w:t xml:space="preserve"> above, 588.</w:t>
      </w:r>
    </w:p>
  </w:footnote>
  <w:footnote w:id="108">
    <w:p w14:paraId="497B1AB0" w14:textId="2640E8FE"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L. </w:t>
      </w:r>
      <w:proofErr w:type="spellStart"/>
      <w:r w:rsidRPr="003C2762">
        <w:rPr>
          <w:rFonts w:ascii="Times New Roman" w:hAnsi="Times New Roman" w:cs="Times New Roman"/>
        </w:rPr>
        <w:t>Gelemerova</w:t>
      </w:r>
      <w:proofErr w:type="spellEnd"/>
      <w:r w:rsidRPr="003C2762">
        <w:rPr>
          <w:rFonts w:ascii="Times New Roman" w:hAnsi="Times New Roman" w:cs="Times New Roman"/>
        </w:rPr>
        <w:t xml:space="preserve">, ‘On the frontline against money-laundering: the regulatory minefield’ (2008) 52 </w:t>
      </w:r>
      <w:r w:rsidRPr="003C2762">
        <w:rPr>
          <w:rFonts w:ascii="Times New Roman" w:hAnsi="Times New Roman" w:cs="Times New Roman"/>
          <w:i/>
        </w:rPr>
        <w:t>Crime, Law and Social Change</w:t>
      </w:r>
      <w:r w:rsidRPr="003C2762">
        <w:rPr>
          <w:rFonts w:ascii="Times New Roman" w:hAnsi="Times New Roman" w:cs="Times New Roman"/>
        </w:rPr>
        <w:t xml:space="preserve"> 33, 47.</w:t>
      </w:r>
    </w:p>
  </w:footnote>
  <w:footnote w:id="109">
    <w:p w14:paraId="2591E734" w14:textId="65E72482"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M. Levi, ‘Money for Crime and Money </w:t>
      </w:r>
      <w:proofErr w:type="gramStart"/>
      <w:r w:rsidRPr="003C2762">
        <w:rPr>
          <w:rFonts w:ascii="Times New Roman" w:hAnsi="Times New Roman" w:cs="Times New Roman"/>
        </w:rPr>
        <w:t>From</w:t>
      </w:r>
      <w:proofErr w:type="gramEnd"/>
      <w:r w:rsidRPr="003C2762">
        <w:rPr>
          <w:rFonts w:ascii="Times New Roman" w:hAnsi="Times New Roman" w:cs="Times New Roman"/>
        </w:rPr>
        <w:t xml:space="preserve"> Crime: Financing Crime and Laundering Crime Proceeds’ (2015) 21 </w:t>
      </w:r>
      <w:r w:rsidRPr="003C2762">
        <w:rPr>
          <w:rFonts w:ascii="Times New Roman" w:hAnsi="Times New Roman" w:cs="Times New Roman"/>
          <w:i/>
        </w:rPr>
        <w:t>European Journal on Criminal Policy and Research</w:t>
      </w:r>
      <w:r w:rsidRPr="003C2762">
        <w:rPr>
          <w:rFonts w:ascii="Times New Roman" w:hAnsi="Times New Roman" w:cs="Times New Roman"/>
        </w:rPr>
        <w:t xml:space="preserve"> 275.</w:t>
      </w:r>
    </w:p>
  </w:footnote>
  <w:footnote w:id="110">
    <w:p w14:paraId="7708694E" w14:textId="470E1C40"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R. Ericson, ‘Ten Uncertainties of Risk-Management Approaches to Security’ (2006) 48 </w:t>
      </w:r>
      <w:r w:rsidRPr="003C2762">
        <w:rPr>
          <w:rFonts w:ascii="Times New Roman" w:hAnsi="Times New Roman" w:cs="Times New Roman"/>
          <w:i/>
        </w:rPr>
        <w:t>Canadian Journal of Criminology and Criminal Justice</w:t>
      </w:r>
      <w:r w:rsidRPr="003C2762">
        <w:rPr>
          <w:rFonts w:ascii="Times New Roman" w:hAnsi="Times New Roman" w:cs="Times New Roman"/>
        </w:rPr>
        <w:t xml:space="preserve"> 345, 348.</w:t>
      </w:r>
    </w:p>
  </w:footnote>
  <w:footnote w:id="111">
    <w:p w14:paraId="516FA726" w14:textId="035EB0B9"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proofErr w:type="spellStart"/>
      <w:r w:rsidRPr="003C2762">
        <w:rPr>
          <w:rFonts w:ascii="Times New Roman" w:hAnsi="Times New Roman" w:cs="Times New Roman"/>
        </w:rPr>
        <w:t>eg</w:t>
      </w:r>
      <w:proofErr w:type="spellEnd"/>
      <w:r w:rsidRPr="003C2762" w:rsidDel="00D775F6">
        <w:rPr>
          <w:rFonts w:ascii="Times New Roman" w:hAnsi="Times New Roman" w:cs="Times New Roman"/>
        </w:rPr>
        <w:t xml:space="preserve"> </w:t>
      </w:r>
      <w:r w:rsidRPr="003C2762">
        <w:rPr>
          <w:rFonts w:ascii="Times New Roman" w:hAnsi="Times New Roman" w:cs="Times New Roman"/>
        </w:rPr>
        <w:t>Interviews 4; 11; 12; 13.</w:t>
      </w:r>
    </w:p>
  </w:footnote>
  <w:footnote w:id="112">
    <w:p w14:paraId="436C2D47" w14:textId="58513E49"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proofErr w:type="spellStart"/>
      <w:r w:rsidRPr="003C2762">
        <w:rPr>
          <w:rFonts w:ascii="Times New Roman" w:hAnsi="Times New Roman" w:cs="Times New Roman"/>
        </w:rPr>
        <w:t>eg</w:t>
      </w:r>
      <w:proofErr w:type="spellEnd"/>
      <w:r w:rsidRPr="003C2762">
        <w:rPr>
          <w:rFonts w:ascii="Times New Roman" w:hAnsi="Times New Roman" w:cs="Times New Roman"/>
        </w:rPr>
        <w:t xml:space="preserve"> Interview 9.</w:t>
      </w:r>
    </w:p>
  </w:footnote>
  <w:footnote w:id="113">
    <w:p w14:paraId="11EE101F" w14:textId="10C33A28"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FATF, </w:t>
      </w:r>
      <w:r w:rsidRPr="003C2762">
        <w:rPr>
          <w:rFonts w:ascii="Times New Roman" w:hAnsi="Times New Roman" w:cs="Times New Roman"/>
          <w:i/>
        </w:rPr>
        <w:t>FATF Guidance: Politically Exposed Persons (Recommendations 12 and 22)</w:t>
      </w:r>
      <w:r w:rsidRPr="003C2762">
        <w:rPr>
          <w:rFonts w:ascii="Times New Roman" w:hAnsi="Times New Roman" w:cs="Times New Roman"/>
        </w:rPr>
        <w:t xml:space="preserve"> (June 2013) 3.</w:t>
      </w:r>
    </w:p>
  </w:footnote>
  <w:footnote w:id="114">
    <w:p w14:paraId="74ED376C" w14:textId="5A9945BA"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For discussion of kleptocracy, see n 1</w:t>
      </w:r>
      <w:r w:rsidR="008D441B">
        <w:rPr>
          <w:rFonts w:ascii="Times New Roman" w:hAnsi="Times New Roman" w:cs="Times New Roman"/>
        </w:rPr>
        <w:t>6</w:t>
      </w:r>
      <w:r w:rsidRPr="003C2762">
        <w:rPr>
          <w:rFonts w:ascii="Times New Roman" w:hAnsi="Times New Roman" w:cs="Times New Roman"/>
        </w:rPr>
        <w:t xml:space="preserve"> above</w:t>
      </w:r>
      <w:r w:rsidR="008F1B52">
        <w:rPr>
          <w:rFonts w:ascii="Times New Roman" w:hAnsi="Times New Roman" w:cs="Times New Roman"/>
        </w:rPr>
        <w:t>.</w:t>
      </w:r>
    </w:p>
  </w:footnote>
  <w:footnote w:id="115">
    <w:p w14:paraId="4B7412FC" w14:textId="3FB31AE5"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For wider consideration, see FATF</w:t>
      </w:r>
      <w:r w:rsidRPr="003C2762">
        <w:rPr>
          <w:rFonts w:ascii="Times New Roman" w:hAnsi="Times New Roman" w:cs="Times New Roman"/>
          <w:i/>
        </w:rPr>
        <w:t>, Laundering the Proceeds of Corruption</w:t>
      </w:r>
      <w:r w:rsidRPr="003C2762">
        <w:rPr>
          <w:rFonts w:ascii="Times New Roman" w:hAnsi="Times New Roman" w:cs="Times New Roman"/>
        </w:rPr>
        <w:t xml:space="preserve"> (July 2011).</w:t>
      </w:r>
    </w:p>
  </w:footnote>
  <w:footnote w:id="116">
    <w:p w14:paraId="3F0924FD" w14:textId="0E2837A4"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n 111 above, 7.</w:t>
      </w:r>
    </w:p>
  </w:footnote>
  <w:footnote w:id="117">
    <w:p w14:paraId="5CDCD6C6" w14:textId="70CCD35E"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See ML Regs, Regs 33 and 35.</w:t>
      </w:r>
    </w:p>
  </w:footnote>
  <w:footnote w:id="118">
    <w:p w14:paraId="2843752E" w14:textId="747072A9" w:rsidR="00957101" w:rsidRPr="003C2762" w:rsidRDefault="00957101" w:rsidP="00AB4266">
      <w:pPr>
        <w:pStyle w:val="FootnoteText"/>
        <w:jc w:val="both"/>
        <w:rPr>
          <w:rFonts w:ascii="Times New Roman" w:hAnsi="Times New Roman" w:cs="Times New Roman"/>
          <w:lang w:val="en-US"/>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r w:rsidRPr="003C2762">
        <w:rPr>
          <w:rFonts w:ascii="Times New Roman" w:hAnsi="Times New Roman" w:cs="Times New Roman"/>
          <w:lang w:val="en-US"/>
        </w:rPr>
        <w:t xml:space="preserve">On the challenges of identification, see Z. </w:t>
      </w:r>
      <w:proofErr w:type="spellStart"/>
      <w:r w:rsidRPr="003C2762">
        <w:rPr>
          <w:rFonts w:ascii="Times New Roman" w:hAnsi="Times New Roman" w:cs="Times New Roman"/>
          <w:lang w:val="en-US"/>
        </w:rPr>
        <w:t>Miltina</w:t>
      </w:r>
      <w:proofErr w:type="spellEnd"/>
      <w:r w:rsidRPr="003C2762">
        <w:rPr>
          <w:rFonts w:ascii="Times New Roman" w:hAnsi="Times New Roman" w:cs="Times New Roman"/>
          <w:lang w:val="en-US"/>
        </w:rPr>
        <w:t xml:space="preserve"> et al, ‘Model for Identification of Politically Exposed Persons’ in B. Johansson et al (eds), </w:t>
      </w:r>
      <w:r w:rsidRPr="003C2762">
        <w:rPr>
          <w:rFonts w:ascii="Times New Roman" w:hAnsi="Times New Roman" w:cs="Times New Roman"/>
          <w:i/>
          <w:iCs/>
          <w:lang w:val="en-US"/>
        </w:rPr>
        <w:t>Perspectives in Business Informatics Research</w:t>
      </w:r>
      <w:r w:rsidRPr="003C2762">
        <w:rPr>
          <w:rFonts w:ascii="Times New Roman" w:hAnsi="Times New Roman" w:cs="Times New Roman"/>
          <w:lang w:val="en-US"/>
        </w:rPr>
        <w:t xml:space="preserve"> (Cham: Springer, 2017).</w:t>
      </w:r>
    </w:p>
  </w:footnote>
  <w:footnote w:id="119">
    <w:p w14:paraId="1F28541B" w14:textId="49BBA264"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proofErr w:type="spellStart"/>
      <w:r w:rsidRPr="003C2762">
        <w:rPr>
          <w:rFonts w:ascii="Times New Roman" w:hAnsi="Times New Roman" w:cs="Times New Roman"/>
        </w:rPr>
        <w:t>eg</w:t>
      </w:r>
      <w:proofErr w:type="spellEnd"/>
      <w:r w:rsidRPr="003C2762">
        <w:rPr>
          <w:rFonts w:ascii="Times New Roman" w:hAnsi="Times New Roman" w:cs="Times New Roman"/>
        </w:rPr>
        <w:t xml:space="preserve"> Interview 1.</w:t>
      </w:r>
    </w:p>
  </w:footnote>
  <w:footnote w:id="120">
    <w:p w14:paraId="692F520B" w14:textId="77777777"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Interview 9.</w:t>
      </w:r>
    </w:p>
  </w:footnote>
  <w:footnote w:id="121">
    <w:p w14:paraId="576B5FB7" w14:textId="77777777"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Interview 13.</w:t>
      </w:r>
    </w:p>
  </w:footnote>
  <w:footnote w:id="122">
    <w:p w14:paraId="4D43C2A6" w14:textId="77777777"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Interview 9.</w:t>
      </w:r>
    </w:p>
  </w:footnote>
  <w:footnote w:id="123">
    <w:p w14:paraId="3B8F4BF9" w14:textId="34704F63"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proofErr w:type="spellStart"/>
      <w:r w:rsidRPr="003C2762">
        <w:rPr>
          <w:rFonts w:ascii="Times New Roman" w:hAnsi="Times New Roman" w:cs="Times New Roman"/>
        </w:rPr>
        <w:t>eg</w:t>
      </w:r>
      <w:proofErr w:type="spellEnd"/>
      <w:r w:rsidRPr="003C2762">
        <w:rPr>
          <w:rFonts w:ascii="Times New Roman" w:hAnsi="Times New Roman" w:cs="Times New Roman"/>
        </w:rPr>
        <w:t xml:space="preserve"> Interview 1.</w:t>
      </w:r>
    </w:p>
  </w:footnote>
  <w:footnote w:id="124">
    <w:p w14:paraId="3AA64287" w14:textId="0F98A4EF" w:rsidR="00957101" w:rsidRPr="003C2762" w:rsidRDefault="00957101" w:rsidP="00AB4266">
      <w:pPr>
        <w:jc w:val="both"/>
        <w:rPr>
          <w:rFonts w:ascii="Times New Roman" w:eastAsia="Times New Roman" w:hAnsi="Times New Roman" w:cs="Times New Roman"/>
          <w:sz w:val="20"/>
          <w:szCs w:val="20"/>
        </w:rPr>
      </w:pPr>
      <w:r w:rsidRPr="003C2762">
        <w:rPr>
          <w:rFonts w:ascii="Times New Roman" w:hAnsi="Times New Roman" w:cs="Times New Roman"/>
          <w:sz w:val="20"/>
          <w:szCs w:val="20"/>
          <w:vertAlign w:val="superscript"/>
        </w:rPr>
        <w:footnoteRef/>
      </w:r>
      <w:r w:rsidRPr="003C2762">
        <w:rPr>
          <w:rFonts w:ascii="Times New Roman" w:hAnsi="Times New Roman" w:cs="Times New Roman"/>
          <w:sz w:val="20"/>
          <w:szCs w:val="20"/>
          <w:vertAlign w:val="superscript"/>
        </w:rPr>
        <w:t xml:space="preserve"> </w:t>
      </w:r>
      <w:r w:rsidRPr="003C2762">
        <w:rPr>
          <w:rFonts w:ascii="Times New Roman" w:hAnsi="Times New Roman" w:cs="Times New Roman"/>
          <w:sz w:val="20"/>
          <w:szCs w:val="20"/>
        </w:rPr>
        <w:t xml:space="preserve">For similar argument in the context of financial institutions, see </w:t>
      </w:r>
      <w:r w:rsidRPr="003C2762">
        <w:rPr>
          <w:rFonts w:ascii="Times New Roman" w:eastAsia="Times New Roman" w:hAnsi="Times New Roman" w:cs="Times New Roman"/>
          <w:sz w:val="20"/>
          <w:szCs w:val="20"/>
        </w:rPr>
        <w:t xml:space="preserve">E. </w:t>
      </w:r>
      <w:proofErr w:type="spellStart"/>
      <w:r w:rsidRPr="003C2762">
        <w:rPr>
          <w:rFonts w:ascii="Times New Roman" w:eastAsia="Times New Roman" w:hAnsi="Times New Roman" w:cs="Times New Roman"/>
          <w:sz w:val="20"/>
          <w:szCs w:val="20"/>
        </w:rPr>
        <w:t>Tsingou</w:t>
      </w:r>
      <w:proofErr w:type="spellEnd"/>
      <w:r w:rsidRPr="003C2762">
        <w:rPr>
          <w:rFonts w:ascii="Times New Roman" w:eastAsia="Times New Roman" w:hAnsi="Times New Roman" w:cs="Times New Roman"/>
          <w:sz w:val="20"/>
          <w:szCs w:val="20"/>
        </w:rPr>
        <w:t xml:space="preserve">, ‘New Governors on the Block: The Rise of Anti-Money Laundering Professionals’ (2018) 69 </w:t>
      </w:r>
      <w:r w:rsidRPr="003C2762">
        <w:rPr>
          <w:rFonts w:ascii="Times New Roman" w:eastAsia="Times New Roman" w:hAnsi="Times New Roman" w:cs="Times New Roman"/>
          <w:i/>
          <w:iCs/>
          <w:sz w:val="20"/>
          <w:szCs w:val="20"/>
        </w:rPr>
        <w:t>Crime, Law and Social Change</w:t>
      </w:r>
      <w:r w:rsidRPr="003C2762">
        <w:rPr>
          <w:rFonts w:ascii="Times New Roman" w:eastAsia="Times New Roman" w:hAnsi="Times New Roman" w:cs="Times New Roman"/>
          <w:sz w:val="20"/>
          <w:szCs w:val="20"/>
        </w:rPr>
        <w:t xml:space="preserve"> 191.</w:t>
      </w:r>
    </w:p>
  </w:footnote>
  <w:footnote w:id="125">
    <w:p w14:paraId="775CD675" w14:textId="2E854A04" w:rsidR="00957101" w:rsidRPr="003C2762" w:rsidRDefault="00957101" w:rsidP="00AB4266">
      <w:pPr>
        <w:jc w:val="both"/>
        <w:rPr>
          <w:rFonts w:ascii="Times New Roman" w:hAnsi="Times New Roman" w:cs="Times New Roman"/>
          <w:sz w:val="20"/>
          <w:szCs w:val="20"/>
        </w:rPr>
      </w:pPr>
      <w:r w:rsidRPr="003C2762">
        <w:rPr>
          <w:rFonts w:ascii="Times New Roman" w:hAnsi="Times New Roman" w:cs="Times New Roman"/>
          <w:sz w:val="20"/>
          <w:szCs w:val="20"/>
          <w:vertAlign w:val="superscript"/>
        </w:rPr>
        <w:footnoteRef/>
      </w:r>
      <w:r w:rsidRPr="003C2762">
        <w:rPr>
          <w:rFonts w:ascii="Times New Roman" w:hAnsi="Times New Roman" w:cs="Times New Roman"/>
          <w:sz w:val="20"/>
          <w:szCs w:val="20"/>
        </w:rPr>
        <w:t xml:space="preserve"> </w:t>
      </w:r>
      <w:r w:rsidRPr="003C2762">
        <w:rPr>
          <w:rFonts w:ascii="Times New Roman" w:eastAsia="Times New Roman" w:hAnsi="Times New Roman" w:cs="Times New Roman"/>
          <w:sz w:val="20"/>
          <w:szCs w:val="20"/>
        </w:rPr>
        <w:t xml:space="preserve">M. Power, ‘The Risk Management of Everything’ (2004) 5 </w:t>
      </w:r>
      <w:r w:rsidRPr="003C2762">
        <w:rPr>
          <w:rFonts w:ascii="Times New Roman" w:eastAsia="Times New Roman" w:hAnsi="Times New Roman" w:cs="Times New Roman"/>
          <w:i/>
          <w:iCs/>
          <w:sz w:val="20"/>
          <w:szCs w:val="20"/>
        </w:rPr>
        <w:t>Journal of Risk Finance</w:t>
      </w:r>
      <w:r w:rsidRPr="003C2762">
        <w:rPr>
          <w:rFonts w:ascii="Times New Roman" w:eastAsia="Times New Roman" w:hAnsi="Times New Roman" w:cs="Times New Roman"/>
          <w:sz w:val="20"/>
          <w:szCs w:val="20"/>
        </w:rPr>
        <w:t xml:space="preserve"> 58.</w:t>
      </w:r>
    </w:p>
  </w:footnote>
  <w:footnote w:id="126">
    <w:p w14:paraId="036257FE" w14:textId="77777777"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Interview 14.</w:t>
      </w:r>
    </w:p>
  </w:footnote>
  <w:footnote w:id="127">
    <w:p w14:paraId="220C7341" w14:textId="48E2789C" w:rsidR="00957101" w:rsidRPr="003C2762" w:rsidRDefault="00957101" w:rsidP="00AB4266">
      <w:pPr>
        <w:jc w:val="both"/>
        <w:rPr>
          <w:rFonts w:ascii="Times New Roman" w:eastAsia="Times New Roman" w:hAnsi="Times New Roman" w:cs="Times New Roman"/>
          <w:sz w:val="20"/>
          <w:szCs w:val="20"/>
        </w:rPr>
      </w:pPr>
      <w:r w:rsidRPr="003C2762">
        <w:rPr>
          <w:rFonts w:ascii="Times New Roman" w:hAnsi="Times New Roman" w:cs="Times New Roman"/>
          <w:sz w:val="20"/>
          <w:szCs w:val="20"/>
          <w:vertAlign w:val="superscript"/>
        </w:rPr>
        <w:footnoteRef/>
      </w:r>
      <w:r w:rsidRPr="003C2762">
        <w:rPr>
          <w:rFonts w:ascii="Times New Roman" w:hAnsi="Times New Roman" w:cs="Times New Roman"/>
          <w:sz w:val="20"/>
          <w:szCs w:val="20"/>
        </w:rPr>
        <w:t xml:space="preserve"> </w:t>
      </w:r>
      <w:r w:rsidR="00DA6839">
        <w:rPr>
          <w:rFonts w:ascii="Times New Roman" w:hAnsi="Times New Roman" w:cs="Times New Roman"/>
          <w:sz w:val="20"/>
          <w:szCs w:val="20"/>
        </w:rPr>
        <w:t>n 43 above, 101</w:t>
      </w:r>
      <w:r w:rsidR="008F1B52">
        <w:rPr>
          <w:rFonts w:ascii="Times New Roman" w:hAnsi="Times New Roman" w:cs="Times New Roman"/>
          <w:sz w:val="20"/>
          <w:szCs w:val="20"/>
        </w:rPr>
        <w:t>.</w:t>
      </w:r>
    </w:p>
  </w:footnote>
  <w:footnote w:id="128">
    <w:p w14:paraId="6ED65827" w14:textId="13CFD763"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proofErr w:type="spellStart"/>
      <w:r w:rsidRPr="003C2762">
        <w:rPr>
          <w:rFonts w:ascii="Times New Roman" w:hAnsi="Times New Roman" w:cs="Times New Roman"/>
        </w:rPr>
        <w:t>eg</w:t>
      </w:r>
      <w:proofErr w:type="spellEnd"/>
      <w:r w:rsidRPr="003C2762">
        <w:rPr>
          <w:rFonts w:ascii="Times New Roman" w:hAnsi="Times New Roman" w:cs="Times New Roman"/>
        </w:rPr>
        <w:t xml:space="preserve"> Interview 13.</w:t>
      </w:r>
    </w:p>
  </w:footnote>
  <w:footnote w:id="129">
    <w:p w14:paraId="3000C8CE" w14:textId="4DFCE9DD"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See n 9</w:t>
      </w:r>
      <w:r w:rsidR="001B3A03">
        <w:rPr>
          <w:rFonts w:ascii="Times New Roman" w:hAnsi="Times New Roman" w:cs="Times New Roman"/>
        </w:rPr>
        <w:t>2</w:t>
      </w:r>
      <w:r w:rsidRPr="003C2762">
        <w:rPr>
          <w:rFonts w:ascii="Times New Roman" w:hAnsi="Times New Roman" w:cs="Times New Roman"/>
        </w:rPr>
        <w:t xml:space="preserve"> above, 589</w:t>
      </w:r>
      <w:r w:rsidR="008F1B52">
        <w:rPr>
          <w:rFonts w:ascii="Times New Roman" w:hAnsi="Times New Roman" w:cs="Times New Roman"/>
        </w:rPr>
        <w:t>.</w:t>
      </w:r>
    </w:p>
  </w:footnote>
  <w:footnote w:id="130">
    <w:p w14:paraId="0D68A995" w14:textId="2A63DF8F" w:rsidR="00957101" w:rsidRPr="003C2762" w:rsidRDefault="00957101" w:rsidP="00AB4266">
      <w:pPr>
        <w:jc w:val="both"/>
        <w:rPr>
          <w:rFonts w:ascii="Times New Roman" w:hAnsi="Times New Roman" w:cs="Times New Roman"/>
          <w:sz w:val="20"/>
          <w:szCs w:val="20"/>
        </w:rPr>
      </w:pPr>
      <w:r w:rsidRPr="003C2762">
        <w:rPr>
          <w:rFonts w:ascii="Times New Roman" w:hAnsi="Times New Roman" w:cs="Times New Roman"/>
          <w:sz w:val="20"/>
          <w:szCs w:val="20"/>
          <w:vertAlign w:val="superscript"/>
        </w:rPr>
        <w:footnoteRef/>
      </w:r>
      <w:r w:rsidRPr="003C2762">
        <w:rPr>
          <w:rFonts w:ascii="Times New Roman" w:hAnsi="Times New Roman" w:cs="Times New Roman"/>
          <w:sz w:val="20"/>
          <w:szCs w:val="20"/>
        </w:rPr>
        <w:t xml:space="preserve"> V. Braithwaite, ’Resistant and Dismissive Defiance Towards Tax Authorities’ in A. Crawford and A. </w:t>
      </w:r>
      <w:proofErr w:type="spellStart"/>
      <w:r w:rsidRPr="003C2762">
        <w:rPr>
          <w:rFonts w:ascii="Times New Roman" w:hAnsi="Times New Roman" w:cs="Times New Roman"/>
          <w:sz w:val="20"/>
          <w:szCs w:val="20"/>
        </w:rPr>
        <w:t>Hucklesby</w:t>
      </w:r>
      <w:proofErr w:type="spellEnd"/>
      <w:r w:rsidRPr="003C2762">
        <w:rPr>
          <w:rFonts w:ascii="Times New Roman" w:hAnsi="Times New Roman" w:cs="Times New Roman"/>
          <w:sz w:val="20"/>
          <w:szCs w:val="20"/>
        </w:rPr>
        <w:t xml:space="preserve"> (eds), </w:t>
      </w:r>
      <w:r w:rsidRPr="003C2762">
        <w:rPr>
          <w:rFonts w:ascii="Times New Roman" w:hAnsi="Times New Roman" w:cs="Times New Roman"/>
          <w:i/>
          <w:iCs/>
          <w:sz w:val="20"/>
          <w:szCs w:val="20"/>
        </w:rPr>
        <w:t>Legitimacy and Compliance in Criminal Justice</w:t>
      </w:r>
      <w:r w:rsidRPr="003C2762">
        <w:rPr>
          <w:rFonts w:ascii="Times New Roman" w:hAnsi="Times New Roman" w:cs="Times New Roman"/>
          <w:sz w:val="20"/>
          <w:szCs w:val="20"/>
        </w:rPr>
        <w:t xml:space="preserve"> (New York and London: Routledge, 2012) 93.</w:t>
      </w:r>
    </w:p>
  </w:footnote>
  <w:footnote w:id="131">
    <w:p w14:paraId="469F466A" w14:textId="43627892" w:rsidR="00957101" w:rsidRPr="003C2762" w:rsidRDefault="00957101" w:rsidP="00AB4266">
      <w:pPr>
        <w:jc w:val="both"/>
        <w:rPr>
          <w:rFonts w:ascii="Times New Roman" w:hAnsi="Times New Roman" w:cs="Times New Roman"/>
          <w:sz w:val="20"/>
          <w:szCs w:val="20"/>
        </w:rPr>
      </w:pPr>
      <w:r w:rsidRPr="003C2762">
        <w:rPr>
          <w:rFonts w:ascii="Times New Roman" w:hAnsi="Times New Roman" w:cs="Times New Roman"/>
          <w:sz w:val="20"/>
          <w:szCs w:val="20"/>
          <w:vertAlign w:val="superscript"/>
        </w:rPr>
        <w:footnoteRef/>
      </w:r>
      <w:r w:rsidRPr="003C2762">
        <w:rPr>
          <w:rFonts w:ascii="Times New Roman" w:hAnsi="Times New Roman" w:cs="Times New Roman"/>
          <w:sz w:val="20"/>
          <w:szCs w:val="20"/>
          <w:vertAlign w:val="superscript"/>
        </w:rPr>
        <w:t xml:space="preserve"> </w:t>
      </w:r>
      <w:r w:rsidRPr="003C2762">
        <w:rPr>
          <w:rFonts w:ascii="Times New Roman" w:hAnsi="Times New Roman" w:cs="Times New Roman"/>
          <w:sz w:val="20"/>
          <w:szCs w:val="20"/>
        </w:rPr>
        <w:t xml:space="preserve">See </w:t>
      </w:r>
      <w:r w:rsidRPr="003C2762">
        <w:rPr>
          <w:rFonts w:ascii="Times New Roman" w:eastAsia="Times New Roman" w:hAnsi="Times New Roman" w:cs="Times New Roman"/>
          <w:sz w:val="20"/>
          <w:szCs w:val="20"/>
        </w:rPr>
        <w:t>FATF</w:t>
      </w:r>
      <w:r w:rsidRPr="003C2762">
        <w:rPr>
          <w:rFonts w:ascii="Times New Roman" w:eastAsia="Times New Roman" w:hAnsi="Times New Roman" w:cs="Times New Roman"/>
          <w:i/>
          <w:iCs/>
          <w:sz w:val="20"/>
          <w:szCs w:val="20"/>
        </w:rPr>
        <w:t>, Laundering the Proceeds of Corruption</w:t>
      </w:r>
      <w:r w:rsidRPr="003C2762">
        <w:rPr>
          <w:rFonts w:ascii="Times New Roman" w:eastAsia="Times New Roman" w:hAnsi="Times New Roman" w:cs="Times New Roman"/>
          <w:sz w:val="20"/>
          <w:szCs w:val="20"/>
        </w:rPr>
        <w:t xml:space="preserve"> (July 2011).</w:t>
      </w:r>
    </w:p>
  </w:footnote>
  <w:footnote w:id="132">
    <w:p w14:paraId="0BDA35AE" w14:textId="0B904A26" w:rsidR="00957101" w:rsidRPr="003C2762" w:rsidRDefault="00957101" w:rsidP="00AB4266">
      <w:pPr>
        <w:jc w:val="both"/>
        <w:rPr>
          <w:rFonts w:ascii="Times New Roman" w:hAnsi="Times New Roman" w:cs="Times New Roman"/>
          <w:sz w:val="20"/>
          <w:szCs w:val="20"/>
        </w:rPr>
      </w:pPr>
      <w:r w:rsidRPr="003C2762">
        <w:rPr>
          <w:rFonts w:ascii="Times New Roman" w:hAnsi="Times New Roman" w:cs="Times New Roman"/>
          <w:sz w:val="20"/>
          <w:szCs w:val="20"/>
          <w:vertAlign w:val="superscript"/>
        </w:rPr>
        <w:footnoteRef/>
      </w:r>
      <w:r w:rsidRPr="003C2762">
        <w:rPr>
          <w:rFonts w:ascii="Times New Roman" w:hAnsi="Times New Roman" w:cs="Times New Roman"/>
          <w:sz w:val="20"/>
          <w:szCs w:val="20"/>
          <w:vertAlign w:val="superscript"/>
        </w:rPr>
        <w:t xml:space="preserve"> </w:t>
      </w:r>
      <w:r w:rsidRPr="003C2762">
        <w:rPr>
          <w:rFonts w:ascii="Times New Roman" w:hAnsi="Times New Roman" w:cs="Times New Roman"/>
          <w:sz w:val="20"/>
          <w:szCs w:val="20"/>
        </w:rPr>
        <w:t xml:space="preserve">As Braithwaite notes, commitment </w:t>
      </w:r>
      <w:r w:rsidRPr="003C2762">
        <w:rPr>
          <w:rFonts w:ascii="Times New Roman" w:eastAsia="Calibri" w:hAnsi="Times New Roman" w:cs="Times New Roman"/>
          <w:sz w:val="20"/>
          <w:szCs w:val="20"/>
        </w:rPr>
        <w:t>‘conveys a belief that the regulatory purpose is sound and that the regulatory system should be valued and supported by everyone</w:t>
      </w:r>
      <w:r w:rsidRPr="003C2762">
        <w:rPr>
          <w:rFonts w:ascii="Times New Roman" w:hAnsi="Times New Roman" w:cs="Times New Roman"/>
          <w:sz w:val="20"/>
          <w:szCs w:val="20"/>
        </w:rPr>
        <w:t xml:space="preserve">’. V. Braithwaite, ‘Resistant and Dismissive Defiance Towards Tax Authorities’ in A. Crawford and A. </w:t>
      </w:r>
      <w:proofErr w:type="spellStart"/>
      <w:r w:rsidRPr="003C2762">
        <w:rPr>
          <w:rFonts w:ascii="Times New Roman" w:hAnsi="Times New Roman" w:cs="Times New Roman"/>
          <w:sz w:val="20"/>
          <w:szCs w:val="20"/>
        </w:rPr>
        <w:t>Hucklesby</w:t>
      </w:r>
      <w:proofErr w:type="spellEnd"/>
      <w:r w:rsidRPr="003C2762">
        <w:rPr>
          <w:rFonts w:ascii="Times New Roman" w:hAnsi="Times New Roman" w:cs="Times New Roman"/>
          <w:sz w:val="20"/>
          <w:szCs w:val="20"/>
        </w:rPr>
        <w:t xml:space="preserve"> (eds), </w:t>
      </w:r>
      <w:r w:rsidRPr="003C2762">
        <w:rPr>
          <w:rFonts w:ascii="Times New Roman" w:hAnsi="Times New Roman" w:cs="Times New Roman"/>
          <w:i/>
          <w:iCs/>
          <w:sz w:val="20"/>
          <w:szCs w:val="20"/>
        </w:rPr>
        <w:t>Legitimacy and Compliance in Criminal Justice</w:t>
      </w:r>
      <w:r w:rsidRPr="003C2762">
        <w:rPr>
          <w:rFonts w:ascii="Times New Roman" w:hAnsi="Times New Roman" w:cs="Times New Roman"/>
          <w:sz w:val="20"/>
          <w:szCs w:val="20"/>
        </w:rPr>
        <w:t xml:space="preserve"> (New York and London: Routledge, 2012) 97.</w:t>
      </w:r>
    </w:p>
  </w:footnote>
  <w:footnote w:id="133">
    <w:p w14:paraId="29244B66" w14:textId="798075FC"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proofErr w:type="spellStart"/>
      <w:r w:rsidRPr="003C2762">
        <w:rPr>
          <w:rFonts w:ascii="Times New Roman" w:hAnsi="Times New Roman" w:cs="Times New Roman"/>
        </w:rPr>
        <w:t>eg</w:t>
      </w:r>
      <w:proofErr w:type="spellEnd"/>
      <w:r w:rsidRPr="003C2762">
        <w:rPr>
          <w:rFonts w:ascii="Times New Roman" w:hAnsi="Times New Roman" w:cs="Times New Roman"/>
        </w:rPr>
        <w:t xml:space="preserve"> Interview 8.</w:t>
      </w:r>
    </w:p>
  </w:footnote>
  <w:footnote w:id="134">
    <w:p w14:paraId="4C2B9CFB" w14:textId="2666E47B"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ML Regs, Reg 39(1).</w:t>
      </w:r>
    </w:p>
  </w:footnote>
  <w:footnote w:id="135">
    <w:p w14:paraId="706D433F" w14:textId="77777777"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Interview 8.</w:t>
      </w:r>
    </w:p>
  </w:footnote>
  <w:footnote w:id="136">
    <w:p w14:paraId="2AB9B4C2" w14:textId="52B44A90"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n 9</w:t>
      </w:r>
      <w:r w:rsidR="00FD6998">
        <w:rPr>
          <w:rFonts w:ascii="Times New Roman" w:hAnsi="Times New Roman" w:cs="Times New Roman"/>
        </w:rPr>
        <w:t>2</w:t>
      </w:r>
      <w:r w:rsidRPr="003C2762">
        <w:rPr>
          <w:rFonts w:ascii="Times New Roman" w:hAnsi="Times New Roman" w:cs="Times New Roman"/>
        </w:rPr>
        <w:t xml:space="preserve"> above, 589.</w:t>
      </w:r>
    </w:p>
  </w:footnote>
  <w:footnote w:id="137">
    <w:p w14:paraId="74B695C4" w14:textId="6FA58AE1"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To rely on checks by a third-party, that third-party must fall within the requirements specified in ML Regs, Reg 39(3).</w:t>
      </w:r>
    </w:p>
  </w:footnote>
  <w:footnote w:id="138">
    <w:p w14:paraId="3A0D2359" w14:textId="0427AC21" w:rsidR="00957101" w:rsidRPr="003C2762" w:rsidRDefault="00957101" w:rsidP="00AB4266">
      <w:pPr>
        <w:jc w:val="both"/>
        <w:rPr>
          <w:rFonts w:ascii="Times New Roman" w:hAnsi="Times New Roman" w:cs="Times New Roman"/>
          <w:sz w:val="20"/>
          <w:szCs w:val="20"/>
          <w:lang w:val="de-DE"/>
        </w:rPr>
      </w:pPr>
      <w:r w:rsidRPr="003C2762">
        <w:rPr>
          <w:rFonts w:ascii="Times New Roman" w:hAnsi="Times New Roman" w:cs="Times New Roman"/>
          <w:sz w:val="20"/>
          <w:szCs w:val="20"/>
          <w:vertAlign w:val="superscript"/>
        </w:rPr>
        <w:footnoteRef/>
      </w:r>
      <w:r w:rsidRPr="003C2762">
        <w:rPr>
          <w:rFonts w:ascii="Times New Roman" w:hAnsi="Times New Roman" w:cs="Times New Roman"/>
          <w:sz w:val="20"/>
          <w:szCs w:val="20"/>
          <w:lang w:val="de-DE"/>
        </w:rPr>
        <w:t xml:space="preserve"> </w:t>
      </w:r>
      <w:r w:rsidRPr="003C2762">
        <w:rPr>
          <w:rFonts w:ascii="Times New Roman" w:eastAsia="Times New Roman" w:hAnsi="Times New Roman" w:cs="Times New Roman"/>
          <w:sz w:val="20"/>
          <w:szCs w:val="20"/>
          <w:lang w:val="de-DE"/>
        </w:rPr>
        <w:t>ML Regs, Reg 39.</w:t>
      </w:r>
    </w:p>
  </w:footnote>
  <w:footnote w:id="139">
    <w:p w14:paraId="2811D9C8" w14:textId="256D53EC" w:rsidR="00957101" w:rsidRPr="003C2762" w:rsidRDefault="00957101" w:rsidP="00AB4266">
      <w:pPr>
        <w:pStyle w:val="FootnoteText"/>
        <w:jc w:val="both"/>
        <w:rPr>
          <w:rFonts w:ascii="Times New Roman" w:hAnsi="Times New Roman" w:cs="Times New Roman"/>
          <w:lang w:val="de-DE"/>
        </w:rPr>
      </w:pPr>
      <w:r w:rsidRPr="003C2762">
        <w:rPr>
          <w:rStyle w:val="FootnoteReference"/>
          <w:rFonts w:ascii="Times New Roman" w:hAnsi="Times New Roman" w:cs="Times New Roman"/>
        </w:rPr>
        <w:footnoteRef/>
      </w:r>
      <w:r w:rsidRPr="003C2762">
        <w:rPr>
          <w:rFonts w:ascii="Times New Roman" w:hAnsi="Times New Roman" w:cs="Times New Roman"/>
          <w:lang w:val="de-DE"/>
        </w:rPr>
        <w:t xml:space="preserve"> eg Interview 11.</w:t>
      </w:r>
    </w:p>
  </w:footnote>
  <w:footnote w:id="140">
    <w:p w14:paraId="4FDC9117" w14:textId="42613877"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proofErr w:type="spellStart"/>
      <w:r w:rsidRPr="003C2762">
        <w:rPr>
          <w:rFonts w:ascii="Times New Roman" w:hAnsi="Times New Roman" w:cs="Times New Roman"/>
        </w:rPr>
        <w:t>eg</w:t>
      </w:r>
      <w:proofErr w:type="spellEnd"/>
      <w:r w:rsidRPr="003C2762" w:rsidDel="00CE0B11">
        <w:rPr>
          <w:rFonts w:ascii="Times New Roman" w:hAnsi="Times New Roman" w:cs="Times New Roman"/>
        </w:rPr>
        <w:t xml:space="preserve"> </w:t>
      </w:r>
      <w:r w:rsidRPr="003C2762">
        <w:rPr>
          <w:rFonts w:ascii="Times New Roman" w:hAnsi="Times New Roman" w:cs="Times New Roman"/>
        </w:rPr>
        <w:t>Interview 11.</w:t>
      </w:r>
    </w:p>
  </w:footnote>
  <w:footnote w:id="141">
    <w:p w14:paraId="5BB70B7A" w14:textId="1AEE8536"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G. </w:t>
      </w:r>
      <w:proofErr w:type="spellStart"/>
      <w:r w:rsidRPr="003C2762">
        <w:rPr>
          <w:rFonts w:ascii="Times New Roman" w:hAnsi="Times New Roman" w:cs="Times New Roman"/>
        </w:rPr>
        <w:t>Favarel</w:t>
      </w:r>
      <w:proofErr w:type="spellEnd"/>
      <w:r w:rsidRPr="003C2762">
        <w:rPr>
          <w:rFonts w:ascii="Times New Roman" w:hAnsi="Times New Roman" w:cs="Times New Roman"/>
        </w:rPr>
        <w:t xml:space="preserve">-Garrigues, T. </w:t>
      </w:r>
      <w:proofErr w:type="spellStart"/>
      <w:r w:rsidRPr="003C2762">
        <w:rPr>
          <w:rFonts w:ascii="Times New Roman" w:hAnsi="Times New Roman" w:cs="Times New Roman"/>
        </w:rPr>
        <w:t>Godefroy</w:t>
      </w:r>
      <w:proofErr w:type="spellEnd"/>
      <w:r w:rsidRPr="003C2762">
        <w:rPr>
          <w:rFonts w:ascii="Times New Roman" w:hAnsi="Times New Roman" w:cs="Times New Roman"/>
        </w:rPr>
        <w:t xml:space="preserve">, and P. </w:t>
      </w:r>
      <w:proofErr w:type="spellStart"/>
      <w:r w:rsidRPr="003C2762">
        <w:rPr>
          <w:rFonts w:ascii="Times New Roman" w:hAnsi="Times New Roman" w:cs="Times New Roman"/>
        </w:rPr>
        <w:t>Lascoumes</w:t>
      </w:r>
      <w:proofErr w:type="spellEnd"/>
      <w:r w:rsidRPr="003C2762">
        <w:rPr>
          <w:rFonts w:ascii="Times New Roman" w:hAnsi="Times New Roman" w:cs="Times New Roman"/>
        </w:rPr>
        <w:t>, ‘Reluctant Partners? Banks in the Fight Against Money Laundering and Terrorism Financing in France’ (2011) 42</w:t>
      </w:r>
      <w:r w:rsidRPr="003C2762">
        <w:rPr>
          <w:rFonts w:ascii="Times New Roman" w:hAnsi="Times New Roman" w:cs="Times New Roman"/>
          <w:i/>
        </w:rPr>
        <w:t xml:space="preserve"> Security Dialogue</w:t>
      </w:r>
      <w:r w:rsidRPr="003C2762">
        <w:rPr>
          <w:rFonts w:ascii="Times New Roman" w:hAnsi="Times New Roman" w:cs="Times New Roman"/>
        </w:rPr>
        <w:t xml:space="preserve"> 179, 189.</w:t>
      </w:r>
    </w:p>
  </w:footnote>
  <w:footnote w:id="142">
    <w:p w14:paraId="358D2615" w14:textId="77777777"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Interview 9.</w:t>
      </w:r>
    </w:p>
  </w:footnote>
  <w:footnote w:id="143">
    <w:p w14:paraId="16E46C6C" w14:textId="2ED52744" w:rsidR="00957101" w:rsidRPr="003C2762" w:rsidRDefault="00957101" w:rsidP="00AB4266">
      <w:pPr>
        <w:pStyle w:val="FootnoteText"/>
        <w:jc w:val="both"/>
        <w:rPr>
          <w:rFonts w:ascii="Times New Roman" w:hAnsi="Times New Roman" w:cs="Times New Roman"/>
          <w:lang w:val="en-US"/>
        </w:rPr>
      </w:pPr>
      <w:r w:rsidRPr="003C2762">
        <w:rPr>
          <w:rStyle w:val="FootnoteReference"/>
          <w:rFonts w:ascii="Times New Roman" w:hAnsi="Times New Roman" w:cs="Times New Roman"/>
        </w:rPr>
        <w:footnoteRef/>
      </w:r>
      <w:r w:rsidRPr="003C2762">
        <w:rPr>
          <w:rFonts w:ascii="Times New Roman" w:hAnsi="Times New Roman" w:cs="Times New Roman"/>
        </w:rPr>
        <w:t xml:space="preserve"> A. Bottoms, ‘Understanding Compliance with Laws and Regulations: A Mechanism-Based Approach’ in M. </w:t>
      </w:r>
      <w:proofErr w:type="spellStart"/>
      <w:r w:rsidRPr="003C2762">
        <w:rPr>
          <w:rFonts w:ascii="Times New Roman" w:hAnsi="Times New Roman" w:cs="Times New Roman"/>
        </w:rPr>
        <w:t>Krambia-Kapardis</w:t>
      </w:r>
      <w:proofErr w:type="spellEnd"/>
      <w:r w:rsidRPr="003C2762">
        <w:rPr>
          <w:rFonts w:ascii="Times New Roman" w:hAnsi="Times New Roman" w:cs="Times New Roman"/>
        </w:rPr>
        <w:t xml:space="preserve"> (ed), </w:t>
      </w:r>
      <w:r w:rsidRPr="003C2762">
        <w:rPr>
          <w:rFonts w:ascii="Times New Roman" w:hAnsi="Times New Roman" w:cs="Times New Roman"/>
          <w:i/>
        </w:rPr>
        <w:t>Financial Compliance: Issues, Concerns and Future Directions</w:t>
      </w:r>
      <w:r w:rsidRPr="003C2762">
        <w:rPr>
          <w:rFonts w:ascii="Times New Roman" w:hAnsi="Times New Roman" w:cs="Times New Roman"/>
        </w:rPr>
        <w:t xml:space="preserve"> (Cham: Palgrave MacMillan, 2019)</w:t>
      </w:r>
      <w:r w:rsidRPr="003C2762">
        <w:rPr>
          <w:rFonts w:ascii="Times New Roman" w:hAnsi="Times New Roman" w:cs="Times New Roman"/>
          <w:lang w:val="en-US"/>
        </w:rPr>
        <w:t xml:space="preserve"> 32.</w:t>
      </w:r>
    </w:p>
  </w:footnote>
  <w:footnote w:id="144">
    <w:p w14:paraId="0EE80F04" w14:textId="70823462" w:rsidR="00957101" w:rsidRPr="003C2762" w:rsidRDefault="00957101" w:rsidP="00AB4266">
      <w:pPr>
        <w:pStyle w:val="FootnoteText"/>
        <w:jc w:val="both"/>
        <w:rPr>
          <w:rFonts w:ascii="Times New Roman" w:hAnsi="Times New Roman" w:cs="Times New Roman"/>
          <w:lang w:val="en-US"/>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r w:rsidRPr="003C2762">
        <w:rPr>
          <w:rFonts w:ascii="Times New Roman" w:hAnsi="Times New Roman" w:cs="Times New Roman"/>
          <w:i/>
          <w:iCs/>
          <w:lang w:val="en-US"/>
        </w:rPr>
        <w:t>ibid</w:t>
      </w:r>
      <w:r w:rsidRPr="003C2762">
        <w:rPr>
          <w:rFonts w:ascii="Times New Roman" w:hAnsi="Times New Roman" w:cs="Times New Roman"/>
          <w:lang w:val="en-US"/>
        </w:rPr>
        <w:t>.</w:t>
      </w:r>
    </w:p>
  </w:footnote>
  <w:footnote w:id="145">
    <w:p w14:paraId="6EDF9B8C" w14:textId="21559EFF" w:rsidR="00EE7253" w:rsidRPr="00EE7253" w:rsidRDefault="00EE7253" w:rsidP="00AB4266">
      <w:pPr>
        <w:pStyle w:val="FootnoteText"/>
        <w:jc w:val="both"/>
        <w:rPr>
          <w:rFonts w:ascii="Times New Roman" w:hAnsi="Times New Roman" w:cs="Times New Roman"/>
        </w:rPr>
      </w:pPr>
      <w:r w:rsidRPr="005A6923">
        <w:rPr>
          <w:rStyle w:val="FootnoteReference"/>
          <w:rFonts w:ascii="Times New Roman" w:hAnsi="Times New Roman" w:cs="Times New Roman"/>
        </w:rPr>
        <w:footnoteRef/>
      </w:r>
      <w:r w:rsidRPr="008A1790">
        <w:rPr>
          <w:rFonts w:ascii="Times New Roman" w:hAnsi="Times New Roman" w:cs="Times New Roman"/>
        </w:rPr>
        <w:t xml:space="preserve"> </w:t>
      </w:r>
      <w:r w:rsidR="00FE3D81" w:rsidRPr="008A1790">
        <w:rPr>
          <w:rFonts w:ascii="Times New Roman" w:hAnsi="Times New Roman" w:cs="Times New Roman"/>
        </w:rPr>
        <w:t>On this ambivalence, see</w:t>
      </w:r>
      <w:r w:rsidR="008A1790" w:rsidRPr="008A1790">
        <w:rPr>
          <w:rFonts w:ascii="Times New Roman" w:hAnsi="Times New Roman" w:cs="Times New Roman"/>
        </w:rPr>
        <w:t xml:space="preserve"> </w:t>
      </w:r>
      <w:r w:rsidR="008A1790" w:rsidRPr="008A1790">
        <w:rPr>
          <w:rFonts w:ascii="Times New Roman" w:hAnsi="Times New Roman" w:cs="Times New Roman"/>
          <w:lang w:val="en-US"/>
        </w:rPr>
        <w:t xml:space="preserve">A. </w:t>
      </w:r>
      <w:proofErr w:type="spellStart"/>
      <w:r w:rsidR="008A1790" w:rsidRPr="008A1790">
        <w:rPr>
          <w:rFonts w:ascii="Times New Roman" w:hAnsi="Times New Roman" w:cs="Times New Roman"/>
          <w:lang w:val="en-US"/>
        </w:rPr>
        <w:t>Verhage</w:t>
      </w:r>
      <w:proofErr w:type="spellEnd"/>
      <w:r w:rsidR="008A1790" w:rsidRPr="008A1790">
        <w:rPr>
          <w:rFonts w:ascii="Times New Roman" w:hAnsi="Times New Roman" w:cs="Times New Roman"/>
          <w:lang w:val="en-US"/>
        </w:rPr>
        <w:t xml:space="preserve">, ‘Between the Hammer and the Anvil? The Anti-Money Laundering-Complex and Its Interactions </w:t>
      </w:r>
      <w:proofErr w:type="gramStart"/>
      <w:r w:rsidR="008A1790" w:rsidRPr="008A1790">
        <w:rPr>
          <w:rFonts w:ascii="Times New Roman" w:hAnsi="Times New Roman" w:cs="Times New Roman"/>
          <w:lang w:val="en-US"/>
        </w:rPr>
        <w:t>With</w:t>
      </w:r>
      <w:proofErr w:type="gramEnd"/>
      <w:r w:rsidR="008A1790" w:rsidRPr="008A1790">
        <w:rPr>
          <w:rFonts w:ascii="Times New Roman" w:hAnsi="Times New Roman" w:cs="Times New Roman"/>
          <w:lang w:val="en-US"/>
        </w:rPr>
        <w:t xml:space="preserve"> the Compliance Industry’ (2009) 52 </w:t>
      </w:r>
      <w:r w:rsidR="008A1790" w:rsidRPr="008A1790">
        <w:rPr>
          <w:rFonts w:ascii="Times New Roman" w:hAnsi="Times New Roman" w:cs="Times New Roman"/>
          <w:i/>
          <w:iCs/>
          <w:lang w:val="en-US"/>
        </w:rPr>
        <w:t>Crime, Law and Social Change</w:t>
      </w:r>
      <w:r w:rsidR="008A1790" w:rsidRPr="008A1790">
        <w:rPr>
          <w:rFonts w:ascii="Times New Roman" w:hAnsi="Times New Roman" w:cs="Times New Roman"/>
          <w:lang w:val="en-US"/>
        </w:rPr>
        <w:t xml:space="preserve"> 9, </w:t>
      </w:r>
      <w:r w:rsidR="00FE3D81" w:rsidRPr="008A1790">
        <w:rPr>
          <w:rFonts w:ascii="Times New Roman" w:hAnsi="Times New Roman" w:cs="Times New Roman"/>
        </w:rPr>
        <w:t>23.</w:t>
      </w:r>
    </w:p>
  </w:footnote>
  <w:footnote w:id="146">
    <w:p w14:paraId="43B55768" w14:textId="494648DC"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Interview 12.</w:t>
      </w:r>
    </w:p>
  </w:footnote>
  <w:footnote w:id="147">
    <w:p w14:paraId="60D86E84" w14:textId="102C8B97"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Interview 12.</w:t>
      </w:r>
    </w:p>
  </w:footnote>
  <w:footnote w:id="148">
    <w:p w14:paraId="66FA77A8" w14:textId="375DAC3B"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Y. Feldman, </w:t>
      </w:r>
      <w:r w:rsidRPr="003C2762">
        <w:rPr>
          <w:rFonts w:ascii="Times New Roman" w:hAnsi="Times New Roman" w:cs="Times New Roman"/>
          <w:i/>
          <w:iCs/>
        </w:rPr>
        <w:t xml:space="preserve">The Law of Good People: Challenging States’ Ability to Regulate Human </w:t>
      </w:r>
      <w:proofErr w:type="spellStart"/>
      <w:r w:rsidRPr="003C2762">
        <w:rPr>
          <w:rFonts w:ascii="Times New Roman" w:hAnsi="Times New Roman" w:cs="Times New Roman"/>
          <w:i/>
          <w:iCs/>
        </w:rPr>
        <w:t>Behavior</w:t>
      </w:r>
      <w:proofErr w:type="spellEnd"/>
      <w:r w:rsidRPr="003C2762">
        <w:rPr>
          <w:rFonts w:ascii="Times New Roman" w:hAnsi="Times New Roman" w:cs="Times New Roman"/>
        </w:rPr>
        <w:t xml:space="preserve"> (Cambridge: CUP, 2018) 195. We thank Liz David-Barrett for this point on behavioural ethics.</w:t>
      </w:r>
    </w:p>
  </w:footnote>
  <w:footnote w:id="149">
    <w:p w14:paraId="18402548" w14:textId="00825308"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bookmarkStart w:id="3" w:name="_Hlk14015116"/>
      <w:proofErr w:type="spellStart"/>
      <w:r w:rsidRPr="003C2762">
        <w:rPr>
          <w:rFonts w:ascii="Times New Roman" w:hAnsi="Times New Roman" w:cs="Times New Roman"/>
        </w:rPr>
        <w:t>eg</w:t>
      </w:r>
      <w:proofErr w:type="spellEnd"/>
      <w:r w:rsidRPr="003C2762" w:rsidDel="006A377E">
        <w:rPr>
          <w:rFonts w:ascii="Times New Roman" w:hAnsi="Times New Roman" w:cs="Times New Roman"/>
        </w:rPr>
        <w:t xml:space="preserve"> </w:t>
      </w:r>
      <w:r w:rsidRPr="003C2762">
        <w:rPr>
          <w:rFonts w:ascii="Times New Roman" w:hAnsi="Times New Roman" w:cs="Times New Roman"/>
        </w:rPr>
        <w:t>Interview 10: ‘</w:t>
      </w:r>
      <w:r w:rsidRPr="003C2762">
        <w:rPr>
          <w:rFonts w:ascii="Times New Roman" w:hAnsi="Times New Roman" w:cs="Times New Roman"/>
          <w:lang w:val="en-US"/>
        </w:rPr>
        <w:t xml:space="preserve">whether you rely upon somebody else to do the CDD and then provide it to you, you still remain liable under the current </w:t>
      </w:r>
      <w:proofErr w:type="gramStart"/>
      <w:r w:rsidRPr="003C2762">
        <w:rPr>
          <w:rFonts w:ascii="Times New Roman" w:hAnsi="Times New Roman" w:cs="Times New Roman"/>
          <w:lang w:val="en-US"/>
        </w:rPr>
        <w:t>regulations</w:t>
      </w:r>
      <w:r w:rsidRPr="003C2762">
        <w:rPr>
          <w:rFonts w:ascii="Times New Roman" w:hAnsi="Times New Roman" w:cs="Times New Roman"/>
        </w:rPr>
        <w:t>’</w:t>
      </w:r>
      <w:bookmarkEnd w:id="3"/>
      <w:proofErr w:type="gramEnd"/>
      <w:r w:rsidRPr="003C2762">
        <w:rPr>
          <w:rFonts w:ascii="Times New Roman" w:hAnsi="Times New Roman" w:cs="Times New Roman"/>
        </w:rPr>
        <w:t>. See ML Regs, Reg 39(1).</w:t>
      </w:r>
    </w:p>
  </w:footnote>
  <w:footnote w:id="150">
    <w:p w14:paraId="6FE30C73" w14:textId="22B814E0"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proofErr w:type="spellStart"/>
      <w:r w:rsidRPr="003C2762">
        <w:rPr>
          <w:rFonts w:ascii="Times New Roman" w:hAnsi="Times New Roman" w:cs="Times New Roman"/>
        </w:rPr>
        <w:t>eg</w:t>
      </w:r>
      <w:proofErr w:type="spellEnd"/>
      <w:r w:rsidRPr="003C2762" w:rsidDel="006A377E">
        <w:rPr>
          <w:rFonts w:ascii="Times New Roman" w:hAnsi="Times New Roman" w:cs="Times New Roman"/>
        </w:rPr>
        <w:t xml:space="preserve"> </w:t>
      </w:r>
      <w:r w:rsidRPr="003C2762">
        <w:rPr>
          <w:rFonts w:ascii="Times New Roman" w:hAnsi="Times New Roman" w:cs="Times New Roman"/>
        </w:rPr>
        <w:t>Interview 8.</w:t>
      </w:r>
    </w:p>
  </w:footnote>
  <w:footnote w:id="151">
    <w:p w14:paraId="2BAE4669" w14:textId="39889EF1"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proofErr w:type="spellStart"/>
      <w:r w:rsidRPr="003C2762">
        <w:rPr>
          <w:rFonts w:ascii="Times New Roman" w:hAnsi="Times New Roman" w:cs="Times New Roman"/>
        </w:rPr>
        <w:t>eg</w:t>
      </w:r>
      <w:proofErr w:type="spellEnd"/>
      <w:r w:rsidRPr="003C2762" w:rsidDel="00FC7A55">
        <w:rPr>
          <w:rFonts w:ascii="Times New Roman" w:hAnsi="Times New Roman" w:cs="Times New Roman"/>
        </w:rPr>
        <w:t xml:space="preserve"> </w:t>
      </w:r>
      <w:r w:rsidRPr="003C2762">
        <w:rPr>
          <w:rFonts w:ascii="Times New Roman" w:hAnsi="Times New Roman" w:cs="Times New Roman"/>
        </w:rPr>
        <w:t>Interview 12.</w:t>
      </w:r>
    </w:p>
  </w:footnote>
  <w:footnote w:id="152">
    <w:p w14:paraId="57CFF2AD" w14:textId="42AEE6AB"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Interview 8. For wider consideration, see S. Shapiro and R. Rabinowitz, ‘Punishment Versus Cooperation in Regulatory Enforcement: A Case Study of OSHA’ (1997) 49 </w:t>
      </w:r>
      <w:r w:rsidRPr="003C2762">
        <w:rPr>
          <w:rFonts w:ascii="Times New Roman" w:hAnsi="Times New Roman" w:cs="Times New Roman"/>
          <w:i/>
        </w:rPr>
        <w:t>Administrative Law Review</w:t>
      </w:r>
      <w:r w:rsidRPr="003C2762">
        <w:rPr>
          <w:rFonts w:ascii="Times New Roman" w:hAnsi="Times New Roman" w:cs="Times New Roman"/>
        </w:rPr>
        <w:t xml:space="preserve"> 713.</w:t>
      </w:r>
    </w:p>
  </w:footnote>
  <w:footnote w:id="153">
    <w:p w14:paraId="5F9DAA17" w14:textId="4AD4154C"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proofErr w:type="spellStart"/>
      <w:r w:rsidRPr="003C2762">
        <w:rPr>
          <w:rFonts w:ascii="Times New Roman" w:hAnsi="Times New Roman" w:cs="Times New Roman"/>
        </w:rPr>
        <w:t>eg</w:t>
      </w:r>
      <w:proofErr w:type="spellEnd"/>
      <w:r w:rsidRPr="003C2762" w:rsidDel="00FC7A55">
        <w:rPr>
          <w:rFonts w:ascii="Times New Roman" w:hAnsi="Times New Roman" w:cs="Times New Roman"/>
        </w:rPr>
        <w:t xml:space="preserve"> </w:t>
      </w:r>
      <w:r w:rsidRPr="003C2762">
        <w:rPr>
          <w:rFonts w:ascii="Times New Roman" w:hAnsi="Times New Roman" w:cs="Times New Roman"/>
        </w:rPr>
        <w:t>Interview 8.</w:t>
      </w:r>
    </w:p>
  </w:footnote>
  <w:footnote w:id="154">
    <w:p w14:paraId="3E932CFE" w14:textId="4541E305"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proofErr w:type="spellStart"/>
      <w:r w:rsidRPr="003C2762">
        <w:rPr>
          <w:rFonts w:ascii="Times New Roman" w:hAnsi="Times New Roman" w:cs="Times New Roman"/>
        </w:rPr>
        <w:t>eg</w:t>
      </w:r>
      <w:proofErr w:type="spellEnd"/>
      <w:r w:rsidRPr="003C2762" w:rsidDel="00FC7A55">
        <w:rPr>
          <w:rFonts w:ascii="Times New Roman" w:hAnsi="Times New Roman" w:cs="Times New Roman"/>
        </w:rPr>
        <w:t xml:space="preserve"> </w:t>
      </w:r>
      <w:r w:rsidRPr="003C2762">
        <w:rPr>
          <w:rFonts w:ascii="Times New Roman" w:hAnsi="Times New Roman" w:cs="Times New Roman"/>
        </w:rPr>
        <w:t>Interview 9.</w:t>
      </w:r>
    </w:p>
  </w:footnote>
  <w:footnote w:id="155">
    <w:p w14:paraId="57E3AF51" w14:textId="0343B8CE" w:rsidR="00957101" w:rsidRPr="003C2762" w:rsidRDefault="00957101" w:rsidP="00AB4266">
      <w:pPr>
        <w:jc w:val="both"/>
        <w:rPr>
          <w:rFonts w:ascii="Times New Roman" w:hAnsi="Times New Roman" w:cs="Times New Roman"/>
          <w:sz w:val="20"/>
          <w:szCs w:val="20"/>
        </w:rPr>
      </w:pPr>
      <w:r w:rsidRPr="003C2762">
        <w:rPr>
          <w:rFonts w:ascii="Times New Roman" w:hAnsi="Times New Roman" w:cs="Times New Roman"/>
          <w:sz w:val="20"/>
          <w:szCs w:val="20"/>
          <w:vertAlign w:val="superscript"/>
        </w:rPr>
        <w:footnoteRef/>
      </w:r>
      <w:r w:rsidRPr="003C2762">
        <w:rPr>
          <w:rFonts w:ascii="Times New Roman" w:hAnsi="Times New Roman" w:cs="Times New Roman"/>
          <w:sz w:val="20"/>
          <w:szCs w:val="20"/>
          <w:vertAlign w:val="superscript"/>
        </w:rPr>
        <w:t xml:space="preserve"> </w:t>
      </w:r>
      <w:r w:rsidRPr="003C2762">
        <w:rPr>
          <w:rFonts w:ascii="Times New Roman" w:hAnsi="Times New Roman" w:cs="Times New Roman"/>
          <w:sz w:val="20"/>
          <w:szCs w:val="20"/>
        </w:rPr>
        <w:t xml:space="preserve">For wider discussion on defiance, see </w:t>
      </w:r>
      <w:r w:rsidR="001E7213">
        <w:rPr>
          <w:rFonts w:ascii="Times New Roman" w:hAnsi="Times New Roman" w:cs="Times New Roman"/>
          <w:sz w:val="20"/>
          <w:szCs w:val="20"/>
        </w:rPr>
        <w:t>n 128 above.</w:t>
      </w:r>
    </w:p>
  </w:footnote>
  <w:footnote w:id="156">
    <w:p w14:paraId="2790C784" w14:textId="187B287E"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See n 9</w:t>
      </w:r>
      <w:r w:rsidR="006D3F34">
        <w:rPr>
          <w:rFonts w:ascii="Times New Roman" w:hAnsi="Times New Roman" w:cs="Times New Roman"/>
        </w:rPr>
        <w:t>2</w:t>
      </w:r>
      <w:r w:rsidRPr="003C2762">
        <w:rPr>
          <w:rFonts w:ascii="Times New Roman" w:hAnsi="Times New Roman" w:cs="Times New Roman"/>
        </w:rPr>
        <w:t xml:space="preserve"> above, 590.</w:t>
      </w:r>
    </w:p>
  </w:footnote>
  <w:footnote w:id="157">
    <w:p w14:paraId="7842EB97" w14:textId="555B577F" w:rsidR="00957101" w:rsidRPr="003C2762" w:rsidRDefault="00957101" w:rsidP="00AB4266">
      <w:pPr>
        <w:pStyle w:val="FootnoteText"/>
        <w:jc w:val="both"/>
        <w:rPr>
          <w:rFonts w:ascii="Times New Roman" w:hAnsi="Times New Roman" w:cs="Times New Roman"/>
          <w:lang w:val="en-US"/>
        </w:rPr>
      </w:pPr>
      <w:r w:rsidRPr="003C2762">
        <w:rPr>
          <w:rStyle w:val="FootnoteReference"/>
          <w:rFonts w:ascii="Times New Roman" w:hAnsi="Times New Roman" w:cs="Times New Roman"/>
        </w:rPr>
        <w:footnoteRef/>
      </w:r>
      <w:r w:rsidRPr="003C2762">
        <w:rPr>
          <w:rFonts w:ascii="Times New Roman" w:hAnsi="Times New Roman" w:cs="Times New Roman"/>
          <w:lang w:val="en-US"/>
        </w:rPr>
        <w:t xml:space="preserve"> </w:t>
      </w:r>
      <w:proofErr w:type="spellStart"/>
      <w:r w:rsidRPr="003C2762">
        <w:rPr>
          <w:rFonts w:ascii="Times New Roman" w:hAnsi="Times New Roman" w:cs="Times New Roman"/>
        </w:rPr>
        <w:t>eg</w:t>
      </w:r>
      <w:proofErr w:type="spellEnd"/>
      <w:r w:rsidRPr="003C2762" w:rsidDel="000F5E0A">
        <w:rPr>
          <w:rFonts w:ascii="Times New Roman" w:hAnsi="Times New Roman" w:cs="Times New Roman"/>
          <w:lang w:val="en-US"/>
        </w:rPr>
        <w:t xml:space="preserve"> </w:t>
      </w:r>
      <w:r w:rsidRPr="003C2762">
        <w:rPr>
          <w:rFonts w:ascii="Times New Roman" w:hAnsi="Times New Roman" w:cs="Times New Roman"/>
          <w:lang w:val="en-US"/>
        </w:rPr>
        <w:t>Interview 11.</w:t>
      </w:r>
    </w:p>
  </w:footnote>
  <w:footnote w:id="158">
    <w:p w14:paraId="72157D24" w14:textId="081A632A"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Law Commission, </w:t>
      </w:r>
      <w:r w:rsidRPr="003C2762">
        <w:rPr>
          <w:rFonts w:ascii="Times New Roman" w:hAnsi="Times New Roman" w:cs="Times New Roman"/>
          <w:i/>
        </w:rPr>
        <w:t>Anti-Money Laundering: The SARs Regime</w:t>
      </w:r>
      <w:r w:rsidRPr="003C2762">
        <w:rPr>
          <w:rFonts w:ascii="Times New Roman" w:hAnsi="Times New Roman" w:cs="Times New Roman"/>
        </w:rPr>
        <w:t xml:space="preserve"> (HC 2098, June 2019), para 5.2. For consideration of suspicion, see </w:t>
      </w:r>
      <w:r w:rsidRPr="003C2762">
        <w:rPr>
          <w:rFonts w:ascii="Times New Roman" w:hAnsi="Times New Roman" w:cs="Times New Roman"/>
          <w:i/>
        </w:rPr>
        <w:t>R v Da Silva</w:t>
      </w:r>
      <w:r w:rsidRPr="003C2762">
        <w:rPr>
          <w:rFonts w:ascii="Times New Roman" w:hAnsi="Times New Roman" w:cs="Times New Roman"/>
        </w:rPr>
        <w:t xml:space="preserve"> [2006] EWCA Crim 1654, paras 16-17.</w:t>
      </w:r>
    </w:p>
  </w:footnote>
  <w:footnote w:id="159">
    <w:p w14:paraId="2F31D0AF" w14:textId="34B1487B" w:rsidR="00957101" w:rsidRPr="003C2762" w:rsidRDefault="00957101" w:rsidP="00AB4266">
      <w:pPr>
        <w:pStyle w:val="FootnoteText"/>
        <w:jc w:val="both"/>
        <w:rPr>
          <w:rFonts w:ascii="Times New Roman" w:hAnsi="Times New Roman" w:cs="Times New Roman"/>
          <w:lang w:val="en-US"/>
        </w:rPr>
      </w:pPr>
      <w:r w:rsidRPr="003C2762">
        <w:rPr>
          <w:rStyle w:val="FootnoteReference"/>
          <w:rFonts w:ascii="Times New Roman" w:hAnsi="Times New Roman" w:cs="Times New Roman"/>
        </w:rPr>
        <w:footnoteRef/>
      </w:r>
      <w:r w:rsidRPr="003C2762">
        <w:rPr>
          <w:rFonts w:ascii="Times New Roman" w:hAnsi="Times New Roman" w:cs="Times New Roman"/>
          <w:lang w:val="en-US"/>
        </w:rPr>
        <w:t xml:space="preserve"> POCA, ss 330-332.</w:t>
      </w:r>
    </w:p>
  </w:footnote>
  <w:footnote w:id="160">
    <w:p w14:paraId="251F9D32" w14:textId="2C388837" w:rsidR="00957101" w:rsidRPr="003C2762" w:rsidRDefault="00957101" w:rsidP="00AB4266">
      <w:pPr>
        <w:pStyle w:val="FootnoteText"/>
        <w:jc w:val="both"/>
        <w:rPr>
          <w:rFonts w:ascii="Times New Roman" w:hAnsi="Times New Roman" w:cs="Times New Roman"/>
          <w:lang w:val="en-US"/>
        </w:rPr>
      </w:pPr>
      <w:r w:rsidRPr="003C2762">
        <w:rPr>
          <w:rStyle w:val="FootnoteReference"/>
          <w:rFonts w:ascii="Times New Roman" w:hAnsi="Times New Roman" w:cs="Times New Roman"/>
        </w:rPr>
        <w:footnoteRef/>
      </w:r>
      <w:r w:rsidRPr="003C2762">
        <w:rPr>
          <w:rFonts w:ascii="Times New Roman" w:hAnsi="Times New Roman" w:cs="Times New Roman"/>
          <w:lang w:val="en-US"/>
        </w:rPr>
        <w:t xml:space="preserve"> POCA, ss 327-329.</w:t>
      </w:r>
    </w:p>
  </w:footnote>
  <w:footnote w:id="161">
    <w:p w14:paraId="48DE55EA" w14:textId="278D35D4"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NCA, </w:t>
      </w:r>
      <w:r w:rsidRPr="003C2762">
        <w:rPr>
          <w:rFonts w:ascii="Times New Roman" w:hAnsi="Times New Roman" w:cs="Times New Roman"/>
          <w:i/>
        </w:rPr>
        <w:t>Suspicious Activity Reports (SARs) Annual Report 2018</w:t>
      </w:r>
      <w:r w:rsidRPr="003C2762">
        <w:rPr>
          <w:rFonts w:ascii="Times New Roman" w:hAnsi="Times New Roman" w:cs="Times New Roman"/>
        </w:rPr>
        <w:t xml:space="preserve">, ‘Statement by the Chair of the SARs Regime Committee’. See A. </w:t>
      </w:r>
      <w:proofErr w:type="spellStart"/>
      <w:r w:rsidRPr="003C2762">
        <w:rPr>
          <w:rFonts w:ascii="Times New Roman" w:hAnsi="Times New Roman" w:cs="Times New Roman"/>
        </w:rPr>
        <w:t>Verhage</w:t>
      </w:r>
      <w:proofErr w:type="spellEnd"/>
      <w:r w:rsidRPr="003C2762">
        <w:rPr>
          <w:rFonts w:ascii="Times New Roman" w:hAnsi="Times New Roman" w:cs="Times New Roman"/>
        </w:rPr>
        <w:t xml:space="preserve">, ‘Great Expectations but Little Evidence: Policing Money Laundering’ (2017) 37 </w:t>
      </w:r>
      <w:r w:rsidRPr="003C2762">
        <w:rPr>
          <w:rFonts w:ascii="Times New Roman" w:hAnsi="Times New Roman" w:cs="Times New Roman"/>
          <w:i/>
        </w:rPr>
        <w:t>International Journal of Sociology and Social Policy</w:t>
      </w:r>
      <w:r w:rsidRPr="003C2762">
        <w:rPr>
          <w:rFonts w:ascii="Times New Roman" w:hAnsi="Times New Roman" w:cs="Times New Roman"/>
        </w:rPr>
        <w:t xml:space="preserve"> 477, 480 where the AML reporting system is described as ‘a coalition of public and private partners involved in all-inclusive surveillance’.</w:t>
      </w:r>
    </w:p>
  </w:footnote>
  <w:footnote w:id="162">
    <w:p w14:paraId="1492C82E" w14:textId="77777777"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Interview 12.</w:t>
      </w:r>
    </w:p>
  </w:footnote>
  <w:footnote w:id="163">
    <w:p w14:paraId="5E163BD7" w14:textId="77777777"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Interview 3.</w:t>
      </w:r>
    </w:p>
  </w:footnote>
  <w:footnote w:id="164">
    <w:p w14:paraId="16028A9D" w14:textId="6E91B913"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proofErr w:type="spellStart"/>
      <w:r w:rsidRPr="003C2762">
        <w:rPr>
          <w:rFonts w:ascii="Times New Roman" w:hAnsi="Times New Roman" w:cs="Times New Roman"/>
        </w:rPr>
        <w:t>eg</w:t>
      </w:r>
      <w:proofErr w:type="spellEnd"/>
      <w:r w:rsidRPr="003C2762" w:rsidDel="007B5307">
        <w:rPr>
          <w:rFonts w:ascii="Times New Roman" w:hAnsi="Times New Roman" w:cs="Times New Roman"/>
        </w:rPr>
        <w:t xml:space="preserve"> </w:t>
      </w:r>
      <w:r w:rsidRPr="003C2762">
        <w:rPr>
          <w:rFonts w:ascii="Times New Roman" w:hAnsi="Times New Roman" w:cs="Times New Roman"/>
        </w:rPr>
        <w:t>Interview 7.</w:t>
      </w:r>
    </w:p>
  </w:footnote>
  <w:footnote w:id="165">
    <w:p w14:paraId="7A8C64E6" w14:textId="366F9A7C"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J. </w:t>
      </w:r>
      <w:proofErr w:type="spellStart"/>
      <w:r w:rsidRPr="003C2762">
        <w:rPr>
          <w:rFonts w:ascii="Times New Roman" w:hAnsi="Times New Roman" w:cs="Times New Roman"/>
        </w:rPr>
        <w:t>Ayling</w:t>
      </w:r>
      <w:proofErr w:type="spellEnd"/>
      <w:r w:rsidRPr="003C2762">
        <w:rPr>
          <w:rFonts w:ascii="Times New Roman" w:hAnsi="Times New Roman" w:cs="Times New Roman"/>
        </w:rPr>
        <w:t xml:space="preserve"> and P. </w:t>
      </w:r>
      <w:proofErr w:type="spellStart"/>
      <w:r w:rsidRPr="003C2762">
        <w:rPr>
          <w:rFonts w:ascii="Times New Roman" w:hAnsi="Times New Roman" w:cs="Times New Roman"/>
        </w:rPr>
        <w:t>Grabosky</w:t>
      </w:r>
      <w:proofErr w:type="spellEnd"/>
      <w:r w:rsidRPr="003C2762">
        <w:rPr>
          <w:rFonts w:ascii="Times New Roman" w:hAnsi="Times New Roman" w:cs="Times New Roman"/>
        </w:rPr>
        <w:t xml:space="preserve">, ‘Policing by Command: Enhancing Law Enforcement Capacity through Coercion’ (2006) 28 </w:t>
      </w:r>
      <w:r w:rsidRPr="003C2762">
        <w:rPr>
          <w:rFonts w:ascii="Times New Roman" w:hAnsi="Times New Roman" w:cs="Times New Roman"/>
          <w:i/>
        </w:rPr>
        <w:t>Law and Policy</w:t>
      </w:r>
      <w:r w:rsidRPr="003C2762">
        <w:rPr>
          <w:rFonts w:ascii="Times New Roman" w:hAnsi="Times New Roman" w:cs="Times New Roman"/>
        </w:rPr>
        <w:t xml:space="preserve"> 417, 426-427.</w:t>
      </w:r>
    </w:p>
  </w:footnote>
  <w:footnote w:id="166">
    <w:p w14:paraId="7707D0C6" w14:textId="2881D32A"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proofErr w:type="spellStart"/>
      <w:r w:rsidRPr="003C2762">
        <w:rPr>
          <w:rFonts w:ascii="Times New Roman" w:hAnsi="Times New Roman" w:cs="Times New Roman"/>
        </w:rPr>
        <w:t>eg</w:t>
      </w:r>
      <w:proofErr w:type="spellEnd"/>
      <w:r w:rsidRPr="003C2762" w:rsidDel="007B5307">
        <w:rPr>
          <w:rFonts w:ascii="Times New Roman" w:hAnsi="Times New Roman" w:cs="Times New Roman"/>
        </w:rPr>
        <w:t xml:space="preserve"> </w:t>
      </w:r>
      <w:r w:rsidRPr="003C2762">
        <w:rPr>
          <w:rFonts w:ascii="Times New Roman" w:hAnsi="Times New Roman" w:cs="Times New Roman"/>
        </w:rPr>
        <w:t>Interview 1.</w:t>
      </w:r>
    </w:p>
  </w:footnote>
  <w:footnote w:id="167">
    <w:p w14:paraId="01E13AA3" w14:textId="77D4C4F3"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proofErr w:type="spellStart"/>
      <w:r w:rsidRPr="003C2762">
        <w:rPr>
          <w:rFonts w:ascii="Times New Roman" w:hAnsi="Times New Roman" w:cs="Times New Roman"/>
        </w:rPr>
        <w:t>eg</w:t>
      </w:r>
      <w:proofErr w:type="spellEnd"/>
      <w:r w:rsidRPr="003C2762">
        <w:rPr>
          <w:rFonts w:ascii="Times New Roman" w:hAnsi="Times New Roman" w:cs="Times New Roman"/>
        </w:rPr>
        <w:t xml:space="preserve"> Interview 1.</w:t>
      </w:r>
    </w:p>
  </w:footnote>
  <w:footnote w:id="168">
    <w:p w14:paraId="38EA8A3C" w14:textId="2DA5A0B1"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See J. Braithwaite and T. </w:t>
      </w:r>
      <w:proofErr w:type="spellStart"/>
      <w:r w:rsidRPr="003C2762">
        <w:rPr>
          <w:rFonts w:ascii="Times New Roman" w:hAnsi="Times New Roman" w:cs="Times New Roman"/>
        </w:rPr>
        <w:t>Makkai</w:t>
      </w:r>
      <w:proofErr w:type="spellEnd"/>
      <w:r w:rsidRPr="003C2762">
        <w:rPr>
          <w:rFonts w:ascii="Times New Roman" w:hAnsi="Times New Roman" w:cs="Times New Roman"/>
        </w:rPr>
        <w:t xml:space="preserve">, ‘Trust and Compliance’ (1994) 4 </w:t>
      </w:r>
      <w:r w:rsidRPr="003C2762">
        <w:rPr>
          <w:rFonts w:ascii="Times New Roman" w:hAnsi="Times New Roman" w:cs="Times New Roman"/>
          <w:i/>
        </w:rPr>
        <w:t>Policing and Society</w:t>
      </w:r>
      <w:r w:rsidRPr="003C2762">
        <w:rPr>
          <w:rFonts w:ascii="Times New Roman" w:hAnsi="Times New Roman" w:cs="Times New Roman"/>
        </w:rPr>
        <w:t xml:space="preserve"> 1.</w:t>
      </w:r>
    </w:p>
  </w:footnote>
  <w:footnote w:id="169">
    <w:p w14:paraId="389338B0" w14:textId="46127760"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A. Campbell and E. Campbell, ‘Solicitors and Complying with the Anti-Money Laundering Framework: Reporting Suspicions, Applying for Consent and Tipping-Off’ in N. Ryder, U. </w:t>
      </w:r>
      <w:proofErr w:type="spellStart"/>
      <w:r w:rsidRPr="003C2762">
        <w:rPr>
          <w:rFonts w:ascii="Times New Roman" w:hAnsi="Times New Roman" w:cs="Times New Roman"/>
        </w:rPr>
        <w:t>Turksen</w:t>
      </w:r>
      <w:proofErr w:type="spellEnd"/>
      <w:r w:rsidRPr="003C2762">
        <w:rPr>
          <w:rFonts w:ascii="Times New Roman" w:hAnsi="Times New Roman" w:cs="Times New Roman"/>
        </w:rPr>
        <w:t>, and S. Hassler (eds)</w:t>
      </w:r>
      <w:r w:rsidRPr="003C2762">
        <w:rPr>
          <w:rFonts w:ascii="Times New Roman" w:hAnsi="Times New Roman" w:cs="Times New Roman"/>
          <w:i/>
        </w:rPr>
        <w:t>, Fighting Financial Crime in the Global Economic Crisis</w:t>
      </w:r>
      <w:r w:rsidRPr="003C2762">
        <w:rPr>
          <w:rFonts w:ascii="Times New Roman" w:hAnsi="Times New Roman" w:cs="Times New Roman"/>
        </w:rPr>
        <w:t xml:space="preserve"> (Oxon: Routledge, 2015). See also National Crime Agency, </w:t>
      </w:r>
      <w:r w:rsidRPr="003C2762">
        <w:rPr>
          <w:rFonts w:ascii="Times New Roman" w:hAnsi="Times New Roman" w:cs="Times New Roman"/>
          <w:i/>
        </w:rPr>
        <w:t>Obtaining consent from the NCA under Part 7 of the Proceeds of Crime Act (POCA) 2002 or under Part 3 of the Terrorism Act (TACT) 2000</w:t>
      </w:r>
      <w:r w:rsidRPr="003C2762">
        <w:rPr>
          <w:rFonts w:ascii="Times New Roman" w:hAnsi="Times New Roman" w:cs="Times New Roman"/>
        </w:rPr>
        <w:t xml:space="preserve"> (October 2013).</w:t>
      </w:r>
    </w:p>
  </w:footnote>
  <w:footnote w:id="170">
    <w:p w14:paraId="02F277A2" w14:textId="4D7A65E1"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proofErr w:type="spellStart"/>
      <w:r w:rsidRPr="003C2762">
        <w:rPr>
          <w:rFonts w:ascii="Times New Roman" w:hAnsi="Times New Roman" w:cs="Times New Roman"/>
        </w:rPr>
        <w:t>eg</w:t>
      </w:r>
      <w:proofErr w:type="spellEnd"/>
      <w:r w:rsidRPr="003C2762" w:rsidDel="00D61EAF">
        <w:rPr>
          <w:rFonts w:ascii="Times New Roman" w:hAnsi="Times New Roman" w:cs="Times New Roman"/>
        </w:rPr>
        <w:t xml:space="preserve"> </w:t>
      </w:r>
      <w:r w:rsidRPr="003C2762">
        <w:rPr>
          <w:rFonts w:ascii="Times New Roman" w:hAnsi="Times New Roman" w:cs="Times New Roman"/>
        </w:rPr>
        <w:t>Interview 1.</w:t>
      </w:r>
    </w:p>
  </w:footnote>
  <w:footnote w:id="171">
    <w:p w14:paraId="0B6D1571" w14:textId="74713494"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Interview 1.</w:t>
      </w:r>
    </w:p>
  </w:footnote>
  <w:footnote w:id="172">
    <w:p w14:paraId="6103A5D2" w14:textId="1B9DB204" w:rsidR="00957101" w:rsidRPr="003C2762" w:rsidRDefault="00957101" w:rsidP="00AB4266">
      <w:pPr>
        <w:pStyle w:val="FootnoteText"/>
        <w:jc w:val="both"/>
        <w:rPr>
          <w:rFonts w:ascii="Times New Roman" w:hAnsi="Times New Roman" w:cs="Times New Roman"/>
          <w:lang w:val="en-US"/>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proofErr w:type="spellStart"/>
      <w:r w:rsidRPr="003C2762">
        <w:rPr>
          <w:rFonts w:ascii="Times New Roman" w:hAnsi="Times New Roman" w:cs="Times New Roman"/>
        </w:rPr>
        <w:t>eg</w:t>
      </w:r>
      <w:proofErr w:type="spellEnd"/>
      <w:r w:rsidRPr="003C2762">
        <w:rPr>
          <w:rFonts w:ascii="Times New Roman" w:hAnsi="Times New Roman" w:cs="Times New Roman"/>
        </w:rPr>
        <w:t xml:space="preserve"> Interview 4.</w:t>
      </w:r>
    </w:p>
  </w:footnote>
  <w:footnote w:id="173">
    <w:p w14:paraId="213A4929" w14:textId="77777777"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Interview</w:t>
      </w:r>
      <w:r w:rsidRPr="003C2762">
        <w:rPr>
          <w:rFonts w:ascii="Times New Roman" w:hAnsi="Times New Roman" w:cs="Times New Roman"/>
          <w:i/>
          <w:iCs/>
        </w:rPr>
        <w:t xml:space="preserve"> </w:t>
      </w:r>
      <w:r w:rsidRPr="003C2762">
        <w:rPr>
          <w:rFonts w:ascii="Times New Roman" w:hAnsi="Times New Roman" w:cs="Times New Roman"/>
        </w:rPr>
        <w:t>15.</w:t>
      </w:r>
    </w:p>
  </w:footnote>
  <w:footnote w:id="174">
    <w:p w14:paraId="54156DEE" w14:textId="511CA572"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Interview 15.</w:t>
      </w:r>
    </w:p>
  </w:footnote>
  <w:footnote w:id="175">
    <w:p w14:paraId="4920D0D7" w14:textId="7C404373"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T.R. Tyler, ‘Procedural Justice, Legitimacy, and the Effective Rule of Law’ (2003) 30 </w:t>
      </w:r>
      <w:r w:rsidRPr="003C2762">
        <w:rPr>
          <w:rFonts w:ascii="Times New Roman" w:hAnsi="Times New Roman" w:cs="Times New Roman"/>
          <w:i/>
        </w:rPr>
        <w:t>Crime &amp; Justice</w:t>
      </w:r>
      <w:r w:rsidRPr="003C2762">
        <w:rPr>
          <w:rFonts w:ascii="Times New Roman" w:hAnsi="Times New Roman" w:cs="Times New Roman"/>
        </w:rPr>
        <w:t xml:space="preserve"> 283, 298.</w:t>
      </w:r>
    </w:p>
  </w:footnote>
  <w:footnote w:id="176">
    <w:p w14:paraId="55271A9A" w14:textId="77777777"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Interview 6.</w:t>
      </w:r>
    </w:p>
  </w:footnote>
  <w:footnote w:id="177">
    <w:p w14:paraId="3D432F89" w14:textId="6CE00C7A" w:rsidR="00957101" w:rsidRPr="003C2762" w:rsidRDefault="00957101" w:rsidP="00AB4266">
      <w:pPr>
        <w:jc w:val="both"/>
        <w:rPr>
          <w:rFonts w:ascii="Times New Roman" w:eastAsia="Arial" w:hAnsi="Times New Roman" w:cs="Times New Roman"/>
          <w:color w:val="0563C1" w:themeColor="hyperlink"/>
          <w:sz w:val="20"/>
          <w:szCs w:val="20"/>
          <w:u w:val="single"/>
        </w:rPr>
      </w:pPr>
      <w:r w:rsidRPr="003C2762">
        <w:rPr>
          <w:rFonts w:ascii="Times New Roman" w:hAnsi="Times New Roman" w:cs="Times New Roman"/>
          <w:sz w:val="20"/>
          <w:szCs w:val="20"/>
          <w:vertAlign w:val="superscript"/>
        </w:rPr>
        <w:footnoteRef/>
      </w:r>
      <w:r w:rsidRPr="003C2762">
        <w:rPr>
          <w:rFonts w:ascii="Times New Roman" w:hAnsi="Times New Roman" w:cs="Times New Roman"/>
          <w:sz w:val="20"/>
          <w:szCs w:val="20"/>
        </w:rPr>
        <w:t xml:space="preserve"> C. Eren, ‘</w:t>
      </w:r>
      <w:r w:rsidRPr="003C2762">
        <w:rPr>
          <w:rFonts w:ascii="Times New Roman" w:eastAsia="Calibri" w:hAnsi="Times New Roman" w:cs="Times New Roman"/>
          <w:sz w:val="20"/>
          <w:szCs w:val="20"/>
        </w:rPr>
        <w:t xml:space="preserve">Cops, Firefighters, and Scapegoats: Anti-Money Laundering (AML) Professionals in an Era of Regulatory Bulimia’ (2020) </w:t>
      </w:r>
      <w:r w:rsidRPr="003C2762">
        <w:rPr>
          <w:rFonts w:ascii="Times New Roman" w:eastAsia="Calibri" w:hAnsi="Times New Roman" w:cs="Times New Roman"/>
          <w:i/>
          <w:iCs/>
          <w:sz w:val="20"/>
          <w:szCs w:val="20"/>
        </w:rPr>
        <w:t>Journal of White Collar and Corporate Crime</w:t>
      </w:r>
      <w:r w:rsidRPr="003C2762">
        <w:rPr>
          <w:rFonts w:ascii="Times New Roman" w:eastAsia="Calibri" w:hAnsi="Times New Roman" w:cs="Times New Roman"/>
          <w:sz w:val="20"/>
          <w:szCs w:val="20"/>
        </w:rPr>
        <w:t xml:space="preserve">. Advance Access Online. DOI: </w:t>
      </w:r>
      <w:hyperlink r:id="rId3" w:history="1">
        <w:r w:rsidRPr="003C2762">
          <w:rPr>
            <w:rStyle w:val="Hyperlink"/>
            <w:rFonts w:ascii="Times New Roman" w:eastAsia="Arial" w:hAnsi="Times New Roman" w:cs="Times New Roman"/>
            <w:sz w:val="20"/>
            <w:szCs w:val="20"/>
          </w:rPr>
          <w:t>10.1177/2631309X20922153</w:t>
        </w:r>
      </w:hyperlink>
    </w:p>
  </w:footnote>
  <w:footnote w:id="178">
    <w:p w14:paraId="5BA6CCBB" w14:textId="6718FD8D" w:rsidR="00957101" w:rsidRPr="003C2762" w:rsidRDefault="00957101" w:rsidP="00AB4266">
      <w:pPr>
        <w:jc w:val="both"/>
        <w:rPr>
          <w:rFonts w:ascii="Times New Roman" w:hAnsi="Times New Roman" w:cs="Times New Roman"/>
          <w:sz w:val="20"/>
          <w:szCs w:val="20"/>
        </w:rPr>
      </w:pPr>
      <w:r w:rsidRPr="003C2762">
        <w:rPr>
          <w:rFonts w:ascii="Times New Roman" w:hAnsi="Times New Roman" w:cs="Times New Roman"/>
          <w:sz w:val="20"/>
          <w:szCs w:val="20"/>
          <w:vertAlign w:val="superscript"/>
        </w:rPr>
        <w:footnoteRef/>
      </w:r>
      <w:r w:rsidRPr="003C2762">
        <w:rPr>
          <w:rFonts w:ascii="Times New Roman" w:hAnsi="Times New Roman" w:cs="Times New Roman"/>
          <w:sz w:val="20"/>
          <w:szCs w:val="20"/>
        </w:rPr>
        <w:t xml:space="preserve"> For a breakdown by sector, see </w:t>
      </w:r>
      <w:r w:rsidR="001D50BE" w:rsidRPr="003C2762">
        <w:rPr>
          <w:rFonts w:ascii="Times New Roman" w:hAnsi="Times New Roman" w:cs="Times New Roman"/>
          <w:sz w:val="20"/>
          <w:szCs w:val="20"/>
        </w:rPr>
        <w:t xml:space="preserve">NCA, </w:t>
      </w:r>
      <w:r w:rsidR="001D50BE" w:rsidRPr="003C2762">
        <w:rPr>
          <w:rFonts w:ascii="Times New Roman" w:hAnsi="Times New Roman" w:cs="Times New Roman"/>
          <w:i/>
          <w:iCs/>
          <w:sz w:val="20"/>
          <w:szCs w:val="20"/>
        </w:rPr>
        <w:t xml:space="preserve">UK Financial Intelligence Unit Suspicious Activity Reports Annual Report </w:t>
      </w:r>
      <w:r w:rsidR="001D50BE" w:rsidRPr="003C2762">
        <w:rPr>
          <w:rFonts w:ascii="Times New Roman" w:hAnsi="Times New Roman" w:cs="Times New Roman"/>
          <w:iCs/>
          <w:sz w:val="20"/>
          <w:szCs w:val="20"/>
        </w:rPr>
        <w:t>2020, 9</w:t>
      </w:r>
      <w:r w:rsidRPr="003C2762">
        <w:rPr>
          <w:rFonts w:ascii="Times New Roman" w:eastAsia="Times New Roman" w:hAnsi="Times New Roman" w:cs="Times New Roman"/>
          <w:sz w:val="20"/>
          <w:szCs w:val="20"/>
        </w:rPr>
        <w:t>.</w:t>
      </w:r>
    </w:p>
  </w:footnote>
  <w:footnote w:id="179">
    <w:p w14:paraId="47D4C8E4" w14:textId="2E248632"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M. </w:t>
      </w:r>
      <w:proofErr w:type="spellStart"/>
      <w:r w:rsidRPr="003C2762">
        <w:rPr>
          <w:rFonts w:ascii="Times New Roman" w:hAnsi="Times New Roman" w:cs="Times New Roman"/>
        </w:rPr>
        <w:t>Rorie</w:t>
      </w:r>
      <w:proofErr w:type="spellEnd"/>
      <w:r w:rsidRPr="003C2762">
        <w:rPr>
          <w:rFonts w:ascii="Times New Roman" w:hAnsi="Times New Roman" w:cs="Times New Roman"/>
        </w:rPr>
        <w:t xml:space="preserve"> et al, ‘Examining Procedural Justice and Legitimacy in Corporate Offending and Beyond-Compliance </w:t>
      </w:r>
      <w:proofErr w:type="spellStart"/>
      <w:r w:rsidRPr="003C2762">
        <w:rPr>
          <w:rFonts w:ascii="Times New Roman" w:hAnsi="Times New Roman" w:cs="Times New Roman"/>
        </w:rPr>
        <w:t>Behavior</w:t>
      </w:r>
      <w:proofErr w:type="spellEnd"/>
      <w:r w:rsidRPr="003C2762">
        <w:rPr>
          <w:rFonts w:ascii="Times New Roman" w:hAnsi="Times New Roman" w:cs="Times New Roman"/>
        </w:rPr>
        <w:t xml:space="preserve">: The Efficacy of Direct and Indirect Regulatory Interactions’ (2018) 40 </w:t>
      </w:r>
      <w:r w:rsidRPr="003C2762">
        <w:rPr>
          <w:rFonts w:ascii="Times New Roman" w:hAnsi="Times New Roman" w:cs="Times New Roman"/>
          <w:i/>
        </w:rPr>
        <w:t>Law &amp; Policy</w:t>
      </w:r>
      <w:r w:rsidRPr="003C2762">
        <w:rPr>
          <w:rFonts w:ascii="Times New Roman" w:hAnsi="Times New Roman" w:cs="Times New Roman"/>
        </w:rPr>
        <w:t xml:space="preserve"> 172.</w:t>
      </w:r>
    </w:p>
  </w:footnote>
  <w:footnote w:id="180">
    <w:p w14:paraId="6DB88344" w14:textId="72D8C767"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A. </w:t>
      </w:r>
      <w:proofErr w:type="spellStart"/>
      <w:r w:rsidRPr="003C2762">
        <w:rPr>
          <w:rFonts w:ascii="Times New Roman" w:hAnsi="Times New Roman" w:cs="Times New Roman"/>
        </w:rPr>
        <w:t>Verhage</w:t>
      </w:r>
      <w:proofErr w:type="spellEnd"/>
      <w:r w:rsidRPr="003C2762">
        <w:rPr>
          <w:rFonts w:ascii="Times New Roman" w:hAnsi="Times New Roman" w:cs="Times New Roman"/>
        </w:rPr>
        <w:t xml:space="preserve">, ‘Great Expectations but Little Evidence: Policing Money Laundering’ (2017) 37 </w:t>
      </w:r>
      <w:r w:rsidRPr="003C2762">
        <w:rPr>
          <w:rFonts w:ascii="Times New Roman" w:hAnsi="Times New Roman" w:cs="Times New Roman"/>
          <w:i/>
        </w:rPr>
        <w:t>International Journal of Sociology and Social Policy</w:t>
      </w:r>
      <w:r w:rsidRPr="003C2762">
        <w:rPr>
          <w:rFonts w:ascii="Times New Roman" w:hAnsi="Times New Roman" w:cs="Times New Roman"/>
        </w:rPr>
        <w:t xml:space="preserve"> 477, 482.</w:t>
      </w:r>
    </w:p>
  </w:footnote>
  <w:footnote w:id="181">
    <w:p w14:paraId="5A90AECE" w14:textId="77777777"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Interview 11.</w:t>
      </w:r>
    </w:p>
  </w:footnote>
  <w:footnote w:id="182">
    <w:p w14:paraId="7B8EEC46" w14:textId="27AD4641"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Interview 11. Separately, there was considerable disquiet about the tipping off offence: </w:t>
      </w:r>
      <w:proofErr w:type="spellStart"/>
      <w:r w:rsidRPr="003C2762">
        <w:rPr>
          <w:rFonts w:ascii="Times New Roman" w:hAnsi="Times New Roman" w:cs="Times New Roman"/>
        </w:rPr>
        <w:t>eg</w:t>
      </w:r>
      <w:proofErr w:type="spellEnd"/>
      <w:r w:rsidRPr="003C2762">
        <w:rPr>
          <w:rFonts w:ascii="Times New Roman" w:hAnsi="Times New Roman" w:cs="Times New Roman"/>
        </w:rPr>
        <w:t xml:space="preserve"> Interview 5.</w:t>
      </w:r>
    </w:p>
  </w:footnote>
  <w:footnote w:id="183">
    <w:p w14:paraId="350B38A9" w14:textId="3D6CEDB3"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proofErr w:type="spellStart"/>
      <w:r w:rsidRPr="003C2762">
        <w:rPr>
          <w:rFonts w:ascii="Times New Roman" w:hAnsi="Times New Roman" w:cs="Times New Roman"/>
        </w:rPr>
        <w:t>eg</w:t>
      </w:r>
      <w:proofErr w:type="spellEnd"/>
      <w:r w:rsidRPr="003C2762">
        <w:rPr>
          <w:rFonts w:ascii="Times New Roman" w:hAnsi="Times New Roman" w:cs="Times New Roman"/>
        </w:rPr>
        <w:t xml:space="preserve"> Interview 15.</w:t>
      </w:r>
    </w:p>
  </w:footnote>
  <w:footnote w:id="184">
    <w:p w14:paraId="7A086753" w14:textId="45DD805B" w:rsidR="00957101" w:rsidRPr="003C2762" w:rsidRDefault="00957101" w:rsidP="00AB4266">
      <w:pPr>
        <w:jc w:val="both"/>
        <w:rPr>
          <w:rFonts w:ascii="Times New Roman" w:eastAsia="Arial" w:hAnsi="Times New Roman" w:cs="Times New Roman"/>
          <w:color w:val="0563C1" w:themeColor="hyperlink"/>
          <w:sz w:val="20"/>
          <w:szCs w:val="20"/>
          <w:u w:val="single"/>
        </w:rPr>
      </w:pPr>
      <w:r w:rsidRPr="003C2762">
        <w:rPr>
          <w:rFonts w:ascii="Times New Roman" w:hAnsi="Times New Roman" w:cs="Times New Roman"/>
          <w:sz w:val="20"/>
          <w:szCs w:val="20"/>
          <w:vertAlign w:val="superscript"/>
        </w:rPr>
        <w:footnoteRef/>
      </w:r>
      <w:r w:rsidRPr="003C2762">
        <w:rPr>
          <w:rFonts w:ascii="Times New Roman" w:hAnsi="Times New Roman" w:cs="Times New Roman"/>
          <w:sz w:val="20"/>
          <w:szCs w:val="20"/>
        </w:rPr>
        <w:t xml:space="preserve"> </w:t>
      </w:r>
      <w:r w:rsidR="008029F8">
        <w:rPr>
          <w:rFonts w:ascii="Times New Roman" w:hAnsi="Times New Roman" w:cs="Times New Roman"/>
          <w:sz w:val="20"/>
          <w:szCs w:val="20"/>
        </w:rPr>
        <w:t>n 175 above.</w:t>
      </w:r>
    </w:p>
  </w:footnote>
  <w:footnote w:id="185">
    <w:p w14:paraId="3932F137" w14:textId="3E5EE376" w:rsidR="00957101" w:rsidRPr="003C2762" w:rsidRDefault="00957101" w:rsidP="00AB4266">
      <w:pPr>
        <w:jc w:val="both"/>
        <w:rPr>
          <w:rFonts w:ascii="Times New Roman" w:hAnsi="Times New Roman" w:cs="Times New Roman"/>
          <w:sz w:val="20"/>
          <w:szCs w:val="20"/>
        </w:rPr>
      </w:pPr>
      <w:r w:rsidRPr="003C2762">
        <w:rPr>
          <w:rFonts w:ascii="Times New Roman" w:hAnsi="Times New Roman" w:cs="Times New Roman"/>
          <w:sz w:val="20"/>
          <w:szCs w:val="20"/>
          <w:vertAlign w:val="superscript"/>
        </w:rPr>
        <w:footnoteRef/>
      </w:r>
      <w:r w:rsidRPr="003C2762">
        <w:rPr>
          <w:rFonts w:ascii="Times New Roman" w:hAnsi="Times New Roman" w:cs="Times New Roman"/>
          <w:sz w:val="20"/>
          <w:szCs w:val="20"/>
        </w:rPr>
        <w:t xml:space="preserve"> </w:t>
      </w:r>
      <w:proofErr w:type="spellStart"/>
      <w:r w:rsidRPr="003C2762">
        <w:rPr>
          <w:rFonts w:ascii="Times New Roman" w:hAnsi="Times New Roman" w:cs="Times New Roman"/>
          <w:sz w:val="20"/>
          <w:szCs w:val="20"/>
        </w:rPr>
        <w:t>eg</w:t>
      </w:r>
      <w:proofErr w:type="spellEnd"/>
      <w:r w:rsidRPr="003C2762">
        <w:rPr>
          <w:rFonts w:ascii="Times New Roman" w:hAnsi="Times New Roman" w:cs="Times New Roman"/>
          <w:sz w:val="20"/>
          <w:szCs w:val="20"/>
        </w:rPr>
        <w:t xml:space="preserve"> Interviews 1; 2; 4; 9.</w:t>
      </w:r>
    </w:p>
  </w:footnote>
  <w:footnote w:id="186">
    <w:p w14:paraId="0A896F5C" w14:textId="77777777"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Interview 3.</w:t>
      </w:r>
    </w:p>
  </w:footnote>
  <w:footnote w:id="187">
    <w:p w14:paraId="5581C63B" w14:textId="203FAE9F"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Interview 3.</w:t>
      </w:r>
    </w:p>
  </w:footnote>
  <w:footnote w:id="188">
    <w:p w14:paraId="78487605" w14:textId="2A3FD9BB"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r w:rsidR="004A0D43">
        <w:rPr>
          <w:rFonts w:ascii="Times New Roman" w:hAnsi="Times New Roman" w:cs="Times New Roman"/>
        </w:rPr>
        <w:t xml:space="preserve">n 106 above, </w:t>
      </w:r>
      <w:r w:rsidRPr="003C2762">
        <w:rPr>
          <w:rFonts w:ascii="Times New Roman" w:hAnsi="Times New Roman" w:cs="Times New Roman"/>
        </w:rPr>
        <w:t>48.</w:t>
      </w:r>
    </w:p>
  </w:footnote>
  <w:footnote w:id="189">
    <w:p w14:paraId="585C3A90" w14:textId="55CF599C"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G. </w:t>
      </w:r>
      <w:proofErr w:type="spellStart"/>
      <w:r w:rsidRPr="003C2762">
        <w:rPr>
          <w:rFonts w:ascii="Times New Roman" w:hAnsi="Times New Roman" w:cs="Times New Roman"/>
        </w:rPr>
        <w:t>Favarel</w:t>
      </w:r>
      <w:proofErr w:type="spellEnd"/>
      <w:r w:rsidRPr="003C2762">
        <w:rPr>
          <w:rFonts w:ascii="Times New Roman" w:hAnsi="Times New Roman" w:cs="Times New Roman"/>
        </w:rPr>
        <w:t xml:space="preserve">-Garrigues, T. </w:t>
      </w:r>
      <w:proofErr w:type="spellStart"/>
      <w:r w:rsidRPr="003C2762">
        <w:rPr>
          <w:rFonts w:ascii="Times New Roman" w:hAnsi="Times New Roman" w:cs="Times New Roman"/>
        </w:rPr>
        <w:t>Godefroy</w:t>
      </w:r>
      <w:proofErr w:type="spellEnd"/>
      <w:r w:rsidRPr="003C2762">
        <w:rPr>
          <w:rFonts w:ascii="Times New Roman" w:hAnsi="Times New Roman" w:cs="Times New Roman"/>
        </w:rPr>
        <w:t xml:space="preserve">, and P. </w:t>
      </w:r>
      <w:proofErr w:type="spellStart"/>
      <w:r w:rsidRPr="003C2762">
        <w:rPr>
          <w:rFonts w:ascii="Times New Roman" w:hAnsi="Times New Roman" w:cs="Times New Roman"/>
        </w:rPr>
        <w:t>Lascoumes</w:t>
      </w:r>
      <w:proofErr w:type="spellEnd"/>
      <w:r w:rsidRPr="003C2762">
        <w:rPr>
          <w:rFonts w:ascii="Times New Roman" w:hAnsi="Times New Roman" w:cs="Times New Roman"/>
        </w:rPr>
        <w:t xml:space="preserve">, ‘Sentinels in the Banking Industry: Private Actors and the Fight against Money Laundering in France’ (2008) 48 </w:t>
      </w:r>
      <w:r w:rsidRPr="003C2762">
        <w:rPr>
          <w:rFonts w:ascii="Times New Roman" w:hAnsi="Times New Roman" w:cs="Times New Roman"/>
          <w:i/>
        </w:rPr>
        <w:t>British Journal of Criminology</w:t>
      </w:r>
      <w:r w:rsidRPr="003C2762">
        <w:rPr>
          <w:rFonts w:ascii="Times New Roman" w:hAnsi="Times New Roman" w:cs="Times New Roman"/>
        </w:rPr>
        <w:t xml:space="preserve"> 1, 11.</w:t>
      </w:r>
    </w:p>
  </w:footnote>
  <w:footnote w:id="190">
    <w:p w14:paraId="1E74A86A" w14:textId="48EF3D9D"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See M. Power, ‘The Risk Management of Everything’ (2004) 5 </w:t>
      </w:r>
      <w:r w:rsidRPr="003C2762">
        <w:rPr>
          <w:rFonts w:ascii="Times New Roman" w:hAnsi="Times New Roman" w:cs="Times New Roman"/>
          <w:i/>
        </w:rPr>
        <w:t>Journal of Risk Finance</w:t>
      </w:r>
      <w:r w:rsidRPr="003C2762">
        <w:rPr>
          <w:rFonts w:ascii="Times New Roman" w:hAnsi="Times New Roman" w:cs="Times New Roman"/>
        </w:rPr>
        <w:t xml:space="preserve"> 58, 63. For consideration of rules- and risk- based approaches in the context of AML, see G. Sinha, ‘Risk-Based Approach: Is it the Answer to Effective Anti-Money Laundering Compliance?’ in K. Benson. C. King, and C. Walker (eds), </w:t>
      </w:r>
      <w:r w:rsidRPr="003C2762">
        <w:rPr>
          <w:rFonts w:ascii="Times New Roman" w:hAnsi="Times New Roman" w:cs="Times New Roman"/>
          <w:i/>
        </w:rPr>
        <w:t>Assets, Crimes and the State: Innovation in 21</w:t>
      </w:r>
      <w:r w:rsidRPr="003C2762">
        <w:rPr>
          <w:rFonts w:ascii="Times New Roman" w:hAnsi="Times New Roman" w:cs="Times New Roman"/>
          <w:i/>
          <w:vertAlign w:val="superscript"/>
        </w:rPr>
        <w:t>st</w:t>
      </w:r>
      <w:r w:rsidRPr="003C2762">
        <w:rPr>
          <w:rFonts w:ascii="Times New Roman" w:hAnsi="Times New Roman" w:cs="Times New Roman"/>
          <w:i/>
        </w:rPr>
        <w:t xml:space="preserve"> Century Legal Responses</w:t>
      </w:r>
      <w:r w:rsidRPr="003C2762">
        <w:rPr>
          <w:rFonts w:ascii="Times New Roman" w:hAnsi="Times New Roman" w:cs="Times New Roman"/>
        </w:rPr>
        <w:t xml:space="preserve"> (Oxon: Routledge, 2020).</w:t>
      </w:r>
    </w:p>
  </w:footnote>
  <w:footnote w:id="191">
    <w:p w14:paraId="3B01D04A" w14:textId="2CDF58F9"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For wider discussion, see A. </w:t>
      </w:r>
      <w:proofErr w:type="spellStart"/>
      <w:r w:rsidRPr="003C2762">
        <w:rPr>
          <w:rFonts w:ascii="Times New Roman" w:hAnsi="Times New Roman" w:cs="Times New Roman"/>
        </w:rPr>
        <w:t>Grear</w:t>
      </w:r>
      <w:proofErr w:type="spellEnd"/>
      <w:r w:rsidRPr="003C2762">
        <w:rPr>
          <w:rFonts w:ascii="Times New Roman" w:hAnsi="Times New Roman" w:cs="Times New Roman"/>
        </w:rPr>
        <w:t xml:space="preserve">, ‘Vulnerability, Advanced Global Capitalism and Co-symptomatic Injustice: Locating the Vulnerable Subject’ in M. Albertson Fineman and A. </w:t>
      </w:r>
      <w:proofErr w:type="spellStart"/>
      <w:r w:rsidRPr="003C2762">
        <w:rPr>
          <w:rFonts w:ascii="Times New Roman" w:hAnsi="Times New Roman" w:cs="Times New Roman"/>
        </w:rPr>
        <w:t>Grear</w:t>
      </w:r>
      <w:proofErr w:type="spellEnd"/>
      <w:r w:rsidRPr="003C2762">
        <w:rPr>
          <w:rFonts w:ascii="Times New Roman" w:hAnsi="Times New Roman" w:cs="Times New Roman"/>
        </w:rPr>
        <w:t xml:space="preserve"> (eds), </w:t>
      </w:r>
      <w:r w:rsidRPr="003C2762">
        <w:rPr>
          <w:rFonts w:ascii="Times New Roman" w:hAnsi="Times New Roman" w:cs="Times New Roman"/>
          <w:i/>
        </w:rPr>
        <w:t>Vulnerability: Reflections on a New Ethical Foundation for Law and Politics</w:t>
      </w:r>
      <w:r w:rsidRPr="003C2762">
        <w:rPr>
          <w:rFonts w:ascii="Times New Roman" w:hAnsi="Times New Roman" w:cs="Times New Roman"/>
        </w:rPr>
        <w:t xml:space="preserve"> (Farnham: Ashgate, 2013). For consideration in other contexts, see E. Oakley and S. Vaughan, ‘In Dependence: The Paradox of Professional Independence and Taking Seriously the Vulnerabilities of Lawyers in Large Corporate Law Firms (2019) 46 </w:t>
      </w:r>
      <w:r w:rsidRPr="003C2762">
        <w:rPr>
          <w:rFonts w:ascii="Times New Roman" w:hAnsi="Times New Roman" w:cs="Times New Roman"/>
          <w:i/>
        </w:rPr>
        <w:t xml:space="preserve">Journal of Law and Society </w:t>
      </w:r>
      <w:r w:rsidRPr="003C2762">
        <w:rPr>
          <w:rFonts w:ascii="Times New Roman" w:hAnsi="Times New Roman" w:cs="Times New Roman"/>
        </w:rPr>
        <w:t>83.</w:t>
      </w:r>
    </w:p>
  </w:footnote>
  <w:footnote w:id="192">
    <w:p w14:paraId="52A80CDF" w14:textId="28EBBF53"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A. Bello, </w:t>
      </w:r>
      <w:r w:rsidRPr="003C2762">
        <w:rPr>
          <w:rFonts w:ascii="Times New Roman" w:hAnsi="Times New Roman" w:cs="Times New Roman"/>
          <w:i/>
        </w:rPr>
        <w:t>Improving Anti-Money Laundering Compliance: Self-Protecting Theory and Money Laundering Reporting Officers</w:t>
      </w:r>
      <w:r w:rsidRPr="003C2762">
        <w:rPr>
          <w:rFonts w:ascii="Times New Roman" w:hAnsi="Times New Roman" w:cs="Times New Roman"/>
        </w:rPr>
        <w:t xml:space="preserve"> (Cham: Palgrave Macmillan, 2016) 48.</w:t>
      </w:r>
    </w:p>
  </w:footnote>
  <w:footnote w:id="193">
    <w:p w14:paraId="14029E02" w14:textId="4C765390"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V. Mitsilegas and N. </w:t>
      </w:r>
      <w:proofErr w:type="spellStart"/>
      <w:r w:rsidRPr="003C2762">
        <w:rPr>
          <w:rFonts w:ascii="Times New Roman" w:hAnsi="Times New Roman" w:cs="Times New Roman"/>
        </w:rPr>
        <w:t>Vavoula</w:t>
      </w:r>
      <w:proofErr w:type="spellEnd"/>
      <w:r w:rsidRPr="003C2762">
        <w:rPr>
          <w:rFonts w:ascii="Times New Roman" w:hAnsi="Times New Roman" w:cs="Times New Roman"/>
        </w:rPr>
        <w:t xml:space="preserve">, ‘The Evolving EU Anti-Money Laundering Regime: Challenges for Fundamental Rights and the Rule of Law’ (2016) 23 </w:t>
      </w:r>
      <w:r w:rsidRPr="003C2762">
        <w:rPr>
          <w:rFonts w:ascii="Times New Roman" w:hAnsi="Times New Roman" w:cs="Times New Roman"/>
          <w:i/>
        </w:rPr>
        <w:t>Maastricht Journal of European and Comparative Law</w:t>
      </w:r>
      <w:r w:rsidRPr="003C2762">
        <w:rPr>
          <w:rFonts w:ascii="Times New Roman" w:hAnsi="Times New Roman" w:cs="Times New Roman"/>
        </w:rPr>
        <w:t xml:space="preserve"> 261, 274; </w:t>
      </w:r>
      <w:proofErr w:type="spellStart"/>
      <w:r w:rsidRPr="003C2762">
        <w:rPr>
          <w:rFonts w:ascii="Times New Roman" w:hAnsi="Times New Roman" w:cs="Times New Roman"/>
        </w:rPr>
        <w:t>cf</w:t>
      </w:r>
      <w:proofErr w:type="spellEnd"/>
      <w:r w:rsidRPr="003C2762">
        <w:rPr>
          <w:rFonts w:ascii="Times New Roman" w:hAnsi="Times New Roman" w:cs="Times New Roman"/>
        </w:rPr>
        <w:t xml:space="preserve"> A. Bello and J. Harvey, ‘From a Risk-Based to an Uncertainty Based Approach to Anti-Money Laundering Compliance’ (2017) 30 </w:t>
      </w:r>
      <w:r w:rsidRPr="003C2762">
        <w:rPr>
          <w:rFonts w:ascii="Times New Roman" w:hAnsi="Times New Roman" w:cs="Times New Roman"/>
          <w:i/>
        </w:rPr>
        <w:t>Security Journal</w:t>
      </w:r>
      <w:r w:rsidRPr="003C2762">
        <w:rPr>
          <w:rFonts w:ascii="Times New Roman" w:hAnsi="Times New Roman" w:cs="Times New Roman"/>
        </w:rPr>
        <w:t xml:space="preserve"> 24.</w:t>
      </w:r>
    </w:p>
  </w:footnote>
  <w:footnote w:id="194">
    <w:p w14:paraId="437461C8" w14:textId="25BB0A32"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B. Coombs-Goodfellow and M. Eshwar </w:t>
      </w:r>
      <w:proofErr w:type="spellStart"/>
      <w:r w:rsidRPr="003C2762">
        <w:rPr>
          <w:rFonts w:ascii="Times New Roman" w:hAnsi="Times New Roman" w:cs="Times New Roman"/>
        </w:rPr>
        <w:t>Lokanan</w:t>
      </w:r>
      <w:proofErr w:type="spellEnd"/>
      <w:r w:rsidRPr="003C2762">
        <w:rPr>
          <w:rFonts w:ascii="Times New Roman" w:hAnsi="Times New Roman" w:cs="Times New Roman"/>
        </w:rPr>
        <w:t xml:space="preserve">, ‘Anti-Money Laundering and Moral Intensity in Suspicious Activity Reporting: An Application of Jones’ Issue Contingent Model’ (2018) 21 </w:t>
      </w:r>
      <w:r w:rsidRPr="003C2762">
        <w:rPr>
          <w:rFonts w:ascii="Times New Roman" w:hAnsi="Times New Roman" w:cs="Times New Roman"/>
          <w:i/>
        </w:rPr>
        <w:t>Journal of Money Laundering Control</w:t>
      </w:r>
      <w:r w:rsidRPr="003C2762">
        <w:rPr>
          <w:rFonts w:ascii="Times New Roman" w:hAnsi="Times New Roman" w:cs="Times New Roman"/>
        </w:rPr>
        <w:t xml:space="preserve"> 520; A. </w:t>
      </w:r>
      <w:proofErr w:type="spellStart"/>
      <w:r w:rsidRPr="003C2762">
        <w:rPr>
          <w:rFonts w:ascii="Times New Roman" w:hAnsi="Times New Roman" w:cs="Times New Roman"/>
        </w:rPr>
        <w:t>Verhage</w:t>
      </w:r>
      <w:proofErr w:type="spellEnd"/>
      <w:r w:rsidRPr="003C2762">
        <w:rPr>
          <w:rFonts w:ascii="Times New Roman" w:hAnsi="Times New Roman" w:cs="Times New Roman"/>
        </w:rPr>
        <w:t xml:space="preserve">, ‘Great Expectations but Little Evidence: Policing Money Laundering’ (2017) 37 </w:t>
      </w:r>
      <w:r w:rsidRPr="003C2762">
        <w:rPr>
          <w:rFonts w:ascii="Times New Roman" w:hAnsi="Times New Roman" w:cs="Times New Roman"/>
          <w:i/>
        </w:rPr>
        <w:t>International Journal of Sociology and Social Policy</w:t>
      </w:r>
      <w:r w:rsidRPr="003C2762">
        <w:rPr>
          <w:rFonts w:ascii="Times New Roman" w:hAnsi="Times New Roman" w:cs="Times New Roman"/>
        </w:rPr>
        <w:t xml:space="preserve"> 477.</w:t>
      </w:r>
    </w:p>
  </w:footnote>
  <w:footnote w:id="195">
    <w:p w14:paraId="07C9CE31" w14:textId="1382DC54"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proofErr w:type="spellStart"/>
      <w:r w:rsidRPr="003C2762">
        <w:rPr>
          <w:rFonts w:ascii="Times New Roman" w:hAnsi="Times New Roman" w:cs="Times New Roman"/>
        </w:rPr>
        <w:t>eg</w:t>
      </w:r>
      <w:proofErr w:type="spellEnd"/>
      <w:r w:rsidRPr="003C2762">
        <w:rPr>
          <w:rFonts w:ascii="Times New Roman" w:hAnsi="Times New Roman" w:cs="Times New Roman"/>
        </w:rPr>
        <w:t xml:space="preserve"> Interview 14.</w:t>
      </w:r>
    </w:p>
  </w:footnote>
  <w:footnote w:id="196">
    <w:p w14:paraId="62D81231" w14:textId="1EA9BDB3"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Interview 9. Also Interview 14.</w:t>
      </w:r>
    </w:p>
  </w:footnote>
  <w:footnote w:id="197">
    <w:p w14:paraId="56D5AC5A" w14:textId="77777777"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Interview 10.</w:t>
      </w:r>
    </w:p>
  </w:footnote>
  <w:footnote w:id="198">
    <w:p w14:paraId="163EC828" w14:textId="77777777"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Interview 3.</w:t>
      </w:r>
    </w:p>
  </w:footnote>
  <w:footnote w:id="199">
    <w:p w14:paraId="01915EA8" w14:textId="1E4B4F3F"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proofErr w:type="spellStart"/>
      <w:r w:rsidRPr="003C2762">
        <w:rPr>
          <w:rFonts w:ascii="Times New Roman" w:hAnsi="Times New Roman" w:cs="Times New Roman"/>
        </w:rPr>
        <w:t>eg</w:t>
      </w:r>
      <w:proofErr w:type="spellEnd"/>
      <w:r w:rsidRPr="003C2762">
        <w:rPr>
          <w:rFonts w:ascii="Times New Roman" w:hAnsi="Times New Roman" w:cs="Times New Roman"/>
        </w:rPr>
        <w:t xml:space="preserve"> Interview 8.</w:t>
      </w:r>
    </w:p>
  </w:footnote>
  <w:footnote w:id="200">
    <w:p w14:paraId="007705AE" w14:textId="77777777"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Interview 1.</w:t>
      </w:r>
    </w:p>
  </w:footnote>
  <w:footnote w:id="201">
    <w:p w14:paraId="71218D6B" w14:textId="77777777"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Interview 3.</w:t>
      </w:r>
    </w:p>
  </w:footnote>
  <w:footnote w:id="202">
    <w:p w14:paraId="2F3B3E54" w14:textId="0EF1DC76"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proofErr w:type="spellStart"/>
      <w:r w:rsidRPr="003C2762">
        <w:rPr>
          <w:rFonts w:ascii="Times New Roman" w:hAnsi="Times New Roman" w:cs="Times New Roman"/>
        </w:rPr>
        <w:t>eg</w:t>
      </w:r>
      <w:proofErr w:type="spellEnd"/>
      <w:r w:rsidRPr="003C2762">
        <w:rPr>
          <w:rFonts w:ascii="Times New Roman" w:hAnsi="Times New Roman" w:cs="Times New Roman"/>
        </w:rPr>
        <w:t xml:space="preserve"> Interview 13.</w:t>
      </w:r>
    </w:p>
  </w:footnote>
  <w:footnote w:id="203">
    <w:p w14:paraId="0ED2F6A8" w14:textId="66F0186A"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A. </w:t>
      </w:r>
      <w:proofErr w:type="spellStart"/>
      <w:r w:rsidRPr="003C2762">
        <w:rPr>
          <w:rFonts w:ascii="Times New Roman" w:hAnsi="Times New Roman" w:cs="Times New Roman"/>
        </w:rPr>
        <w:t>Amicelle</w:t>
      </w:r>
      <w:proofErr w:type="spellEnd"/>
      <w:r w:rsidRPr="003C2762">
        <w:rPr>
          <w:rFonts w:ascii="Times New Roman" w:hAnsi="Times New Roman" w:cs="Times New Roman"/>
        </w:rPr>
        <w:t xml:space="preserve">, ‘Towards a “New” Political Anatomy of Financial Surveillance’ (2011) 42 </w:t>
      </w:r>
      <w:r w:rsidRPr="003C2762">
        <w:rPr>
          <w:rFonts w:ascii="Times New Roman" w:hAnsi="Times New Roman" w:cs="Times New Roman"/>
          <w:i/>
        </w:rPr>
        <w:t>Security Dialogue</w:t>
      </w:r>
      <w:r w:rsidRPr="003C2762">
        <w:rPr>
          <w:rFonts w:ascii="Times New Roman" w:hAnsi="Times New Roman" w:cs="Times New Roman"/>
        </w:rPr>
        <w:t xml:space="preserve"> 161, 168.</w:t>
      </w:r>
    </w:p>
  </w:footnote>
  <w:footnote w:id="204">
    <w:p w14:paraId="44F6D7B7" w14:textId="34052455"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S. Kebbell, ‘The Law Commission: Anti Money-Laundering and Counter-Terrorism Financing – Reform of the Suspicious Activity Reporting Regimes’ [2018] </w:t>
      </w:r>
      <w:r w:rsidRPr="003C2762">
        <w:rPr>
          <w:rFonts w:ascii="Times New Roman" w:hAnsi="Times New Roman" w:cs="Times New Roman"/>
          <w:i/>
        </w:rPr>
        <w:t>Criminal Law Review</w:t>
      </w:r>
      <w:r w:rsidRPr="003C2762">
        <w:rPr>
          <w:rFonts w:ascii="Times New Roman" w:hAnsi="Times New Roman" w:cs="Times New Roman"/>
        </w:rPr>
        <w:t xml:space="preserve"> 880, 890.</w:t>
      </w:r>
    </w:p>
  </w:footnote>
  <w:footnote w:id="205">
    <w:p w14:paraId="4E4D5236" w14:textId="533C2F28"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n 10</w:t>
      </w:r>
      <w:r w:rsidR="00051F76">
        <w:rPr>
          <w:rFonts w:ascii="Times New Roman" w:hAnsi="Times New Roman" w:cs="Times New Roman"/>
        </w:rPr>
        <w:t>8</w:t>
      </w:r>
      <w:r w:rsidRPr="003C2762">
        <w:rPr>
          <w:rFonts w:ascii="Times New Roman" w:hAnsi="Times New Roman" w:cs="Times New Roman"/>
        </w:rPr>
        <w:t xml:space="preserve"> above, 353.</w:t>
      </w:r>
    </w:p>
  </w:footnote>
  <w:footnote w:id="206">
    <w:p w14:paraId="0757D0E4" w14:textId="4C77D936"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K. Svedberg </w:t>
      </w:r>
      <w:proofErr w:type="spellStart"/>
      <w:r w:rsidRPr="003C2762">
        <w:rPr>
          <w:rFonts w:ascii="Times New Roman" w:hAnsi="Times New Roman" w:cs="Times New Roman"/>
        </w:rPr>
        <w:t>Helgesson</w:t>
      </w:r>
      <w:proofErr w:type="spellEnd"/>
      <w:r w:rsidRPr="003C2762">
        <w:rPr>
          <w:rFonts w:ascii="Times New Roman" w:hAnsi="Times New Roman" w:cs="Times New Roman"/>
        </w:rPr>
        <w:t xml:space="preserve"> and U. </w:t>
      </w:r>
      <w:proofErr w:type="spellStart"/>
      <w:r w:rsidRPr="003C2762">
        <w:rPr>
          <w:rFonts w:ascii="Times New Roman" w:hAnsi="Times New Roman" w:cs="Times New Roman"/>
        </w:rPr>
        <w:t>Morth</w:t>
      </w:r>
      <w:proofErr w:type="spellEnd"/>
      <w:r w:rsidRPr="003C2762">
        <w:rPr>
          <w:rFonts w:ascii="Times New Roman" w:hAnsi="Times New Roman" w:cs="Times New Roman"/>
        </w:rPr>
        <w:t xml:space="preserve">, ‘Involuntary Public Policy-making by For-Profit Professionals: European Lawyers on Anti-Money Laundering and Terrorism Financing’ (2016) 54 </w:t>
      </w:r>
      <w:r w:rsidRPr="003C2762">
        <w:rPr>
          <w:rFonts w:ascii="Times New Roman" w:hAnsi="Times New Roman" w:cs="Times New Roman"/>
          <w:i/>
        </w:rPr>
        <w:t>Journal of Common Market Studies</w:t>
      </w:r>
      <w:r w:rsidRPr="003C2762">
        <w:rPr>
          <w:rFonts w:ascii="Times New Roman" w:hAnsi="Times New Roman" w:cs="Times New Roman"/>
        </w:rPr>
        <w:t xml:space="preserve"> 1216, 1220.</w:t>
      </w:r>
    </w:p>
  </w:footnote>
  <w:footnote w:id="207">
    <w:p w14:paraId="4EF56430" w14:textId="3FE26FF0"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r w:rsidRPr="003C2762">
        <w:rPr>
          <w:rFonts w:ascii="Times New Roman" w:hAnsi="Times New Roman" w:cs="Times New Roman"/>
          <w:i/>
          <w:iCs/>
        </w:rPr>
        <w:t>ibid</w:t>
      </w:r>
      <w:r w:rsidRPr="003C2762">
        <w:rPr>
          <w:rFonts w:ascii="Times New Roman" w:hAnsi="Times New Roman" w:cs="Times New Roman"/>
        </w:rPr>
        <w:t>.</w:t>
      </w:r>
    </w:p>
  </w:footnote>
  <w:footnote w:id="208">
    <w:p w14:paraId="37116978" w14:textId="6CED1257"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proofErr w:type="spellStart"/>
      <w:r w:rsidRPr="003C2762">
        <w:rPr>
          <w:rFonts w:ascii="Times New Roman" w:hAnsi="Times New Roman" w:cs="Times New Roman"/>
        </w:rPr>
        <w:t>eg</w:t>
      </w:r>
      <w:proofErr w:type="spellEnd"/>
      <w:r w:rsidRPr="003C2762">
        <w:rPr>
          <w:rFonts w:ascii="Times New Roman" w:hAnsi="Times New Roman" w:cs="Times New Roman"/>
        </w:rPr>
        <w:t xml:space="preserve"> Interview 8.</w:t>
      </w:r>
    </w:p>
  </w:footnote>
  <w:footnote w:id="209">
    <w:p w14:paraId="3207E6E1" w14:textId="5DE590BC"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proofErr w:type="spellStart"/>
      <w:r w:rsidRPr="003C2762">
        <w:rPr>
          <w:rFonts w:ascii="Times New Roman" w:hAnsi="Times New Roman" w:cs="Times New Roman"/>
        </w:rPr>
        <w:t>eg</w:t>
      </w:r>
      <w:proofErr w:type="spellEnd"/>
      <w:r w:rsidRPr="003C2762">
        <w:rPr>
          <w:rFonts w:ascii="Times New Roman" w:hAnsi="Times New Roman" w:cs="Times New Roman"/>
        </w:rPr>
        <w:t xml:space="preserve"> Interview 10.</w:t>
      </w:r>
    </w:p>
  </w:footnote>
  <w:footnote w:id="210">
    <w:p w14:paraId="743107BF" w14:textId="33C9D6BD"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Interview 3, who suggested that ‘it’s probably a couple of hour process to actually make a report. And, time is money’.</w:t>
      </w:r>
    </w:p>
  </w:footnote>
  <w:footnote w:id="211">
    <w:p w14:paraId="59FED903" w14:textId="335FA8D1"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POCA, ss 335-336.</w:t>
      </w:r>
    </w:p>
  </w:footnote>
  <w:footnote w:id="212">
    <w:p w14:paraId="20D81B30" w14:textId="71743777"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For consideration of practical scenarios where such difficulties can arise, see A. Campbell and E. Campbell, ‘Solicitors and Complying </w:t>
      </w:r>
      <w:proofErr w:type="gramStart"/>
      <w:r w:rsidRPr="003C2762">
        <w:rPr>
          <w:rFonts w:ascii="Times New Roman" w:hAnsi="Times New Roman" w:cs="Times New Roman"/>
        </w:rPr>
        <w:t>With</w:t>
      </w:r>
      <w:proofErr w:type="gramEnd"/>
      <w:r w:rsidRPr="003C2762">
        <w:rPr>
          <w:rFonts w:ascii="Times New Roman" w:hAnsi="Times New Roman" w:cs="Times New Roman"/>
        </w:rPr>
        <w:t xml:space="preserve"> the Anti-Money Laundering Framework: Reporting Suspicions, Applying for Consent and Tipping-Off’ in N. Ryder, U. </w:t>
      </w:r>
      <w:proofErr w:type="spellStart"/>
      <w:r w:rsidRPr="003C2762">
        <w:rPr>
          <w:rFonts w:ascii="Times New Roman" w:hAnsi="Times New Roman" w:cs="Times New Roman"/>
        </w:rPr>
        <w:t>Turksen</w:t>
      </w:r>
      <w:proofErr w:type="spellEnd"/>
      <w:r w:rsidRPr="003C2762">
        <w:rPr>
          <w:rFonts w:ascii="Times New Roman" w:hAnsi="Times New Roman" w:cs="Times New Roman"/>
        </w:rPr>
        <w:t>, and S. Hassler (eds)</w:t>
      </w:r>
      <w:r w:rsidRPr="003C2762">
        <w:rPr>
          <w:rFonts w:ascii="Times New Roman" w:hAnsi="Times New Roman" w:cs="Times New Roman"/>
          <w:i/>
        </w:rPr>
        <w:t>, Fighting Financial Crime in the Global Economic Crisis</w:t>
      </w:r>
      <w:r w:rsidRPr="003C2762">
        <w:rPr>
          <w:rFonts w:ascii="Times New Roman" w:hAnsi="Times New Roman" w:cs="Times New Roman"/>
        </w:rPr>
        <w:t xml:space="preserve"> (Oxon: Routledge, 2015).</w:t>
      </w:r>
    </w:p>
  </w:footnote>
  <w:footnote w:id="213">
    <w:p w14:paraId="1D97C4C6" w14:textId="77777777"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Interview 12.</w:t>
      </w:r>
    </w:p>
  </w:footnote>
  <w:footnote w:id="214">
    <w:p w14:paraId="6264AC94" w14:textId="0005E218"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Interview 12.</w:t>
      </w:r>
    </w:p>
  </w:footnote>
  <w:footnote w:id="215">
    <w:p w14:paraId="16A30CCC" w14:textId="77777777"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Interview 10.</w:t>
      </w:r>
    </w:p>
  </w:footnote>
  <w:footnote w:id="216">
    <w:p w14:paraId="31586F0F" w14:textId="409EE105"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N. </w:t>
      </w:r>
      <w:proofErr w:type="spellStart"/>
      <w:r w:rsidRPr="003C2762">
        <w:rPr>
          <w:rFonts w:ascii="Times New Roman" w:hAnsi="Times New Roman" w:cs="Times New Roman"/>
        </w:rPr>
        <w:t>Gunningham</w:t>
      </w:r>
      <w:proofErr w:type="spellEnd"/>
      <w:r w:rsidRPr="003C2762">
        <w:rPr>
          <w:rFonts w:ascii="Times New Roman" w:hAnsi="Times New Roman" w:cs="Times New Roman"/>
        </w:rPr>
        <w:t xml:space="preserve">, ‘Enforcement and Compliance Strategies’ in R. Baldwin, M. Cave, and M. Lodge (eds), </w:t>
      </w:r>
      <w:r w:rsidRPr="003C2762">
        <w:rPr>
          <w:rFonts w:ascii="Times New Roman" w:hAnsi="Times New Roman" w:cs="Times New Roman"/>
          <w:i/>
        </w:rPr>
        <w:t>The Oxford Handbook of Regulation</w:t>
      </w:r>
      <w:r w:rsidRPr="003C2762">
        <w:rPr>
          <w:rFonts w:ascii="Times New Roman" w:hAnsi="Times New Roman" w:cs="Times New Roman"/>
        </w:rPr>
        <w:t xml:space="preserve"> (Oxford: OUP, 2010) 123.</w:t>
      </w:r>
    </w:p>
  </w:footnote>
  <w:footnote w:id="217">
    <w:p w14:paraId="0D8E8DD8" w14:textId="77777777" w:rsidR="009648BA" w:rsidRPr="003C2762" w:rsidRDefault="009648BA"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proofErr w:type="spellStart"/>
      <w:r w:rsidRPr="003C2762">
        <w:rPr>
          <w:rFonts w:ascii="Times New Roman" w:hAnsi="Times New Roman" w:cs="Times New Roman"/>
        </w:rPr>
        <w:t>eg</w:t>
      </w:r>
      <w:proofErr w:type="spellEnd"/>
      <w:r w:rsidRPr="003C2762">
        <w:rPr>
          <w:rFonts w:ascii="Times New Roman" w:hAnsi="Times New Roman" w:cs="Times New Roman"/>
        </w:rPr>
        <w:t xml:space="preserve"> Interview 9.</w:t>
      </w:r>
    </w:p>
  </w:footnote>
  <w:footnote w:id="218">
    <w:p w14:paraId="30E454D6" w14:textId="775FC423" w:rsidR="009648BA" w:rsidRPr="003C2762" w:rsidRDefault="009648BA"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Interview 9</w:t>
      </w:r>
      <w:r w:rsidR="00C34E81">
        <w:rPr>
          <w:rFonts w:ascii="Times New Roman" w:hAnsi="Times New Roman" w:cs="Times New Roman"/>
        </w:rPr>
        <w:t>.</w:t>
      </w:r>
    </w:p>
  </w:footnote>
  <w:footnote w:id="219">
    <w:p w14:paraId="7D39FDD5" w14:textId="4AC4D025"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D. Nagin, ‘Deterrence in the Twenty-First Century’ (2013) 42 </w:t>
      </w:r>
      <w:r w:rsidRPr="003C2762">
        <w:rPr>
          <w:rFonts w:ascii="Times New Roman" w:hAnsi="Times New Roman" w:cs="Times New Roman"/>
          <w:i/>
        </w:rPr>
        <w:t>Crime and Justice</w:t>
      </w:r>
      <w:r w:rsidRPr="003C2762">
        <w:rPr>
          <w:rFonts w:ascii="Times New Roman" w:hAnsi="Times New Roman" w:cs="Times New Roman"/>
        </w:rPr>
        <w:t xml:space="preserve"> 199.</w:t>
      </w:r>
    </w:p>
  </w:footnote>
  <w:footnote w:id="220">
    <w:p w14:paraId="5EBA0411" w14:textId="454DAFF1" w:rsidR="00957101" w:rsidRPr="003C2762" w:rsidRDefault="00957101" w:rsidP="00AB4266">
      <w:pPr>
        <w:pStyle w:val="FootnoteText"/>
        <w:jc w:val="both"/>
        <w:rPr>
          <w:rFonts w:ascii="Times New Roman" w:hAnsi="Times New Roman" w:cs="Times New Roman"/>
          <w:color w:val="000000"/>
        </w:rPr>
      </w:pPr>
      <w:r w:rsidRPr="003C2762">
        <w:rPr>
          <w:rStyle w:val="FootnoteReference"/>
          <w:rFonts w:ascii="Times New Roman" w:hAnsi="Times New Roman" w:cs="Times New Roman"/>
        </w:rPr>
        <w:footnoteRef/>
      </w:r>
      <w:r w:rsidRPr="003C2762">
        <w:rPr>
          <w:rFonts w:ascii="Times New Roman" w:hAnsi="Times New Roman" w:cs="Times New Roman"/>
        </w:rPr>
        <w:t xml:space="preserve"> J. Evans, ‘UK Estate Agents Hit by Crackdown on Money Laundering’, </w:t>
      </w:r>
      <w:r w:rsidRPr="003C2762">
        <w:rPr>
          <w:rFonts w:ascii="Times New Roman" w:hAnsi="Times New Roman" w:cs="Times New Roman"/>
          <w:i/>
        </w:rPr>
        <w:t>Financial Times</w:t>
      </w:r>
      <w:r w:rsidRPr="003C2762">
        <w:rPr>
          <w:rFonts w:ascii="Times New Roman" w:hAnsi="Times New Roman" w:cs="Times New Roman"/>
        </w:rPr>
        <w:t xml:space="preserve"> (9 March 2019).</w:t>
      </w:r>
    </w:p>
  </w:footnote>
  <w:footnote w:id="221">
    <w:p w14:paraId="082EA0C4" w14:textId="3164AAE2"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n 1</w:t>
      </w:r>
      <w:r w:rsidR="005A6923">
        <w:rPr>
          <w:rFonts w:ascii="Times New Roman" w:hAnsi="Times New Roman" w:cs="Times New Roman"/>
        </w:rPr>
        <w:t>87</w:t>
      </w:r>
      <w:r w:rsidRPr="003C2762">
        <w:rPr>
          <w:rFonts w:ascii="Times New Roman" w:hAnsi="Times New Roman" w:cs="Times New Roman"/>
        </w:rPr>
        <w:t xml:space="preserve"> above, 15.</w:t>
      </w:r>
    </w:p>
  </w:footnote>
  <w:footnote w:id="222">
    <w:p w14:paraId="7FDA2A95" w14:textId="77777777"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Interview 9.</w:t>
      </w:r>
    </w:p>
  </w:footnote>
  <w:footnote w:id="223">
    <w:p w14:paraId="463DB614" w14:textId="4B2173BB"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For example, D. Byers, ‘</w:t>
      </w:r>
      <w:proofErr w:type="spellStart"/>
      <w:r w:rsidRPr="003C2762">
        <w:rPr>
          <w:rFonts w:ascii="Times New Roman" w:hAnsi="Times New Roman" w:cs="Times New Roman"/>
        </w:rPr>
        <w:t>Purplebricks</w:t>
      </w:r>
      <w:proofErr w:type="spellEnd"/>
      <w:r w:rsidRPr="003C2762">
        <w:rPr>
          <w:rFonts w:ascii="Times New Roman" w:hAnsi="Times New Roman" w:cs="Times New Roman"/>
        </w:rPr>
        <w:t xml:space="preserve"> fined after money-laundering breach’ </w:t>
      </w:r>
      <w:r w:rsidRPr="003C2762">
        <w:rPr>
          <w:rFonts w:ascii="Times New Roman" w:hAnsi="Times New Roman" w:cs="Times New Roman"/>
          <w:i/>
        </w:rPr>
        <w:t>The Times</w:t>
      </w:r>
      <w:r w:rsidRPr="003C2762">
        <w:rPr>
          <w:rFonts w:ascii="Times New Roman" w:hAnsi="Times New Roman" w:cs="Times New Roman"/>
        </w:rPr>
        <w:t xml:space="preserve"> (18 August 2020); BBC News, ‘Countrywide Fined £215,000 Over Money-Laundering Failings’ (4 March 2019).</w:t>
      </w:r>
    </w:p>
  </w:footnote>
  <w:footnote w:id="224">
    <w:p w14:paraId="0DDA9499" w14:textId="2CC8149B"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n 14</w:t>
      </w:r>
      <w:r w:rsidR="00A006F5">
        <w:rPr>
          <w:rFonts w:ascii="Times New Roman" w:hAnsi="Times New Roman" w:cs="Times New Roman"/>
        </w:rPr>
        <w:t>1</w:t>
      </w:r>
      <w:r w:rsidRPr="003C2762">
        <w:rPr>
          <w:rFonts w:ascii="Times New Roman" w:hAnsi="Times New Roman" w:cs="Times New Roman"/>
        </w:rPr>
        <w:t xml:space="preserve"> above, 17.</w:t>
      </w:r>
    </w:p>
  </w:footnote>
  <w:footnote w:id="225">
    <w:p w14:paraId="326216D7" w14:textId="1A052065" w:rsidR="00E152B1" w:rsidRPr="003C2762" w:rsidRDefault="00E152B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On </w:t>
      </w:r>
      <w:proofErr w:type="spellStart"/>
      <w:r w:rsidRPr="003C2762">
        <w:rPr>
          <w:rFonts w:ascii="Times New Roman" w:hAnsi="Times New Roman" w:cs="Times New Roman"/>
        </w:rPr>
        <w:t>responsibilisation</w:t>
      </w:r>
      <w:proofErr w:type="spellEnd"/>
      <w:r w:rsidRPr="003C2762">
        <w:rPr>
          <w:rFonts w:ascii="Times New Roman" w:hAnsi="Times New Roman" w:cs="Times New Roman"/>
        </w:rPr>
        <w:t>, see n 8</w:t>
      </w:r>
      <w:r w:rsidR="00E93CD6">
        <w:rPr>
          <w:rFonts w:ascii="Times New Roman" w:hAnsi="Times New Roman" w:cs="Times New Roman"/>
        </w:rPr>
        <w:t>4</w:t>
      </w:r>
      <w:r w:rsidR="008F1B52">
        <w:rPr>
          <w:rFonts w:ascii="Times New Roman" w:hAnsi="Times New Roman" w:cs="Times New Roman"/>
        </w:rPr>
        <w:t>.</w:t>
      </w:r>
    </w:p>
  </w:footnote>
  <w:footnote w:id="226">
    <w:p w14:paraId="1A3E26A8" w14:textId="3EEC2122"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Interview 9.</w:t>
      </w:r>
    </w:p>
  </w:footnote>
  <w:footnote w:id="227">
    <w:p w14:paraId="04901C41" w14:textId="2F1AFD21"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A. </w:t>
      </w:r>
      <w:proofErr w:type="spellStart"/>
      <w:r w:rsidRPr="003C2762">
        <w:rPr>
          <w:rFonts w:ascii="Times New Roman" w:hAnsi="Times New Roman" w:cs="Times New Roman"/>
        </w:rPr>
        <w:t>Veng</w:t>
      </w:r>
      <w:proofErr w:type="spellEnd"/>
      <w:r w:rsidRPr="003C2762">
        <w:rPr>
          <w:rFonts w:ascii="Times New Roman" w:hAnsi="Times New Roman" w:cs="Times New Roman"/>
        </w:rPr>
        <w:t xml:space="preserve"> Mei Leong, </w:t>
      </w:r>
      <w:r w:rsidRPr="003C2762">
        <w:rPr>
          <w:rFonts w:ascii="Times New Roman" w:hAnsi="Times New Roman" w:cs="Times New Roman"/>
          <w:i/>
          <w:iCs/>
        </w:rPr>
        <w:t>The Disruption of International Organised Crime: An Analysis of Legal and Non-Legal Strategies</w:t>
      </w:r>
      <w:r w:rsidRPr="003C2762">
        <w:rPr>
          <w:rFonts w:ascii="Times New Roman" w:hAnsi="Times New Roman" w:cs="Times New Roman"/>
        </w:rPr>
        <w:t xml:space="preserve"> (Oxon: Routledge, 2007) 134.</w:t>
      </w:r>
    </w:p>
  </w:footnote>
  <w:footnote w:id="228">
    <w:p w14:paraId="7FA02AF5" w14:textId="340815FA" w:rsidR="00957101" w:rsidRPr="003C2762" w:rsidRDefault="00957101" w:rsidP="00AB4266">
      <w:pPr>
        <w:pStyle w:val="FootnoteText"/>
        <w:jc w:val="both"/>
        <w:rPr>
          <w:rFonts w:ascii="Times New Roman" w:hAnsi="Times New Roman" w:cs="Times New Roman"/>
          <w:lang w:val="en-US"/>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r w:rsidR="002A0304">
        <w:rPr>
          <w:rFonts w:ascii="Times New Roman" w:hAnsi="Times New Roman" w:cs="Times New Roman"/>
        </w:rPr>
        <w:t>n 143 above.</w:t>
      </w:r>
    </w:p>
  </w:footnote>
  <w:footnote w:id="229">
    <w:p w14:paraId="59C026D3" w14:textId="7DF30646"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In its 2019 review of SARs, the Law Commission recognised the reality of fragmented and conflicting guidance: </w:t>
      </w:r>
      <w:bookmarkStart w:id="9" w:name="_Hlk39591360"/>
      <w:r w:rsidRPr="003C2762">
        <w:rPr>
          <w:rFonts w:ascii="Times New Roman" w:hAnsi="Times New Roman" w:cs="Times New Roman"/>
        </w:rPr>
        <w:t xml:space="preserve">Law Commission, </w:t>
      </w:r>
      <w:r w:rsidRPr="003C2762">
        <w:rPr>
          <w:rFonts w:ascii="Times New Roman" w:hAnsi="Times New Roman" w:cs="Times New Roman"/>
          <w:i/>
        </w:rPr>
        <w:t>Anti-Money Laundering: The SARs Regime</w:t>
      </w:r>
      <w:r w:rsidRPr="003C2762">
        <w:rPr>
          <w:rFonts w:ascii="Times New Roman" w:hAnsi="Times New Roman" w:cs="Times New Roman"/>
        </w:rPr>
        <w:t xml:space="preserve"> (HC 2098, June 2019) </w:t>
      </w:r>
      <w:bookmarkEnd w:id="9"/>
      <w:r w:rsidRPr="003C2762">
        <w:rPr>
          <w:rFonts w:ascii="Times New Roman" w:hAnsi="Times New Roman" w:cs="Times New Roman"/>
        </w:rPr>
        <w:t xml:space="preserve">52 </w:t>
      </w:r>
      <w:r w:rsidRPr="003C2762">
        <w:rPr>
          <w:rFonts w:ascii="Times New Roman" w:hAnsi="Times New Roman" w:cs="Times New Roman"/>
          <w:i/>
        </w:rPr>
        <w:t>et seq</w:t>
      </w:r>
      <w:r w:rsidRPr="003C2762">
        <w:rPr>
          <w:rFonts w:ascii="Times New Roman" w:hAnsi="Times New Roman" w:cs="Times New Roman"/>
        </w:rPr>
        <w:t>.</w:t>
      </w:r>
    </w:p>
  </w:footnote>
  <w:footnote w:id="230">
    <w:p w14:paraId="073D1C17" w14:textId="2121D491"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r w:rsidRPr="003C2762">
        <w:rPr>
          <w:rFonts w:ascii="Times New Roman" w:eastAsia="Times New Roman" w:hAnsi="Times New Roman" w:cs="Times New Roman"/>
          <w:lang w:val="en-US"/>
        </w:rPr>
        <w:t xml:space="preserve">HMRC, </w:t>
      </w:r>
      <w:r w:rsidRPr="003C2762">
        <w:rPr>
          <w:rFonts w:ascii="Times New Roman" w:eastAsia="Times New Roman" w:hAnsi="Times New Roman" w:cs="Times New Roman"/>
          <w:i/>
          <w:iCs/>
          <w:lang w:val="en-US"/>
        </w:rPr>
        <w:t>Anti-Money Laundering Supervision: Estate Agency Businesses</w:t>
      </w:r>
      <w:r w:rsidRPr="003C2762">
        <w:rPr>
          <w:rFonts w:ascii="Times New Roman" w:eastAsia="Times New Roman" w:hAnsi="Times New Roman" w:cs="Times New Roman"/>
          <w:lang w:val="en-US"/>
        </w:rPr>
        <w:t xml:space="preserve"> (June 2017).</w:t>
      </w:r>
      <w:r w:rsidR="00DD064B" w:rsidRPr="003C2762">
        <w:rPr>
          <w:rFonts w:ascii="Times New Roman" w:eastAsia="Times New Roman" w:hAnsi="Times New Roman" w:cs="Times New Roman"/>
          <w:lang w:val="en-US"/>
        </w:rPr>
        <w:t xml:space="preserve"> While this article was being </w:t>
      </w:r>
      <w:proofErr w:type="spellStart"/>
      <w:r w:rsidR="00717895">
        <w:rPr>
          <w:rFonts w:ascii="Times New Roman" w:eastAsia="Times New Roman" w:hAnsi="Times New Roman" w:cs="Times New Roman"/>
          <w:lang w:val="en-US"/>
        </w:rPr>
        <w:t>finalised</w:t>
      </w:r>
      <w:proofErr w:type="spellEnd"/>
      <w:r w:rsidR="00717895">
        <w:rPr>
          <w:rFonts w:ascii="Times New Roman" w:eastAsia="Times New Roman" w:hAnsi="Times New Roman" w:cs="Times New Roman"/>
          <w:lang w:val="en-US"/>
        </w:rPr>
        <w:t>,</w:t>
      </w:r>
      <w:r w:rsidR="00DD064B" w:rsidRPr="003C2762">
        <w:rPr>
          <w:rFonts w:ascii="Times New Roman" w:eastAsia="Times New Roman" w:hAnsi="Times New Roman" w:cs="Times New Roman"/>
          <w:lang w:val="en-US"/>
        </w:rPr>
        <w:t xml:space="preserve"> updated guidance was issued</w:t>
      </w:r>
      <w:r w:rsidR="00717895">
        <w:rPr>
          <w:rFonts w:ascii="Times New Roman" w:eastAsia="Times New Roman" w:hAnsi="Times New Roman" w:cs="Times New Roman"/>
          <w:lang w:val="en-US"/>
        </w:rPr>
        <w:t>.</w:t>
      </w:r>
      <w:r w:rsidR="00DD064B" w:rsidRPr="003C2762">
        <w:rPr>
          <w:rFonts w:ascii="Times New Roman" w:eastAsia="Times New Roman" w:hAnsi="Times New Roman" w:cs="Times New Roman"/>
          <w:lang w:val="en-US"/>
        </w:rPr>
        <w:t xml:space="preserve"> </w:t>
      </w:r>
      <w:r w:rsidR="00717895">
        <w:rPr>
          <w:rFonts w:ascii="Times New Roman" w:eastAsia="Times New Roman" w:hAnsi="Times New Roman" w:cs="Times New Roman"/>
          <w:lang w:val="en-US"/>
        </w:rPr>
        <w:t>H</w:t>
      </w:r>
      <w:r w:rsidR="00DD064B" w:rsidRPr="003C2762">
        <w:rPr>
          <w:rFonts w:ascii="Times New Roman" w:eastAsia="Times New Roman" w:hAnsi="Times New Roman" w:cs="Times New Roman"/>
          <w:lang w:val="en-US"/>
        </w:rPr>
        <w:t>owever</w:t>
      </w:r>
      <w:r w:rsidR="00717895">
        <w:rPr>
          <w:rFonts w:ascii="Times New Roman" w:eastAsia="Times New Roman" w:hAnsi="Times New Roman" w:cs="Times New Roman"/>
          <w:lang w:val="en-US"/>
        </w:rPr>
        <w:t>,</w:t>
      </w:r>
      <w:r w:rsidR="00DD064B" w:rsidRPr="003C2762">
        <w:rPr>
          <w:rFonts w:ascii="Times New Roman" w:eastAsia="Times New Roman" w:hAnsi="Times New Roman" w:cs="Times New Roman"/>
          <w:lang w:val="en-US"/>
        </w:rPr>
        <w:t xml:space="preserve"> it remains to be seen whether </w:t>
      </w:r>
      <w:proofErr w:type="gramStart"/>
      <w:r w:rsidR="00DD064B" w:rsidRPr="003C2762">
        <w:rPr>
          <w:rFonts w:ascii="Times New Roman" w:eastAsia="Times New Roman" w:hAnsi="Times New Roman" w:cs="Times New Roman"/>
          <w:lang w:val="en-US"/>
        </w:rPr>
        <w:t>this addresses</w:t>
      </w:r>
      <w:proofErr w:type="gramEnd"/>
      <w:r w:rsidR="00DD064B" w:rsidRPr="003C2762">
        <w:rPr>
          <w:rFonts w:ascii="Times New Roman" w:eastAsia="Times New Roman" w:hAnsi="Times New Roman" w:cs="Times New Roman"/>
          <w:lang w:val="en-US"/>
        </w:rPr>
        <w:t xml:space="preserve"> concerns that guidance is not sufficiently tailored for the sector. See </w:t>
      </w:r>
      <w:r w:rsidR="00DD064B" w:rsidRPr="003C2762">
        <w:rPr>
          <w:rFonts w:ascii="Times New Roman" w:hAnsi="Times New Roman" w:cs="Times New Roman"/>
        </w:rPr>
        <w:t xml:space="preserve">HMRC, </w:t>
      </w:r>
      <w:r w:rsidR="00DD064B" w:rsidRPr="003C2762">
        <w:rPr>
          <w:rFonts w:ascii="Times New Roman" w:hAnsi="Times New Roman" w:cs="Times New Roman"/>
          <w:i/>
        </w:rPr>
        <w:t>Estate agency business guidance for money laundering supervision</w:t>
      </w:r>
      <w:r w:rsidR="00DD064B" w:rsidRPr="003C2762">
        <w:rPr>
          <w:rFonts w:ascii="Times New Roman" w:hAnsi="Times New Roman" w:cs="Times New Roman"/>
        </w:rPr>
        <w:t xml:space="preserve"> (Updated October 2020).</w:t>
      </w:r>
    </w:p>
  </w:footnote>
  <w:footnote w:id="231">
    <w:p w14:paraId="4E6B4757" w14:textId="454DDDED" w:rsidR="00957101" w:rsidRPr="003C2762" w:rsidRDefault="00957101" w:rsidP="00AB4266">
      <w:pPr>
        <w:pStyle w:val="FootnoteText"/>
        <w:jc w:val="both"/>
        <w:rPr>
          <w:rFonts w:ascii="Times New Roman" w:hAnsi="Times New Roman" w:cs="Times New Roman"/>
          <w:lang w:val="en-US"/>
        </w:rPr>
      </w:pPr>
      <w:r w:rsidRPr="003C2762">
        <w:rPr>
          <w:rStyle w:val="FootnoteReference"/>
          <w:rFonts w:ascii="Times New Roman" w:hAnsi="Times New Roman" w:cs="Times New Roman"/>
        </w:rPr>
        <w:footnoteRef/>
      </w:r>
      <w:r w:rsidRPr="003C2762">
        <w:rPr>
          <w:rFonts w:ascii="Times New Roman" w:hAnsi="Times New Roman" w:cs="Times New Roman"/>
          <w:lang w:val="en-US"/>
        </w:rPr>
        <w:t xml:space="preserve"> </w:t>
      </w:r>
      <w:proofErr w:type="spellStart"/>
      <w:r w:rsidRPr="003C2762">
        <w:rPr>
          <w:rFonts w:ascii="Times New Roman" w:hAnsi="Times New Roman" w:cs="Times New Roman"/>
          <w:lang w:val="en-US"/>
        </w:rPr>
        <w:t>eg</w:t>
      </w:r>
      <w:proofErr w:type="spellEnd"/>
      <w:r w:rsidRPr="003C2762">
        <w:rPr>
          <w:rFonts w:ascii="Times New Roman" w:hAnsi="Times New Roman" w:cs="Times New Roman"/>
          <w:lang w:val="en-US"/>
        </w:rPr>
        <w:t xml:space="preserve"> Interview 1 when saying that ‘the SAR system is not really a good system because it’s designed really for SARs in the banking sector’.</w:t>
      </w:r>
    </w:p>
  </w:footnote>
  <w:footnote w:id="232">
    <w:p w14:paraId="0EC58197" w14:textId="77777777"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Interview 13.</w:t>
      </w:r>
    </w:p>
  </w:footnote>
  <w:footnote w:id="233">
    <w:p w14:paraId="7F933707" w14:textId="7E5F48FC" w:rsidR="00957101" w:rsidRPr="005A6923" w:rsidRDefault="00957101" w:rsidP="00AB4266">
      <w:pPr>
        <w:pStyle w:val="FootnoteText"/>
        <w:jc w:val="both"/>
        <w:rPr>
          <w:rFonts w:ascii="Times New Roman" w:hAnsi="Times New Roman" w:cs="Times New Roman"/>
          <w:sz w:val="24"/>
          <w:szCs w:val="24"/>
          <w:lang w:val="en-US"/>
        </w:rPr>
      </w:pPr>
      <w:r w:rsidRPr="003C2762">
        <w:rPr>
          <w:rStyle w:val="FootnoteReference"/>
          <w:rFonts w:ascii="Times New Roman" w:hAnsi="Times New Roman" w:cs="Times New Roman"/>
        </w:rPr>
        <w:footnoteRef/>
      </w:r>
      <w:r w:rsidRPr="003C2762">
        <w:rPr>
          <w:rFonts w:ascii="Times New Roman" w:hAnsi="Times New Roman" w:cs="Times New Roman"/>
        </w:rPr>
        <w:t xml:space="preserve"> See, for instance, n</w:t>
      </w:r>
      <w:r w:rsidR="005A6923">
        <w:rPr>
          <w:rFonts w:ascii="Times New Roman" w:hAnsi="Times New Roman" w:cs="Times New Roman"/>
        </w:rPr>
        <w:t xml:space="preserve"> 2 </w:t>
      </w:r>
      <w:r w:rsidRPr="003C2762">
        <w:rPr>
          <w:rFonts w:ascii="Times New Roman" w:hAnsi="Times New Roman" w:cs="Times New Roman"/>
        </w:rPr>
        <w:t xml:space="preserve">above, 94-95 in relation to the banking sector. </w:t>
      </w:r>
    </w:p>
  </w:footnote>
  <w:footnote w:id="234">
    <w:p w14:paraId="5E796170" w14:textId="7AACD6CD"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n 12</w:t>
      </w:r>
      <w:r w:rsidR="00C915F2">
        <w:rPr>
          <w:rFonts w:ascii="Times New Roman" w:hAnsi="Times New Roman" w:cs="Times New Roman"/>
        </w:rPr>
        <w:t>2</w:t>
      </w:r>
      <w:r w:rsidRPr="003C2762">
        <w:rPr>
          <w:rFonts w:ascii="Times New Roman" w:hAnsi="Times New Roman" w:cs="Times New Roman"/>
        </w:rPr>
        <w:t xml:space="preserve"> above, 192.</w:t>
      </w:r>
    </w:p>
  </w:footnote>
  <w:footnote w:id="235">
    <w:p w14:paraId="2FDD37EB" w14:textId="3C8D409E"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M. Killick and D. Parody, ‘Implementing AML/CFT Measures That Address the Risks and Not Tick Boxes’ (2007) 15</w:t>
      </w:r>
      <w:r w:rsidRPr="003C2762">
        <w:rPr>
          <w:rFonts w:ascii="Times New Roman" w:hAnsi="Times New Roman" w:cs="Times New Roman"/>
          <w:i/>
          <w:iCs/>
        </w:rPr>
        <w:t xml:space="preserve"> Journal of Financial Regulation and Compliance</w:t>
      </w:r>
      <w:r w:rsidRPr="003C2762">
        <w:rPr>
          <w:rFonts w:ascii="Times New Roman" w:hAnsi="Times New Roman" w:cs="Times New Roman"/>
        </w:rPr>
        <w:t xml:space="preserve"> 210, 210. See also G. Sinha, ‘To Suspect or Not </w:t>
      </w:r>
      <w:proofErr w:type="gramStart"/>
      <w:r w:rsidRPr="003C2762">
        <w:rPr>
          <w:rFonts w:ascii="Times New Roman" w:hAnsi="Times New Roman" w:cs="Times New Roman"/>
        </w:rPr>
        <w:t>To</w:t>
      </w:r>
      <w:proofErr w:type="gramEnd"/>
      <w:r w:rsidRPr="003C2762">
        <w:rPr>
          <w:rFonts w:ascii="Times New Roman" w:hAnsi="Times New Roman" w:cs="Times New Roman"/>
        </w:rPr>
        <w:t xml:space="preserve"> Suspect: Analysing the Pressure on Banks to Be ‘Policemen’’ (2014) 15 </w:t>
      </w:r>
      <w:r w:rsidRPr="003C2762">
        <w:rPr>
          <w:rFonts w:ascii="Times New Roman" w:hAnsi="Times New Roman" w:cs="Times New Roman"/>
          <w:i/>
          <w:iCs/>
        </w:rPr>
        <w:t>Journal of Banking Regulation</w:t>
      </w:r>
      <w:r w:rsidRPr="003C2762">
        <w:rPr>
          <w:rFonts w:ascii="Times New Roman" w:hAnsi="Times New Roman" w:cs="Times New Roman"/>
        </w:rPr>
        <w:t xml:space="preserve"> 75, 79.</w:t>
      </w:r>
    </w:p>
  </w:footnote>
  <w:footnote w:id="236">
    <w:p w14:paraId="434430F5" w14:textId="214453D5"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n 10</w:t>
      </w:r>
      <w:r w:rsidR="00A369B3">
        <w:rPr>
          <w:rFonts w:ascii="Times New Roman" w:hAnsi="Times New Roman" w:cs="Times New Roman"/>
        </w:rPr>
        <w:t>8</w:t>
      </w:r>
      <w:r w:rsidRPr="003C2762">
        <w:rPr>
          <w:rFonts w:ascii="Times New Roman" w:hAnsi="Times New Roman" w:cs="Times New Roman"/>
        </w:rPr>
        <w:t xml:space="preserve"> above, 348.</w:t>
      </w:r>
    </w:p>
  </w:footnote>
  <w:footnote w:id="237">
    <w:p w14:paraId="145755D0" w14:textId="5C0E5698"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n 43 abov</w:t>
      </w:r>
      <w:r w:rsidR="008F1B52">
        <w:rPr>
          <w:rFonts w:ascii="Times New Roman" w:hAnsi="Times New Roman" w:cs="Times New Roman"/>
        </w:rPr>
        <w:t>e.</w:t>
      </w:r>
    </w:p>
  </w:footnote>
  <w:footnote w:id="238">
    <w:p w14:paraId="6F5C6114" w14:textId="5DBD4389"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N. Tilley, ‘Privatizing Crime Control’ (2018) 679 </w:t>
      </w:r>
      <w:r w:rsidRPr="003C2762">
        <w:rPr>
          <w:rFonts w:ascii="Times New Roman" w:hAnsi="Times New Roman" w:cs="Times New Roman"/>
          <w:i/>
        </w:rPr>
        <w:t>The Annals of the American Academy of Political and Social Science</w:t>
      </w:r>
      <w:r w:rsidRPr="003C2762">
        <w:rPr>
          <w:rFonts w:ascii="Times New Roman" w:hAnsi="Times New Roman" w:cs="Times New Roman"/>
        </w:rPr>
        <w:t xml:space="preserve"> 55. For a discussion of how ‘material considerations’ influence decision-making, see S. Simpson and M. </w:t>
      </w:r>
      <w:proofErr w:type="spellStart"/>
      <w:r w:rsidRPr="003C2762">
        <w:rPr>
          <w:rFonts w:ascii="Times New Roman" w:hAnsi="Times New Roman" w:cs="Times New Roman"/>
        </w:rPr>
        <w:t>Rorie</w:t>
      </w:r>
      <w:proofErr w:type="spellEnd"/>
      <w:r w:rsidRPr="003C2762">
        <w:rPr>
          <w:rFonts w:ascii="Times New Roman" w:hAnsi="Times New Roman" w:cs="Times New Roman"/>
        </w:rPr>
        <w:t xml:space="preserve">, ‘Motivating Compliance: Economic and Material Motives for Compliance’ in C. Parker and V. Lehmann Nielsen (eds), </w:t>
      </w:r>
      <w:r w:rsidRPr="003C2762">
        <w:rPr>
          <w:rFonts w:ascii="Times New Roman" w:hAnsi="Times New Roman" w:cs="Times New Roman"/>
          <w:i/>
        </w:rPr>
        <w:t>Explaining Compliance: Business Responses to Regulation</w:t>
      </w:r>
      <w:r w:rsidRPr="003C2762">
        <w:rPr>
          <w:rFonts w:ascii="Times New Roman" w:hAnsi="Times New Roman" w:cs="Times New Roman"/>
        </w:rPr>
        <w:t xml:space="preserve"> (Cheltenham: Edward Elgar, 2011).</w:t>
      </w:r>
    </w:p>
  </w:footnote>
  <w:footnote w:id="239">
    <w:p w14:paraId="661F4552" w14:textId="3EE3657A" w:rsidR="00240F9E"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See, for instance, </w:t>
      </w:r>
      <w:r w:rsidRPr="003C2762">
        <w:rPr>
          <w:rFonts w:ascii="Times New Roman" w:hAnsi="Times New Roman" w:cs="Times New Roman"/>
          <w:lang w:val="en-US"/>
        </w:rPr>
        <w:t xml:space="preserve">FATF, </w:t>
      </w:r>
      <w:r w:rsidRPr="003C2762">
        <w:rPr>
          <w:rFonts w:ascii="Times New Roman" w:eastAsia="Times New Roman" w:hAnsi="Times New Roman" w:cs="Times New Roman"/>
          <w:i/>
          <w:iCs/>
          <w:lang w:val="en-US"/>
        </w:rPr>
        <w:t>Anti-Money Laundering and Counter-Terrorist Financing Measures - United Kingdom, Mutual Evaluation Report</w:t>
      </w:r>
      <w:r w:rsidRPr="003C2762">
        <w:rPr>
          <w:rFonts w:ascii="Times New Roman" w:eastAsia="Times New Roman" w:hAnsi="Times New Roman" w:cs="Times New Roman"/>
          <w:lang w:val="en-US"/>
        </w:rPr>
        <w:t xml:space="preserve"> (December 2018).</w:t>
      </w:r>
      <w:r w:rsidR="00240F9E" w:rsidRPr="003C2762">
        <w:rPr>
          <w:rFonts w:ascii="Times New Roman" w:eastAsia="Times New Roman" w:hAnsi="Times New Roman" w:cs="Times New Roman"/>
          <w:lang w:val="en-US"/>
        </w:rPr>
        <w:t xml:space="preserve"> </w:t>
      </w:r>
      <w:r w:rsidR="00240F9E" w:rsidRPr="003C2762">
        <w:rPr>
          <w:rFonts w:ascii="Times New Roman" w:hAnsi="Times New Roman" w:cs="Times New Roman"/>
        </w:rPr>
        <w:t xml:space="preserve">For critical comment of the FATF MER process, see P van Duyne, J Harvey and L </w:t>
      </w:r>
      <w:proofErr w:type="spellStart"/>
      <w:r w:rsidR="00240F9E" w:rsidRPr="003C2762">
        <w:rPr>
          <w:rFonts w:ascii="Times New Roman" w:hAnsi="Times New Roman" w:cs="Times New Roman"/>
        </w:rPr>
        <w:t>Gelemerova</w:t>
      </w:r>
      <w:proofErr w:type="spellEnd"/>
      <w:r w:rsidR="00240F9E" w:rsidRPr="003C2762">
        <w:rPr>
          <w:rFonts w:ascii="Times New Roman" w:hAnsi="Times New Roman" w:cs="Times New Roman"/>
        </w:rPr>
        <w:t xml:space="preserve">, ‘A “risky” risk approach: proportionality in ML/TF regulation’ in C. King, C. Walker, and J. </w:t>
      </w:r>
      <w:proofErr w:type="spellStart"/>
      <w:r w:rsidR="00240F9E" w:rsidRPr="003C2762">
        <w:rPr>
          <w:rFonts w:ascii="Times New Roman" w:hAnsi="Times New Roman" w:cs="Times New Roman"/>
        </w:rPr>
        <w:t>Gurulé</w:t>
      </w:r>
      <w:proofErr w:type="spellEnd"/>
      <w:r w:rsidR="00240F9E" w:rsidRPr="003C2762">
        <w:rPr>
          <w:rFonts w:ascii="Times New Roman" w:hAnsi="Times New Roman" w:cs="Times New Roman"/>
        </w:rPr>
        <w:t xml:space="preserve"> (eds), </w:t>
      </w:r>
      <w:r w:rsidR="00240F9E" w:rsidRPr="003C2762">
        <w:rPr>
          <w:rFonts w:ascii="Times New Roman" w:hAnsi="Times New Roman" w:cs="Times New Roman"/>
          <w:i/>
          <w:iCs/>
        </w:rPr>
        <w:t xml:space="preserve">The Palgrave Handbook of Criminal and Terrorism Financing Law </w:t>
      </w:r>
      <w:r w:rsidR="00240F9E" w:rsidRPr="003C2762">
        <w:rPr>
          <w:rFonts w:ascii="Times New Roman" w:hAnsi="Times New Roman" w:cs="Times New Roman"/>
        </w:rPr>
        <w:t>(London: Palgrave Macmillan, 2018).</w:t>
      </w:r>
    </w:p>
  </w:footnote>
  <w:footnote w:id="240">
    <w:p w14:paraId="1961E190" w14:textId="14F68275"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B. </w:t>
      </w:r>
      <w:proofErr w:type="spellStart"/>
      <w:r w:rsidRPr="003C2762">
        <w:rPr>
          <w:rFonts w:ascii="Times New Roman" w:hAnsi="Times New Roman" w:cs="Times New Roman"/>
        </w:rPr>
        <w:t>Vettori</w:t>
      </w:r>
      <w:proofErr w:type="spellEnd"/>
      <w:r w:rsidRPr="003C2762">
        <w:rPr>
          <w:rFonts w:ascii="Times New Roman" w:hAnsi="Times New Roman" w:cs="Times New Roman"/>
        </w:rPr>
        <w:t xml:space="preserve">, ‘Evaluating the Anti-Money Laundering Policies: Where Are We?’ in B. Unger and D. van der Linde (eds), </w:t>
      </w:r>
      <w:r w:rsidRPr="003C2762">
        <w:rPr>
          <w:rFonts w:ascii="Times New Roman" w:hAnsi="Times New Roman" w:cs="Times New Roman"/>
          <w:i/>
          <w:iCs/>
        </w:rPr>
        <w:t>Research Handbook on Money Laundering</w:t>
      </w:r>
      <w:r w:rsidRPr="003C2762">
        <w:rPr>
          <w:rFonts w:ascii="Times New Roman" w:hAnsi="Times New Roman" w:cs="Times New Roman"/>
        </w:rPr>
        <w:t xml:space="preserve"> (Cheltenham: Edward Elgar, 2013) 474.</w:t>
      </w:r>
    </w:p>
  </w:footnote>
  <w:footnote w:id="241">
    <w:p w14:paraId="5B170DDA" w14:textId="7B3A323E"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P. Alldridge, </w:t>
      </w:r>
      <w:r w:rsidRPr="003C2762">
        <w:rPr>
          <w:rFonts w:ascii="Times New Roman" w:hAnsi="Times New Roman" w:cs="Times New Roman"/>
          <w:i/>
        </w:rPr>
        <w:t xml:space="preserve">What Went Wrong </w:t>
      </w:r>
      <w:proofErr w:type="gramStart"/>
      <w:r w:rsidRPr="003C2762">
        <w:rPr>
          <w:rFonts w:ascii="Times New Roman" w:hAnsi="Times New Roman" w:cs="Times New Roman"/>
          <w:i/>
        </w:rPr>
        <w:t>With</w:t>
      </w:r>
      <w:proofErr w:type="gramEnd"/>
      <w:r w:rsidRPr="003C2762">
        <w:rPr>
          <w:rFonts w:ascii="Times New Roman" w:hAnsi="Times New Roman" w:cs="Times New Roman"/>
          <w:i/>
        </w:rPr>
        <w:t xml:space="preserve"> Money Laundering Law?</w:t>
      </w:r>
      <w:r w:rsidRPr="003C2762">
        <w:rPr>
          <w:rFonts w:ascii="Times New Roman" w:hAnsi="Times New Roman" w:cs="Times New Roman"/>
        </w:rPr>
        <w:t xml:space="preserve"> (London: Palgrave Macmillan, 2016) 3.</w:t>
      </w:r>
    </w:p>
  </w:footnote>
  <w:footnote w:id="242">
    <w:p w14:paraId="1032F7EB" w14:textId="54C82645"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T. Halliday, M. Levi, and P. Reuter, ‘Anti-Money Laundering: An Inquiry into a Disciplinary Transnational Legal Order’ (2019) 4 </w:t>
      </w:r>
      <w:r w:rsidRPr="003C2762">
        <w:rPr>
          <w:rFonts w:ascii="Times New Roman" w:hAnsi="Times New Roman" w:cs="Times New Roman"/>
          <w:i/>
        </w:rPr>
        <w:t>UC Irvine Journal of International, Transnational, and Comparative Law</w:t>
      </w:r>
      <w:r w:rsidRPr="003C2762">
        <w:rPr>
          <w:rFonts w:ascii="Times New Roman" w:hAnsi="Times New Roman" w:cs="Times New Roman"/>
        </w:rPr>
        <w:t>, Art.3, 3.</w:t>
      </w:r>
    </w:p>
  </w:footnote>
  <w:footnote w:id="243">
    <w:p w14:paraId="1E7B5B69" w14:textId="77777777"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Directive (EU) 2018/843; Directive (EU) 2018/1673.</w:t>
      </w:r>
    </w:p>
  </w:footnote>
  <w:footnote w:id="244">
    <w:p w14:paraId="7D6E7E3E" w14:textId="6F5A6C64"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For example, the FATF Standards are regularly updated, most recently in October 2020; FATF itself is undertaking a ‘strategic review’ which ‘aims to strengthen the efficiency and effectiveness of the FATF and make the assessment and monitoring processes more timely, effective and risk-based’: FATF, </w:t>
      </w:r>
      <w:r w:rsidRPr="003C2762">
        <w:rPr>
          <w:rFonts w:ascii="Times New Roman" w:hAnsi="Times New Roman" w:cs="Times New Roman"/>
          <w:i/>
        </w:rPr>
        <w:t>Outcomes FATF Plenary, 19-21 February 2020</w:t>
      </w:r>
      <w:r w:rsidRPr="003C2762">
        <w:rPr>
          <w:rFonts w:ascii="Times New Roman" w:hAnsi="Times New Roman" w:cs="Times New Roman"/>
        </w:rPr>
        <w:t xml:space="preserve"> (FATF, 21 February 2020).</w:t>
      </w:r>
    </w:p>
  </w:footnote>
  <w:footnote w:id="245">
    <w:p w14:paraId="12EE0C15" w14:textId="5C9FD31A"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See the ML Regs 2017 and 2019.</w:t>
      </w:r>
    </w:p>
  </w:footnote>
  <w:footnote w:id="246">
    <w:p w14:paraId="6B5202B0" w14:textId="77777777" w:rsidR="00DB19B2" w:rsidRPr="003C2762" w:rsidRDefault="00DB19B2"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See, for instance, POCA, s 330(2).</w:t>
      </w:r>
    </w:p>
  </w:footnote>
  <w:footnote w:id="247">
    <w:p w14:paraId="54FDDC8D" w14:textId="16FB45D9"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Law Commission, </w:t>
      </w:r>
      <w:r w:rsidRPr="003C2762">
        <w:rPr>
          <w:rFonts w:ascii="Times New Roman" w:hAnsi="Times New Roman" w:cs="Times New Roman"/>
          <w:i/>
        </w:rPr>
        <w:t>Anti-Money Laundering: The SARs Regime</w:t>
      </w:r>
      <w:r w:rsidRPr="003C2762">
        <w:rPr>
          <w:rFonts w:ascii="Times New Roman" w:hAnsi="Times New Roman" w:cs="Times New Roman"/>
        </w:rPr>
        <w:t xml:space="preserve"> (HC 2098, June 2019) para 1.55.</w:t>
      </w:r>
    </w:p>
  </w:footnote>
  <w:footnote w:id="248">
    <w:p w14:paraId="2A02F3E0" w14:textId="018AD474"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w:t>
      </w:r>
      <w:r w:rsidRPr="003C2762">
        <w:rPr>
          <w:rFonts w:ascii="Times New Roman" w:hAnsi="Times New Roman" w:cs="Times New Roman"/>
          <w:i/>
          <w:iCs/>
        </w:rPr>
        <w:t>ibid</w:t>
      </w:r>
      <w:r w:rsidRPr="003C2762">
        <w:rPr>
          <w:rFonts w:ascii="Times New Roman" w:hAnsi="Times New Roman" w:cs="Times New Roman"/>
        </w:rPr>
        <w:t>, para 3.13.</w:t>
      </w:r>
    </w:p>
  </w:footnote>
  <w:footnote w:id="249">
    <w:p w14:paraId="061D76EB" w14:textId="74CF35B9" w:rsidR="00B74503" w:rsidRPr="003C2762" w:rsidRDefault="00B74503"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See n 2</w:t>
      </w:r>
      <w:r w:rsidR="008A0994">
        <w:rPr>
          <w:rFonts w:ascii="Times New Roman" w:hAnsi="Times New Roman" w:cs="Times New Roman"/>
        </w:rPr>
        <w:t>2</w:t>
      </w:r>
      <w:r w:rsidR="004A41FB">
        <w:rPr>
          <w:rFonts w:ascii="Times New Roman" w:hAnsi="Times New Roman" w:cs="Times New Roman"/>
        </w:rPr>
        <w:t>8</w:t>
      </w:r>
      <w:r w:rsidRPr="003C2762">
        <w:rPr>
          <w:rFonts w:ascii="Times New Roman" w:hAnsi="Times New Roman" w:cs="Times New Roman"/>
        </w:rPr>
        <w:t>.</w:t>
      </w:r>
    </w:p>
  </w:footnote>
  <w:footnote w:id="250">
    <w:p w14:paraId="4E52AC5E" w14:textId="71B09811"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n 5</w:t>
      </w:r>
      <w:r w:rsidR="009B6A66">
        <w:rPr>
          <w:rFonts w:ascii="Times New Roman" w:hAnsi="Times New Roman" w:cs="Times New Roman"/>
        </w:rPr>
        <w:t>1</w:t>
      </w:r>
      <w:r w:rsidRPr="003C2762">
        <w:rPr>
          <w:rFonts w:ascii="Times New Roman" w:hAnsi="Times New Roman" w:cs="Times New Roman"/>
        </w:rPr>
        <w:t xml:space="preserve"> above, 12.</w:t>
      </w:r>
      <w:r w:rsidR="00DB19B2" w:rsidRPr="003C2762">
        <w:rPr>
          <w:rFonts w:ascii="Times New Roman" w:hAnsi="Times New Roman" w:cs="Times New Roman"/>
        </w:rPr>
        <w:t xml:space="preserve"> </w:t>
      </w:r>
      <w:r w:rsidR="004A41FB" w:rsidRPr="003C2762">
        <w:rPr>
          <w:rFonts w:ascii="Times New Roman" w:hAnsi="Times New Roman" w:cs="Times New Roman"/>
        </w:rPr>
        <w:t>Though there was also discontent by others, with AML requirements described by one interviewee as ‘an absolutely pointless exercise’: Interview 12.</w:t>
      </w:r>
    </w:p>
  </w:footnote>
  <w:footnote w:id="251">
    <w:p w14:paraId="54AB83BD" w14:textId="3A22CA3D" w:rsidR="00957101" w:rsidRPr="003C2762" w:rsidRDefault="00957101" w:rsidP="00AB4266">
      <w:pPr>
        <w:pStyle w:val="FootnoteText"/>
        <w:jc w:val="both"/>
        <w:rPr>
          <w:rFonts w:ascii="Times New Roman" w:hAnsi="Times New Roman" w:cs="Times New Roman"/>
        </w:rPr>
      </w:pPr>
      <w:r w:rsidRPr="003C2762">
        <w:rPr>
          <w:rStyle w:val="FootnoteReference"/>
          <w:rFonts w:ascii="Times New Roman" w:hAnsi="Times New Roman" w:cs="Times New Roman"/>
        </w:rPr>
        <w:footnoteRef/>
      </w:r>
      <w:r w:rsidRPr="003C2762">
        <w:rPr>
          <w:rFonts w:ascii="Times New Roman" w:hAnsi="Times New Roman" w:cs="Times New Roman"/>
        </w:rPr>
        <w:t xml:space="preserve"> Interview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835"/>
      <w:gridCol w:w="2835"/>
      <w:gridCol w:w="2835"/>
    </w:tblGrid>
    <w:tr w:rsidR="002D68DE" w14:paraId="10358276" w14:textId="77777777" w:rsidTr="3CAF2D2E">
      <w:tc>
        <w:tcPr>
          <w:tcW w:w="2835" w:type="dxa"/>
        </w:tcPr>
        <w:p w14:paraId="71500C09" w14:textId="3DD369CD" w:rsidR="002D68DE" w:rsidRDefault="002D68DE" w:rsidP="3CAF2D2E">
          <w:pPr>
            <w:pStyle w:val="Header"/>
            <w:ind w:left="-115"/>
          </w:pPr>
        </w:p>
      </w:tc>
      <w:tc>
        <w:tcPr>
          <w:tcW w:w="2835" w:type="dxa"/>
        </w:tcPr>
        <w:p w14:paraId="4446915A" w14:textId="1752930D" w:rsidR="002D68DE" w:rsidRDefault="002D68DE" w:rsidP="3CAF2D2E">
          <w:pPr>
            <w:pStyle w:val="Header"/>
            <w:jc w:val="center"/>
          </w:pPr>
        </w:p>
      </w:tc>
      <w:tc>
        <w:tcPr>
          <w:tcW w:w="2835" w:type="dxa"/>
        </w:tcPr>
        <w:p w14:paraId="1226ACA9" w14:textId="2EBFE0DC" w:rsidR="002D68DE" w:rsidRDefault="002D68DE" w:rsidP="3CAF2D2E">
          <w:pPr>
            <w:pStyle w:val="Header"/>
            <w:ind w:right="-115"/>
            <w:jc w:val="right"/>
          </w:pPr>
        </w:p>
      </w:tc>
    </w:tr>
  </w:tbl>
  <w:p w14:paraId="731038A7" w14:textId="1071FCDB" w:rsidR="002D68DE" w:rsidRDefault="002D68DE" w:rsidP="3CA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F5C66"/>
    <w:multiLevelType w:val="multilevel"/>
    <w:tmpl w:val="460808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46547A8"/>
    <w:multiLevelType w:val="hybridMultilevel"/>
    <w:tmpl w:val="3E12CB7E"/>
    <w:lvl w:ilvl="0" w:tplc="0410000F">
      <w:start w:val="3"/>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1BD1FF3"/>
    <w:multiLevelType w:val="hybridMultilevel"/>
    <w:tmpl w:val="74869E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53E7CBD"/>
    <w:multiLevelType w:val="hybridMultilevel"/>
    <w:tmpl w:val="55503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B8432D"/>
    <w:multiLevelType w:val="multilevel"/>
    <w:tmpl w:val="1F7AF40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6AB206F3"/>
    <w:multiLevelType w:val="multilevel"/>
    <w:tmpl w:val="B628C57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6AD94FED"/>
    <w:multiLevelType w:val="hybridMultilevel"/>
    <w:tmpl w:val="1BB437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C223335"/>
    <w:multiLevelType w:val="multilevel"/>
    <w:tmpl w:val="EE885CE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CA6611E"/>
    <w:multiLevelType w:val="hybridMultilevel"/>
    <w:tmpl w:val="EA94A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0"/>
  </w:num>
  <w:num w:numId="5">
    <w:abstractNumId w:val="1"/>
  </w:num>
  <w:num w:numId="6">
    <w:abstractNumId w:val="5"/>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0BmIzCzMDCxNDCyUdpeDU4uLM/DyQAkOLWgAcbh1MLQAAAA=="/>
  </w:docVars>
  <w:rsids>
    <w:rsidRoot w:val="00186EC1"/>
    <w:rsid w:val="00001090"/>
    <w:rsid w:val="0000119C"/>
    <w:rsid w:val="00002161"/>
    <w:rsid w:val="0000370D"/>
    <w:rsid w:val="000045F6"/>
    <w:rsid w:val="000053D4"/>
    <w:rsid w:val="00005521"/>
    <w:rsid w:val="0000603D"/>
    <w:rsid w:val="0000655B"/>
    <w:rsid w:val="00006C0D"/>
    <w:rsid w:val="00010CDB"/>
    <w:rsid w:val="00010E2F"/>
    <w:rsid w:val="00011559"/>
    <w:rsid w:val="00012691"/>
    <w:rsid w:val="00012EEE"/>
    <w:rsid w:val="00013C2C"/>
    <w:rsid w:val="00014D49"/>
    <w:rsid w:val="000151B7"/>
    <w:rsid w:val="000151D1"/>
    <w:rsid w:val="0001566B"/>
    <w:rsid w:val="0001724C"/>
    <w:rsid w:val="00017C79"/>
    <w:rsid w:val="00017FD3"/>
    <w:rsid w:val="00020170"/>
    <w:rsid w:val="00020609"/>
    <w:rsid w:val="00020970"/>
    <w:rsid w:val="000231C9"/>
    <w:rsid w:val="000231D5"/>
    <w:rsid w:val="000234ED"/>
    <w:rsid w:val="000247AF"/>
    <w:rsid w:val="00026B56"/>
    <w:rsid w:val="00026BFA"/>
    <w:rsid w:val="00026DF6"/>
    <w:rsid w:val="00027AB3"/>
    <w:rsid w:val="000304C9"/>
    <w:rsid w:val="00030953"/>
    <w:rsid w:val="00031383"/>
    <w:rsid w:val="00031384"/>
    <w:rsid w:val="000315F7"/>
    <w:rsid w:val="00032662"/>
    <w:rsid w:val="00032A68"/>
    <w:rsid w:val="0003402F"/>
    <w:rsid w:val="00034876"/>
    <w:rsid w:val="00034D48"/>
    <w:rsid w:val="00035512"/>
    <w:rsid w:val="000364E1"/>
    <w:rsid w:val="00036E3D"/>
    <w:rsid w:val="00037D9C"/>
    <w:rsid w:val="00040580"/>
    <w:rsid w:val="00041E92"/>
    <w:rsid w:val="00043507"/>
    <w:rsid w:val="00043AA0"/>
    <w:rsid w:val="00043E54"/>
    <w:rsid w:val="00044151"/>
    <w:rsid w:val="00044749"/>
    <w:rsid w:val="0004522D"/>
    <w:rsid w:val="00045FB3"/>
    <w:rsid w:val="00046FB7"/>
    <w:rsid w:val="0004736E"/>
    <w:rsid w:val="00050720"/>
    <w:rsid w:val="00051F76"/>
    <w:rsid w:val="000523B8"/>
    <w:rsid w:val="00053DA9"/>
    <w:rsid w:val="00053EC3"/>
    <w:rsid w:val="000549D0"/>
    <w:rsid w:val="000551CC"/>
    <w:rsid w:val="00055364"/>
    <w:rsid w:val="0005588C"/>
    <w:rsid w:val="00055F54"/>
    <w:rsid w:val="00056407"/>
    <w:rsid w:val="00056F48"/>
    <w:rsid w:val="00057022"/>
    <w:rsid w:val="00057488"/>
    <w:rsid w:val="0006168C"/>
    <w:rsid w:val="000617B6"/>
    <w:rsid w:val="00061D0B"/>
    <w:rsid w:val="00062B7B"/>
    <w:rsid w:val="00063685"/>
    <w:rsid w:val="00064126"/>
    <w:rsid w:val="00064A30"/>
    <w:rsid w:val="00065C2A"/>
    <w:rsid w:val="00065D77"/>
    <w:rsid w:val="00066766"/>
    <w:rsid w:val="00066CB9"/>
    <w:rsid w:val="00066E38"/>
    <w:rsid w:val="00067140"/>
    <w:rsid w:val="00067658"/>
    <w:rsid w:val="000701E9"/>
    <w:rsid w:val="0007232D"/>
    <w:rsid w:val="00072B63"/>
    <w:rsid w:val="0007498C"/>
    <w:rsid w:val="00074DB0"/>
    <w:rsid w:val="00075813"/>
    <w:rsid w:val="00076150"/>
    <w:rsid w:val="000801E5"/>
    <w:rsid w:val="00080432"/>
    <w:rsid w:val="00080C18"/>
    <w:rsid w:val="000810E6"/>
    <w:rsid w:val="0008242B"/>
    <w:rsid w:val="00082F13"/>
    <w:rsid w:val="0008423F"/>
    <w:rsid w:val="000855CC"/>
    <w:rsid w:val="00085959"/>
    <w:rsid w:val="00086BB6"/>
    <w:rsid w:val="00086FE9"/>
    <w:rsid w:val="0008722B"/>
    <w:rsid w:val="000877D6"/>
    <w:rsid w:val="00087EAB"/>
    <w:rsid w:val="0009001E"/>
    <w:rsid w:val="0009037A"/>
    <w:rsid w:val="00090794"/>
    <w:rsid w:val="00091658"/>
    <w:rsid w:val="00092627"/>
    <w:rsid w:val="0009387E"/>
    <w:rsid w:val="00093B2F"/>
    <w:rsid w:val="00095DC5"/>
    <w:rsid w:val="000971B2"/>
    <w:rsid w:val="000A06CD"/>
    <w:rsid w:val="000A0838"/>
    <w:rsid w:val="000A0F40"/>
    <w:rsid w:val="000A0F54"/>
    <w:rsid w:val="000A2059"/>
    <w:rsid w:val="000A2510"/>
    <w:rsid w:val="000A2A5E"/>
    <w:rsid w:val="000A2AAD"/>
    <w:rsid w:val="000A2F33"/>
    <w:rsid w:val="000A31C6"/>
    <w:rsid w:val="000A3984"/>
    <w:rsid w:val="000A4F9A"/>
    <w:rsid w:val="000A58CB"/>
    <w:rsid w:val="000A5B2D"/>
    <w:rsid w:val="000A5CAB"/>
    <w:rsid w:val="000A6746"/>
    <w:rsid w:val="000A6EF4"/>
    <w:rsid w:val="000A72D7"/>
    <w:rsid w:val="000A78CB"/>
    <w:rsid w:val="000B013C"/>
    <w:rsid w:val="000B2B8D"/>
    <w:rsid w:val="000B309A"/>
    <w:rsid w:val="000B4CA9"/>
    <w:rsid w:val="000B6075"/>
    <w:rsid w:val="000B681C"/>
    <w:rsid w:val="000B6FD7"/>
    <w:rsid w:val="000B79E3"/>
    <w:rsid w:val="000C1250"/>
    <w:rsid w:val="000C1878"/>
    <w:rsid w:val="000C1AFB"/>
    <w:rsid w:val="000C1F31"/>
    <w:rsid w:val="000C2666"/>
    <w:rsid w:val="000C2861"/>
    <w:rsid w:val="000C2D87"/>
    <w:rsid w:val="000C2EF4"/>
    <w:rsid w:val="000C394B"/>
    <w:rsid w:val="000C48C1"/>
    <w:rsid w:val="000C7EB4"/>
    <w:rsid w:val="000D0DBF"/>
    <w:rsid w:val="000D20A4"/>
    <w:rsid w:val="000D25D4"/>
    <w:rsid w:val="000D2C58"/>
    <w:rsid w:val="000D354E"/>
    <w:rsid w:val="000D38FF"/>
    <w:rsid w:val="000D42AE"/>
    <w:rsid w:val="000D4641"/>
    <w:rsid w:val="000D4B5C"/>
    <w:rsid w:val="000D55BD"/>
    <w:rsid w:val="000D647D"/>
    <w:rsid w:val="000D6AF6"/>
    <w:rsid w:val="000D6B30"/>
    <w:rsid w:val="000D6FA0"/>
    <w:rsid w:val="000E0466"/>
    <w:rsid w:val="000E1590"/>
    <w:rsid w:val="000E21CB"/>
    <w:rsid w:val="000E283D"/>
    <w:rsid w:val="000E28C2"/>
    <w:rsid w:val="000E3101"/>
    <w:rsid w:val="000E3885"/>
    <w:rsid w:val="000E3CB1"/>
    <w:rsid w:val="000E4436"/>
    <w:rsid w:val="000E4815"/>
    <w:rsid w:val="000E5241"/>
    <w:rsid w:val="000E5C9A"/>
    <w:rsid w:val="000E71E0"/>
    <w:rsid w:val="000E76F0"/>
    <w:rsid w:val="000E7A74"/>
    <w:rsid w:val="000F074D"/>
    <w:rsid w:val="000F0842"/>
    <w:rsid w:val="000F2281"/>
    <w:rsid w:val="000F4597"/>
    <w:rsid w:val="000F4B55"/>
    <w:rsid w:val="000F50E9"/>
    <w:rsid w:val="000F546E"/>
    <w:rsid w:val="000F5E0A"/>
    <w:rsid w:val="000F5F4D"/>
    <w:rsid w:val="000F67A1"/>
    <w:rsid w:val="000F6B38"/>
    <w:rsid w:val="000F6EA0"/>
    <w:rsid w:val="00100034"/>
    <w:rsid w:val="001021D9"/>
    <w:rsid w:val="0010250F"/>
    <w:rsid w:val="0010259A"/>
    <w:rsid w:val="00102E1B"/>
    <w:rsid w:val="00103272"/>
    <w:rsid w:val="0010408B"/>
    <w:rsid w:val="001059ED"/>
    <w:rsid w:val="00105EF3"/>
    <w:rsid w:val="001073BF"/>
    <w:rsid w:val="00107558"/>
    <w:rsid w:val="00110508"/>
    <w:rsid w:val="00110BB8"/>
    <w:rsid w:val="001114B2"/>
    <w:rsid w:val="00112E97"/>
    <w:rsid w:val="00113E61"/>
    <w:rsid w:val="00113F2B"/>
    <w:rsid w:val="00115212"/>
    <w:rsid w:val="00115629"/>
    <w:rsid w:val="0011590B"/>
    <w:rsid w:val="00115A1A"/>
    <w:rsid w:val="00115C2A"/>
    <w:rsid w:val="001164FD"/>
    <w:rsid w:val="00116696"/>
    <w:rsid w:val="001170DA"/>
    <w:rsid w:val="0011748E"/>
    <w:rsid w:val="001200FC"/>
    <w:rsid w:val="0012062E"/>
    <w:rsid w:val="001228F3"/>
    <w:rsid w:val="00125D5F"/>
    <w:rsid w:val="0012630E"/>
    <w:rsid w:val="001270BB"/>
    <w:rsid w:val="00127E9D"/>
    <w:rsid w:val="00127F8E"/>
    <w:rsid w:val="0013087E"/>
    <w:rsid w:val="001314C0"/>
    <w:rsid w:val="00132A95"/>
    <w:rsid w:val="00133603"/>
    <w:rsid w:val="001336D9"/>
    <w:rsid w:val="00133EFF"/>
    <w:rsid w:val="0013515C"/>
    <w:rsid w:val="001401D9"/>
    <w:rsid w:val="001427ED"/>
    <w:rsid w:val="00142ACE"/>
    <w:rsid w:val="00142CE8"/>
    <w:rsid w:val="0014418F"/>
    <w:rsid w:val="00144A91"/>
    <w:rsid w:val="00144E1B"/>
    <w:rsid w:val="001454FB"/>
    <w:rsid w:val="00145614"/>
    <w:rsid w:val="0014662A"/>
    <w:rsid w:val="0014698B"/>
    <w:rsid w:val="00146DD3"/>
    <w:rsid w:val="001475A1"/>
    <w:rsid w:val="0015026D"/>
    <w:rsid w:val="00151CB4"/>
    <w:rsid w:val="00151DBB"/>
    <w:rsid w:val="001533A7"/>
    <w:rsid w:val="001535CF"/>
    <w:rsid w:val="00157204"/>
    <w:rsid w:val="001574F2"/>
    <w:rsid w:val="00157DD7"/>
    <w:rsid w:val="00160C16"/>
    <w:rsid w:val="00162743"/>
    <w:rsid w:val="001627CF"/>
    <w:rsid w:val="00162CDC"/>
    <w:rsid w:val="001643A7"/>
    <w:rsid w:val="001647FA"/>
    <w:rsid w:val="00165438"/>
    <w:rsid w:val="00165C9A"/>
    <w:rsid w:val="00166CA0"/>
    <w:rsid w:val="00170154"/>
    <w:rsid w:val="00170167"/>
    <w:rsid w:val="0017034B"/>
    <w:rsid w:val="001704CF"/>
    <w:rsid w:val="00170E36"/>
    <w:rsid w:val="00171349"/>
    <w:rsid w:val="0017163E"/>
    <w:rsid w:val="00171BD9"/>
    <w:rsid w:val="00172695"/>
    <w:rsid w:val="00174612"/>
    <w:rsid w:val="0017544E"/>
    <w:rsid w:val="001761A7"/>
    <w:rsid w:val="001764A3"/>
    <w:rsid w:val="00177761"/>
    <w:rsid w:val="00177F8B"/>
    <w:rsid w:val="00181149"/>
    <w:rsid w:val="001817E8"/>
    <w:rsid w:val="00182756"/>
    <w:rsid w:val="00182DFF"/>
    <w:rsid w:val="0018328B"/>
    <w:rsid w:val="00183BC4"/>
    <w:rsid w:val="00183E1B"/>
    <w:rsid w:val="0018422B"/>
    <w:rsid w:val="0018447A"/>
    <w:rsid w:val="001845E2"/>
    <w:rsid w:val="00184607"/>
    <w:rsid w:val="00184617"/>
    <w:rsid w:val="0018535F"/>
    <w:rsid w:val="00185584"/>
    <w:rsid w:val="00185F40"/>
    <w:rsid w:val="001860CA"/>
    <w:rsid w:val="00186EC1"/>
    <w:rsid w:val="00186F58"/>
    <w:rsid w:val="0018744D"/>
    <w:rsid w:val="0018789D"/>
    <w:rsid w:val="001909F5"/>
    <w:rsid w:val="00190D20"/>
    <w:rsid w:val="00191B13"/>
    <w:rsid w:val="00192675"/>
    <w:rsid w:val="00192697"/>
    <w:rsid w:val="00192DFE"/>
    <w:rsid w:val="001965CA"/>
    <w:rsid w:val="0019733B"/>
    <w:rsid w:val="001A2842"/>
    <w:rsid w:val="001A35DE"/>
    <w:rsid w:val="001A446F"/>
    <w:rsid w:val="001A5595"/>
    <w:rsid w:val="001A57FC"/>
    <w:rsid w:val="001A73BD"/>
    <w:rsid w:val="001B3911"/>
    <w:rsid w:val="001B3A03"/>
    <w:rsid w:val="001B3B94"/>
    <w:rsid w:val="001B69DE"/>
    <w:rsid w:val="001B6D10"/>
    <w:rsid w:val="001B6E6F"/>
    <w:rsid w:val="001B6FD5"/>
    <w:rsid w:val="001B7564"/>
    <w:rsid w:val="001C24A2"/>
    <w:rsid w:val="001C3720"/>
    <w:rsid w:val="001C4143"/>
    <w:rsid w:val="001C4A12"/>
    <w:rsid w:val="001C4B39"/>
    <w:rsid w:val="001C4E0A"/>
    <w:rsid w:val="001C4E97"/>
    <w:rsid w:val="001C547B"/>
    <w:rsid w:val="001C5AD0"/>
    <w:rsid w:val="001C68BA"/>
    <w:rsid w:val="001D00C5"/>
    <w:rsid w:val="001D055E"/>
    <w:rsid w:val="001D077F"/>
    <w:rsid w:val="001D2969"/>
    <w:rsid w:val="001D35F1"/>
    <w:rsid w:val="001D3771"/>
    <w:rsid w:val="001D4597"/>
    <w:rsid w:val="001D4901"/>
    <w:rsid w:val="001D4AA1"/>
    <w:rsid w:val="001D50BE"/>
    <w:rsid w:val="001D5EF5"/>
    <w:rsid w:val="001D788C"/>
    <w:rsid w:val="001D798B"/>
    <w:rsid w:val="001E03DA"/>
    <w:rsid w:val="001E113C"/>
    <w:rsid w:val="001E1523"/>
    <w:rsid w:val="001E2076"/>
    <w:rsid w:val="001E20A7"/>
    <w:rsid w:val="001E3AEA"/>
    <w:rsid w:val="001E6F8C"/>
    <w:rsid w:val="001E7213"/>
    <w:rsid w:val="001F01FC"/>
    <w:rsid w:val="001F0721"/>
    <w:rsid w:val="001F0B75"/>
    <w:rsid w:val="001F2BDB"/>
    <w:rsid w:val="001F2BE6"/>
    <w:rsid w:val="001F37C0"/>
    <w:rsid w:val="001F3D06"/>
    <w:rsid w:val="001F453F"/>
    <w:rsid w:val="001F4DF8"/>
    <w:rsid w:val="001F510A"/>
    <w:rsid w:val="001F592A"/>
    <w:rsid w:val="001F5F85"/>
    <w:rsid w:val="001F6760"/>
    <w:rsid w:val="001F7EA4"/>
    <w:rsid w:val="00200A21"/>
    <w:rsid w:val="00200E7C"/>
    <w:rsid w:val="00201A43"/>
    <w:rsid w:val="0020207A"/>
    <w:rsid w:val="00202290"/>
    <w:rsid w:val="00204727"/>
    <w:rsid w:val="00205197"/>
    <w:rsid w:val="00207346"/>
    <w:rsid w:val="002113D6"/>
    <w:rsid w:val="00213B26"/>
    <w:rsid w:val="00213D07"/>
    <w:rsid w:val="0021590D"/>
    <w:rsid w:val="00216CE0"/>
    <w:rsid w:val="002170D2"/>
    <w:rsid w:val="002209BA"/>
    <w:rsid w:val="002226BA"/>
    <w:rsid w:val="00222ABD"/>
    <w:rsid w:val="00222D78"/>
    <w:rsid w:val="0022403A"/>
    <w:rsid w:val="002244FB"/>
    <w:rsid w:val="0022524B"/>
    <w:rsid w:val="002257D3"/>
    <w:rsid w:val="0023028F"/>
    <w:rsid w:val="0023114C"/>
    <w:rsid w:val="00231564"/>
    <w:rsid w:val="002319C6"/>
    <w:rsid w:val="00231C56"/>
    <w:rsid w:val="00232FCA"/>
    <w:rsid w:val="002332BE"/>
    <w:rsid w:val="002342B7"/>
    <w:rsid w:val="002346BF"/>
    <w:rsid w:val="00234777"/>
    <w:rsid w:val="00234D87"/>
    <w:rsid w:val="0023685E"/>
    <w:rsid w:val="00236E3A"/>
    <w:rsid w:val="0024061D"/>
    <w:rsid w:val="00240E0A"/>
    <w:rsid w:val="00240F9E"/>
    <w:rsid w:val="002414B8"/>
    <w:rsid w:val="00241CFF"/>
    <w:rsid w:val="00241DCA"/>
    <w:rsid w:val="00242448"/>
    <w:rsid w:val="002429CF"/>
    <w:rsid w:val="00242C0F"/>
    <w:rsid w:val="002434B8"/>
    <w:rsid w:val="00243516"/>
    <w:rsid w:val="00243659"/>
    <w:rsid w:val="00243E82"/>
    <w:rsid w:val="002442E5"/>
    <w:rsid w:val="00245BC7"/>
    <w:rsid w:val="002467E3"/>
    <w:rsid w:val="00247308"/>
    <w:rsid w:val="00250646"/>
    <w:rsid w:val="002511A1"/>
    <w:rsid w:val="00253682"/>
    <w:rsid w:val="00253D65"/>
    <w:rsid w:val="0025433F"/>
    <w:rsid w:val="002546BE"/>
    <w:rsid w:val="00254776"/>
    <w:rsid w:val="00254E4E"/>
    <w:rsid w:val="0025590E"/>
    <w:rsid w:val="00255A06"/>
    <w:rsid w:val="00255C32"/>
    <w:rsid w:val="00255DDE"/>
    <w:rsid w:val="00255E7D"/>
    <w:rsid w:val="0025601B"/>
    <w:rsid w:val="0025638C"/>
    <w:rsid w:val="002575EA"/>
    <w:rsid w:val="00257B72"/>
    <w:rsid w:val="00260D2B"/>
    <w:rsid w:val="00263F2A"/>
    <w:rsid w:val="002648A6"/>
    <w:rsid w:val="00265D9D"/>
    <w:rsid w:val="00266885"/>
    <w:rsid w:val="00267690"/>
    <w:rsid w:val="00267EB0"/>
    <w:rsid w:val="00270797"/>
    <w:rsid w:val="00270A1D"/>
    <w:rsid w:val="002716B1"/>
    <w:rsid w:val="002718F7"/>
    <w:rsid w:val="00272E0E"/>
    <w:rsid w:val="00274577"/>
    <w:rsid w:val="00274A75"/>
    <w:rsid w:val="0027612D"/>
    <w:rsid w:val="002775B7"/>
    <w:rsid w:val="00277CD0"/>
    <w:rsid w:val="002814AF"/>
    <w:rsid w:val="00282FAA"/>
    <w:rsid w:val="00283699"/>
    <w:rsid w:val="00284E17"/>
    <w:rsid w:val="002851BF"/>
    <w:rsid w:val="0028641B"/>
    <w:rsid w:val="00287272"/>
    <w:rsid w:val="00287C16"/>
    <w:rsid w:val="00290B1C"/>
    <w:rsid w:val="002917C0"/>
    <w:rsid w:val="00293AB1"/>
    <w:rsid w:val="00293F84"/>
    <w:rsid w:val="00294B81"/>
    <w:rsid w:val="00294C1D"/>
    <w:rsid w:val="0029550A"/>
    <w:rsid w:val="00295A6A"/>
    <w:rsid w:val="00295E8F"/>
    <w:rsid w:val="00296477"/>
    <w:rsid w:val="00297515"/>
    <w:rsid w:val="00297D00"/>
    <w:rsid w:val="00297D2E"/>
    <w:rsid w:val="00297E0B"/>
    <w:rsid w:val="002A0304"/>
    <w:rsid w:val="002A044D"/>
    <w:rsid w:val="002A06AB"/>
    <w:rsid w:val="002A1476"/>
    <w:rsid w:val="002A1A42"/>
    <w:rsid w:val="002A3531"/>
    <w:rsid w:val="002A37CF"/>
    <w:rsid w:val="002A3A16"/>
    <w:rsid w:val="002A3B21"/>
    <w:rsid w:val="002A5CD9"/>
    <w:rsid w:val="002A5F20"/>
    <w:rsid w:val="002A7643"/>
    <w:rsid w:val="002A77A9"/>
    <w:rsid w:val="002A7DF1"/>
    <w:rsid w:val="002B166A"/>
    <w:rsid w:val="002B17C3"/>
    <w:rsid w:val="002B1D09"/>
    <w:rsid w:val="002B3E83"/>
    <w:rsid w:val="002B4246"/>
    <w:rsid w:val="002B4B0F"/>
    <w:rsid w:val="002B5777"/>
    <w:rsid w:val="002B5C95"/>
    <w:rsid w:val="002C00CF"/>
    <w:rsid w:val="002C2F2E"/>
    <w:rsid w:val="002C3A3B"/>
    <w:rsid w:val="002C3C32"/>
    <w:rsid w:val="002C46C4"/>
    <w:rsid w:val="002C4D1B"/>
    <w:rsid w:val="002C684A"/>
    <w:rsid w:val="002C74D6"/>
    <w:rsid w:val="002C7C0C"/>
    <w:rsid w:val="002C7FE5"/>
    <w:rsid w:val="002D0435"/>
    <w:rsid w:val="002D1891"/>
    <w:rsid w:val="002D3477"/>
    <w:rsid w:val="002D4F85"/>
    <w:rsid w:val="002D5DF0"/>
    <w:rsid w:val="002D68DE"/>
    <w:rsid w:val="002D6DF1"/>
    <w:rsid w:val="002D7B58"/>
    <w:rsid w:val="002E0917"/>
    <w:rsid w:val="002E1975"/>
    <w:rsid w:val="002E22F8"/>
    <w:rsid w:val="002E2E2F"/>
    <w:rsid w:val="002E2F9C"/>
    <w:rsid w:val="002E51D9"/>
    <w:rsid w:val="002E58EA"/>
    <w:rsid w:val="002E627B"/>
    <w:rsid w:val="002E797F"/>
    <w:rsid w:val="002F0E31"/>
    <w:rsid w:val="002F1096"/>
    <w:rsid w:val="002F12E8"/>
    <w:rsid w:val="002F16FD"/>
    <w:rsid w:val="002F18D2"/>
    <w:rsid w:val="002F39B4"/>
    <w:rsid w:val="002F5344"/>
    <w:rsid w:val="002F54A0"/>
    <w:rsid w:val="002F6391"/>
    <w:rsid w:val="002F6A3A"/>
    <w:rsid w:val="002F6EF3"/>
    <w:rsid w:val="002F746E"/>
    <w:rsid w:val="002F7709"/>
    <w:rsid w:val="002F7908"/>
    <w:rsid w:val="002F7F3C"/>
    <w:rsid w:val="00301621"/>
    <w:rsid w:val="00302B05"/>
    <w:rsid w:val="00305838"/>
    <w:rsid w:val="003077D1"/>
    <w:rsid w:val="00310462"/>
    <w:rsid w:val="00310536"/>
    <w:rsid w:val="003106CC"/>
    <w:rsid w:val="00310737"/>
    <w:rsid w:val="00311717"/>
    <w:rsid w:val="00314240"/>
    <w:rsid w:val="00314796"/>
    <w:rsid w:val="00315193"/>
    <w:rsid w:val="0031576D"/>
    <w:rsid w:val="0031581A"/>
    <w:rsid w:val="00315FB0"/>
    <w:rsid w:val="00316793"/>
    <w:rsid w:val="00316D5A"/>
    <w:rsid w:val="00321BD8"/>
    <w:rsid w:val="00321C4D"/>
    <w:rsid w:val="003225E9"/>
    <w:rsid w:val="00322762"/>
    <w:rsid w:val="00323C56"/>
    <w:rsid w:val="00324405"/>
    <w:rsid w:val="0032708C"/>
    <w:rsid w:val="00327181"/>
    <w:rsid w:val="0033099A"/>
    <w:rsid w:val="003319AD"/>
    <w:rsid w:val="003334CA"/>
    <w:rsid w:val="003346A5"/>
    <w:rsid w:val="003355DE"/>
    <w:rsid w:val="00335CC1"/>
    <w:rsid w:val="00336E6E"/>
    <w:rsid w:val="00336F72"/>
    <w:rsid w:val="00337036"/>
    <w:rsid w:val="0033731B"/>
    <w:rsid w:val="0033752B"/>
    <w:rsid w:val="003379FA"/>
    <w:rsid w:val="00340443"/>
    <w:rsid w:val="003406FB"/>
    <w:rsid w:val="00341A67"/>
    <w:rsid w:val="00341F17"/>
    <w:rsid w:val="0034365E"/>
    <w:rsid w:val="00343869"/>
    <w:rsid w:val="00344476"/>
    <w:rsid w:val="003446B0"/>
    <w:rsid w:val="00344D11"/>
    <w:rsid w:val="00344DAF"/>
    <w:rsid w:val="0034550B"/>
    <w:rsid w:val="00345F94"/>
    <w:rsid w:val="0034685A"/>
    <w:rsid w:val="0034687B"/>
    <w:rsid w:val="0034709B"/>
    <w:rsid w:val="003509E1"/>
    <w:rsid w:val="00353988"/>
    <w:rsid w:val="00353BB1"/>
    <w:rsid w:val="00353FE1"/>
    <w:rsid w:val="00356940"/>
    <w:rsid w:val="00356C66"/>
    <w:rsid w:val="003576AD"/>
    <w:rsid w:val="003607FB"/>
    <w:rsid w:val="00360AB3"/>
    <w:rsid w:val="00360FDF"/>
    <w:rsid w:val="00361549"/>
    <w:rsid w:val="0036216C"/>
    <w:rsid w:val="00362AC3"/>
    <w:rsid w:val="00362FF9"/>
    <w:rsid w:val="00363469"/>
    <w:rsid w:val="00363EAE"/>
    <w:rsid w:val="003642B7"/>
    <w:rsid w:val="00364C21"/>
    <w:rsid w:val="00364D58"/>
    <w:rsid w:val="003706BB"/>
    <w:rsid w:val="00370C59"/>
    <w:rsid w:val="003729E4"/>
    <w:rsid w:val="0037363C"/>
    <w:rsid w:val="003745ED"/>
    <w:rsid w:val="00374C3B"/>
    <w:rsid w:val="003752E9"/>
    <w:rsid w:val="00375E38"/>
    <w:rsid w:val="00376311"/>
    <w:rsid w:val="0037F12F"/>
    <w:rsid w:val="0038012E"/>
    <w:rsid w:val="00380B0F"/>
    <w:rsid w:val="003811D7"/>
    <w:rsid w:val="00382CCF"/>
    <w:rsid w:val="00383546"/>
    <w:rsid w:val="003852F3"/>
    <w:rsid w:val="00385321"/>
    <w:rsid w:val="00385746"/>
    <w:rsid w:val="003857C4"/>
    <w:rsid w:val="00385E04"/>
    <w:rsid w:val="003862C6"/>
    <w:rsid w:val="00386B32"/>
    <w:rsid w:val="00387089"/>
    <w:rsid w:val="003875D0"/>
    <w:rsid w:val="00390D5B"/>
    <w:rsid w:val="00392DD4"/>
    <w:rsid w:val="00393043"/>
    <w:rsid w:val="0039591B"/>
    <w:rsid w:val="00395A06"/>
    <w:rsid w:val="003962E9"/>
    <w:rsid w:val="00396346"/>
    <w:rsid w:val="00397217"/>
    <w:rsid w:val="003A0A96"/>
    <w:rsid w:val="003A10B2"/>
    <w:rsid w:val="003A139C"/>
    <w:rsid w:val="003A1A11"/>
    <w:rsid w:val="003A2641"/>
    <w:rsid w:val="003A2D27"/>
    <w:rsid w:val="003A3145"/>
    <w:rsid w:val="003A35A4"/>
    <w:rsid w:val="003A3B39"/>
    <w:rsid w:val="003A4361"/>
    <w:rsid w:val="003A475F"/>
    <w:rsid w:val="003A6114"/>
    <w:rsid w:val="003A628E"/>
    <w:rsid w:val="003A6E64"/>
    <w:rsid w:val="003A7F7E"/>
    <w:rsid w:val="003A7FE1"/>
    <w:rsid w:val="003B0770"/>
    <w:rsid w:val="003B0B06"/>
    <w:rsid w:val="003B0CD5"/>
    <w:rsid w:val="003B3438"/>
    <w:rsid w:val="003B3921"/>
    <w:rsid w:val="003B3B13"/>
    <w:rsid w:val="003B3F99"/>
    <w:rsid w:val="003B406C"/>
    <w:rsid w:val="003B46E7"/>
    <w:rsid w:val="003B6320"/>
    <w:rsid w:val="003B67C0"/>
    <w:rsid w:val="003B7565"/>
    <w:rsid w:val="003B7EC6"/>
    <w:rsid w:val="003C00AE"/>
    <w:rsid w:val="003C0240"/>
    <w:rsid w:val="003C06DC"/>
    <w:rsid w:val="003C0F43"/>
    <w:rsid w:val="003C0F84"/>
    <w:rsid w:val="003C13C4"/>
    <w:rsid w:val="003C1D34"/>
    <w:rsid w:val="003C2762"/>
    <w:rsid w:val="003C27D8"/>
    <w:rsid w:val="003C2EEF"/>
    <w:rsid w:val="003C311C"/>
    <w:rsid w:val="003C31D1"/>
    <w:rsid w:val="003C3346"/>
    <w:rsid w:val="003C356E"/>
    <w:rsid w:val="003C4312"/>
    <w:rsid w:val="003C46CB"/>
    <w:rsid w:val="003C4AF7"/>
    <w:rsid w:val="003C56CC"/>
    <w:rsid w:val="003C5A2D"/>
    <w:rsid w:val="003C5C38"/>
    <w:rsid w:val="003C609E"/>
    <w:rsid w:val="003C6409"/>
    <w:rsid w:val="003C694F"/>
    <w:rsid w:val="003C76EA"/>
    <w:rsid w:val="003D2941"/>
    <w:rsid w:val="003D2AEE"/>
    <w:rsid w:val="003D3E5B"/>
    <w:rsid w:val="003D3FE9"/>
    <w:rsid w:val="003D4112"/>
    <w:rsid w:val="003D4EF1"/>
    <w:rsid w:val="003D61E3"/>
    <w:rsid w:val="003D6238"/>
    <w:rsid w:val="003D75F0"/>
    <w:rsid w:val="003D7E45"/>
    <w:rsid w:val="003D8CCC"/>
    <w:rsid w:val="003E060C"/>
    <w:rsid w:val="003E28DB"/>
    <w:rsid w:val="003E2E37"/>
    <w:rsid w:val="003E2FBC"/>
    <w:rsid w:val="003E3A52"/>
    <w:rsid w:val="003E4572"/>
    <w:rsid w:val="003E47F4"/>
    <w:rsid w:val="003E5E5E"/>
    <w:rsid w:val="003E6574"/>
    <w:rsid w:val="003E6E53"/>
    <w:rsid w:val="003E7F40"/>
    <w:rsid w:val="003F06B1"/>
    <w:rsid w:val="003F0860"/>
    <w:rsid w:val="003F08CE"/>
    <w:rsid w:val="003F34BF"/>
    <w:rsid w:val="003F3982"/>
    <w:rsid w:val="003F559F"/>
    <w:rsid w:val="003F5645"/>
    <w:rsid w:val="003F5E34"/>
    <w:rsid w:val="003F6262"/>
    <w:rsid w:val="0040119A"/>
    <w:rsid w:val="00401556"/>
    <w:rsid w:val="004016DA"/>
    <w:rsid w:val="00401753"/>
    <w:rsid w:val="004019F1"/>
    <w:rsid w:val="00401D6B"/>
    <w:rsid w:val="004033B4"/>
    <w:rsid w:val="0040396B"/>
    <w:rsid w:val="00403CBF"/>
    <w:rsid w:val="00406399"/>
    <w:rsid w:val="0040735B"/>
    <w:rsid w:val="00410D92"/>
    <w:rsid w:val="00410E24"/>
    <w:rsid w:val="004112A5"/>
    <w:rsid w:val="00411D7E"/>
    <w:rsid w:val="00412D88"/>
    <w:rsid w:val="00413173"/>
    <w:rsid w:val="00414194"/>
    <w:rsid w:val="00414CA1"/>
    <w:rsid w:val="0041517D"/>
    <w:rsid w:val="004151EC"/>
    <w:rsid w:val="004165DD"/>
    <w:rsid w:val="00416D4B"/>
    <w:rsid w:val="00416F98"/>
    <w:rsid w:val="0041758A"/>
    <w:rsid w:val="00417A5A"/>
    <w:rsid w:val="004200B5"/>
    <w:rsid w:val="00420457"/>
    <w:rsid w:val="00421748"/>
    <w:rsid w:val="00421E6A"/>
    <w:rsid w:val="00422727"/>
    <w:rsid w:val="004229B3"/>
    <w:rsid w:val="004237BA"/>
    <w:rsid w:val="00423EC4"/>
    <w:rsid w:val="00425D70"/>
    <w:rsid w:val="00426407"/>
    <w:rsid w:val="00427CE7"/>
    <w:rsid w:val="004304A9"/>
    <w:rsid w:val="0043054F"/>
    <w:rsid w:val="00433021"/>
    <w:rsid w:val="00433662"/>
    <w:rsid w:val="0043377F"/>
    <w:rsid w:val="00434EE6"/>
    <w:rsid w:val="004352C5"/>
    <w:rsid w:val="0043724C"/>
    <w:rsid w:val="0044079B"/>
    <w:rsid w:val="00441A4D"/>
    <w:rsid w:val="00441C0C"/>
    <w:rsid w:val="004423D2"/>
    <w:rsid w:val="0044298A"/>
    <w:rsid w:val="0044369D"/>
    <w:rsid w:val="00444756"/>
    <w:rsid w:val="00444CD0"/>
    <w:rsid w:val="00447CEF"/>
    <w:rsid w:val="00447D7A"/>
    <w:rsid w:val="00451294"/>
    <w:rsid w:val="00451C23"/>
    <w:rsid w:val="004528E9"/>
    <w:rsid w:val="004528F2"/>
    <w:rsid w:val="00454CCD"/>
    <w:rsid w:val="00455EB3"/>
    <w:rsid w:val="0045608C"/>
    <w:rsid w:val="00456434"/>
    <w:rsid w:val="004566F4"/>
    <w:rsid w:val="00457A03"/>
    <w:rsid w:val="00460320"/>
    <w:rsid w:val="004612F4"/>
    <w:rsid w:val="00461B3C"/>
    <w:rsid w:val="00461C81"/>
    <w:rsid w:val="00463F01"/>
    <w:rsid w:val="00464C29"/>
    <w:rsid w:val="00464E8C"/>
    <w:rsid w:val="00465068"/>
    <w:rsid w:val="004723CD"/>
    <w:rsid w:val="004732CC"/>
    <w:rsid w:val="00474606"/>
    <w:rsid w:val="004747B6"/>
    <w:rsid w:val="00474A5D"/>
    <w:rsid w:val="00474A95"/>
    <w:rsid w:val="00474DA8"/>
    <w:rsid w:val="00474F6A"/>
    <w:rsid w:val="00475557"/>
    <w:rsid w:val="00475F6C"/>
    <w:rsid w:val="00477A32"/>
    <w:rsid w:val="004803DA"/>
    <w:rsid w:val="00480656"/>
    <w:rsid w:val="00482CF8"/>
    <w:rsid w:val="00483068"/>
    <w:rsid w:val="00483077"/>
    <w:rsid w:val="00484221"/>
    <w:rsid w:val="00485B68"/>
    <w:rsid w:val="00486431"/>
    <w:rsid w:val="00486526"/>
    <w:rsid w:val="00486DA1"/>
    <w:rsid w:val="0048784D"/>
    <w:rsid w:val="00490792"/>
    <w:rsid w:val="0049206C"/>
    <w:rsid w:val="004925F7"/>
    <w:rsid w:val="00493037"/>
    <w:rsid w:val="00495F47"/>
    <w:rsid w:val="004967A2"/>
    <w:rsid w:val="00496CB0"/>
    <w:rsid w:val="00497FDA"/>
    <w:rsid w:val="004A0687"/>
    <w:rsid w:val="004A0D43"/>
    <w:rsid w:val="004A27C0"/>
    <w:rsid w:val="004A2A9C"/>
    <w:rsid w:val="004A310D"/>
    <w:rsid w:val="004A352B"/>
    <w:rsid w:val="004A41FB"/>
    <w:rsid w:val="004A4327"/>
    <w:rsid w:val="004A7955"/>
    <w:rsid w:val="004A7ABD"/>
    <w:rsid w:val="004B150B"/>
    <w:rsid w:val="004B28BD"/>
    <w:rsid w:val="004B2CB5"/>
    <w:rsid w:val="004B3D0B"/>
    <w:rsid w:val="004B4504"/>
    <w:rsid w:val="004B5F30"/>
    <w:rsid w:val="004B765D"/>
    <w:rsid w:val="004C1BBC"/>
    <w:rsid w:val="004C2357"/>
    <w:rsid w:val="004C3359"/>
    <w:rsid w:val="004C3FCC"/>
    <w:rsid w:val="004C4480"/>
    <w:rsid w:val="004C5182"/>
    <w:rsid w:val="004C6521"/>
    <w:rsid w:val="004C67E6"/>
    <w:rsid w:val="004C6B03"/>
    <w:rsid w:val="004C7864"/>
    <w:rsid w:val="004D0299"/>
    <w:rsid w:val="004D1821"/>
    <w:rsid w:val="004D1E1C"/>
    <w:rsid w:val="004D35D2"/>
    <w:rsid w:val="004D3ED2"/>
    <w:rsid w:val="004D5358"/>
    <w:rsid w:val="004D656A"/>
    <w:rsid w:val="004D723D"/>
    <w:rsid w:val="004D742C"/>
    <w:rsid w:val="004D7FEA"/>
    <w:rsid w:val="004E1468"/>
    <w:rsid w:val="004E2197"/>
    <w:rsid w:val="004E23C6"/>
    <w:rsid w:val="004E2694"/>
    <w:rsid w:val="004E5460"/>
    <w:rsid w:val="004E5710"/>
    <w:rsid w:val="004E5BA2"/>
    <w:rsid w:val="004E67E9"/>
    <w:rsid w:val="004E6DE6"/>
    <w:rsid w:val="004E7452"/>
    <w:rsid w:val="004E7993"/>
    <w:rsid w:val="004F0720"/>
    <w:rsid w:val="004F07BB"/>
    <w:rsid w:val="004F0DA4"/>
    <w:rsid w:val="004F0ED6"/>
    <w:rsid w:val="004F168D"/>
    <w:rsid w:val="004F1DC9"/>
    <w:rsid w:val="004F255E"/>
    <w:rsid w:val="004F2920"/>
    <w:rsid w:val="004F2977"/>
    <w:rsid w:val="004F33F8"/>
    <w:rsid w:val="004F71EE"/>
    <w:rsid w:val="004F7223"/>
    <w:rsid w:val="004F753F"/>
    <w:rsid w:val="004F75D9"/>
    <w:rsid w:val="00500BBC"/>
    <w:rsid w:val="00500FDA"/>
    <w:rsid w:val="0050161A"/>
    <w:rsid w:val="005021EB"/>
    <w:rsid w:val="00502328"/>
    <w:rsid w:val="00505C41"/>
    <w:rsid w:val="00507873"/>
    <w:rsid w:val="00510E0D"/>
    <w:rsid w:val="0051138B"/>
    <w:rsid w:val="00512699"/>
    <w:rsid w:val="005135BF"/>
    <w:rsid w:val="005142F0"/>
    <w:rsid w:val="00515334"/>
    <w:rsid w:val="005160C9"/>
    <w:rsid w:val="00516619"/>
    <w:rsid w:val="00516D51"/>
    <w:rsid w:val="0051730D"/>
    <w:rsid w:val="0052067C"/>
    <w:rsid w:val="0052124C"/>
    <w:rsid w:val="00521763"/>
    <w:rsid w:val="00523B84"/>
    <w:rsid w:val="00524418"/>
    <w:rsid w:val="00524FCE"/>
    <w:rsid w:val="00525311"/>
    <w:rsid w:val="005261AA"/>
    <w:rsid w:val="0052781C"/>
    <w:rsid w:val="00530033"/>
    <w:rsid w:val="0053068F"/>
    <w:rsid w:val="00530BCA"/>
    <w:rsid w:val="005316AB"/>
    <w:rsid w:val="00533FBC"/>
    <w:rsid w:val="005354D3"/>
    <w:rsid w:val="00535B83"/>
    <w:rsid w:val="005369A3"/>
    <w:rsid w:val="0053783C"/>
    <w:rsid w:val="00537E76"/>
    <w:rsid w:val="00540F8F"/>
    <w:rsid w:val="00541984"/>
    <w:rsid w:val="00541D4C"/>
    <w:rsid w:val="005423BF"/>
    <w:rsid w:val="00543846"/>
    <w:rsid w:val="00543C4E"/>
    <w:rsid w:val="005450AE"/>
    <w:rsid w:val="005455EE"/>
    <w:rsid w:val="00545B72"/>
    <w:rsid w:val="00545CEE"/>
    <w:rsid w:val="0054612C"/>
    <w:rsid w:val="00553905"/>
    <w:rsid w:val="00556112"/>
    <w:rsid w:val="00556481"/>
    <w:rsid w:val="005567D2"/>
    <w:rsid w:val="00556DE1"/>
    <w:rsid w:val="00557E9E"/>
    <w:rsid w:val="00560A73"/>
    <w:rsid w:val="00562E99"/>
    <w:rsid w:val="0056326A"/>
    <w:rsid w:val="005638E4"/>
    <w:rsid w:val="00563D6D"/>
    <w:rsid w:val="00564C27"/>
    <w:rsid w:val="00564D00"/>
    <w:rsid w:val="00564D09"/>
    <w:rsid w:val="00567514"/>
    <w:rsid w:val="00567F06"/>
    <w:rsid w:val="0057056A"/>
    <w:rsid w:val="005708D8"/>
    <w:rsid w:val="00570A1F"/>
    <w:rsid w:val="0057126C"/>
    <w:rsid w:val="005720F2"/>
    <w:rsid w:val="00573591"/>
    <w:rsid w:val="00573AC2"/>
    <w:rsid w:val="0057553D"/>
    <w:rsid w:val="00576B60"/>
    <w:rsid w:val="00580914"/>
    <w:rsid w:val="005809E4"/>
    <w:rsid w:val="00580FA6"/>
    <w:rsid w:val="00580FF6"/>
    <w:rsid w:val="00582AAE"/>
    <w:rsid w:val="00583C5F"/>
    <w:rsid w:val="00584095"/>
    <w:rsid w:val="00584517"/>
    <w:rsid w:val="005857F2"/>
    <w:rsid w:val="0058728F"/>
    <w:rsid w:val="00587710"/>
    <w:rsid w:val="00591779"/>
    <w:rsid w:val="00591D1C"/>
    <w:rsid w:val="005930A7"/>
    <w:rsid w:val="00594E6F"/>
    <w:rsid w:val="0059515A"/>
    <w:rsid w:val="005953B5"/>
    <w:rsid w:val="00595893"/>
    <w:rsid w:val="00596A5D"/>
    <w:rsid w:val="005A00D6"/>
    <w:rsid w:val="005A06F7"/>
    <w:rsid w:val="005A0D22"/>
    <w:rsid w:val="005A0E98"/>
    <w:rsid w:val="005A16E2"/>
    <w:rsid w:val="005A2249"/>
    <w:rsid w:val="005A2253"/>
    <w:rsid w:val="005A2340"/>
    <w:rsid w:val="005A2563"/>
    <w:rsid w:val="005A2DBC"/>
    <w:rsid w:val="005A331E"/>
    <w:rsid w:val="005A331F"/>
    <w:rsid w:val="005A34BA"/>
    <w:rsid w:val="005A3571"/>
    <w:rsid w:val="005A4F47"/>
    <w:rsid w:val="005A6923"/>
    <w:rsid w:val="005A77CB"/>
    <w:rsid w:val="005A7805"/>
    <w:rsid w:val="005A7948"/>
    <w:rsid w:val="005B1664"/>
    <w:rsid w:val="005B191C"/>
    <w:rsid w:val="005B1A33"/>
    <w:rsid w:val="005B21E1"/>
    <w:rsid w:val="005B3271"/>
    <w:rsid w:val="005B34DE"/>
    <w:rsid w:val="005B3519"/>
    <w:rsid w:val="005B37C0"/>
    <w:rsid w:val="005B3A18"/>
    <w:rsid w:val="005B4C20"/>
    <w:rsid w:val="005B4DD1"/>
    <w:rsid w:val="005B5A46"/>
    <w:rsid w:val="005B5F2F"/>
    <w:rsid w:val="005B5F3B"/>
    <w:rsid w:val="005B60E7"/>
    <w:rsid w:val="005B713E"/>
    <w:rsid w:val="005C0B8A"/>
    <w:rsid w:val="005C11F6"/>
    <w:rsid w:val="005C3D71"/>
    <w:rsid w:val="005C4A8C"/>
    <w:rsid w:val="005C5FF3"/>
    <w:rsid w:val="005C615A"/>
    <w:rsid w:val="005C76D0"/>
    <w:rsid w:val="005C7B57"/>
    <w:rsid w:val="005D1E74"/>
    <w:rsid w:val="005D2012"/>
    <w:rsid w:val="005D2970"/>
    <w:rsid w:val="005D29DC"/>
    <w:rsid w:val="005D34F8"/>
    <w:rsid w:val="005D3B32"/>
    <w:rsid w:val="005D3B4A"/>
    <w:rsid w:val="005D3D51"/>
    <w:rsid w:val="005D734B"/>
    <w:rsid w:val="005D7C83"/>
    <w:rsid w:val="005E0753"/>
    <w:rsid w:val="005E0963"/>
    <w:rsid w:val="005E0D75"/>
    <w:rsid w:val="005E15F3"/>
    <w:rsid w:val="005E29FD"/>
    <w:rsid w:val="005E3024"/>
    <w:rsid w:val="005E4788"/>
    <w:rsid w:val="005E47FD"/>
    <w:rsid w:val="005E4BF5"/>
    <w:rsid w:val="005E5657"/>
    <w:rsid w:val="005E580E"/>
    <w:rsid w:val="005E64B0"/>
    <w:rsid w:val="005E6601"/>
    <w:rsid w:val="005F15A1"/>
    <w:rsid w:val="005F223F"/>
    <w:rsid w:val="005F2574"/>
    <w:rsid w:val="005F262D"/>
    <w:rsid w:val="005F3000"/>
    <w:rsid w:val="005F3B89"/>
    <w:rsid w:val="005F40B3"/>
    <w:rsid w:val="005F4B4A"/>
    <w:rsid w:val="005F5913"/>
    <w:rsid w:val="005F6A2D"/>
    <w:rsid w:val="005F71F6"/>
    <w:rsid w:val="005F740E"/>
    <w:rsid w:val="005F7CA2"/>
    <w:rsid w:val="00600311"/>
    <w:rsid w:val="00600FCA"/>
    <w:rsid w:val="00602126"/>
    <w:rsid w:val="00603438"/>
    <w:rsid w:val="0060345A"/>
    <w:rsid w:val="006036BA"/>
    <w:rsid w:val="006038B0"/>
    <w:rsid w:val="00604D97"/>
    <w:rsid w:val="00605220"/>
    <w:rsid w:val="00605573"/>
    <w:rsid w:val="0060659D"/>
    <w:rsid w:val="006066AF"/>
    <w:rsid w:val="00612662"/>
    <w:rsid w:val="006140A0"/>
    <w:rsid w:val="00614F4F"/>
    <w:rsid w:val="0061669C"/>
    <w:rsid w:val="006172F6"/>
    <w:rsid w:val="0062076B"/>
    <w:rsid w:val="006209B1"/>
    <w:rsid w:val="00621527"/>
    <w:rsid w:val="00623A46"/>
    <w:rsid w:val="0062413D"/>
    <w:rsid w:val="006248F9"/>
    <w:rsid w:val="00626526"/>
    <w:rsid w:val="00626A93"/>
    <w:rsid w:val="00627457"/>
    <w:rsid w:val="00630A6C"/>
    <w:rsid w:val="0063201C"/>
    <w:rsid w:val="00632142"/>
    <w:rsid w:val="00632313"/>
    <w:rsid w:val="00632737"/>
    <w:rsid w:val="00632BD3"/>
    <w:rsid w:val="006339AC"/>
    <w:rsid w:val="00633E88"/>
    <w:rsid w:val="00634C8C"/>
    <w:rsid w:val="00634EC6"/>
    <w:rsid w:val="006359FD"/>
    <w:rsid w:val="006412B2"/>
    <w:rsid w:val="006429F5"/>
    <w:rsid w:val="00642FC9"/>
    <w:rsid w:val="00643728"/>
    <w:rsid w:val="00643CCD"/>
    <w:rsid w:val="006444DE"/>
    <w:rsid w:val="00644D93"/>
    <w:rsid w:val="00645B39"/>
    <w:rsid w:val="00645F45"/>
    <w:rsid w:val="00646A2A"/>
    <w:rsid w:val="00646D5C"/>
    <w:rsid w:val="00650315"/>
    <w:rsid w:val="00650888"/>
    <w:rsid w:val="00651214"/>
    <w:rsid w:val="006527C2"/>
    <w:rsid w:val="0065327A"/>
    <w:rsid w:val="006535FA"/>
    <w:rsid w:val="00657CD6"/>
    <w:rsid w:val="00660922"/>
    <w:rsid w:val="00660D74"/>
    <w:rsid w:val="00660F28"/>
    <w:rsid w:val="00661281"/>
    <w:rsid w:val="00661801"/>
    <w:rsid w:val="00661ECE"/>
    <w:rsid w:val="006624F4"/>
    <w:rsid w:val="00662C83"/>
    <w:rsid w:val="006631A0"/>
    <w:rsid w:val="006636EE"/>
    <w:rsid w:val="00663FC9"/>
    <w:rsid w:val="0066457E"/>
    <w:rsid w:val="00665364"/>
    <w:rsid w:val="00665A40"/>
    <w:rsid w:val="006669A9"/>
    <w:rsid w:val="00667498"/>
    <w:rsid w:val="006707C8"/>
    <w:rsid w:val="00670816"/>
    <w:rsid w:val="00670B8B"/>
    <w:rsid w:val="00670CF3"/>
    <w:rsid w:val="0067174B"/>
    <w:rsid w:val="00671E66"/>
    <w:rsid w:val="00672298"/>
    <w:rsid w:val="00673309"/>
    <w:rsid w:val="0067357F"/>
    <w:rsid w:val="00673D6D"/>
    <w:rsid w:val="0067451E"/>
    <w:rsid w:val="006749A8"/>
    <w:rsid w:val="00675057"/>
    <w:rsid w:val="0067585D"/>
    <w:rsid w:val="00675AA5"/>
    <w:rsid w:val="006761A4"/>
    <w:rsid w:val="00676703"/>
    <w:rsid w:val="00676778"/>
    <w:rsid w:val="00677330"/>
    <w:rsid w:val="00677498"/>
    <w:rsid w:val="00680488"/>
    <w:rsid w:val="0068048D"/>
    <w:rsid w:val="00680514"/>
    <w:rsid w:val="00680BC9"/>
    <w:rsid w:val="00681388"/>
    <w:rsid w:val="00681587"/>
    <w:rsid w:val="00681CE5"/>
    <w:rsid w:val="00682DAB"/>
    <w:rsid w:val="00682E8E"/>
    <w:rsid w:val="006843AC"/>
    <w:rsid w:val="006852BB"/>
    <w:rsid w:val="006860E8"/>
    <w:rsid w:val="00686C5F"/>
    <w:rsid w:val="00686CEF"/>
    <w:rsid w:val="00687D7F"/>
    <w:rsid w:val="00691209"/>
    <w:rsid w:val="0069121B"/>
    <w:rsid w:val="00691245"/>
    <w:rsid w:val="006915B5"/>
    <w:rsid w:val="00691B2C"/>
    <w:rsid w:val="00691CFD"/>
    <w:rsid w:val="00692BEE"/>
    <w:rsid w:val="0069497D"/>
    <w:rsid w:val="00694F98"/>
    <w:rsid w:val="00695EF0"/>
    <w:rsid w:val="006964FE"/>
    <w:rsid w:val="00697304"/>
    <w:rsid w:val="00697D31"/>
    <w:rsid w:val="0069CB6B"/>
    <w:rsid w:val="006A00C0"/>
    <w:rsid w:val="006A071C"/>
    <w:rsid w:val="006A0AAC"/>
    <w:rsid w:val="006A0CD9"/>
    <w:rsid w:val="006A1274"/>
    <w:rsid w:val="006A1A9E"/>
    <w:rsid w:val="006A377E"/>
    <w:rsid w:val="006A3CEF"/>
    <w:rsid w:val="006A42A0"/>
    <w:rsid w:val="006A5BBE"/>
    <w:rsid w:val="006A5C24"/>
    <w:rsid w:val="006A6732"/>
    <w:rsid w:val="006A6914"/>
    <w:rsid w:val="006A7145"/>
    <w:rsid w:val="006A7803"/>
    <w:rsid w:val="006A789C"/>
    <w:rsid w:val="006A7ED5"/>
    <w:rsid w:val="006B2200"/>
    <w:rsid w:val="006B2866"/>
    <w:rsid w:val="006B35FA"/>
    <w:rsid w:val="006B3A22"/>
    <w:rsid w:val="006B4728"/>
    <w:rsid w:val="006B4A25"/>
    <w:rsid w:val="006B5A4A"/>
    <w:rsid w:val="006B6219"/>
    <w:rsid w:val="006B6253"/>
    <w:rsid w:val="006B6AA4"/>
    <w:rsid w:val="006B6DAE"/>
    <w:rsid w:val="006B6E8A"/>
    <w:rsid w:val="006B71FA"/>
    <w:rsid w:val="006B7451"/>
    <w:rsid w:val="006B7A4E"/>
    <w:rsid w:val="006B7F59"/>
    <w:rsid w:val="006C01B1"/>
    <w:rsid w:val="006C09EC"/>
    <w:rsid w:val="006C0F79"/>
    <w:rsid w:val="006C0FB6"/>
    <w:rsid w:val="006C11D5"/>
    <w:rsid w:val="006C19F0"/>
    <w:rsid w:val="006C1B1E"/>
    <w:rsid w:val="006C24D5"/>
    <w:rsid w:val="006C2DF7"/>
    <w:rsid w:val="006C3F8B"/>
    <w:rsid w:val="006C4761"/>
    <w:rsid w:val="006C4AED"/>
    <w:rsid w:val="006C5B7E"/>
    <w:rsid w:val="006C5E56"/>
    <w:rsid w:val="006C6299"/>
    <w:rsid w:val="006C6468"/>
    <w:rsid w:val="006C7B14"/>
    <w:rsid w:val="006D164E"/>
    <w:rsid w:val="006D1693"/>
    <w:rsid w:val="006D1FC7"/>
    <w:rsid w:val="006D37AB"/>
    <w:rsid w:val="006D3F34"/>
    <w:rsid w:val="006D427E"/>
    <w:rsid w:val="006D48D6"/>
    <w:rsid w:val="006D67FD"/>
    <w:rsid w:val="006D7852"/>
    <w:rsid w:val="006E13A7"/>
    <w:rsid w:val="006E14B7"/>
    <w:rsid w:val="006E2166"/>
    <w:rsid w:val="006E41FD"/>
    <w:rsid w:val="006E4326"/>
    <w:rsid w:val="006E4F80"/>
    <w:rsid w:val="006E6018"/>
    <w:rsid w:val="006E644A"/>
    <w:rsid w:val="006E68C5"/>
    <w:rsid w:val="006E6E8A"/>
    <w:rsid w:val="006E768D"/>
    <w:rsid w:val="006F0E73"/>
    <w:rsid w:val="006F160F"/>
    <w:rsid w:val="006F47B8"/>
    <w:rsid w:val="006F5A49"/>
    <w:rsid w:val="006F60F2"/>
    <w:rsid w:val="006F6607"/>
    <w:rsid w:val="006F68AC"/>
    <w:rsid w:val="00700054"/>
    <w:rsid w:val="007013B7"/>
    <w:rsid w:val="007017F4"/>
    <w:rsid w:val="007018E1"/>
    <w:rsid w:val="00702815"/>
    <w:rsid w:val="00703691"/>
    <w:rsid w:val="00704141"/>
    <w:rsid w:val="007043E7"/>
    <w:rsid w:val="0070526B"/>
    <w:rsid w:val="007057E4"/>
    <w:rsid w:val="00707016"/>
    <w:rsid w:val="0071007F"/>
    <w:rsid w:val="00710EF2"/>
    <w:rsid w:val="0071157D"/>
    <w:rsid w:val="00713D4A"/>
    <w:rsid w:val="00714329"/>
    <w:rsid w:val="007146E4"/>
    <w:rsid w:val="007168B6"/>
    <w:rsid w:val="007174C3"/>
    <w:rsid w:val="007176F0"/>
    <w:rsid w:val="00717780"/>
    <w:rsid w:val="007177E4"/>
    <w:rsid w:val="00717895"/>
    <w:rsid w:val="00720B41"/>
    <w:rsid w:val="00720F1F"/>
    <w:rsid w:val="007216A9"/>
    <w:rsid w:val="00721D4E"/>
    <w:rsid w:val="00721D84"/>
    <w:rsid w:val="0072241F"/>
    <w:rsid w:val="0072247B"/>
    <w:rsid w:val="007227F4"/>
    <w:rsid w:val="007235DF"/>
    <w:rsid w:val="00723638"/>
    <w:rsid w:val="00724239"/>
    <w:rsid w:val="00724489"/>
    <w:rsid w:val="00724D9F"/>
    <w:rsid w:val="00725267"/>
    <w:rsid w:val="007254C9"/>
    <w:rsid w:val="0072574F"/>
    <w:rsid w:val="0072640E"/>
    <w:rsid w:val="007266CF"/>
    <w:rsid w:val="007276C1"/>
    <w:rsid w:val="007278B1"/>
    <w:rsid w:val="007278C1"/>
    <w:rsid w:val="00730087"/>
    <w:rsid w:val="0073039E"/>
    <w:rsid w:val="007308F7"/>
    <w:rsid w:val="00730CA9"/>
    <w:rsid w:val="007313BE"/>
    <w:rsid w:val="0073157D"/>
    <w:rsid w:val="007318EC"/>
    <w:rsid w:val="00731AE6"/>
    <w:rsid w:val="00732ACF"/>
    <w:rsid w:val="00732E6B"/>
    <w:rsid w:val="00732E82"/>
    <w:rsid w:val="00733193"/>
    <w:rsid w:val="007349BB"/>
    <w:rsid w:val="00734CA4"/>
    <w:rsid w:val="00735F5E"/>
    <w:rsid w:val="00737075"/>
    <w:rsid w:val="0074017C"/>
    <w:rsid w:val="007431A9"/>
    <w:rsid w:val="00743CA5"/>
    <w:rsid w:val="00744032"/>
    <w:rsid w:val="007446BD"/>
    <w:rsid w:val="0074526D"/>
    <w:rsid w:val="007462F3"/>
    <w:rsid w:val="00747A65"/>
    <w:rsid w:val="00747F05"/>
    <w:rsid w:val="007512C7"/>
    <w:rsid w:val="00751857"/>
    <w:rsid w:val="00752721"/>
    <w:rsid w:val="0075280A"/>
    <w:rsid w:val="00753260"/>
    <w:rsid w:val="00753386"/>
    <w:rsid w:val="0075380A"/>
    <w:rsid w:val="00755285"/>
    <w:rsid w:val="00755B58"/>
    <w:rsid w:val="00756DD6"/>
    <w:rsid w:val="00757C23"/>
    <w:rsid w:val="00761BE2"/>
    <w:rsid w:val="00761DFC"/>
    <w:rsid w:val="00762FA0"/>
    <w:rsid w:val="00764356"/>
    <w:rsid w:val="00766295"/>
    <w:rsid w:val="00766976"/>
    <w:rsid w:val="00766A7A"/>
    <w:rsid w:val="00766E6B"/>
    <w:rsid w:val="0076760C"/>
    <w:rsid w:val="0076792E"/>
    <w:rsid w:val="00770588"/>
    <w:rsid w:val="0077129C"/>
    <w:rsid w:val="007721F2"/>
    <w:rsid w:val="00773987"/>
    <w:rsid w:val="00773AC8"/>
    <w:rsid w:val="00773E29"/>
    <w:rsid w:val="007743A4"/>
    <w:rsid w:val="00774D5C"/>
    <w:rsid w:val="00776963"/>
    <w:rsid w:val="00777938"/>
    <w:rsid w:val="007779BA"/>
    <w:rsid w:val="00777A71"/>
    <w:rsid w:val="00777E41"/>
    <w:rsid w:val="007809F6"/>
    <w:rsid w:val="0078107E"/>
    <w:rsid w:val="00781147"/>
    <w:rsid w:val="007816B4"/>
    <w:rsid w:val="0078255B"/>
    <w:rsid w:val="00782961"/>
    <w:rsid w:val="007834B9"/>
    <w:rsid w:val="00786038"/>
    <w:rsid w:val="0078724A"/>
    <w:rsid w:val="0078759C"/>
    <w:rsid w:val="007908D3"/>
    <w:rsid w:val="007919C0"/>
    <w:rsid w:val="00791B52"/>
    <w:rsid w:val="00792696"/>
    <w:rsid w:val="00792AE0"/>
    <w:rsid w:val="00792E25"/>
    <w:rsid w:val="00793448"/>
    <w:rsid w:val="00793850"/>
    <w:rsid w:val="00795D78"/>
    <w:rsid w:val="00796191"/>
    <w:rsid w:val="007966CC"/>
    <w:rsid w:val="00796BBA"/>
    <w:rsid w:val="007979ED"/>
    <w:rsid w:val="00797E6C"/>
    <w:rsid w:val="007A06B1"/>
    <w:rsid w:val="007A0B59"/>
    <w:rsid w:val="007A14A9"/>
    <w:rsid w:val="007A151A"/>
    <w:rsid w:val="007A3664"/>
    <w:rsid w:val="007A42EE"/>
    <w:rsid w:val="007A4790"/>
    <w:rsid w:val="007A4C51"/>
    <w:rsid w:val="007A4F65"/>
    <w:rsid w:val="007A68A4"/>
    <w:rsid w:val="007A7DB9"/>
    <w:rsid w:val="007B037A"/>
    <w:rsid w:val="007B07C9"/>
    <w:rsid w:val="007B10BE"/>
    <w:rsid w:val="007B16C0"/>
    <w:rsid w:val="007B1A8A"/>
    <w:rsid w:val="007B21A5"/>
    <w:rsid w:val="007B481E"/>
    <w:rsid w:val="007B491E"/>
    <w:rsid w:val="007B5307"/>
    <w:rsid w:val="007B5DB9"/>
    <w:rsid w:val="007B618E"/>
    <w:rsid w:val="007B6B4F"/>
    <w:rsid w:val="007B72F0"/>
    <w:rsid w:val="007C047F"/>
    <w:rsid w:val="007C1379"/>
    <w:rsid w:val="007C3CCA"/>
    <w:rsid w:val="007C3E37"/>
    <w:rsid w:val="007C4A46"/>
    <w:rsid w:val="007C4B92"/>
    <w:rsid w:val="007C4C03"/>
    <w:rsid w:val="007C4E2F"/>
    <w:rsid w:val="007C540D"/>
    <w:rsid w:val="007C545D"/>
    <w:rsid w:val="007C5575"/>
    <w:rsid w:val="007D03A1"/>
    <w:rsid w:val="007D1243"/>
    <w:rsid w:val="007D199F"/>
    <w:rsid w:val="007D49E5"/>
    <w:rsid w:val="007D4A2D"/>
    <w:rsid w:val="007D4B9A"/>
    <w:rsid w:val="007D4E57"/>
    <w:rsid w:val="007D5BCD"/>
    <w:rsid w:val="007D6161"/>
    <w:rsid w:val="007D6B3D"/>
    <w:rsid w:val="007D7873"/>
    <w:rsid w:val="007E01E3"/>
    <w:rsid w:val="007E04E4"/>
    <w:rsid w:val="007E0778"/>
    <w:rsid w:val="007E125C"/>
    <w:rsid w:val="007E13AF"/>
    <w:rsid w:val="007E282F"/>
    <w:rsid w:val="007E5209"/>
    <w:rsid w:val="007E5825"/>
    <w:rsid w:val="007E5EC5"/>
    <w:rsid w:val="007E5F16"/>
    <w:rsid w:val="007E6509"/>
    <w:rsid w:val="007E6639"/>
    <w:rsid w:val="007E6684"/>
    <w:rsid w:val="007E7067"/>
    <w:rsid w:val="007F04A4"/>
    <w:rsid w:val="007F064C"/>
    <w:rsid w:val="007F1161"/>
    <w:rsid w:val="007F1A7F"/>
    <w:rsid w:val="007F1B89"/>
    <w:rsid w:val="007F2145"/>
    <w:rsid w:val="007F2A71"/>
    <w:rsid w:val="007F31B0"/>
    <w:rsid w:val="007F470B"/>
    <w:rsid w:val="007F4DE5"/>
    <w:rsid w:val="007F4F74"/>
    <w:rsid w:val="007F53E2"/>
    <w:rsid w:val="008006B2"/>
    <w:rsid w:val="00800C32"/>
    <w:rsid w:val="00801ED8"/>
    <w:rsid w:val="008029F8"/>
    <w:rsid w:val="008036A4"/>
    <w:rsid w:val="00803A4B"/>
    <w:rsid w:val="008056FD"/>
    <w:rsid w:val="0080589D"/>
    <w:rsid w:val="00805ADC"/>
    <w:rsid w:val="008071D2"/>
    <w:rsid w:val="0080748F"/>
    <w:rsid w:val="00807F36"/>
    <w:rsid w:val="00810955"/>
    <w:rsid w:val="00810BE4"/>
    <w:rsid w:val="0081244B"/>
    <w:rsid w:val="00813991"/>
    <w:rsid w:val="0081513A"/>
    <w:rsid w:val="0081524A"/>
    <w:rsid w:val="00815862"/>
    <w:rsid w:val="00816F6B"/>
    <w:rsid w:val="00817A0E"/>
    <w:rsid w:val="00820CD2"/>
    <w:rsid w:val="00821141"/>
    <w:rsid w:val="008211AC"/>
    <w:rsid w:val="008220C7"/>
    <w:rsid w:val="008229B8"/>
    <w:rsid w:val="00822A6C"/>
    <w:rsid w:val="00823D0B"/>
    <w:rsid w:val="00825335"/>
    <w:rsid w:val="00825743"/>
    <w:rsid w:val="00826558"/>
    <w:rsid w:val="00827A2F"/>
    <w:rsid w:val="00827AF3"/>
    <w:rsid w:val="00827E27"/>
    <w:rsid w:val="00830241"/>
    <w:rsid w:val="008302EB"/>
    <w:rsid w:val="00830996"/>
    <w:rsid w:val="00830AB1"/>
    <w:rsid w:val="00830FE0"/>
    <w:rsid w:val="00831D5F"/>
    <w:rsid w:val="00832296"/>
    <w:rsid w:val="00832E21"/>
    <w:rsid w:val="008335FE"/>
    <w:rsid w:val="008346C0"/>
    <w:rsid w:val="00835516"/>
    <w:rsid w:val="0083580E"/>
    <w:rsid w:val="0083681C"/>
    <w:rsid w:val="008371B7"/>
    <w:rsid w:val="00837A6B"/>
    <w:rsid w:val="0084066E"/>
    <w:rsid w:val="00840A4B"/>
    <w:rsid w:val="00841313"/>
    <w:rsid w:val="00841DE6"/>
    <w:rsid w:val="008423EC"/>
    <w:rsid w:val="00842B97"/>
    <w:rsid w:val="00843921"/>
    <w:rsid w:val="0084435A"/>
    <w:rsid w:val="00844825"/>
    <w:rsid w:val="00844B2E"/>
    <w:rsid w:val="00844CCB"/>
    <w:rsid w:val="00845936"/>
    <w:rsid w:val="008500DD"/>
    <w:rsid w:val="00850115"/>
    <w:rsid w:val="008503B9"/>
    <w:rsid w:val="00850B72"/>
    <w:rsid w:val="008514D5"/>
    <w:rsid w:val="008518B7"/>
    <w:rsid w:val="0085291A"/>
    <w:rsid w:val="00856B02"/>
    <w:rsid w:val="00856FC8"/>
    <w:rsid w:val="008572E6"/>
    <w:rsid w:val="00860599"/>
    <w:rsid w:val="0086340B"/>
    <w:rsid w:val="008639FD"/>
    <w:rsid w:val="00864C7E"/>
    <w:rsid w:val="00864CC0"/>
    <w:rsid w:val="00864DEA"/>
    <w:rsid w:val="008655DE"/>
    <w:rsid w:val="008659FC"/>
    <w:rsid w:val="00867A4B"/>
    <w:rsid w:val="00867BE9"/>
    <w:rsid w:val="008706B4"/>
    <w:rsid w:val="0087230E"/>
    <w:rsid w:val="00872DC3"/>
    <w:rsid w:val="00874C5C"/>
    <w:rsid w:val="0087519A"/>
    <w:rsid w:val="008752C7"/>
    <w:rsid w:val="008763F8"/>
    <w:rsid w:val="008765A0"/>
    <w:rsid w:val="00877370"/>
    <w:rsid w:val="00880A20"/>
    <w:rsid w:val="00881274"/>
    <w:rsid w:val="008813F1"/>
    <w:rsid w:val="00883441"/>
    <w:rsid w:val="00883CF3"/>
    <w:rsid w:val="0088439F"/>
    <w:rsid w:val="00884772"/>
    <w:rsid w:val="008863F8"/>
    <w:rsid w:val="00886D0B"/>
    <w:rsid w:val="008877EF"/>
    <w:rsid w:val="00887BD4"/>
    <w:rsid w:val="00887CDA"/>
    <w:rsid w:val="00887F37"/>
    <w:rsid w:val="008901FF"/>
    <w:rsid w:val="008902A2"/>
    <w:rsid w:val="008902BB"/>
    <w:rsid w:val="00890C34"/>
    <w:rsid w:val="00890F42"/>
    <w:rsid w:val="00891266"/>
    <w:rsid w:val="008917A8"/>
    <w:rsid w:val="00891A76"/>
    <w:rsid w:val="00893453"/>
    <w:rsid w:val="00893E70"/>
    <w:rsid w:val="00895AEB"/>
    <w:rsid w:val="0089625E"/>
    <w:rsid w:val="00896311"/>
    <w:rsid w:val="00896521"/>
    <w:rsid w:val="00896605"/>
    <w:rsid w:val="00896E36"/>
    <w:rsid w:val="008974A5"/>
    <w:rsid w:val="0089763C"/>
    <w:rsid w:val="00897DE4"/>
    <w:rsid w:val="008A0030"/>
    <w:rsid w:val="008A05B6"/>
    <w:rsid w:val="008A0994"/>
    <w:rsid w:val="008A0BF1"/>
    <w:rsid w:val="008A1790"/>
    <w:rsid w:val="008A1849"/>
    <w:rsid w:val="008A1D50"/>
    <w:rsid w:val="008A25DD"/>
    <w:rsid w:val="008A2A0F"/>
    <w:rsid w:val="008A2A99"/>
    <w:rsid w:val="008A2F80"/>
    <w:rsid w:val="008A3579"/>
    <w:rsid w:val="008A4F14"/>
    <w:rsid w:val="008A57E8"/>
    <w:rsid w:val="008A5DB3"/>
    <w:rsid w:val="008A6BE5"/>
    <w:rsid w:val="008A7025"/>
    <w:rsid w:val="008A7768"/>
    <w:rsid w:val="008A77EF"/>
    <w:rsid w:val="008B0D18"/>
    <w:rsid w:val="008B120B"/>
    <w:rsid w:val="008B1F89"/>
    <w:rsid w:val="008B20CF"/>
    <w:rsid w:val="008B308B"/>
    <w:rsid w:val="008B5066"/>
    <w:rsid w:val="008B5437"/>
    <w:rsid w:val="008B5489"/>
    <w:rsid w:val="008B559B"/>
    <w:rsid w:val="008B6AD4"/>
    <w:rsid w:val="008B6B7A"/>
    <w:rsid w:val="008B711D"/>
    <w:rsid w:val="008B713B"/>
    <w:rsid w:val="008B735E"/>
    <w:rsid w:val="008B759E"/>
    <w:rsid w:val="008B7719"/>
    <w:rsid w:val="008C1ABE"/>
    <w:rsid w:val="008C3CAF"/>
    <w:rsid w:val="008C6AC8"/>
    <w:rsid w:val="008C6D99"/>
    <w:rsid w:val="008C7417"/>
    <w:rsid w:val="008C7550"/>
    <w:rsid w:val="008C7E8E"/>
    <w:rsid w:val="008D1594"/>
    <w:rsid w:val="008D185D"/>
    <w:rsid w:val="008D22F7"/>
    <w:rsid w:val="008D441B"/>
    <w:rsid w:val="008D607D"/>
    <w:rsid w:val="008D6713"/>
    <w:rsid w:val="008D7475"/>
    <w:rsid w:val="008D77DE"/>
    <w:rsid w:val="008E0CCF"/>
    <w:rsid w:val="008E0E08"/>
    <w:rsid w:val="008E0F70"/>
    <w:rsid w:val="008E16EE"/>
    <w:rsid w:val="008E2074"/>
    <w:rsid w:val="008E32B6"/>
    <w:rsid w:val="008E37E8"/>
    <w:rsid w:val="008E39F8"/>
    <w:rsid w:val="008E3D25"/>
    <w:rsid w:val="008E4B3C"/>
    <w:rsid w:val="008E5225"/>
    <w:rsid w:val="008E5873"/>
    <w:rsid w:val="008E5B5A"/>
    <w:rsid w:val="008E646C"/>
    <w:rsid w:val="008F0F94"/>
    <w:rsid w:val="008F1B52"/>
    <w:rsid w:val="008F3DE3"/>
    <w:rsid w:val="008F5F2B"/>
    <w:rsid w:val="008F5F4F"/>
    <w:rsid w:val="008F7552"/>
    <w:rsid w:val="008F7F9B"/>
    <w:rsid w:val="00900FDF"/>
    <w:rsid w:val="009012C4"/>
    <w:rsid w:val="00901775"/>
    <w:rsid w:val="00902048"/>
    <w:rsid w:val="00902077"/>
    <w:rsid w:val="009021A8"/>
    <w:rsid w:val="00902368"/>
    <w:rsid w:val="00902852"/>
    <w:rsid w:val="00906189"/>
    <w:rsid w:val="00906232"/>
    <w:rsid w:val="00907579"/>
    <w:rsid w:val="00907DE3"/>
    <w:rsid w:val="00911471"/>
    <w:rsid w:val="009133C4"/>
    <w:rsid w:val="00913C76"/>
    <w:rsid w:val="009141C7"/>
    <w:rsid w:val="00914B8C"/>
    <w:rsid w:val="00916513"/>
    <w:rsid w:val="009166BF"/>
    <w:rsid w:val="00917002"/>
    <w:rsid w:val="00917048"/>
    <w:rsid w:val="009173F6"/>
    <w:rsid w:val="00917688"/>
    <w:rsid w:val="00917783"/>
    <w:rsid w:val="00917AB9"/>
    <w:rsid w:val="00917CE2"/>
    <w:rsid w:val="00921814"/>
    <w:rsid w:val="00921BAD"/>
    <w:rsid w:val="00922659"/>
    <w:rsid w:val="0092465F"/>
    <w:rsid w:val="00925D05"/>
    <w:rsid w:val="00925D48"/>
    <w:rsid w:val="00925FEB"/>
    <w:rsid w:val="009262A6"/>
    <w:rsid w:val="009275C2"/>
    <w:rsid w:val="00930190"/>
    <w:rsid w:val="00930344"/>
    <w:rsid w:val="0093075F"/>
    <w:rsid w:val="00930DDA"/>
    <w:rsid w:val="00931914"/>
    <w:rsid w:val="009325EB"/>
    <w:rsid w:val="00932E4D"/>
    <w:rsid w:val="00933A09"/>
    <w:rsid w:val="009357D7"/>
    <w:rsid w:val="0093663F"/>
    <w:rsid w:val="00936E01"/>
    <w:rsid w:val="00940907"/>
    <w:rsid w:val="00940B2D"/>
    <w:rsid w:val="009417B0"/>
    <w:rsid w:val="00941BA2"/>
    <w:rsid w:val="0094365D"/>
    <w:rsid w:val="009441AC"/>
    <w:rsid w:val="0094467C"/>
    <w:rsid w:val="009466EF"/>
    <w:rsid w:val="00947D83"/>
    <w:rsid w:val="0095083C"/>
    <w:rsid w:val="00950E04"/>
    <w:rsid w:val="009510F5"/>
    <w:rsid w:val="00952197"/>
    <w:rsid w:val="00952612"/>
    <w:rsid w:val="00952B36"/>
    <w:rsid w:val="009531A7"/>
    <w:rsid w:val="00953F03"/>
    <w:rsid w:val="00954753"/>
    <w:rsid w:val="00954917"/>
    <w:rsid w:val="00954E7F"/>
    <w:rsid w:val="009563CC"/>
    <w:rsid w:val="00957101"/>
    <w:rsid w:val="00957CEC"/>
    <w:rsid w:val="00960441"/>
    <w:rsid w:val="009605E7"/>
    <w:rsid w:val="00961320"/>
    <w:rsid w:val="0096222F"/>
    <w:rsid w:val="00962617"/>
    <w:rsid w:val="009627F9"/>
    <w:rsid w:val="009628D9"/>
    <w:rsid w:val="00962921"/>
    <w:rsid w:val="00963A64"/>
    <w:rsid w:val="00963D15"/>
    <w:rsid w:val="00964557"/>
    <w:rsid w:val="009648BA"/>
    <w:rsid w:val="00965964"/>
    <w:rsid w:val="00966E09"/>
    <w:rsid w:val="0096732A"/>
    <w:rsid w:val="00967372"/>
    <w:rsid w:val="009677F3"/>
    <w:rsid w:val="009709DE"/>
    <w:rsid w:val="00971153"/>
    <w:rsid w:val="00973F28"/>
    <w:rsid w:val="009743ED"/>
    <w:rsid w:val="00974FD8"/>
    <w:rsid w:val="009757F3"/>
    <w:rsid w:val="009762D6"/>
    <w:rsid w:val="00977A3D"/>
    <w:rsid w:val="0098073E"/>
    <w:rsid w:val="0098106D"/>
    <w:rsid w:val="00981A18"/>
    <w:rsid w:val="009824ED"/>
    <w:rsid w:val="0098300E"/>
    <w:rsid w:val="00983848"/>
    <w:rsid w:val="00983E01"/>
    <w:rsid w:val="0098409D"/>
    <w:rsid w:val="00984547"/>
    <w:rsid w:val="00984A4C"/>
    <w:rsid w:val="0098583F"/>
    <w:rsid w:val="00986A65"/>
    <w:rsid w:val="00990AF0"/>
    <w:rsid w:val="0099121B"/>
    <w:rsid w:val="0099132D"/>
    <w:rsid w:val="00991371"/>
    <w:rsid w:val="00991635"/>
    <w:rsid w:val="00991A1C"/>
    <w:rsid w:val="00992B91"/>
    <w:rsid w:val="00992EC6"/>
    <w:rsid w:val="00993163"/>
    <w:rsid w:val="009938D0"/>
    <w:rsid w:val="00993F5F"/>
    <w:rsid w:val="00995B80"/>
    <w:rsid w:val="00997925"/>
    <w:rsid w:val="009A1245"/>
    <w:rsid w:val="009A18CD"/>
    <w:rsid w:val="009A1AD6"/>
    <w:rsid w:val="009A28EB"/>
    <w:rsid w:val="009A2B67"/>
    <w:rsid w:val="009A3132"/>
    <w:rsid w:val="009A4430"/>
    <w:rsid w:val="009A55A1"/>
    <w:rsid w:val="009A5ABD"/>
    <w:rsid w:val="009A6A5A"/>
    <w:rsid w:val="009A6EB5"/>
    <w:rsid w:val="009A71CF"/>
    <w:rsid w:val="009A749A"/>
    <w:rsid w:val="009A75A6"/>
    <w:rsid w:val="009A75DB"/>
    <w:rsid w:val="009B0142"/>
    <w:rsid w:val="009B0768"/>
    <w:rsid w:val="009B24CF"/>
    <w:rsid w:val="009B36FA"/>
    <w:rsid w:val="009B3EEF"/>
    <w:rsid w:val="009B4C14"/>
    <w:rsid w:val="009B539B"/>
    <w:rsid w:val="009B5C22"/>
    <w:rsid w:val="009B6231"/>
    <w:rsid w:val="009B6805"/>
    <w:rsid w:val="009B68AB"/>
    <w:rsid w:val="009B6A66"/>
    <w:rsid w:val="009B7929"/>
    <w:rsid w:val="009C0613"/>
    <w:rsid w:val="009C1036"/>
    <w:rsid w:val="009C11A7"/>
    <w:rsid w:val="009C1CAC"/>
    <w:rsid w:val="009C284D"/>
    <w:rsid w:val="009C2DC9"/>
    <w:rsid w:val="009C3255"/>
    <w:rsid w:val="009C5E0D"/>
    <w:rsid w:val="009C715A"/>
    <w:rsid w:val="009C72C8"/>
    <w:rsid w:val="009D08F3"/>
    <w:rsid w:val="009D0BE5"/>
    <w:rsid w:val="009D1883"/>
    <w:rsid w:val="009D18ED"/>
    <w:rsid w:val="009D22DD"/>
    <w:rsid w:val="009D327D"/>
    <w:rsid w:val="009D424B"/>
    <w:rsid w:val="009D6028"/>
    <w:rsid w:val="009D60B4"/>
    <w:rsid w:val="009E06E2"/>
    <w:rsid w:val="009E0D38"/>
    <w:rsid w:val="009E1ECE"/>
    <w:rsid w:val="009E202C"/>
    <w:rsid w:val="009E23C8"/>
    <w:rsid w:val="009E2B10"/>
    <w:rsid w:val="009E2F4F"/>
    <w:rsid w:val="009E3085"/>
    <w:rsid w:val="009E3BAD"/>
    <w:rsid w:val="009E3D33"/>
    <w:rsid w:val="009E44DC"/>
    <w:rsid w:val="009E4560"/>
    <w:rsid w:val="009E54CC"/>
    <w:rsid w:val="009E62A4"/>
    <w:rsid w:val="009E7A6F"/>
    <w:rsid w:val="009F06B4"/>
    <w:rsid w:val="009F0E70"/>
    <w:rsid w:val="009F0F17"/>
    <w:rsid w:val="009F1ADC"/>
    <w:rsid w:val="009F277B"/>
    <w:rsid w:val="009F2D11"/>
    <w:rsid w:val="009F37C2"/>
    <w:rsid w:val="009F5A98"/>
    <w:rsid w:val="009F6A34"/>
    <w:rsid w:val="009F74F3"/>
    <w:rsid w:val="00A000B3"/>
    <w:rsid w:val="00A00621"/>
    <w:rsid w:val="00A00677"/>
    <w:rsid w:val="00A006F5"/>
    <w:rsid w:val="00A00CF8"/>
    <w:rsid w:val="00A00D8E"/>
    <w:rsid w:val="00A03212"/>
    <w:rsid w:val="00A036AE"/>
    <w:rsid w:val="00A04685"/>
    <w:rsid w:val="00A04A52"/>
    <w:rsid w:val="00A04EA7"/>
    <w:rsid w:val="00A05E61"/>
    <w:rsid w:val="00A063A9"/>
    <w:rsid w:val="00A06B9B"/>
    <w:rsid w:val="00A06FFB"/>
    <w:rsid w:val="00A07741"/>
    <w:rsid w:val="00A10C5C"/>
    <w:rsid w:val="00A12B0B"/>
    <w:rsid w:val="00A142EE"/>
    <w:rsid w:val="00A14E8D"/>
    <w:rsid w:val="00A15F95"/>
    <w:rsid w:val="00A167A4"/>
    <w:rsid w:val="00A20F3C"/>
    <w:rsid w:val="00A21B02"/>
    <w:rsid w:val="00A22D49"/>
    <w:rsid w:val="00A22DEC"/>
    <w:rsid w:val="00A23565"/>
    <w:rsid w:val="00A23B10"/>
    <w:rsid w:val="00A24513"/>
    <w:rsid w:val="00A24679"/>
    <w:rsid w:val="00A24A44"/>
    <w:rsid w:val="00A261AE"/>
    <w:rsid w:val="00A26B6A"/>
    <w:rsid w:val="00A27040"/>
    <w:rsid w:val="00A279DE"/>
    <w:rsid w:val="00A27F6C"/>
    <w:rsid w:val="00A31679"/>
    <w:rsid w:val="00A32554"/>
    <w:rsid w:val="00A32633"/>
    <w:rsid w:val="00A326CB"/>
    <w:rsid w:val="00A3327B"/>
    <w:rsid w:val="00A33353"/>
    <w:rsid w:val="00A341DF"/>
    <w:rsid w:val="00A342C1"/>
    <w:rsid w:val="00A34AE4"/>
    <w:rsid w:val="00A352D2"/>
    <w:rsid w:val="00A3569A"/>
    <w:rsid w:val="00A357BF"/>
    <w:rsid w:val="00A36083"/>
    <w:rsid w:val="00A362CB"/>
    <w:rsid w:val="00A369B3"/>
    <w:rsid w:val="00A373DE"/>
    <w:rsid w:val="00A40089"/>
    <w:rsid w:val="00A40F22"/>
    <w:rsid w:val="00A43B31"/>
    <w:rsid w:val="00A44B40"/>
    <w:rsid w:val="00A45174"/>
    <w:rsid w:val="00A45399"/>
    <w:rsid w:val="00A45B5E"/>
    <w:rsid w:val="00A46F5E"/>
    <w:rsid w:val="00A4724A"/>
    <w:rsid w:val="00A4727A"/>
    <w:rsid w:val="00A474AD"/>
    <w:rsid w:val="00A47544"/>
    <w:rsid w:val="00A47A11"/>
    <w:rsid w:val="00A47DBD"/>
    <w:rsid w:val="00A51BCB"/>
    <w:rsid w:val="00A51E92"/>
    <w:rsid w:val="00A5365F"/>
    <w:rsid w:val="00A53D3F"/>
    <w:rsid w:val="00A54335"/>
    <w:rsid w:val="00A54B36"/>
    <w:rsid w:val="00A54F3D"/>
    <w:rsid w:val="00A562D6"/>
    <w:rsid w:val="00A563EB"/>
    <w:rsid w:val="00A57A12"/>
    <w:rsid w:val="00A57BF5"/>
    <w:rsid w:val="00A601EA"/>
    <w:rsid w:val="00A60995"/>
    <w:rsid w:val="00A61B7D"/>
    <w:rsid w:val="00A62C60"/>
    <w:rsid w:val="00A63C89"/>
    <w:rsid w:val="00A64B8A"/>
    <w:rsid w:val="00A653B2"/>
    <w:rsid w:val="00A6551C"/>
    <w:rsid w:val="00A657EB"/>
    <w:rsid w:val="00A65A39"/>
    <w:rsid w:val="00A66A2B"/>
    <w:rsid w:val="00A66A64"/>
    <w:rsid w:val="00A70425"/>
    <w:rsid w:val="00A70BDA"/>
    <w:rsid w:val="00A70CA4"/>
    <w:rsid w:val="00A734E1"/>
    <w:rsid w:val="00A73A9D"/>
    <w:rsid w:val="00A7484C"/>
    <w:rsid w:val="00A7525E"/>
    <w:rsid w:val="00A75658"/>
    <w:rsid w:val="00A75E71"/>
    <w:rsid w:val="00A76471"/>
    <w:rsid w:val="00A76DC2"/>
    <w:rsid w:val="00A76FD6"/>
    <w:rsid w:val="00A7771A"/>
    <w:rsid w:val="00A809E3"/>
    <w:rsid w:val="00A8118A"/>
    <w:rsid w:val="00A83097"/>
    <w:rsid w:val="00A8334B"/>
    <w:rsid w:val="00A849C4"/>
    <w:rsid w:val="00A8511B"/>
    <w:rsid w:val="00A8578E"/>
    <w:rsid w:val="00A8597F"/>
    <w:rsid w:val="00A86B83"/>
    <w:rsid w:val="00A8709D"/>
    <w:rsid w:val="00A87D6F"/>
    <w:rsid w:val="00A90158"/>
    <w:rsid w:val="00A91009"/>
    <w:rsid w:val="00A91F00"/>
    <w:rsid w:val="00A93469"/>
    <w:rsid w:val="00A96FCC"/>
    <w:rsid w:val="00A97151"/>
    <w:rsid w:val="00A97B15"/>
    <w:rsid w:val="00AA04E2"/>
    <w:rsid w:val="00AA1196"/>
    <w:rsid w:val="00AA1F17"/>
    <w:rsid w:val="00AA1FA7"/>
    <w:rsid w:val="00AA2C8B"/>
    <w:rsid w:val="00AA36A3"/>
    <w:rsid w:val="00AA3796"/>
    <w:rsid w:val="00AA451E"/>
    <w:rsid w:val="00AA5097"/>
    <w:rsid w:val="00AA5C61"/>
    <w:rsid w:val="00AA677D"/>
    <w:rsid w:val="00AA77BB"/>
    <w:rsid w:val="00AB0490"/>
    <w:rsid w:val="00AB0698"/>
    <w:rsid w:val="00AB1DAB"/>
    <w:rsid w:val="00AB2AAE"/>
    <w:rsid w:val="00AB30C0"/>
    <w:rsid w:val="00AB39F2"/>
    <w:rsid w:val="00AB4266"/>
    <w:rsid w:val="00AB4A61"/>
    <w:rsid w:val="00AB5A99"/>
    <w:rsid w:val="00AB772F"/>
    <w:rsid w:val="00AB7D00"/>
    <w:rsid w:val="00AB7F14"/>
    <w:rsid w:val="00AC0415"/>
    <w:rsid w:val="00AC1092"/>
    <w:rsid w:val="00AC2127"/>
    <w:rsid w:val="00AC2BB8"/>
    <w:rsid w:val="00AC38E7"/>
    <w:rsid w:val="00AC4CF8"/>
    <w:rsid w:val="00AC4E22"/>
    <w:rsid w:val="00AC4FCB"/>
    <w:rsid w:val="00AC599B"/>
    <w:rsid w:val="00AC5BCE"/>
    <w:rsid w:val="00AC6930"/>
    <w:rsid w:val="00AC770F"/>
    <w:rsid w:val="00AD1073"/>
    <w:rsid w:val="00AD1176"/>
    <w:rsid w:val="00AD16B5"/>
    <w:rsid w:val="00AD2AB2"/>
    <w:rsid w:val="00AD2EBD"/>
    <w:rsid w:val="00AD3986"/>
    <w:rsid w:val="00AD5B8D"/>
    <w:rsid w:val="00AD685D"/>
    <w:rsid w:val="00AD7324"/>
    <w:rsid w:val="00AD783C"/>
    <w:rsid w:val="00AE0077"/>
    <w:rsid w:val="00AE183D"/>
    <w:rsid w:val="00AE1A88"/>
    <w:rsid w:val="00AE266A"/>
    <w:rsid w:val="00AE2C47"/>
    <w:rsid w:val="00AE2F18"/>
    <w:rsid w:val="00AE3102"/>
    <w:rsid w:val="00AE3412"/>
    <w:rsid w:val="00AE5B0A"/>
    <w:rsid w:val="00AE5D5F"/>
    <w:rsid w:val="00AE6108"/>
    <w:rsid w:val="00AE6671"/>
    <w:rsid w:val="00AE698B"/>
    <w:rsid w:val="00AE6C7D"/>
    <w:rsid w:val="00AE750A"/>
    <w:rsid w:val="00AF0C37"/>
    <w:rsid w:val="00AF16CF"/>
    <w:rsid w:val="00AF1B12"/>
    <w:rsid w:val="00AF25C7"/>
    <w:rsid w:val="00AF2ECD"/>
    <w:rsid w:val="00AF3105"/>
    <w:rsid w:val="00AF3C0D"/>
    <w:rsid w:val="00AF4142"/>
    <w:rsid w:val="00AF5EC8"/>
    <w:rsid w:val="00AF61F8"/>
    <w:rsid w:val="00AF6D99"/>
    <w:rsid w:val="00AF78E1"/>
    <w:rsid w:val="00AF7E89"/>
    <w:rsid w:val="00B0024C"/>
    <w:rsid w:val="00B00BBA"/>
    <w:rsid w:val="00B01B95"/>
    <w:rsid w:val="00B020C9"/>
    <w:rsid w:val="00B0240B"/>
    <w:rsid w:val="00B02E1E"/>
    <w:rsid w:val="00B0382C"/>
    <w:rsid w:val="00B0394B"/>
    <w:rsid w:val="00B0441B"/>
    <w:rsid w:val="00B04EDA"/>
    <w:rsid w:val="00B05132"/>
    <w:rsid w:val="00B06907"/>
    <w:rsid w:val="00B06FEF"/>
    <w:rsid w:val="00B0774C"/>
    <w:rsid w:val="00B10DB5"/>
    <w:rsid w:val="00B1456C"/>
    <w:rsid w:val="00B155C7"/>
    <w:rsid w:val="00B16868"/>
    <w:rsid w:val="00B1702F"/>
    <w:rsid w:val="00B2041D"/>
    <w:rsid w:val="00B204FA"/>
    <w:rsid w:val="00B20A31"/>
    <w:rsid w:val="00B20D5A"/>
    <w:rsid w:val="00B212AD"/>
    <w:rsid w:val="00B218C6"/>
    <w:rsid w:val="00B21AC6"/>
    <w:rsid w:val="00B2285A"/>
    <w:rsid w:val="00B236B4"/>
    <w:rsid w:val="00B25FD7"/>
    <w:rsid w:val="00B263D8"/>
    <w:rsid w:val="00B274EE"/>
    <w:rsid w:val="00B3007C"/>
    <w:rsid w:val="00B322DA"/>
    <w:rsid w:val="00B3341F"/>
    <w:rsid w:val="00B33752"/>
    <w:rsid w:val="00B34329"/>
    <w:rsid w:val="00B346D5"/>
    <w:rsid w:val="00B3489A"/>
    <w:rsid w:val="00B3515D"/>
    <w:rsid w:val="00B360C1"/>
    <w:rsid w:val="00B37F7D"/>
    <w:rsid w:val="00B400DB"/>
    <w:rsid w:val="00B40BBB"/>
    <w:rsid w:val="00B41263"/>
    <w:rsid w:val="00B4170C"/>
    <w:rsid w:val="00B419FD"/>
    <w:rsid w:val="00B41A71"/>
    <w:rsid w:val="00B41B0E"/>
    <w:rsid w:val="00B41DD0"/>
    <w:rsid w:val="00B42D91"/>
    <w:rsid w:val="00B45331"/>
    <w:rsid w:val="00B454CE"/>
    <w:rsid w:val="00B47D4F"/>
    <w:rsid w:val="00B47F66"/>
    <w:rsid w:val="00B5030A"/>
    <w:rsid w:val="00B50AC2"/>
    <w:rsid w:val="00B52376"/>
    <w:rsid w:val="00B52914"/>
    <w:rsid w:val="00B52C8F"/>
    <w:rsid w:val="00B54F30"/>
    <w:rsid w:val="00B55429"/>
    <w:rsid w:val="00B555B3"/>
    <w:rsid w:val="00B56F05"/>
    <w:rsid w:val="00B6169D"/>
    <w:rsid w:val="00B6581A"/>
    <w:rsid w:val="00B65F38"/>
    <w:rsid w:val="00B660B4"/>
    <w:rsid w:val="00B66214"/>
    <w:rsid w:val="00B6687F"/>
    <w:rsid w:val="00B66C50"/>
    <w:rsid w:val="00B67A4C"/>
    <w:rsid w:val="00B67E92"/>
    <w:rsid w:val="00B70C2B"/>
    <w:rsid w:val="00B718CC"/>
    <w:rsid w:val="00B72127"/>
    <w:rsid w:val="00B7269F"/>
    <w:rsid w:val="00B730C2"/>
    <w:rsid w:val="00B74503"/>
    <w:rsid w:val="00B75942"/>
    <w:rsid w:val="00B75B25"/>
    <w:rsid w:val="00B762FC"/>
    <w:rsid w:val="00B76DF7"/>
    <w:rsid w:val="00B77481"/>
    <w:rsid w:val="00B776B1"/>
    <w:rsid w:val="00B80AA4"/>
    <w:rsid w:val="00B80ABA"/>
    <w:rsid w:val="00B815C6"/>
    <w:rsid w:val="00B83589"/>
    <w:rsid w:val="00B83FE0"/>
    <w:rsid w:val="00B842D1"/>
    <w:rsid w:val="00B84B54"/>
    <w:rsid w:val="00B850BD"/>
    <w:rsid w:val="00B862F8"/>
    <w:rsid w:val="00B86693"/>
    <w:rsid w:val="00B877E5"/>
    <w:rsid w:val="00B87BC9"/>
    <w:rsid w:val="00B918AB"/>
    <w:rsid w:val="00B91FFF"/>
    <w:rsid w:val="00B92213"/>
    <w:rsid w:val="00B92A70"/>
    <w:rsid w:val="00B92C45"/>
    <w:rsid w:val="00B93040"/>
    <w:rsid w:val="00B94EBD"/>
    <w:rsid w:val="00B95880"/>
    <w:rsid w:val="00B95BB0"/>
    <w:rsid w:val="00B95CAC"/>
    <w:rsid w:val="00B9668A"/>
    <w:rsid w:val="00B96E09"/>
    <w:rsid w:val="00BA18C2"/>
    <w:rsid w:val="00BA195C"/>
    <w:rsid w:val="00BA27E9"/>
    <w:rsid w:val="00BA3252"/>
    <w:rsid w:val="00BA357A"/>
    <w:rsid w:val="00BA39ED"/>
    <w:rsid w:val="00BA450A"/>
    <w:rsid w:val="00BA6A49"/>
    <w:rsid w:val="00BA7D92"/>
    <w:rsid w:val="00BB0479"/>
    <w:rsid w:val="00BB0B0E"/>
    <w:rsid w:val="00BB27A7"/>
    <w:rsid w:val="00BB29FA"/>
    <w:rsid w:val="00BB322D"/>
    <w:rsid w:val="00BB352C"/>
    <w:rsid w:val="00BB36CC"/>
    <w:rsid w:val="00BB43D5"/>
    <w:rsid w:val="00BB57BE"/>
    <w:rsid w:val="00BB5882"/>
    <w:rsid w:val="00BB5982"/>
    <w:rsid w:val="00BB6561"/>
    <w:rsid w:val="00BB66D8"/>
    <w:rsid w:val="00BB7118"/>
    <w:rsid w:val="00BB784C"/>
    <w:rsid w:val="00BB7A6F"/>
    <w:rsid w:val="00BC00F8"/>
    <w:rsid w:val="00BC06B5"/>
    <w:rsid w:val="00BC1288"/>
    <w:rsid w:val="00BC1588"/>
    <w:rsid w:val="00BC1C4B"/>
    <w:rsid w:val="00BC2979"/>
    <w:rsid w:val="00BC2C83"/>
    <w:rsid w:val="00BC352D"/>
    <w:rsid w:val="00BC47D3"/>
    <w:rsid w:val="00BC52CD"/>
    <w:rsid w:val="00BC52F9"/>
    <w:rsid w:val="00BC54D2"/>
    <w:rsid w:val="00BC5732"/>
    <w:rsid w:val="00BC5D29"/>
    <w:rsid w:val="00BC6A28"/>
    <w:rsid w:val="00BC6B10"/>
    <w:rsid w:val="00BC722F"/>
    <w:rsid w:val="00BC791F"/>
    <w:rsid w:val="00BD02B3"/>
    <w:rsid w:val="00BD02EE"/>
    <w:rsid w:val="00BD051D"/>
    <w:rsid w:val="00BD07E0"/>
    <w:rsid w:val="00BD1500"/>
    <w:rsid w:val="00BD171E"/>
    <w:rsid w:val="00BD17AF"/>
    <w:rsid w:val="00BD41CD"/>
    <w:rsid w:val="00BD4885"/>
    <w:rsid w:val="00BD4BBD"/>
    <w:rsid w:val="00BD4EF0"/>
    <w:rsid w:val="00BD5179"/>
    <w:rsid w:val="00BD576E"/>
    <w:rsid w:val="00BD6F60"/>
    <w:rsid w:val="00BE021C"/>
    <w:rsid w:val="00BE1446"/>
    <w:rsid w:val="00BE1961"/>
    <w:rsid w:val="00BE3A48"/>
    <w:rsid w:val="00BE3CA9"/>
    <w:rsid w:val="00BE4617"/>
    <w:rsid w:val="00BE46CF"/>
    <w:rsid w:val="00BE558E"/>
    <w:rsid w:val="00BE55A8"/>
    <w:rsid w:val="00BE7224"/>
    <w:rsid w:val="00BE72EE"/>
    <w:rsid w:val="00BF0682"/>
    <w:rsid w:val="00BF0980"/>
    <w:rsid w:val="00BF0BBF"/>
    <w:rsid w:val="00BF1018"/>
    <w:rsid w:val="00BF18EC"/>
    <w:rsid w:val="00BF3C2A"/>
    <w:rsid w:val="00BF3D93"/>
    <w:rsid w:val="00BF42BF"/>
    <w:rsid w:val="00BF556E"/>
    <w:rsid w:val="00BF5CBF"/>
    <w:rsid w:val="00BF60AE"/>
    <w:rsid w:val="00BF7257"/>
    <w:rsid w:val="00BF7524"/>
    <w:rsid w:val="00BF76DE"/>
    <w:rsid w:val="00BF7C50"/>
    <w:rsid w:val="00C00D42"/>
    <w:rsid w:val="00C01356"/>
    <w:rsid w:val="00C0230C"/>
    <w:rsid w:val="00C029E2"/>
    <w:rsid w:val="00C02B1E"/>
    <w:rsid w:val="00C02F12"/>
    <w:rsid w:val="00C030EF"/>
    <w:rsid w:val="00C06D1F"/>
    <w:rsid w:val="00C06DAA"/>
    <w:rsid w:val="00C07067"/>
    <w:rsid w:val="00C07D4F"/>
    <w:rsid w:val="00C10288"/>
    <w:rsid w:val="00C10964"/>
    <w:rsid w:val="00C10C8D"/>
    <w:rsid w:val="00C10D32"/>
    <w:rsid w:val="00C10F74"/>
    <w:rsid w:val="00C12063"/>
    <w:rsid w:val="00C12367"/>
    <w:rsid w:val="00C1241F"/>
    <w:rsid w:val="00C13248"/>
    <w:rsid w:val="00C14583"/>
    <w:rsid w:val="00C14F9A"/>
    <w:rsid w:val="00C1597A"/>
    <w:rsid w:val="00C15D2E"/>
    <w:rsid w:val="00C15ED5"/>
    <w:rsid w:val="00C17713"/>
    <w:rsid w:val="00C179BE"/>
    <w:rsid w:val="00C210D8"/>
    <w:rsid w:val="00C2136D"/>
    <w:rsid w:val="00C21995"/>
    <w:rsid w:val="00C21D17"/>
    <w:rsid w:val="00C2240C"/>
    <w:rsid w:val="00C2281B"/>
    <w:rsid w:val="00C22DDF"/>
    <w:rsid w:val="00C2440E"/>
    <w:rsid w:val="00C245DF"/>
    <w:rsid w:val="00C24CBB"/>
    <w:rsid w:val="00C258DE"/>
    <w:rsid w:val="00C25FD1"/>
    <w:rsid w:val="00C26269"/>
    <w:rsid w:val="00C26A2D"/>
    <w:rsid w:val="00C2781E"/>
    <w:rsid w:val="00C27BE4"/>
    <w:rsid w:val="00C3066B"/>
    <w:rsid w:val="00C32113"/>
    <w:rsid w:val="00C332BD"/>
    <w:rsid w:val="00C33C4A"/>
    <w:rsid w:val="00C34438"/>
    <w:rsid w:val="00C34E81"/>
    <w:rsid w:val="00C34F38"/>
    <w:rsid w:val="00C353DA"/>
    <w:rsid w:val="00C35A7E"/>
    <w:rsid w:val="00C3758F"/>
    <w:rsid w:val="00C40156"/>
    <w:rsid w:val="00C40AE7"/>
    <w:rsid w:val="00C413CA"/>
    <w:rsid w:val="00C42228"/>
    <w:rsid w:val="00C422DE"/>
    <w:rsid w:val="00C42F9A"/>
    <w:rsid w:val="00C44248"/>
    <w:rsid w:val="00C45CFB"/>
    <w:rsid w:val="00C46276"/>
    <w:rsid w:val="00C46E70"/>
    <w:rsid w:val="00C501E5"/>
    <w:rsid w:val="00C504FC"/>
    <w:rsid w:val="00C523E8"/>
    <w:rsid w:val="00C52541"/>
    <w:rsid w:val="00C52B07"/>
    <w:rsid w:val="00C54A0B"/>
    <w:rsid w:val="00C54AB5"/>
    <w:rsid w:val="00C54CC3"/>
    <w:rsid w:val="00C606CC"/>
    <w:rsid w:val="00C60F02"/>
    <w:rsid w:val="00C61B11"/>
    <w:rsid w:val="00C62673"/>
    <w:rsid w:val="00C62B44"/>
    <w:rsid w:val="00C6464A"/>
    <w:rsid w:val="00C64888"/>
    <w:rsid w:val="00C64A89"/>
    <w:rsid w:val="00C654F7"/>
    <w:rsid w:val="00C67037"/>
    <w:rsid w:val="00C67A50"/>
    <w:rsid w:val="00C700D7"/>
    <w:rsid w:val="00C708A3"/>
    <w:rsid w:val="00C708E5"/>
    <w:rsid w:val="00C72063"/>
    <w:rsid w:val="00C72410"/>
    <w:rsid w:val="00C73090"/>
    <w:rsid w:val="00C73480"/>
    <w:rsid w:val="00C73A72"/>
    <w:rsid w:val="00C73BB5"/>
    <w:rsid w:val="00C73F1D"/>
    <w:rsid w:val="00C763BC"/>
    <w:rsid w:val="00C77A04"/>
    <w:rsid w:val="00C80ADE"/>
    <w:rsid w:val="00C80FE5"/>
    <w:rsid w:val="00C81D72"/>
    <w:rsid w:val="00C8211C"/>
    <w:rsid w:val="00C82391"/>
    <w:rsid w:val="00C83170"/>
    <w:rsid w:val="00C8363D"/>
    <w:rsid w:val="00C8390E"/>
    <w:rsid w:val="00C854E1"/>
    <w:rsid w:val="00C870EF"/>
    <w:rsid w:val="00C874E4"/>
    <w:rsid w:val="00C87754"/>
    <w:rsid w:val="00C879FA"/>
    <w:rsid w:val="00C90DC8"/>
    <w:rsid w:val="00C90EC2"/>
    <w:rsid w:val="00C915F2"/>
    <w:rsid w:val="00C9195F"/>
    <w:rsid w:val="00C92085"/>
    <w:rsid w:val="00C92BD5"/>
    <w:rsid w:val="00C93745"/>
    <w:rsid w:val="00C9391B"/>
    <w:rsid w:val="00C93F90"/>
    <w:rsid w:val="00C94358"/>
    <w:rsid w:val="00C94667"/>
    <w:rsid w:val="00C94961"/>
    <w:rsid w:val="00C94B65"/>
    <w:rsid w:val="00C950B8"/>
    <w:rsid w:val="00C9636B"/>
    <w:rsid w:val="00C97224"/>
    <w:rsid w:val="00C9792B"/>
    <w:rsid w:val="00CA1955"/>
    <w:rsid w:val="00CA1B09"/>
    <w:rsid w:val="00CA4BDA"/>
    <w:rsid w:val="00CA5459"/>
    <w:rsid w:val="00CA7982"/>
    <w:rsid w:val="00CA7A7D"/>
    <w:rsid w:val="00CB161E"/>
    <w:rsid w:val="00CB2088"/>
    <w:rsid w:val="00CB4DA7"/>
    <w:rsid w:val="00CB657B"/>
    <w:rsid w:val="00CB71BD"/>
    <w:rsid w:val="00CB767F"/>
    <w:rsid w:val="00CB7B06"/>
    <w:rsid w:val="00CB7E48"/>
    <w:rsid w:val="00CB7ED3"/>
    <w:rsid w:val="00CC0457"/>
    <w:rsid w:val="00CC22E6"/>
    <w:rsid w:val="00CC240F"/>
    <w:rsid w:val="00CC485A"/>
    <w:rsid w:val="00CC68D2"/>
    <w:rsid w:val="00CC7D69"/>
    <w:rsid w:val="00CC7DC5"/>
    <w:rsid w:val="00CD05AD"/>
    <w:rsid w:val="00CD0616"/>
    <w:rsid w:val="00CD0F2D"/>
    <w:rsid w:val="00CD1AE7"/>
    <w:rsid w:val="00CD1F58"/>
    <w:rsid w:val="00CD29B4"/>
    <w:rsid w:val="00CD2B60"/>
    <w:rsid w:val="00CD3B5A"/>
    <w:rsid w:val="00CD6BF3"/>
    <w:rsid w:val="00CD762F"/>
    <w:rsid w:val="00CD7D1A"/>
    <w:rsid w:val="00CE0318"/>
    <w:rsid w:val="00CE0B11"/>
    <w:rsid w:val="00CE0BBF"/>
    <w:rsid w:val="00CE294B"/>
    <w:rsid w:val="00CE2A26"/>
    <w:rsid w:val="00CE2D8E"/>
    <w:rsid w:val="00CE3637"/>
    <w:rsid w:val="00CE51AA"/>
    <w:rsid w:val="00CE53B4"/>
    <w:rsid w:val="00CE6CCD"/>
    <w:rsid w:val="00CF0647"/>
    <w:rsid w:val="00CF0CAA"/>
    <w:rsid w:val="00CF0D4D"/>
    <w:rsid w:val="00CF1B2E"/>
    <w:rsid w:val="00CF1E62"/>
    <w:rsid w:val="00CF2651"/>
    <w:rsid w:val="00CF5610"/>
    <w:rsid w:val="00CF578E"/>
    <w:rsid w:val="00CF5B2C"/>
    <w:rsid w:val="00CF638D"/>
    <w:rsid w:val="00CF647A"/>
    <w:rsid w:val="00CF79D5"/>
    <w:rsid w:val="00D010FD"/>
    <w:rsid w:val="00D01D28"/>
    <w:rsid w:val="00D01F89"/>
    <w:rsid w:val="00D02E0B"/>
    <w:rsid w:val="00D045D0"/>
    <w:rsid w:val="00D04E9D"/>
    <w:rsid w:val="00D05CE6"/>
    <w:rsid w:val="00D0752F"/>
    <w:rsid w:val="00D0768C"/>
    <w:rsid w:val="00D07A97"/>
    <w:rsid w:val="00D1124D"/>
    <w:rsid w:val="00D1129F"/>
    <w:rsid w:val="00D12F12"/>
    <w:rsid w:val="00D155AA"/>
    <w:rsid w:val="00D161F9"/>
    <w:rsid w:val="00D166B8"/>
    <w:rsid w:val="00D16A41"/>
    <w:rsid w:val="00D201FE"/>
    <w:rsid w:val="00D2063B"/>
    <w:rsid w:val="00D21C22"/>
    <w:rsid w:val="00D22172"/>
    <w:rsid w:val="00D227EB"/>
    <w:rsid w:val="00D2468A"/>
    <w:rsid w:val="00D25F91"/>
    <w:rsid w:val="00D2783B"/>
    <w:rsid w:val="00D33810"/>
    <w:rsid w:val="00D342C0"/>
    <w:rsid w:val="00D347E5"/>
    <w:rsid w:val="00D34870"/>
    <w:rsid w:val="00D359D7"/>
    <w:rsid w:val="00D35FBF"/>
    <w:rsid w:val="00D365AF"/>
    <w:rsid w:val="00D365C3"/>
    <w:rsid w:val="00D36808"/>
    <w:rsid w:val="00D36A2B"/>
    <w:rsid w:val="00D378AF"/>
    <w:rsid w:val="00D40C8B"/>
    <w:rsid w:val="00D41262"/>
    <w:rsid w:val="00D41499"/>
    <w:rsid w:val="00D4176E"/>
    <w:rsid w:val="00D4281D"/>
    <w:rsid w:val="00D42CF6"/>
    <w:rsid w:val="00D43D01"/>
    <w:rsid w:val="00D44483"/>
    <w:rsid w:val="00D44784"/>
    <w:rsid w:val="00D44E88"/>
    <w:rsid w:val="00D45BC0"/>
    <w:rsid w:val="00D4781F"/>
    <w:rsid w:val="00D4792E"/>
    <w:rsid w:val="00D47AFD"/>
    <w:rsid w:val="00D510BD"/>
    <w:rsid w:val="00D515C7"/>
    <w:rsid w:val="00D51935"/>
    <w:rsid w:val="00D5212A"/>
    <w:rsid w:val="00D52307"/>
    <w:rsid w:val="00D54372"/>
    <w:rsid w:val="00D55BD0"/>
    <w:rsid w:val="00D568F1"/>
    <w:rsid w:val="00D570CA"/>
    <w:rsid w:val="00D57719"/>
    <w:rsid w:val="00D57B55"/>
    <w:rsid w:val="00D6042B"/>
    <w:rsid w:val="00D609FF"/>
    <w:rsid w:val="00D615B2"/>
    <w:rsid w:val="00D61EAF"/>
    <w:rsid w:val="00D62332"/>
    <w:rsid w:val="00D62582"/>
    <w:rsid w:val="00D63483"/>
    <w:rsid w:val="00D636FD"/>
    <w:rsid w:val="00D63D58"/>
    <w:rsid w:val="00D6531A"/>
    <w:rsid w:val="00D65DE7"/>
    <w:rsid w:val="00D66E8F"/>
    <w:rsid w:val="00D67BD7"/>
    <w:rsid w:val="00D70E36"/>
    <w:rsid w:val="00D71B46"/>
    <w:rsid w:val="00D720D3"/>
    <w:rsid w:val="00D737BF"/>
    <w:rsid w:val="00D73C59"/>
    <w:rsid w:val="00D74575"/>
    <w:rsid w:val="00D74D53"/>
    <w:rsid w:val="00D74F91"/>
    <w:rsid w:val="00D7597E"/>
    <w:rsid w:val="00D760E9"/>
    <w:rsid w:val="00D7726A"/>
    <w:rsid w:val="00D775F6"/>
    <w:rsid w:val="00D77730"/>
    <w:rsid w:val="00D77AC9"/>
    <w:rsid w:val="00D806AF"/>
    <w:rsid w:val="00D806E2"/>
    <w:rsid w:val="00D810DC"/>
    <w:rsid w:val="00D811A8"/>
    <w:rsid w:val="00D81DE1"/>
    <w:rsid w:val="00D8229F"/>
    <w:rsid w:val="00D83110"/>
    <w:rsid w:val="00D83236"/>
    <w:rsid w:val="00D84A86"/>
    <w:rsid w:val="00D853D0"/>
    <w:rsid w:val="00D85528"/>
    <w:rsid w:val="00D90365"/>
    <w:rsid w:val="00D9042E"/>
    <w:rsid w:val="00D906BA"/>
    <w:rsid w:val="00D90893"/>
    <w:rsid w:val="00D91BD2"/>
    <w:rsid w:val="00D937EB"/>
    <w:rsid w:val="00D93BFE"/>
    <w:rsid w:val="00D93DC0"/>
    <w:rsid w:val="00D94962"/>
    <w:rsid w:val="00D960AC"/>
    <w:rsid w:val="00D97B14"/>
    <w:rsid w:val="00DA054C"/>
    <w:rsid w:val="00DA0690"/>
    <w:rsid w:val="00DA2BC5"/>
    <w:rsid w:val="00DA2EF4"/>
    <w:rsid w:val="00DA3C3F"/>
    <w:rsid w:val="00DA3D89"/>
    <w:rsid w:val="00DA487E"/>
    <w:rsid w:val="00DA4D49"/>
    <w:rsid w:val="00DA67CC"/>
    <w:rsid w:val="00DA6839"/>
    <w:rsid w:val="00DA6F21"/>
    <w:rsid w:val="00DA7439"/>
    <w:rsid w:val="00DA7484"/>
    <w:rsid w:val="00DA7664"/>
    <w:rsid w:val="00DA7C9E"/>
    <w:rsid w:val="00DB089C"/>
    <w:rsid w:val="00DB19B2"/>
    <w:rsid w:val="00DB1B49"/>
    <w:rsid w:val="00DB1E28"/>
    <w:rsid w:val="00DB2879"/>
    <w:rsid w:val="00DB2EC3"/>
    <w:rsid w:val="00DB487E"/>
    <w:rsid w:val="00DB5183"/>
    <w:rsid w:val="00DB5EF0"/>
    <w:rsid w:val="00DB61B9"/>
    <w:rsid w:val="00DB6647"/>
    <w:rsid w:val="00DB797B"/>
    <w:rsid w:val="00DC05B6"/>
    <w:rsid w:val="00DC1072"/>
    <w:rsid w:val="00DC1DB9"/>
    <w:rsid w:val="00DC2E83"/>
    <w:rsid w:val="00DC2E8E"/>
    <w:rsid w:val="00DC3B9E"/>
    <w:rsid w:val="00DC4876"/>
    <w:rsid w:val="00DC5340"/>
    <w:rsid w:val="00DC59BF"/>
    <w:rsid w:val="00DC6112"/>
    <w:rsid w:val="00DC6354"/>
    <w:rsid w:val="00DC6811"/>
    <w:rsid w:val="00DC6A3A"/>
    <w:rsid w:val="00DC710F"/>
    <w:rsid w:val="00DD064B"/>
    <w:rsid w:val="00DD1B71"/>
    <w:rsid w:val="00DD36B8"/>
    <w:rsid w:val="00DD3F33"/>
    <w:rsid w:val="00DD4274"/>
    <w:rsid w:val="00DD6E0C"/>
    <w:rsid w:val="00DD7007"/>
    <w:rsid w:val="00DE04CB"/>
    <w:rsid w:val="00DE16CC"/>
    <w:rsid w:val="00DE2DC2"/>
    <w:rsid w:val="00DE3111"/>
    <w:rsid w:val="00DE4F61"/>
    <w:rsid w:val="00DE59A9"/>
    <w:rsid w:val="00DE5BCB"/>
    <w:rsid w:val="00DE5C3D"/>
    <w:rsid w:val="00DE6DB1"/>
    <w:rsid w:val="00DE7202"/>
    <w:rsid w:val="00DE7E99"/>
    <w:rsid w:val="00DF0B20"/>
    <w:rsid w:val="00DF232E"/>
    <w:rsid w:val="00DF2B46"/>
    <w:rsid w:val="00DF3297"/>
    <w:rsid w:val="00DF4233"/>
    <w:rsid w:val="00DF431E"/>
    <w:rsid w:val="00DF498A"/>
    <w:rsid w:val="00DF582C"/>
    <w:rsid w:val="00DF6B88"/>
    <w:rsid w:val="00DF6EC1"/>
    <w:rsid w:val="00DF7129"/>
    <w:rsid w:val="00DF7271"/>
    <w:rsid w:val="00E00B78"/>
    <w:rsid w:val="00E01571"/>
    <w:rsid w:val="00E035FF"/>
    <w:rsid w:val="00E03E01"/>
    <w:rsid w:val="00E04068"/>
    <w:rsid w:val="00E04653"/>
    <w:rsid w:val="00E04711"/>
    <w:rsid w:val="00E04B6E"/>
    <w:rsid w:val="00E06837"/>
    <w:rsid w:val="00E10AA9"/>
    <w:rsid w:val="00E11BAB"/>
    <w:rsid w:val="00E1326D"/>
    <w:rsid w:val="00E13392"/>
    <w:rsid w:val="00E14C4F"/>
    <w:rsid w:val="00E152B1"/>
    <w:rsid w:val="00E166F6"/>
    <w:rsid w:val="00E20F55"/>
    <w:rsid w:val="00E229DF"/>
    <w:rsid w:val="00E24404"/>
    <w:rsid w:val="00E2568D"/>
    <w:rsid w:val="00E25921"/>
    <w:rsid w:val="00E26063"/>
    <w:rsid w:val="00E301CE"/>
    <w:rsid w:val="00E31B95"/>
    <w:rsid w:val="00E32664"/>
    <w:rsid w:val="00E34313"/>
    <w:rsid w:val="00E35637"/>
    <w:rsid w:val="00E35F4B"/>
    <w:rsid w:val="00E36AD5"/>
    <w:rsid w:val="00E36EF6"/>
    <w:rsid w:val="00E3726A"/>
    <w:rsid w:val="00E37658"/>
    <w:rsid w:val="00E3792C"/>
    <w:rsid w:val="00E37BF8"/>
    <w:rsid w:val="00E37CB8"/>
    <w:rsid w:val="00E37CBC"/>
    <w:rsid w:val="00E40C1C"/>
    <w:rsid w:val="00E4108B"/>
    <w:rsid w:val="00E41300"/>
    <w:rsid w:val="00E413B7"/>
    <w:rsid w:val="00E430DA"/>
    <w:rsid w:val="00E43230"/>
    <w:rsid w:val="00E433B8"/>
    <w:rsid w:val="00E43BA1"/>
    <w:rsid w:val="00E44F77"/>
    <w:rsid w:val="00E458FB"/>
    <w:rsid w:val="00E45C02"/>
    <w:rsid w:val="00E465E7"/>
    <w:rsid w:val="00E46E76"/>
    <w:rsid w:val="00E46FE9"/>
    <w:rsid w:val="00E4700A"/>
    <w:rsid w:val="00E47453"/>
    <w:rsid w:val="00E47737"/>
    <w:rsid w:val="00E47794"/>
    <w:rsid w:val="00E5029F"/>
    <w:rsid w:val="00E503A3"/>
    <w:rsid w:val="00E505FA"/>
    <w:rsid w:val="00E50753"/>
    <w:rsid w:val="00E50BFB"/>
    <w:rsid w:val="00E51DFC"/>
    <w:rsid w:val="00E51FE0"/>
    <w:rsid w:val="00E5233A"/>
    <w:rsid w:val="00E536D8"/>
    <w:rsid w:val="00E53C8D"/>
    <w:rsid w:val="00E53F49"/>
    <w:rsid w:val="00E545D9"/>
    <w:rsid w:val="00E54F6B"/>
    <w:rsid w:val="00E55062"/>
    <w:rsid w:val="00E55972"/>
    <w:rsid w:val="00E55E62"/>
    <w:rsid w:val="00E565BB"/>
    <w:rsid w:val="00E600FB"/>
    <w:rsid w:val="00E60BC1"/>
    <w:rsid w:val="00E625BF"/>
    <w:rsid w:val="00E629B3"/>
    <w:rsid w:val="00E631EF"/>
    <w:rsid w:val="00E63CF3"/>
    <w:rsid w:val="00E648D6"/>
    <w:rsid w:val="00E667D1"/>
    <w:rsid w:val="00E6709F"/>
    <w:rsid w:val="00E671FB"/>
    <w:rsid w:val="00E70059"/>
    <w:rsid w:val="00E700E8"/>
    <w:rsid w:val="00E7074D"/>
    <w:rsid w:val="00E70F85"/>
    <w:rsid w:val="00E7105B"/>
    <w:rsid w:val="00E71958"/>
    <w:rsid w:val="00E746C2"/>
    <w:rsid w:val="00E76027"/>
    <w:rsid w:val="00E761A1"/>
    <w:rsid w:val="00E76B42"/>
    <w:rsid w:val="00E81120"/>
    <w:rsid w:val="00E811C2"/>
    <w:rsid w:val="00E81226"/>
    <w:rsid w:val="00E82743"/>
    <w:rsid w:val="00E848F1"/>
    <w:rsid w:val="00E84EA3"/>
    <w:rsid w:val="00E84F2C"/>
    <w:rsid w:val="00E84F82"/>
    <w:rsid w:val="00E854F6"/>
    <w:rsid w:val="00E85C97"/>
    <w:rsid w:val="00E860FA"/>
    <w:rsid w:val="00E870F1"/>
    <w:rsid w:val="00E87F7E"/>
    <w:rsid w:val="00E90C7B"/>
    <w:rsid w:val="00E93C19"/>
    <w:rsid w:val="00E93CD6"/>
    <w:rsid w:val="00E94386"/>
    <w:rsid w:val="00E94569"/>
    <w:rsid w:val="00E94F1E"/>
    <w:rsid w:val="00E95903"/>
    <w:rsid w:val="00E96119"/>
    <w:rsid w:val="00E9676C"/>
    <w:rsid w:val="00E96F3A"/>
    <w:rsid w:val="00EA0A43"/>
    <w:rsid w:val="00EA0B3C"/>
    <w:rsid w:val="00EA144C"/>
    <w:rsid w:val="00EA2E44"/>
    <w:rsid w:val="00EA58B5"/>
    <w:rsid w:val="00EA7994"/>
    <w:rsid w:val="00EB01FC"/>
    <w:rsid w:val="00EB0700"/>
    <w:rsid w:val="00EB0ED0"/>
    <w:rsid w:val="00EB10FC"/>
    <w:rsid w:val="00EB1614"/>
    <w:rsid w:val="00EB1FB5"/>
    <w:rsid w:val="00EB271D"/>
    <w:rsid w:val="00EB2CA0"/>
    <w:rsid w:val="00EB450D"/>
    <w:rsid w:val="00EB52C6"/>
    <w:rsid w:val="00EB52EE"/>
    <w:rsid w:val="00EB76FD"/>
    <w:rsid w:val="00EC2CDE"/>
    <w:rsid w:val="00EC3587"/>
    <w:rsid w:val="00EC57FE"/>
    <w:rsid w:val="00EC63BA"/>
    <w:rsid w:val="00EC6462"/>
    <w:rsid w:val="00EC65A2"/>
    <w:rsid w:val="00EC77D5"/>
    <w:rsid w:val="00ED0C29"/>
    <w:rsid w:val="00ED2304"/>
    <w:rsid w:val="00ED37D8"/>
    <w:rsid w:val="00ED3B7B"/>
    <w:rsid w:val="00ED3C1B"/>
    <w:rsid w:val="00ED3F88"/>
    <w:rsid w:val="00ED47EE"/>
    <w:rsid w:val="00ED5A57"/>
    <w:rsid w:val="00ED6E8A"/>
    <w:rsid w:val="00ED7BDE"/>
    <w:rsid w:val="00EE052E"/>
    <w:rsid w:val="00EE06C8"/>
    <w:rsid w:val="00EE08CD"/>
    <w:rsid w:val="00EE2B06"/>
    <w:rsid w:val="00EE3B7C"/>
    <w:rsid w:val="00EE3EC7"/>
    <w:rsid w:val="00EE573E"/>
    <w:rsid w:val="00EE6811"/>
    <w:rsid w:val="00EE70DB"/>
    <w:rsid w:val="00EE7253"/>
    <w:rsid w:val="00EE7925"/>
    <w:rsid w:val="00EF07EA"/>
    <w:rsid w:val="00EF0B47"/>
    <w:rsid w:val="00EF0C4B"/>
    <w:rsid w:val="00EF236F"/>
    <w:rsid w:val="00EF32EA"/>
    <w:rsid w:val="00EF4643"/>
    <w:rsid w:val="00EF46DC"/>
    <w:rsid w:val="00EF5B6D"/>
    <w:rsid w:val="00EF5F6C"/>
    <w:rsid w:val="00EF631E"/>
    <w:rsid w:val="00EF6E07"/>
    <w:rsid w:val="00EF7343"/>
    <w:rsid w:val="00EF7C15"/>
    <w:rsid w:val="00F0165A"/>
    <w:rsid w:val="00F0173E"/>
    <w:rsid w:val="00F01D5F"/>
    <w:rsid w:val="00F024C2"/>
    <w:rsid w:val="00F028F0"/>
    <w:rsid w:val="00F0355F"/>
    <w:rsid w:val="00F03AD8"/>
    <w:rsid w:val="00F03CCB"/>
    <w:rsid w:val="00F054A3"/>
    <w:rsid w:val="00F05752"/>
    <w:rsid w:val="00F05C07"/>
    <w:rsid w:val="00F06D22"/>
    <w:rsid w:val="00F07FE3"/>
    <w:rsid w:val="00F1067C"/>
    <w:rsid w:val="00F10BE1"/>
    <w:rsid w:val="00F13063"/>
    <w:rsid w:val="00F134AC"/>
    <w:rsid w:val="00F13AB2"/>
    <w:rsid w:val="00F13B4C"/>
    <w:rsid w:val="00F140BD"/>
    <w:rsid w:val="00F14488"/>
    <w:rsid w:val="00F232BF"/>
    <w:rsid w:val="00F24BE6"/>
    <w:rsid w:val="00F26125"/>
    <w:rsid w:val="00F263A3"/>
    <w:rsid w:val="00F308A3"/>
    <w:rsid w:val="00F30D3A"/>
    <w:rsid w:val="00F30F30"/>
    <w:rsid w:val="00F31931"/>
    <w:rsid w:val="00F32274"/>
    <w:rsid w:val="00F33364"/>
    <w:rsid w:val="00F345C7"/>
    <w:rsid w:val="00F351E3"/>
    <w:rsid w:val="00F3630A"/>
    <w:rsid w:val="00F36996"/>
    <w:rsid w:val="00F36BCD"/>
    <w:rsid w:val="00F3708A"/>
    <w:rsid w:val="00F3717D"/>
    <w:rsid w:val="00F37958"/>
    <w:rsid w:val="00F37ACF"/>
    <w:rsid w:val="00F401CE"/>
    <w:rsid w:val="00F41C62"/>
    <w:rsid w:val="00F4231A"/>
    <w:rsid w:val="00F42E20"/>
    <w:rsid w:val="00F43160"/>
    <w:rsid w:val="00F433DF"/>
    <w:rsid w:val="00F43DFF"/>
    <w:rsid w:val="00F44192"/>
    <w:rsid w:val="00F44B70"/>
    <w:rsid w:val="00F44D54"/>
    <w:rsid w:val="00F45530"/>
    <w:rsid w:val="00F45ABA"/>
    <w:rsid w:val="00F477E3"/>
    <w:rsid w:val="00F47CEC"/>
    <w:rsid w:val="00F5070A"/>
    <w:rsid w:val="00F5256D"/>
    <w:rsid w:val="00F53480"/>
    <w:rsid w:val="00F54A4A"/>
    <w:rsid w:val="00F55A1F"/>
    <w:rsid w:val="00F55E03"/>
    <w:rsid w:val="00F565C7"/>
    <w:rsid w:val="00F57A81"/>
    <w:rsid w:val="00F6053B"/>
    <w:rsid w:val="00F61B3D"/>
    <w:rsid w:val="00F61CF4"/>
    <w:rsid w:val="00F62F30"/>
    <w:rsid w:val="00F63552"/>
    <w:rsid w:val="00F63B90"/>
    <w:rsid w:val="00F640D8"/>
    <w:rsid w:val="00F64C96"/>
    <w:rsid w:val="00F65BBE"/>
    <w:rsid w:val="00F673A5"/>
    <w:rsid w:val="00F71061"/>
    <w:rsid w:val="00F71804"/>
    <w:rsid w:val="00F71B36"/>
    <w:rsid w:val="00F72C61"/>
    <w:rsid w:val="00F73D74"/>
    <w:rsid w:val="00F74055"/>
    <w:rsid w:val="00F7429F"/>
    <w:rsid w:val="00F75530"/>
    <w:rsid w:val="00F75D5A"/>
    <w:rsid w:val="00F760E1"/>
    <w:rsid w:val="00F76189"/>
    <w:rsid w:val="00F767D7"/>
    <w:rsid w:val="00F76A5C"/>
    <w:rsid w:val="00F7754C"/>
    <w:rsid w:val="00F80425"/>
    <w:rsid w:val="00F808DA"/>
    <w:rsid w:val="00F80CC1"/>
    <w:rsid w:val="00F8106B"/>
    <w:rsid w:val="00F819B8"/>
    <w:rsid w:val="00F81B06"/>
    <w:rsid w:val="00F81FD7"/>
    <w:rsid w:val="00F82FEC"/>
    <w:rsid w:val="00F84C4D"/>
    <w:rsid w:val="00F84E4F"/>
    <w:rsid w:val="00F85599"/>
    <w:rsid w:val="00F858ED"/>
    <w:rsid w:val="00F85B2F"/>
    <w:rsid w:val="00F8653E"/>
    <w:rsid w:val="00F86E01"/>
    <w:rsid w:val="00F87619"/>
    <w:rsid w:val="00F93387"/>
    <w:rsid w:val="00F940C2"/>
    <w:rsid w:val="00F94839"/>
    <w:rsid w:val="00F94969"/>
    <w:rsid w:val="00F94AA8"/>
    <w:rsid w:val="00F94D7A"/>
    <w:rsid w:val="00F976EA"/>
    <w:rsid w:val="00F97959"/>
    <w:rsid w:val="00FA04F4"/>
    <w:rsid w:val="00FA1A18"/>
    <w:rsid w:val="00FA261C"/>
    <w:rsid w:val="00FA3452"/>
    <w:rsid w:val="00FA4CF0"/>
    <w:rsid w:val="00FA56BE"/>
    <w:rsid w:val="00FB075E"/>
    <w:rsid w:val="00FB0F89"/>
    <w:rsid w:val="00FB140F"/>
    <w:rsid w:val="00FB14D5"/>
    <w:rsid w:val="00FB2497"/>
    <w:rsid w:val="00FB3445"/>
    <w:rsid w:val="00FB4140"/>
    <w:rsid w:val="00FB4655"/>
    <w:rsid w:val="00FB79A6"/>
    <w:rsid w:val="00FB7E05"/>
    <w:rsid w:val="00FC0DD6"/>
    <w:rsid w:val="00FC1984"/>
    <w:rsid w:val="00FC1A98"/>
    <w:rsid w:val="00FC1E73"/>
    <w:rsid w:val="00FC3845"/>
    <w:rsid w:val="00FC3C89"/>
    <w:rsid w:val="00FC3DDD"/>
    <w:rsid w:val="00FC4CFE"/>
    <w:rsid w:val="00FC582B"/>
    <w:rsid w:val="00FC675B"/>
    <w:rsid w:val="00FC7520"/>
    <w:rsid w:val="00FC7A55"/>
    <w:rsid w:val="00FD0CC3"/>
    <w:rsid w:val="00FD101C"/>
    <w:rsid w:val="00FD122B"/>
    <w:rsid w:val="00FD1303"/>
    <w:rsid w:val="00FD206C"/>
    <w:rsid w:val="00FD20FD"/>
    <w:rsid w:val="00FD3336"/>
    <w:rsid w:val="00FD4CB4"/>
    <w:rsid w:val="00FD6998"/>
    <w:rsid w:val="00FD6B0E"/>
    <w:rsid w:val="00FD710E"/>
    <w:rsid w:val="00FD7186"/>
    <w:rsid w:val="00FD744A"/>
    <w:rsid w:val="00FD778C"/>
    <w:rsid w:val="00FD78D3"/>
    <w:rsid w:val="00FE0C3C"/>
    <w:rsid w:val="00FE1393"/>
    <w:rsid w:val="00FE15CE"/>
    <w:rsid w:val="00FE19C6"/>
    <w:rsid w:val="00FE265B"/>
    <w:rsid w:val="00FE3D81"/>
    <w:rsid w:val="00FE3E6D"/>
    <w:rsid w:val="00FE4A73"/>
    <w:rsid w:val="00FE6781"/>
    <w:rsid w:val="00FE67B5"/>
    <w:rsid w:val="00FE6D7E"/>
    <w:rsid w:val="00FF1C56"/>
    <w:rsid w:val="00FF236E"/>
    <w:rsid w:val="00FF3952"/>
    <w:rsid w:val="00FF4BC9"/>
    <w:rsid w:val="00FF6156"/>
    <w:rsid w:val="00FF6FAF"/>
    <w:rsid w:val="00FF74A6"/>
    <w:rsid w:val="00FF7D53"/>
    <w:rsid w:val="0145CFBC"/>
    <w:rsid w:val="0166DDA0"/>
    <w:rsid w:val="01A1CD25"/>
    <w:rsid w:val="01FC7135"/>
    <w:rsid w:val="0205BCA0"/>
    <w:rsid w:val="026F1F0F"/>
    <w:rsid w:val="030B3198"/>
    <w:rsid w:val="0329757E"/>
    <w:rsid w:val="03319579"/>
    <w:rsid w:val="034E7DA9"/>
    <w:rsid w:val="03519BAE"/>
    <w:rsid w:val="03887DE7"/>
    <w:rsid w:val="0397780B"/>
    <w:rsid w:val="042AE205"/>
    <w:rsid w:val="048B9353"/>
    <w:rsid w:val="049A8417"/>
    <w:rsid w:val="04C88123"/>
    <w:rsid w:val="051E012E"/>
    <w:rsid w:val="05AF6A5F"/>
    <w:rsid w:val="05C0605D"/>
    <w:rsid w:val="05E4EFF0"/>
    <w:rsid w:val="0608C204"/>
    <w:rsid w:val="06AABCBD"/>
    <w:rsid w:val="06D8B287"/>
    <w:rsid w:val="06F88528"/>
    <w:rsid w:val="074BADF3"/>
    <w:rsid w:val="0770918C"/>
    <w:rsid w:val="0809A01C"/>
    <w:rsid w:val="08992E24"/>
    <w:rsid w:val="09724057"/>
    <w:rsid w:val="099B2D6B"/>
    <w:rsid w:val="099F054F"/>
    <w:rsid w:val="09A31745"/>
    <w:rsid w:val="09E8C66C"/>
    <w:rsid w:val="09F1F6BD"/>
    <w:rsid w:val="0A15E620"/>
    <w:rsid w:val="0A4BB4EF"/>
    <w:rsid w:val="0A4FC94C"/>
    <w:rsid w:val="0AAAAEA1"/>
    <w:rsid w:val="0AC89345"/>
    <w:rsid w:val="0B0BA3D5"/>
    <w:rsid w:val="0B5897C8"/>
    <w:rsid w:val="0B8478B0"/>
    <w:rsid w:val="0B84DA81"/>
    <w:rsid w:val="0BCD74A9"/>
    <w:rsid w:val="0C0B666C"/>
    <w:rsid w:val="0C45BCD1"/>
    <w:rsid w:val="0C8915E8"/>
    <w:rsid w:val="0CCE8981"/>
    <w:rsid w:val="0CD7F11A"/>
    <w:rsid w:val="0D000178"/>
    <w:rsid w:val="0D333A12"/>
    <w:rsid w:val="0DBCBC01"/>
    <w:rsid w:val="0DF99289"/>
    <w:rsid w:val="0E1611CF"/>
    <w:rsid w:val="0E484BBF"/>
    <w:rsid w:val="0F241CDB"/>
    <w:rsid w:val="0F8EEAC0"/>
    <w:rsid w:val="105F485D"/>
    <w:rsid w:val="107675A5"/>
    <w:rsid w:val="10AFA1F2"/>
    <w:rsid w:val="10C21D25"/>
    <w:rsid w:val="10E40C01"/>
    <w:rsid w:val="111D0DF7"/>
    <w:rsid w:val="1195E7C0"/>
    <w:rsid w:val="1210D0EA"/>
    <w:rsid w:val="1277FD3A"/>
    <w:rsid w:val="12BF9521"/>
    <w:rsid w:val="12CB890B"/>
    <w:rsid w:val="12FB6FE8"/>
    <w:rsid w:val="12FDB9F1"/>
    <w:rsid w:val="1338244E"/>
    <w:rsid w:val="13C44CD6"/>
    <w:rsid w:val="13EAA6A6"/>
    <w:rsid w:val="141AD475"/>
    <w:rsid w:val="149EEFA4"/>
    <w:rsid w:val="14B6CD0C"/>
    <w:rsid w:val="14D44B2E"/>
    <w:rsid w:val="14E12EB7"/>
    <w:rsid w:val="14FFF12D"/>
    <w:rsid w:val="15DFF5F2"/>
    <w:rsid w:val="170DDD6F"/>
    <w:rsid w:val="17363656"/>
    <w:rsid w:val="175BCD77"/>
    <w:rsid w:val="17A3FCC2"/>
    <w:rsid w:val="17BB8B6C"/>
    <w:rsid w:val="17C6AD27"/>
    <w:rsid w:val="18115F49"/>
    <w:rsid w:val="182FB907"/>
    <w:rsid w:val="191CD04F"/>
    <w:rsid w:val="19A6D795"/>
    <w:rsid w:val="19EC1C64"/>
    <w:rsid w:val="1A965485"/>
    <w:rsid w:val="1B1E7AC2"/>
    <w:rsid w:val="1B220300"/>
    <w:rsid w:val="1B885B0E"/>
    <w:rsid w:val="1BC8EF99"/>
    <w:rsid w:val="1C20A6CA"/>
    <w:rsid w:val="1C77E9EC"/>
    <w:rsid w:val="1CC9DB72"/>
    <w:rsid w:val="1CD4DBFD"/>
    <w:rsid w:val="1CDB6BF5"/>
    <w:rsid w:val="1D2B8FEF"/>
    <w:rsid w:val="1D5E3279"/>
    <w:rsid w:val="1E19E213"/>
    <w:rsid w:val="1E94FE72"/>
    <w:rsid w:val="1ED62615"/>
    <w:rsid w:val="1F59AB56"/>
    <w:rsid w:val="1F6317A7"/>
    <w:rsid w:val="20356662"/>
    <w:rsid w:val="20619067"/>
    <w:rsid w:val="21903412"/>
    <w:rsid w:val="21ACC226"/>
    <w:rsid w:val="21AEEEC3"/>
    <w:rsid w:val="21B7F291"/>
    <w:rsid w:val="21C12619"/>
    <w:rsid w:val="22C3CF82"/>
    <w:rsid w:val="231D7237"/>
    <w:rsid w:val="23376235"/>
    <w:rsid w:val="234450BC"/>
    <w:rsid w:val="23CE31BD"/>
    <w:rsid w:val="23DAC5C6"/>
    <w:rsid w:val="240690AE"/>
    <w:rsid w:val="24183A6A"/>
    <w:rsid w:val="245E984B"/>
    <w:rsid w:val="24F76D19"/>
    <w:rsid w:val="24FA62CC"/>
    <w:rsid w:val="255FE36A"/>
    <w:rsid w:val="25D7AEA0"/>
    <w:rsid w:val="25EF7A7E"/>
    <w:rsid w:val="26B5412F"/>
    <w:rsid w:val="26F69D62"/>
    <w:rsid w:val="271B9B15"/>
    <w:rsid w:val="279D3531"/>
    <w:rsid w:val="27B9869C"/>
    <w:rsid w:val="27D6B06A"/>
    <w:rsid w:val="27E0EE49"/>
    <w:rsid w:val="27F1F049"/>
    <w:rsid w:val="28D9F114"/>
    <w:rsid w:val="2948E30E"/>
    <w:rsid w:val="29620648"/>
    <w:rsid w:val="2990D386"/>
    <w:rsid w:val="29AD77F1"/>
    <w:rsid w:val="2A48D69B"/>
    <w:rsid w:val="2A816063"/>
    <w:rsid w:val="2A8E286F"/>
    <w:rsid w:val="2AD73F18"/>
    <w:rsid w:val="2AF3D571"/>
    <w:rsid w:val="2BCD393E"/>
    <w:rsid w:val="2C234FE6"/>
    <w:rsid w:val="2CA021B0"/>
    <w:rsid w:val="2CB32078"/>
    <w:rsid w:val="2D0210CB"/>
    <w:rsid w:val="2D149157"/>
    <w:rsid w:val="2D2E312D"/>
    <w:rsid w:val="2DFBAB4C"/>
    <w:rsid w:val="2E5054D1"/>
    <w:rsid w:val="2E6920CF"/>
    <w:rsid w:val="2E9D8C73"/>
    <w:rsid w:val="2ECCD514"/>
    <w:rsid w:val="2F1C1337"/>
    <w:rsid w:val="2F28C4EC"/>
    <w:rsid w:val="2F3B5716"/>
    <w:rsid w:val="2F57860B"/>
    <w:rsid w:val="2F7BE397"/>
    <w:rsid w:val="2F88C5A9"/>
    <w:rsid w:val="2F9B1F29"/>
    <w:rsid w:val="2FC880C2"/>
    <w:rsid w:val="2FD18932"/>
    <w:rsid w:val="30015833"/>
    <w:rsid w:val="307E3D3C"/>
    <w:rsid w:val="3089991D"/>
    <w:rsid w:val="30957A94"/>
    <w:rsid w:val="30D8AEFC"/>
    <w:rsid w:val="30FF090B"/>
    <w:rsid w:val="3149D965"/>
    <w:rsid w:val="3168566C"/>
    <w:rsid w:val="31BD643E"/>
    <w:rsid w:val="31E37770"/>
    <w:rsid w:val="31EBA6BE"/>
    <w:rsid w:val="324AE601"/>
    <w:rsid w:val="32A26E1C"/>
    <w:rsid w:val="32CBA5BB"/>
    <w:rsid w:val="330848D0"/>
    <w:rsid w:val="3327B571"/>
    <w:rsid w:val="3383C786"/>
    <w:rsid w:val="33CFCD64"/>
    <w:rsid w:val="345B8326"/>
    <w:rsid w:val="3462B540"/>
    <w:rsid w:val="34ED858D"/>
    <w:rsid w:val="35417914"/>
    <w:rsid w:val="35872BBA"/>
    <w:rsid w:val="363BF20A"/>
    <w:rsid w:val="367A6559"/>
    <w:rsid w:val="371566FE"/>
    <w:rsid w:val="371E3A1F"/>
    <w:rsid w:val="37AB444D"/>
    <w:rsid w:val="37F7B412"/>
    <w:rsid w:val="380ACADD"/>
    <w:rsid w:val="3844BCC5"/>
    <w:rsid w:val="38BD4EF8"/>
    <w:rsid w:val="38EE9B92"/>
    <w:rsid w:val="3912B92A"/>
    <w:rsid w:val="398E4C5E"/>
    <w:rsid w:val="39EAB891"/>
    <w:rsid w:val="39F0260B"/>
    <w:rsid w:val="3A057F8C"/>
    <w:rsid w:val="3A104066"/>
    <w:rsid w:val="3A3D6D42"/>
    <w:rsid w:val="3AF05E2E"/>
    <w:rsid w:val="3BE58823"/>
    <w:rsid w:val="3C6F42AA"/>
    <w:rsid w:val="3C9F30CF"/>
    <w:rsid w:val="3CAF2D2E"/>
    <w:rsid w:val="3D5BC939"/>
    <w:rsid w:val="3DE66119"/>
    <w:rsid w:val="3E153057"/>
    <w:rsid w:val="3E887A00"/>
    <w:rsid w:val="3EB48376"/>
    <w:rsid w:val="3F0DB10C"/>
    <w:rsid w:val="3F13AB8E"/>
    <w:rsid w:val="3F1A268B"/>
    <w:rsid w:val="3F2B16B9"/>
    <w:rsid w:val="3F3C0A84"/>
    <w:rsid w:val="3FF2971C"/>
    <w:rsid w:val="3FFE0C81"/>
    <w:rsid w:val="40343C6B"/>
    <w:rsid w:val="40523D6B"/>
    <w:rsid w:val="405DDF45"/>
    <w:rsid w:val="40939140"/>
    <w:rsid w:val="40B040B3"/>
    <w:rsid w:val="40C50E60"/>
    <w:rsid w:val="41039E9C"/>
    <w:rsid w:val="416CB7B9"/>
    <w:rsid w:val="41783D0B"/>
    <w:rsid w:val="419386E6"/>
    <w:rsid w:val="41B04F52"/>
    <w:rsid w:val="41B30943"/>
    <w:rsid w:val="424CF098"/>
    <w:rsid w:val="428F1697"/>
    <w:rsid w:val="4290FAAF"/>
    <w:rsid w:val="43A47AF9"/>
    <w:rsid w:val="43A482EA"/>
    <w:rsid w:val="43CE06A8"/>
    <w:rsid w:val="441A6D58"/>
    <w:rsid w:val="448BCC46"/>
    <w:rsid w:val="44C8D6B4"/>
    <w:rsid w:val="455914D0"/>
    <w:rsid w:val="45B0D90D"/>
    <w:rsid w:val="45EA5942"/>
    <w:rsid w:val="4634AE82"/>
    <w:rsid w:val="465672AC"/>
    <w:rsid w:val="465F1FD1"/>
    <w:rsid w:val="469D13E3"/>
    <w:rsid w:val="46AA5DA9"/>
    <w:rsid w:val="46DC81AE"/>
    <w:rsid w:val="47043210"/>
    <w:rsid w:val="478AA498"/>
    <w:rsid w:val="48031CCA"/>
    <w:rsid w:val="4823E7ED"/>
    <w:rsid w:val="489D1914"/>
    <w:rsid w:val="48AFC60E"/>
    <w:rsid w:val="48C86AD2"/>
    <w:rsid w:val="494B587B"/>
    <w:rsid w:val="499E7798"/>
    <w:rsid w:val="49E1A673"/>
    <w:rsid w:val="4A166F94"/>
    <w:rsid w:val="4A243441"/>
    <w:rsid w:val="4A2C6A0A"/>
    <w:rsid w:val="4A5C2417"/>
    <w:rsid w:val="4A66C5C0"/>
    <w:rsid w:val="4AC4C163"/>
    <w:rsid w:val="4AEC34F1"/>
    <w:rsid w:val="4AED4148"/>
    <w:rsid w:val="4BB701E4"/>
    <w:rsid w:val="4BC0DA2D"/>
    <w:rsid w:val="4C0BCD39"/>
    <w:rsid w:val="4C12D304"/>
    <w:rsid w:val="4C17839E"/>
    <w:rsid w:val="4C400BA7"/>
    <w:rsid w:val="4C8C4154"/>
    <w:rsid w:val="4C92CBE3"/>
    <w:rsid w:val="4CC72D4B"/>
    <w:rsid w:val="4CFD4A62"/>
    <w:rsid w:val="4D0D33F1"/>
    <w:rsid w:val="4D1DB2F9"/>
    <w:rsid w:val="4D34C6F6"/>
    <w:rsid w:val="4D600C9D"/>
    <w:rsid w:val="4D8A6B9B"/>
    <w:rsid w:val="4DA6AE32"/>
    <w:rsid w:val="4DB09475"/>
    <w:rsid w:val="4E4B1D5F"/>
    <w:rsid w:val="4E717179"/>
    <w:rsid w:val="4E838B63"/>
    <w:rsid w:val="4F0A9A83"/>
    <w:rsid w:val="4F6A2B0C"/>
    <w:rsid w:val="4F8BB5F4"/>
    <w:rsid w:val="4FC6AA4C"/>
    <w:rsid w:val="507662C2"/>
    <w:rsid w:val="50905F1B"/>
    <w:rsid w:val="50E04893"/>
    <w:rsid w:val="50E133F4"/>
    <w:rsid w:val="50ED59A2"/>
    <w:rsid w:val="511BBFE6"/>
    <w:rsid w:val="511F9B53"/>
    <w:rsid w:val="512EFFC7"/>
    <w:rsid w:val="51350DD6"/>
    <w:rsid w:val="51495D76"/>
    <w:rsid w:val="51CB944D"/>
    <w:rsid w:val="51FEA1C9"/>
    <w:rsid w:val="522C651B"/>
    <w:rsid w:val="5269CEBB"/>
    <w:rsid w:val="531CB909"/>
    <w:rsid w:val="5321B7CB"/>
    <w:rsid w:val="53A759F6"/>
    <w:rsid w:val="53B15E09"/>
    <w:rsid w:val="53F712FB"/>
    <w:rsid w:val="546B7F06"/>
    <w:rsid w:val="54749565"/>
    <w:rsid w:val="55087D0D"/>
    <w:rsid w:val="5519E6C2"/>
    <w:rsid w:val="5559D5B3"/>
    <w:rsid w:val="557BDB34"/>
    <w:rsid w:val="55D73DD9"/>
    <w:rsid w:val="569DC679"/>
    <w:rsid w:val="56F3C830"/>
    <w:rsid w:val="570651FB"/>
    <w:rsid w:val="57A4ACE7"/>
    <w:rsid w:val="5832C585"/>
    <w:rsid w:val="5866D853"/>
    <w:rsid w:val="586F0EEC"/>
    <w:rsid w:val="590CB7A5"/>
    <w:rsid w:val="591B39C8"/>
    <w:rsid w:val="59425188"/>
    <w:rsid w:val="59523472"/>
    <w:rsid w:val="598DDAE1"/>
    <w:rsid w:val="59B050F1"/>
    <w:rsid w:val="5A5D4F5C"/>
    <w:rsid w:val="5A7253D7"/>
    <w:rsid w:val="5A967BC1"/>
    <w:rsid w:val="5B096587"/>
    <w:rsid w:val="5B57AADF"/>
    <w:rsid w:val="5C470A47"/>
    <w:rsid w:val="5CBB8F3A"/>
    <w:rsid w:val="5CD4EA0C"/>
    <w:rsid w:val="5D14C487"/>
    <w:rsid w:val="5D5D0FC2"/>
    <w:rsid w:val="5D73A4EF"/>
    <w:rsid w:val="5DD5C608"/>
    <w:rsid w:val="5E1D1EBF"/>
    <w:rsid w:val="5E2CAE5B"/>
    <w:rsid w:val="5E381E54"/>
    <w:rsid w:val="5E3A2ED8"/>
    <w:rsid w:val="5F9CDA88"/>
    <w:rsid w:val="602C70C2"/>
    <w:rsid w:val="60339446"/>
    <w:rsid w:val="60774878"/>
    <w:rsid w:val="609295E6"/>
    <w:rsid w:val="60A6ADD3"/>
    <w:rsid w:val="60A8ABF2"/>
    <w:rsid w:val="60D391C5"/>
    <w:rsid w:val="60FBF6F5"/>
    <w:rsid w:val="610B08C3"/>
    <w:rsid w:val="610F1C17"/>
    <w:rsid w:val="6156F404"/>
    <w:rsid w:val="6193D684"/>
    <w:rsid w:val="61AADF98"/>
    <w:rsid w:val="620EE72B"/>
    <w:rsid w:val="625DF28D"/>
    <w:rsid w:val="6354A837"/>
    <w:rsid w:val="635E7D82"/>
    <w:rsid w:val="63633702"/>
    <w:rsid w:val="6378B834"/>
    <w:rsid w:val="63EDBFE2"/>
    <w:rsid w:val="63FA046D"/>
    <w:rsid w:val="64129906"/>
    <w:rsid w:val="64AD2388"/>
    <w:rsid w:val="6547FD1F"/>
    <w:rsid w:val="662D1F0A"/>
    <w:rsid w:val="6650E9B2"/>
    <w:rsid w:val="668036D7"/>
    <w:rsid w:val="673405E4"/>
    <w:rsid w:val="673E5BC9"/>
    <w:rsid w:val="6789215C"/>
    <w:rsid w:val="67A97570"/>
    <w:rsid w:val="67F994F4"/>
    <w:rsid w:val="6872A003"/>
    <w:rsid w:val="68768C4E"/>
    <w:rsid w:val="6877F175"/>
    <w:rsid w:val="68985A91"/>
    <w:rsid w:val="68A204EE"/>
    <w:rsid w:val="69106A0B"/>
    <w:rsid w:val="69169A9D"/>
    <w:rsid w:val="697DF965"/>
    <w:rsid w:val="69BE8C69"/>
    <w:rsid w:val="69F1C471"/>
    <w:rsid w:val="6AB9DA16"/>
    <w:rsid w:val="6ADEAEC3"/>
    <w:rsid w:val="6B0E00F6"/>
    <w:rsid w:val="6B7405B3"/>
    <w:rsid w:val="6BB61F9D"/>
    <w:rsid w:val="6BB6AF78"/>
    <w:rsid w:val="6BF047A0"/>
    <w:rsid w:val="6C0E835B"/>
    <w:rsid w:val="6C7DD03A"/>
    <w:rsid w:val="6CA97639"/>
    <w:rsid w:val="6CAD77FF"/>
    <w:rsid w:val="6CF91C35"/>
    <w:rsid w:val="6D17602E"/>
    <w:rsid w:val="6D5167E6"/>
    <w:rsid w:val="6D5573CF"/>
    <w:rsid w:val="6D680B4F"/>
    <w:rsid w:val="6DB23616"/>
    <w:rsid w:val="6DCF5B5F"/>
    <w:rsid w:val="6DE695CD"/>
    <w:rsid w:val="6E02CA1B"/>
    <w:rsid w:val="6E148B9A"/>
    <w:rsid w:val="6E38FDBF"/>
    <w:rsid w:val="6E3F4C5B"/>
    <w:rsid w:val="6E7B6EAB"/>
    <w:rsid w:val="6E93EA65"/>
    <w:rsid w:val="6E9AA230"/>
    <w:rsid w:val="6ECC8671"/>
    <w:rsid w:val="6F050F19"/>
    <w:rsid w:val="6F40DC2C"/>
    <w:rsid w:val="6F4CC1EB"/>
    <w:rsid w:val="7044AE73"/>
    <w:rsid w:val="71100603"/>
    <w:rsid w:val="7181B4E2"/>
    <w:rsid w:val="71A742C6"/>
    <w:rsid w:val="71C58091"/>
    <w:rsid w:val="71C9FA3D"/>
    <w:rsid w:val="72E8A198"/>
    <w:rsid w:val="73073FD3"/>
    <w:rsid w:val="731E1BFF"/>
    <w:rsid w:val="7400CC15"/>
    <w:rsid w:val="741804C5"/>
    <w:rsid w:val="741921C3"/>
    <w:rsid w:val="746229E5"/>
    <w:rsid w:val="7466E795"/>
    <w:rsid w:val="746D1817"/>
    <w:rsid w:val="7471A983"/>
    <w:rsid w:val="757FCD76"/>
    <w:rsid w:val="75F1702B"/>
    <w:rsid w:val="76BC2254"/>
    <w:rsid w:val="770413D8"/>
    <w:rsid w:val="784DC5FF"/>
    <w:rsid w:val="78B0D603"/>
    <w:rsid w:val="78D2732A"/>
    <w:rsid w:val="78D776E1"/>
    <w:rsid w:val="79A0993A"/>
    <w:rsid w:val="79E2BE08"/>
    <w:rsid w:val="79EE6A8E"/>
    <w:rsid w:val="79F2C9C5"/>
    <w:rsid w:val="7A0DC333"/>
    <w:rsid w:val="7BA8F847"/>
    <w:rsid w:val="7BF4E677"/>
    <w:rsid w:val="7C07963D"/>
    <w:rsid w:val="7C971F09"/>
    <w:rsid w:val="7CA14653"/>
    <w:rsid w:val="7D6546E2"/>
    <w:rsid w:val="7DB121C9"/>
    <w:rsid w:val="7DC7305C"/>
    <w:rsid w:val="7DF4E61C"/>
    <w:rsid w:val="7E3EDD04"/>
    <w:rsid w:val="7E548885"/>
    <w:rsid w:val="7ECBDBA1"/>
    <w:rsid w:val="7F7D4186"/>
    <w:rsid w:val="7FDA3993"/>
    <w:rsid w:val="7FEF6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7CF097"/>
  <w15:chartTrackingRefBased/>
  <w15:docId w15:val="{D5FA43A5-5D36-4B29-8E76-9AF68BED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304"/>
  </w:style>
  <w:style w:type="paragraph" w:styleId="Heading1">
    <w:name w:val="heading 1"/>
    <w:basedOn w:val="Normal"/>
    <w:next w:val="Normal"/>
    <w:link w:val="Heading1Char"/>
    <w:uiPriority w:val="9"/>
    <w:qFormat/>
    <w:rsid w:val="00186EC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6E8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E6E8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86EC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86EC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86EC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86EC1"/>
    <w:rPr>
      <w:rFonts w:asciiTheme="majorHAnsi" w:eastAsiaTheme="majorEastAsia" w:hAnsiTheme="majorHAnsi" w:cstheme="majorBidi"/>
      <w:color w:val="2F5496" w:themeColor="accent1" w:themeShade="BF"/>
    </w:rPr>
  </w:style>
  <w:style w:type="paragraph" w:styleId="FootnoteText">
    <w:name w:val="footnote text"/>
    <w:aliases w:val="Footnote Text Char2,Footnote Text Char1 Char,Footnote Text Char3 Char Char,Footnote Text Char2 Char Char Char,Footnote Text Char1 Char1 Char Char Char,ft Char1 Char Char Char Char,Footnote Text Char1 Char Char Char Char Char,Carattere, Car"/>
    <w:basedOn w:val="Normal"/>
    <w:link w:val="FootnoteTextChar"/>
    <w:uiPriority w:val="99"/>
    <w:unhideWhenUsed/>
    <w:rsid w:val="00186EC1"/>
    <w:rPr>
      <w:sz w:val="20"/>
      <w:szCs w:val="20"/>
    </w:rPr>
  </w:style>
  <w:style w:type="character" w:customStyle="1" w:styleId="FootnoteTextChar">
    <w:name w:val="Footnote Text Char"/>
    <w:aliases w:val="Footnote Text Char2 Char,Footnote Text Char1 Char Char,Footnote Text Char3 Char Char Char,Footnote Text Char2 Char Char Char Char,Footnote Text Char1 Char1 Char Char Char Char,ft Char1 Char Char Char Char Char,Carattere Char, Car Char"/>
    <w:basedOn w:val="DefaultParagraphFont"/>
    <w:link w:val="FootnoteText"/>
    <w:uiPriority w:val="99"/>
    <w:rsid w:val="00186EC1"/>
    <w:rPr>
      <w:sz w:val="20"/>
      <w:szCs w:val="20"/>
    </w:rPr>
  </w:style>
  <w:style w:type="character" w:styleId="FootnoteReference">
    <w:name w:val="footnote reference"/>
    <w:aliases w:val="fr,FZ,Standard + Block,Erste Zeile:  1 cm,[0]"/>
    <w:basedOn w:val="DefaultParagraphFont"/>
    <w:uiPriority w:val="99"/>
    <w:unhideWhenUsed/>
    <w:qFormat/>
    <w:rsid w:val="00186EC1"/>
    <w:rPr>
      <w:vertAlign w:val="superscript"/>
    </w:rPr>
  </w:style>
  <w:style w:type="character" w:customStyle="1" w:styleId="Heading1Char">
    <w:name w:val="Heading 1 Char"/>
    <w:basedOn w:val="DefaultParagraphFont"/>
    <w:link w:val="Heading1"/>
    <w:uiPriority w:val="9"/>
    <w:rsid w:val="00186EC1"/>
    <w:rPr>
      <w:rFonts w:asciiTheme="majorHAnsi" w:eastAsiaTheme="majorEastAsia" w:hAnsiTheme="majorHAnsi" w:cstheme="majorBidi"/>
      <w:color w:val="2F5496" w:themeColor="accent1" w:themeShade="BF"/>
      <w:sz w:val="32"/>
      <w:szCs w:val="32"/>
    </w:rPr>
  </w:style>
  <w:style w:type="paragraph" w:customStyle="1" w:styleId="TextBody">
    <w:name w:val="Text Body"/>
    <w:basedOn w:val="Normal"/>
    <w:rsid w:val="00BE4617"/>
    <w:pPr>
      <w:widowControl w:val="0"/>
      <w:suppressAutoHyphens/>
      <w:spacing w:after="283"/>
    </w:pPr>
    <w:rPr>
      <w:rFonts w:ascii="Liberation Serif" w:eastAsia="SimSun" w:hAnsi="Liberation Serif" w:cs="Lucida Sans"/>
      <w:lang w:val="it-IT" w:eastAsia="zh-CN" w:bidi="hi-IN"/>
    </w:rPr>
  </w:style>
  <w:style w:type="character" w:customStyle="1" w:styleId="Heading2Char">
    <w:name w:val="Heading 2 Char"/>
    <w:basedOn w:val="DefaultParagraphFont"/>
    <w:link w:val="Heading2"/>
    <w:uiPriority w:val="9"/>
    <w:rsid w:val="006E6E8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E6E8A"/>
    <w:rPr>
      <w:rFonts w:asciiTheme="majorHAnsi" w:eastAsiaTheme="majorEastAsia" w:hAnsiTheme="majorHAnsi" w:cstheme="majorBidi"/>
      <w:color w:val="1F3763" w:themeColor="accent1" w:themeShade="7F"/>
    </w:rPr>
  </w:style>
  <w:style w:type="paragraph" w:styleId="NoSpacing">
    <w:name w:val="No Spacing"/>
    <w:uiPriority w:val="1"/>
    <w:qFormat/>
    <w:rsid w:val="006E6E8A"/>
  </w:style>
  <w:style w:type="paragraph" w:styleId="ListParagraph">
    <w:name w:val="List Paragraph"/>
    <w:basedOn w:val="Normal"/>
    <w:uiPriority w:val="34"/>
    <w:qFormat/>
    <w:rsid w:val="004D1821"/>
    <w:pPr>
      <w:ind w:left="720"/>
      <w:contextualSpacing/>
    </w:pPr>
  </w:style>
  <w:style w:type="paragraph" w:styleId="Header">
    <w:name w:val="header"/>
    <w:basedOn w:val="Normal"/>
    <w:link w:val="HeaderChar"/>
    <w:uiPriority w:val="99"/>
    <w:unhideWhenUsed/>
    <w:rsid w:val="0033099A"/>
    <w:pPr>
      <w:tabs>
        <w:tab w:val="center" w:pos="4513"/>
        <w:tab w:val="right" w:pos="9026"/>
      </w:tabs>
    </w:pPr>
  </w:style>
  <w:style w:type="character" w:customStyle="1" w:styleId="HeaderChar">
    <w:name w:val="Header Char"/>
    <w:basedOn w:val="DefaultParagraphFont"/>
    <w:link w:val="Header"/>
    <w:uiPriority w:val="99"/>
    <w:rsid w:val="0033099A"/>
  </w:style>
  <w:style w:type="paragraph" w:styleId="Footer">
    <w:name w:val="footer"/>
    <w:basedOn w:val="Normal"/>
    <w:link w:val="FooterChar"/>
    <w:uiPriority w:val="99"/>
    <w:unhideWhenUsed/>
    <w:rsid w:val="0033099A"/>
    <w:pPr>
      <w:tabs>
        <w:tab w:val="center" w:pos="4513"/>
        <w:tab w:val="right" w:pos="9026"/>
      </w:tabs>
    </w:pPr>
  </w:style>
  <w:style w:type="character" w:customStyle="1" w:styleId="FooterChar">
    <w:name w:val="Footer Char"/>
    <w:basedOn w:val="DefaultParagraphFont"/>
    <w:link w:val="Footer"/>
    <w:uiPriority w:val="99"/>
    <w:rsid w:val="0033099A"/>
  </w:style>
  <w:style w:type="character" w:styleId="Hyperlink">
    <w:name w:val="Hyperlink"/>
    <w:basedOn w:val="DefaultParagraphFont"/>
    <w:uiPriority w:val="99"/>
    <w:unhideWhenUsed/>
    <w:rsid w:val="00BB27A7"/>
    <w:rPr>
      <w:color w:val="0563C1" w:themeColor="hyperlink"/>
      <w:u w:val="single"/>
    </w:rPr>
  </w:style>
  <w:style w:type="paragraph" w:styleId="BalloonText">
    <w:name w:val="Balloon Text"/>
    <w:basedOn w:val="Normal"/>
    <w:link w:val="BalloonTextChar"/>
    <w:uiPriority w:val="99"/>
    <w:semiHidden/>
    <w:unhideWhenUsed/>
    <w:rsid w:val="008B1F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F89"/>
    <w:rPr>
      <w:rFonts w:ascii="Segoe UI" w:hAnsi="Segoe UI" w:cs="Segoe UI"/>
      <w:sz w:val="18"/>
      <w:szCs w:val="18"/>
    </w:rPr>
  </w:style>
  <w:style w:type="character" w:styleId="CommentReference">
    <w:name w:val="annotation reference"/>
    <w:basedOn w:val="DefaultParagraphFont"/>
    <w:uiPriority w:val="99"/>
    <w:semiHidden/>
    <w:unhideWhenUsed/>
    <w:rsid w:val="00401753"/>
    <w:rPr>
      <w:sz w:val="16"/>
      <w:szCs w:val="16"/>
    </w:rPr>
  </w:style>
  <w:style w:type="paragraph" w:styleId="CommentText">
    <w:name w:val="annotation text"/>
    <w:basedOn w:val="Normal"/>
    <w:link w:val="CommentTextChar"/>
    <w:uiPriority w:val="99"/>
    <w:unhideWhenUsed/>
    <w:rsid w:val="00401753"/>
    <w:rPr>
      <w:sz w:val="20"/>
      <w:szCs w:val="20"/>
    </w:rPr>
  </w:style>
  <w:style w:type="character" w:customStyle="1" w:styleId="CommentTextChar">
    <w:name w:val="Comment Text Char"/>
    <w:basedOn w:val="DefaultParagraphFont"/>
    <w:link w:val="CommentText"/>
    <w:uiPriority w:val="99"/>
    <w:rsid w:val="00401753"/>
    <w:rPr>
      <w:sz w:val="20"/>
      <w:szCs w:val="20"/>
    </w:rPr>
  </w:style>
  <w:style w:type="paragraph" w:styleId="CommentSubject">
    <w:name w:val="annotation subject"/>
    <w:basedOn w:val="CommentText"/>
    <w:next w:val="CommentText"/>
    <w:link w:val="CommentSubjectChar"/>
    <w:uiPriority w:val="99"/>
    <w:semiHidden/>
    <w:unhideWhenUsed/>
    <w:rsid w:val="00401753"/>
    <w:rPr>
      <w:b/>
      <w:bCs/>
    </w:rPr>
  </w:style>
  <w:style w:type="character" w:customStyle="1" w:styleId="CommentSubjectChar">
    <w:name w:val="Comment Subject Char"/>
    <w:basedOn w:val="CommentTextChar"/>
    <w:link w:val="CommentSubject"/>
    <w:uiPriority w:val="99"/>
    <w:semiHidden/>
    <w:rsid w:val="00401753"/>
    <w:rPr>
      <w:b/>
      <w:bCs/>
      <w:sz w:val="20"/>
      <w:szCs w:val="20"/>
    </w:rPr>
  </w:style>
  <w:style w:type="paragraph" w:styleId="Title">
    <w:name w:val="Title"/>
    <w:basedOn w:val="Normal"/>
    <w:next w:val="Normal"/>
    <w:link w:val="TitleChar"/>
    <w:uiPriority w:val="10"/>
    <w:qFormat/>
    <w:rsid w:val="005B37C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37C0"/>
    <w:rPr>
      <w:rFonts w:asciiTheme="majorHAnsi" w:eastAsiaTheme="majorEastAsia" w:hAnsiTheme="majorHAnsi" w:cstheme="majorBidi"/>
      <w:spacing w:val="-10"/>
      <w:kern w:val="28"/>
      <w:sz w:val="56"/>
      <w:szCs w:val="56"/>
    </w:rPr>
  </w:style>
  <w:style w:type="character" w:styleId="HTMLCite">
    <w:name w:val="HTML Cite"/>
    <w:basedOn w:val="DefaultParagraphFont"/>
    <w:uiPriority w:val="99"/>
    <w:semiHidden/>
    <w:unhideWhenUsed/>
    <w:rsid w:val="00667498"/>
    <w:rPr>
      <w:i/>
      <w:iCs/>
    </w:rPr>
  </w:style>
  <w:style w:type="character" w:customStyle="1" w:styleId="publication-article-publication">
    <w:name w:val="publication-article-publication"/>
    <w:basedOn w:val="DefaultParagraphFont"/>
    <w:rsid w:val="0093663F"/>
  </w:style>
  <w:style w:type="paragraph" w:styleId="Revision">
    <w:name w:val="Revision"/>
    <w:hidden/>
    <w:uiPriority w:val="99"/>
    <w:semiHidden/>
    <w:rsid w:val="004352C5"/>
  </w:style>
  <w:style w:type="character" w:customStyle="1" w:styleId="nlmarticle-title">
    <w:name w:val="nlm_article-title"/>
    <w:basedOn w:val="DefaultParagraphFont"/>
    <w:rsid w:val="00CF5610"/>
  </w:style>
  <w:style w:type="character" w:customStyle="1" w:styleId="contribdegrees">
    <w:name w:val="contribdegrees"/>
    <w:basedOn w:val="DefaultParagraphFont"/>
    <w:rsid w:val="00CF5610"/>
  </w:style>
  <w:style w:type="character" w:styleId="Strong">
    <w:name w:val="Strong"/>
    <w:basedOn w:val="DefaultParagraphFont"/>
    <w:uiPriority w:val="22"/>
    <w:qFormat/>
    <w:rsid w:val="00A167A4"/>
    <w:rPr>
      <w:b/>
      <w:bCs/>
    </w:rPr>
  </w:style>
  <w:style w:type="character" w:customStyle="1" w:styleId="year">
    <w:name w:val="year"/>
    <w:basedOn w:val="DefaultParagraphFont"/>
    <w:rsid w:val="00202290"/>
  </w:style>
  <w:style w:type="character" w:customStyle="1" w:styleId="pub-name">
    <w:name w:val="pub-name"/>
    <w:basedOn w:val="DefaultParagraphFont"/>
    <w:rsid w:val="00202290"/>
  </w:style>
  <w:style w:type="character" w:customStyle="1" w:styleId="venuedetails">
    <w:name w:val="venuedetails"/>
    <w:basedOn w:val="DefaultParagraphFont"/>
    <w:rsid w:val="00202290"/>
  </w:style>
  <w:style w:type="character" w:customStyle="1" w:styleId="author-item">
    <w:name w:val="author-item"/>
    <w:basedOn w:val="DefaultParagraphFont"/>
    <w:rsid w:val="00202290"/>
  </w:style>
  <w:style w:type="character" w:customStyle="1" w:styleId="publication-metatype">
    <w:name w:val="publication-meta__type"/>
    <w:basedOn w:val="DefaultParagraphFont"/>
    <w:rsid w:val="00202290"/>
  </w:style>
  <w:style w:type="character" w:styleId="Emphasis">
    <w:name w:val="Emphasis"/>
    <w:basedOn w:val="DefaultParagraphFont"/>
    <w:uiPriority w:val="20"/>
    <w:qFormat/>
    <w:rsid w:val="00202290"/>
    <w:rPr>
      <w:i/>
      <w:iCs/>
    </w:rPr>
  </w:style>
  <w:style w:type="character" w:customStyle="1" w:styleId="epub-state">
    <w:name w:val="epub-state"/>
    <w:basedOn w:val="DefaultParagraphFont"/>
    <w:rsid w:val="00202290"/>
  </w:style>
  <w:style w:type="character" w:customStyle="1" w:styleId="epub-date">
    <w:name w:val="epub-date"/>
    <w:basedOn w:val="DefaultParagraphFont"/>
    <w:rsid w:val="00202290"/>
  </w:style>
  <w:style w:type="character" w:customStyle="1" w:styleId="publicationcontentepubdate">
    <w:name w:val="publicationcontentepubdate"/>
    <w:basedOn w:val="DefaultParagraphFont"/>
    <w:rsid w:val="00202290"/>
  </w:style>
  <w:style w:type="character" w:customStyle="1" w:styleId="articletype">
    <w:name w:val="articletype"/>
    <w:basedOn w:val="DefaultParagraphFont"/>
    <w:rsid w:val="00202290"/>
  </w:style>
  <w:style w:type="character" w:customStyle="1" w:styleId="legds">
    <w:name w:val="legds"/>
    <w:basedOn w:val="DefaultParagraphFont"/>
    <w:rsid w:val="00243E82"/>
  </w:style>
  <w:style w:type="character" w:customStyle="1" w:styleId="legterm">
    <w:name w:val="legterm"/>
    <w:basedOn w:val="DefaultParagraphFont"/>
    <w:rsid w:val="00243E82"/>
  </w:style>
  <w:style w:type="paragraph" w:styleId="NormalWeb">
    <w:name w:val="Normal (Web)"/>
    <w:basedOn w:val="Normal"/>
    <w:uiPriority w:val="99"/>
    <w:semiHidden/>
    <w:unhideWhenUsed/>
    <w:rsid w:val="00651214"/>
    <w:rPr>
      <w:rFonts w:ascii="Times New Roman" w:hAnsi="Times New Roman" w:cs="Times New Roman"/>
    </w:rPr>
  </w:style>
  <w:style w:type="character" w:styleId="FollowedHyperlink">
    <w:name w:val="FollowedHyperlink"/>
    <w:basedOn w:val="DefaultParagraphFont"/>
    <w:uiPriority w:val="99"/>
    <w:semiHidden/>
    <w:unhideWhenUsed/>
    <w:rsid w:val="001427ED"/>
    <w:rPr>
      <w:color w:val="954F72" w:themeColor="followedHyperlink"/>
      <w:u w:val="single"/>
    </w:rPr>
  </w:style>
  <w:style w:type="character" w:styleId="UnresolvedMention">
    <w:name w:val="Unresolved Mention"/>
    <w:basedOn w:val="DefaultParagraphFont"/>
    <w:uiPriority w:val="99"/>
    <w:semiHidden/>
    <w:unhideWhenUsed/>
    <w:rsid w:val="00C35A7E"/>
    <w:rPr>
      <w:color w:val="605E5C"/>
      <w:shd w:val="clear" w:color="auto" w:fill="E1DFDD"/>
    </w:rPr>
  </w:style>
  <w:style w:type="paragraph" w:styleId="EndnoteText">
    <w:name w:val="endnote text"/>
    <w:basedOn w:val="Normal"/>
    <w:link w:val="EndnoteTextChar"/>
    <w:uiPriority w:val="99"/>
    <w:semiHidden/>
    <w:unhideWhenUsed/>
    <w:rsid w:val="00FC1E73"/>
    <w:rPr>
      <w:sz w:val="20"/>
      <w:szCs w:val="20"/>
    </w:rPr>
  </w:style>
  <w:style w:type="character" w:customStyle="1" w:styleId="EndnoteTextChar">
    <w:name w:val="Endnote Text Char"/>
    <w:basedOn w:val="DefaultParagraphFont"/>
    <w:link w:val="EndnoteText"/>
    <w:uiPriority w:val="99"/>
    <w:semiHidden/>
    <w:rsid w:val="00FC1E73"/>
    <w:rPr>
      <w:sz w:val="20"/>
      <w:szCs w:val="20"/>
    </w:rPr>
  </w:style>
  <w:style w:type="character" w:styleId="EndnoteReference">
    <w:name w:val="endnote reference"/>
    <w:basedOn w:val="DefaultParagraphFont"/>
    <w:uiPriority w:val="99"/>
    <w:semiHidden/>
    <w:unhideWhenUsed/>
    <w:rsid w:val="00FC1E73"/>
    <w:rPr>
      <w:vertAlign w:val="superscript"/>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rticle-classifiergap">
    <w:name w:val="article-classifier__gap"/>
    <w:basedOn w:val="DefaultParagraphFont"/>
    <w:rsid w:val="003355DE"/>
  </w:style>
  <w:style w:type="character" w:customStyle="1" w:styleId="a">
    <w:name w:val="_"/>
    <w:basedOn w:val="DefaultParagraphFont"/>
    <w:rsid w:val="00680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00403">
      <w:bodyDiv w:val="1"/>
      <w:marLeft w:val="0"/>
      <w:marRight w:val="0"/>
      <w:marTop w:val="0"/>
      <w:marBottom w:val="0"/>
      <w:divBdr>
        <w:top w:val="none" w:sz="0" w:space="0" w:color="auto"/>
        <w:left w:val="none" w:sz="0" w:space="0" w:color="auto"/>
        <w:bottom w:val="none" w:sz="0" w:space="0" w:color="auto"/>
        <w:right w:val="none" w:sz="0" w:space="0" w:color="auto"/>
      </w:divBdr>
    </w:div>
    <w:div w:id="259878059">
      <w:bodyDiv w:val="1"/>
      <w:marLeft w:val="0"/>
      <w:marRight w:val="0"/>
      <w:marTop w:val="0"/>
      <w:marBottom w:val="0"/>
      <w:divBdr>
        <w:top w:val="none" w:sz="0" w:space="0" w:color="auto"/>
        <w:left w:val="none" w:sz="0" w:space="0" w:color="auto"/>
        <w:bottom w:val="none" w:sz="0" w:space="0" w:color="auto"/>
        <w:right w:val="none" w:sz="0" w:space="0" w:color="auto"/>
      </w:divBdr>
      <w:divsChild>
        <w:div w:id="1129009615">
          <w:marLeft w:val="0"/>
          <w:marRight w:val="0"/>
          <w:marTop w:val="0"/>
          <w:marBottom w:val="0"/>
          <w:divBdr>
            <w:top w:val="none" w:sz="0" w:space="0" w:color="auto"/>
            <w:left w:val="none" w:sz="0" w:space="0" w:color="auto"/>
            <w:bottom w:val="none" w:sz="0" w:space="0" w:color="auto"/>
            <w:right w:val="none" w:sz="0" w:space="0" w:color="auto"/>
          </w:divBdr>
        </w:div>
        <w:div w:id="992567432">
          <w:marLeft w:val="0"/>
          <w:marRight w:val="0"/>
          <w:marTop w:val="0"/>
          <w:marBottom w:val="150"/>
          <w:divBdr>
            <w:top w:val="none" w:sz="0" w:space="0" w:color="auto"/>
            <w:left w:val="none" w:sz="0" w:space="0" w:color="auto"/>
            <w:bottom w:val="none" w:sz="0" w:space="0" w:color="auto"/>
            <w:right w:val="none" w:sz="0" w:space="0" w:color="auto"/>
          </w:divBdr>
          <w:divsChild>
            <w:div w:id="1344278564">
              <w:marLeft w:val="0"/>
              <w:marRight w:val="0"/>
              <w:marTop w:val="0"/>
              <w:marBottom w:val="0"/>
              <w:divBdr>
                <w:top w:val="none" w:sz="0" w:space="0" w:color="auto"/>
                <w:left w:val="none" w:sz="0" w:space="0" w:color="auto"/>
                <w:bottom w:val="none" w:sz="0" w:space="0" w:color="auto"/>
                <w:right w:val="none" w:sz="0" w:space="0" w:color="auto"/>
              </w:divBdr>
              <w:divsChild>
                <w:div w:id="306209904">
                  <w:marLeft w:val="0"/>
                  <w:marRight w:val="0"/>
                  <w:marTop w:val="0"/>
                  <w:marBottom w:val="0"/>
                  <w:divBdr>
                    <w:top w:val="none" w:sz="0" w:space="0" w:color="auto"/>
                    <w:left w:val="none" w:sz="0" w:space="0" w:color="auto"/>
                    <w:bottom w:val="none" w:sz="0" w:space="0" w:color="auto"/>
                    <w:right w:val="none" w:sz="0" w:space="0" w:color="auto"/>
                  </w:divBdr>
                  <w:divsChild>
                    <w:div w:id="59463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74355">
          <w:marLeft w:val="0"/>
          <w:marRight w:val="0"/>
          <w:marTop w:val="30"/>
          <w:marBottom w:val="105"/>
          <w:divBdr>
            <w:top w:val="none" w:sz="0" w:space="0" w:color="auto"/>
            <w:left w:val="none" w:sz="0" w:space="0" w:color="auto"/>
            <w:bottom w:val="none" w:sz="0" w:space="0" w:color="auto"/>
            <w:right w:val="none" w:sz="0" w:space="0" w:color="auto"/>
          </w:divBdr>
          <w:divsChild>
            <w:div w:id="1469281237">
              <w:marLeft w:val="0"/>
              <w:marRight w:val="0"/>
              <w:marTop w:val="0"/>
              <w:marBottom w:val="0"/>
              <w:divBdr>
                <w:top w:val="none" w:sz="0" w:space="0" w:color="auto"/>
                <w:left w:val="none" w:sz="0" w:space="0" w:color="auto"/>
                <w:bottom w:val="none" w:sz="0" w:space="0" w:color="auto"/>
                <w:right w:val="none" w:sz="0" w:space="0" w:color="auto"/>
              </w:divBdr>
              <w:divsChild>
                <w:div w:id="400718852">
                  <w:marLeft w:val="0"/>
                  <w:marRight w:val="0"/>
                  <w:marTop w:val="0"/>
                  <w:marBottom w:val="0"/>
                  <w:divBdr>
                    <w:top w:val="none" w:sz="0" w:space="0" w:color="auto"/>
                    <w:left w:val="none" w:sz="0" w:space="0" w:color="auto"/>
                    <w:bottom w:val="none" w:sz="0" w:space="0" w:color="auto"/>
                    <w:right w:val="none" w:sz="0" w:space="0" w:color="auto"/>
                  </w:divBdr>
                  <w:divsChild>
                    <w:div w:id="2088962850">
                      <w:marLeft w:val="0"/>
                      <w:marRight w:val="0"/>
                      <w:marTop w:val="0"/>
                      <w:marBottom w:val="0"/>
                      <w:divBdr>
                        <w:top w:val="none" w:sz="0" w:space="0" w:color="auto"/>
                        <w:left w:val="none" w:sz="0" w:space="0" w:color="auto"/>
                        <w:bottom w:val="none" w:sz="0" w:space="0" w:color="auto"/>
                        <w:right w:val="none" w:sz="0" w:space="0" w:color="auto"/>
                      </w:divBdr>
                      <w:divsChild>
                        <w:div w:id="196931020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383026">
      <w:bodyDiv w:val="1"/>
      <w:marLeft w:val="0"/>
      <w:marRight w:val="0"/>
      <w:marTop w:val="0"/>
      <w:marBottom w:val="0"/>
      <w:divBdr>
        <w:top w:val="none" w:sz="0" w:space="0" w:color="auto"/>
        <w:left w:val="none" w:sz="0" w:space="0" w:color="auto"/>
        <w:bottom w:val="none" w:sz="0" w:space="0" w:color="auto"/>
        <w:right w:val="none" w:sz="0" w:space="0" w:color="auto"/>
      </w:divBdr>
    </w:div>
    <w:div w:id="318579886">
      <w:bodyDiv w:val="1"/>
      <w:marLeft w:val="0"/>
      <w:marRight w:val="0"/>
      <w:marTop w:val="0"/>
      <w:marBottom w:val="0"/>
      <w:divBdr>
        <w:top w:val="none" w:sz="0" w:space="0" w:color="auto"/>
        <w:left w:val="none" w:sz="0" w:space="0" w:color="auto"/>
        <w:bottom w:val="none" w:sz="0" w:space="0" w:color="auto"/>
        <w:right w:val="none" w:sz="0" w:space="0" w:color="auto"/>
      </w:divBdr>
      <w:divsChild>
        <w:div w:id="20985276">
          <w:marLeft w:val="0"/>
          <w:marRight w:val="0"/>
          <w:marTop w:val="0"/>
          <w:marBottom w:val="0"/>
          <w:divBdr>
            <w:top w:val="none" w:sz="0" w:space="0" w:color="auto"/>
            <w:left w:val="none" w:sz="0" w:space="0" w:color="auto"/>
            <w:bottom w:val="none" w:sz="0" w:space="0" w:color="auto"/>
            <w:right w:val="none" w:sz="0" w:space="0" w:color="auto"/>
          </w:divBdr>
          <w:divsChild>
            <w:div w:id="40384537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320429797">
      <w:bodyDiv w:val="1"/>
      <w:marLeft w:val="0"/>
      <w:marRight w:val="0"/>
      <w:marTop w:val="0"/>
      <w:marBottom w:val="0"/>
      <w:divBdr>
        <w:top w:val="none" w:sz="0" w:space="0" w:color="auto"/>
        <w:left w:val="none" w:sz="0" w:space="0" w:color="auto"/>
        <w:bottom w:val="none" w:sz="0" w:space="0" w:color="auto"/>
        <w:right w:val="none" w:sz="0" w:space="0" w:color="auto"/>
      </w:divBdr>
      <w:divsChild>
        <w:div w:id="484050868">
          <w:marLeft w:val="0"/>
          <w:marRight w:val="0"/>
          <w:marTop w:val="0"/>
          <w:marBottom w:val="0"/>
          <w:divBdr>
            <w:top w:val="none" w:sz="0" w:space="0" w:color="auto"/>
            <w:left w:val="none" w:sz="0" w:space="0" w:color="auto"/>
            <w:bottom w:val="none" w:sz="0" w:space="0" w:color="auto"/>
            <w:right w:val="none" w:sz="0" w:space="0" w:color="auto"/>
          </w:divBdr>
          <w:divsChild>
            <w:div w:id="422147044">
              <w:marLeft w:val="0"/>
              <w:marRight w:val="0"/>
              <w:marTop w:val="0"/>
              <w:marBottom w:val="0"/>
              <w:divBdr>
                <w:top w:val="none" w:sz="0" w:space="0" w:color="auto"/>
                <w:left w:val="none" w:sz="0" w:space="0" w:color="auto"/>
                <w:bottom w:val="none" w:sz="0" w:space="0" w:color="auto"/>
                <w:right w:val="none" w:sz="0" w:space="0" w:color="auto"/>
              </w:divBdr>
              <w:divsChild>
                <w:div w:id="3069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34623">
      <w:bodyDiv w:val="1"/>
      <w:marLeft w:val="0"/>
      <w:marRight w:val="0"/>
      <w:marTop w:val="0"/>
      <w:marBottom w:val="0"/>
      <w:divBdr>
        <w:top w:val="none" w:sz="0" w:space="0" w:color="auto"/>
        <w:left w:val="none" w:sz="0" w:space="0" w:color="auto"/>
        <w:bottom w:val="none" w:sz="0" w:space="0" w:color="auto"/>
        <w:right w:val="none" w:sz="0" w:space="0" w:color="auto"/>
      </w:divBdr>
      <w:divsChild>
        <w:div w:id="1401713806">
          <w:marLeft w:val="0"/>
          <w:marRight w:val="0"/>
          <w:marTop w:val="225"/>
          <w:marBottom w:val="225"/>
          <w:divBdr>
            <w:top w:val="none" w:sz="0" w:space="0" w:color="auto"/>
            <w:left w:val="none" w:sz="0" w:space="0" w:color="auto"/>
            <w:bottom w:val="none" w:sz="0" w:space="0" w:color="auto"/>
            <w:right w:val="none" w:sz="0" w:space="0" w:color="auto"/>
          </w:divBdr>
          <w:divsChild>
            <w:div w:id="344403066">
              <w:marLeft w:val="0"/>
              <w:marRight w:val="0"/>
              <w:marTop w:val="0"/>
              <w:marBottom w:val="0"/>
              <w:divBdr>
                <w:top w:val="none" w:sz="0" w:space="0" w:color="auto"/>
                <w:left w:val="none" w:sz="0" w:space="0" w:color="auto"/>
                <w:bottom w:val="none" w:sz="0" w:space="0" w:color="auto"/>
                <w:right w:val="none" w:sz="0" w:space="0" w:color="auto"/>
              </w:divBdr>
              <w:divsChild>
                <w:div w:id="846528956">
                  <w:marLeft w:val="0"/>
                  <w:marRight w:val="0"/>
                  <w:marTop w:val="0"/>
                  <w:marBottom w:val="0"/>
                  <w:divBdr>
                    <w:top w:val="none" w:sz="0" w:space="0" w:color="auto"/>
                    <w:left w:val="none" w:sz="0" w:space="0" w:color="auto"/>
                    <w:bottom w:val="none" w:sz="0" w:space="0" w:color="auto"/>
                    <w:right w:val="none" w:sz="0" w:space="0" w:color="auto"/>
                  </w:divBdr>
                  <w:divsChild>
                    <w:div w:id="39878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6693">
          <w:marLeft w:val="0"/>
          <w:marRight w:val="0"/>
          <w:marTop w:val="225"/>
          <w:marBottom w:val="225"/>
          <w:divBdr>
            <w:top w:val="none" w:sz="0" w:space="0" w:color="auto"/>
            <w:left w:val="none" w:sz="0" w:space="0" w:color="auto"/>
            <w:bottom w:val="none" w:sz="0" w:space="0" w:color="auto"/>
            <w:right w:val="none" w:sz="0" w:space="0" w:color="auto"/>
          </w:divBdr>
          <w:divsChild>
            <w:div w:id="559950379">
              <w:marLeft w:val="0"/>
              <w:marRight w:val="0"/>
              <w:marTop w:val="0"/>
              <w:marBottom w:val="0"/>
              <w:divBdr>
                <w:top w:val="none" w:sz="0" w:space="0" w:color="auto"/>
                <w:left w:val="none" w:sz="0" w:space="0" w:color="auto"/>
                <w:bottom w:val="none" w:sz="0" w:space="0" w:color="auto"/>
                <w:right w:val="none" w:sz="0" w:space="0" w:color="auto"/>
              </w:divBdr>
            </w:div>
            <w:div w:id="119099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17204">
      <w:bodyDiv w:val="1"/>
      <w:marLeft w:val="0"/>
      <w:marRight w:val="0"/>
      <w:marTop w:val="0"/>
      <w:marBottom w:val="0"/>
      <w:divBdr>
        <w:top w:val="none" w:sz="0" w:space="0" w:color="auto"/>
        <w:left w:val="none" w:sz="0" w:space="0" w:color="auto"/>
        <w:bottom w:val="none" w:sz="0" w:space="0" w:color="auto"/>
        <w:right w:val="none" w:sz="0" w:space="0" w:color="auto"/>
      </w:divBdr>
      <w:divsChild>
        <w:div w:id="1998722167">
          <w:marLeft w:val="0"/>
          <w:marRight w:val="0"/>
          <w:marTop w:val="0"/>
          <w:marBottom w:val="0"/>
          <w:divBdr>
            <w:top w:val="none" w:sz="0" w:space="0" w:color="auto"/>
            <w:left w:val="none" w:sz="0" w:space="0" w:color="auto"/>
            <w:bottom w:val="none" w:sz="0" w:space="0" w:color="auto"/>
            <w:right w:val="none" w:sz="0" w:space="0" w:color="auto"/>
          </w:divBdr>
          <w:divsChild>
            <w:div w:id="2106075756">
              <w:marLeft w:val="0"/>
              <w:marRight w:val="0"/>
              <w:marTop w:val="0"/>
              <w:marBottom w:val="0"/>
              <w:divBdr>
                <w:top w:val="none" w:sz="0" w:space="0" w:color="auto"/>
                <w:left w:val="none" w:sz="0" w:space="0" w:color="auto"/>
                <w:bottom w:val="none" w:sz="0" w:space="0" w:color="auto"/>
                <w:right w:val="none" w:sz="0" w:space="0" w:color="auto"/>
              </w:divBdr>
              <w:divsChild>
                <w:div w:id="157384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82111">
      <w:bodyDiv w:val="1"/>
      <w:marLeft w:val="0"/>
      <w:marRight w:val="0"/>
      <w:marTop w:val="0"/>
      <w:marBottom w:val="0"/>
      <w:divBdr>
        <w:top w:val="none" w:sz="0" w:space="0" w:color="auto"/>
        <w:left w:val="none" w:sz="0" w:space="0" w:color="auto"/>
        <w:bottom w:val="none" w:sz="0" w:space="0" w:color="auto"/>
        <w:right w:val="none" w:sz="0" w:space="0" w:color="auto"/>
      </w:divBdr>
    </w:div>
    <w:div w:id="463161248">
      <w:bodyDiv w:val="1"/>
      <w:marLeft w:val="0"/>
      <w:marRight w:val="0"/>
      <w:marTop w:val="0"/>
      <w:marBottom w:val="0"/>
      <w:divBdr>
        <w:top w:val="none" w:sz="0" w:space="0" w:color="auto"/>
        <w:left w:val="none" w:sz="0" w:space="0" w:color="auto"/>
        <w:bottom w:val="none" w:sz="0" w:space="0" w:color="auto"/>
        <w:right w:val="none" w:sz="0" w:space="0" w:color="auto"/>
      </w:divBdr>
    </w:div>
    <w:div w:id="526450726">
      <w:bodyDiv w:val="1"/>
      <w:marLeft w:val="0"/>
      <w:marRight w:val="0"/>
      <w:marTop w:val="0"/>
      <w:marBottom w:val="0"/>
      <w:divBdr>
        <w:top w:val="none" w:sz="0" w:space="0" w:color="auto"/>
        <w:left w:val="none" w:sz="0" w:space="0" w:color="auto"/>
        <w:bottom w:val="none" w:sz="0" w:space="0" w:color="auto"/>
        <w:right w:val="none" w:sz="0" w:space="0" w:color="auto"/>
      </w:divBdr>
    </w:div>
    <w:div w:id="557086145">
      <w:bodyDiv w:val="1"/>
      <w:marLeft w:val="0"/>
      <w:marRight w:val="0"/>
      <w:marTop w:val="0"/>
      <w:marBottom w:val="0"/>
      <w:divBdr>
        <w:top w:val="none" w:sz="0" w:space="0" w:color="auto"/>
        <w:left w:val="none" w:sz="0" w:space="0" w:color="auto"/>
        <w:bottom w:val="none" w:sz="0" w:space="0" w:color="auto"/>
        <w:right w:val="none" w:sz="0" w:space="0" w:color="auto"/>
      </w:divBdr>
      <w:divsChild>
        <w:div w:id="1304237248">
          <w:marLeft w:val="0"/>
          <w:marRight w:val="0"/>
          <w:marTop w:val="0"/>
          <w:marBottom w:val="0"/>
          <w:divBdr>
            <w:top w:val="none" w:sz="0" w:space="0" w:color="auto"/>
            <w:left w:val="none" w:sz="0" w:space="0" w:color="auto"/>
            <w:bottom w:val="none" w:sz="0" w:space="0" w:color="auto"/>
            <w:right w:val="none" w:sz="0" w:space="0" w:color="auto"/>
          </w:divBdr>
        </w:div>
        <w:div w:id="415056014">
          <w:marLeft w:val="0"/>
          <w:marRight w:val="0"/>
          <w:marTop w:val="0"/>
          <w:marBottom w:val="0"/>
          <w:divBdr>
            <w:top w:val="none" w:sz="0" w:space="0" w:color="auto"/>
            <w:left w:val="none" w:sz="0" w:space="0" w:color="auto"/>
            <w:bottom w:val="none" w:sz="0" w:space="0" w:color="auto"/>
            <w:right w:val="none" w:sz="0" w:space="0" w:color="auto"/>
          </w:divBdr>
        </w:div>
        <w:div w:id="277832455">
          <w:marLeft w:val="0"/>
          <w:marRight w:val="0"/>
          <w:marTop w:val="0"/>
          <w:marBottom w:val="0"/>
          <w:divBdr>
            <w:top w:val="none" w:sz="0" w:space="0" w:color="auto"/>
            <w:left w:val="none" w:sz="0" w:space="0" w:color="auto"/>
            <w:bottom w:val="none" w:sz="0" w:space="0" w:color="auto"/>
            <w:right w:val="none" w:sz="0" w:space="0" w:color="auto"/>
          </w:divBdr>
        </w:div>
      </w:divsChild>
    </w:div>
    <w:div w:id="703872394">
      <w:bodyDiv w:val="1"/>
      <w:marLeft w:val="0"/>
      <w:marRight w:val="0"/>
      <w:marTop w:val="0"/>
      <w:marBottom w:val="0"/>
      <w:divBdr>
        <w:top w:val="none" w:sz="0" w:space="0" w:color="auto"/>
        <w:left w:val="none" w:sz="0" w:space="0" w:color="auto"/>
        <w:bottom w:val="none" w:sz="0" w:space="0" w:color="auto"/>
        <w:right w:val="none" w:sz="0" w:space="0" w:color="auto"/>
      </w:divBdr>
      <w:divsChild>
        <w:div w:id="245573142">
          <w:marLeft w:val="0"/>
          <w:marRight w:val="0"/>
          <w:marTop w:val="0"/>
          <w:marBottom w:val="300"/>
          <w:divBdr>
            <w:top w:val="none" w:sz="0" w:space="0" w:color="auto"/>
            <w:left w:val="none" w:sz="0" w:space="0" w:color="auto"/>
            <w:bottom w:val="none" w:sz="0" w:space="0" w:color="auto"/>
            <w:right w:val="none" w:sz="0" w:space="0" w:color="auto"/>
          </w:divBdr>
          <w:divsChild>
            <w:div w:id="8750433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09498642">
      <w:bodyDiv w:val="1"/>
      <w:marLeft w:val="0"/>
      <w:marRight w:val="0"/>
      <w:marTop w:val="0"/>
      <w:marBottom w:val="0"/>
      <w:divBdr>
        <w:top w:val="none" w:sz="0" w:space="0" w:color="auto"/>
        <w:left w:val="none" w:sz="0" w:space="0" w:color="auto"/>
        <w:bottom w:val="none" w:sz="0" w:space="0" w:color="auto"/>
        <w:right w:val="none" w:sz="0" w:space="0" w:color="auto"/>
      </w:divBdr>
    </w:div>
    <w:div w:id="793403902">
      <w:bodyDiv w:val="1"/>
      <w:marLeft w:val="0"/>
      <w:marRight w:val="0"/>
      <w:marTop w:val="0"/>
      <w:marBottom w:val="0"/>
      <w:divBdr>
        <w:top w:val="none" w:sz="0" w:space="0" w:color="auto"/>
        <w:left w:val="none" w:sz="0" w:space="0" w:color="auto"/>
        <w:bottom w:val="none" w:sz="0" w:space="0" w:color="auto"/>
        <w:right w:val="none" w:sz="0" w:space="0" w:color="auto"/>
      </w:divBdr>
    </w:div>
    <w:div w:id="871191748">
      <w:bodyDiv w:val="1"/>
      <w:marLeft w:val="0"/>
      <w:marRight w:val="0"/>
      <w:marTop w:val="0"/>
      <w:marBottom w:val="0"/>
      <w:divBdr>
        <w:top w:val="none" w:sz="0" w:space="0" w:color="auto"/>
        <w:left w:val="none" w:sz="0" w:space="0" w:color="auto"/>
        <w:bottom w:val="none" w:sz="0" w:space="0" w:color="auto"/>
        <w:right w:val="none" w:sz="0" w:space="0" w:color="auto"/>
      </w:divBdr>
    </w:div>
    <w:div w:id="921186156">
      <w:bodyDiv w:val="1"/>
      <w:marLeft w:val="0"/>
      <w:marRight w:val="0"/>
      <w:marTop w:val="0"/>
      <w:marBottom w:val="0"/>
      <w:divBdr>
        <w:top w:val="none" w:sz="0" w:space="0" w:color="auto"/>
        <w:left w:val="none" w:sz="0" w:space="0" w:color="auto"/>
        <w:bottom w:val="none" w:sz="0" w:space="0" w:color="auto"/>
        <w:right w:val="none" w:sz="0" w:space="0" w:color="auto"/>
      </w:divBdr>
    </w:div>
    <w:div w:id="1069688350">
      <w:bodyDiv w:val="1"/>
      <w:marLeft w:val="0"/>
      <w:marRight w:val="0"/>
      <w:marTop w:val="0"/>
      <w:marBottom w:val="0"/>
      <w:divBdr>
        <w:top w:val="none" w:sz="0" w:space="0" w:color="auto"/>
        <w:left w:val="none" w:sz="0" w:space="0" w:color="auto"/>
        <w:bottom w:val="none" w:sz="0" w:space="0" w:color="auto"/>
        <w:right w:val="none" w:sz="0" w:space="0" w:color="auto"/>
      </w:divBdr>
    </w:div>
    <w:div w:id="1104955954">
      <w:bodyDiv w:val="1"/>
      <w:marLeft w:val="0"/>
      <w:marRight w:val="0"/>
      <w:marTop w:val="0"/>
      <w:marBottom w:val="0"/>
      <w:divBdr>
        <w:top w:val="none" w:sz="0" w:space="0" w:color="auto"/>
        <w:left w:val="none" w:sz="0" w:space="0" w:color="auto"/>
        <w:bottom w:val="none" w:sz="0" w:space="0" w:color="auto"/>
        <w:right w:val="none" w:sz="0" w:space="0" w:color="auto"/>
      </w:divBdr>
    </w:div>
    <w:div w:id="1214581879">
      <w:bodyDiv w:val="1"/>
      <w:marLeft w:val="0"/>
      <w:marRight w:val="0"/>
      <w:marTop w:val="0"/>
      <w:marBottom w:val="0"/>
      <w:divBdr>
        <w:top w:val="none" w:sz="0" w:space="0" w:color="auto"/>
        <w:left w:val="none" w:sz="0" w:space="0" w:color="auto"/>
        <w:bottom w:val="none" w:sz="0" w:space="0" w:color="auto"/>
        <w:right w:val="none" w:sz="0" w:space="0" w:color="auto"/>
      </w:divBdr>
    </w:div>
    <w:div w:id="1217088849">
      <w:bodyDiv w:val="1"/>
      <w:marLeft w:val="0"/>
      <w:marRight w:val="0"/>
      <w:marTop w:val="0"/>
      <w:marBottom w:val="0"/>
      <w:divBdr>
        <w:top w:val="none" w:sz="0" w:space="0" w:color="auto"/>
        <w:left w:val="none" w:sz="0" w:space="0" w:color="auto"/>
        <w:bottom w:val="none" w:sz="0" w:space="0" w:color="auto"/>
        <w:right w:val="none" w:sz="0" w:space="0" w:color="auto"/>
      </w:divBdr>
      <w:divsChild>
        <w:div w:id="1452633458">
          <w:marLeft w:val="0"/>
          <w:marRight w:val="0"/>
          <w:marTop w:val="0"/>
          <w:marBottom w:val="0"/>
          <w:divBdr>
            <w:top w:val="none" w:sz="0" w:space="0" w:color="auto"/>
            <w:left w:val="none" w:sz="0" w:space="0" w:color="auto"/>
            <w:bottom w:val="none" w:sz="0" w:space="0" w:color="auto"/>
            <w:right w:val="none" w:sz="0" w:space="0" w:color="auto"/>
          </w:divBdr>
          <w:divsChild>
            <w:div w:id="200557555">
              <w:marLeft w:val="0"/>
              <w:marRight w:val="0"/>
              <w:marTop w:val="0"/>
              <w:marBottom w:val="480"/>
              <w:divBdr>
                <w:top w:val="none" w:sz="0" w:space="0" w:color="auto"/>
                <w:left w:val="none" w:sz="0" w:space="0" w:color="auto"/>
                <w:bottom w:val="none" w:sz="0" w:space="0" w:color="auto"/>
                <w:right w:val="none" w:sz="0" w:space="0" w:color="auto"/>
              </w:divBdr>
            </w:div>
          </w:divsChild>
        </w:div>
        <w:div w:id="2075077670">
          <w:marLeft w:val="-225"/>
          <w:marRight w:val="-225"/>
          <w:marTop w:val="0"/>
          <w:marBottom w:val="0"/>
          <w:divBdr>
            <w:top w:val="none" w:sz="0" w:space="0" w:color="auto"/>
            <w:left w:val="none" w:sz="0" w:space="0" w:color="auto"/>
            <w:bottom w:val="none" w:sz="0" w:space="0" w:color="auto"/>
            <w:right w:val="none" w:sz="0" w:space="0" w:color="auto"/>
          </w:divBdr>
          <w:divsChild>
            <w:div w:id="1690839293">
              <w:marLeft w:val="0"/>
              <w:marRight w:val="0"/>
              <w:marTop w:val="0"/>
              <w:marBottom w:val="0"/>
              <w:divBdr>
                <w:top w:val="none" w:sz="0" w:space="0" w:color="auto"/>
                <w:left w:val="none" w:sz="0" w:space="0" w:color="auto"/>
                <w:bottom w:val="none" w:sz="0" w:space="0" w:color="auto"/>
                <w:right w:val="none" w:sz="0" w:space="0" w:color="auto"/>
              </w:divBdr>
              <w:divsChild>
                <w:div w:id="158718205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255937149">
      <w:bodyDiv w:val="1"/>
      <w:marLeft w:val="0"/>
      <w:marRight w:val="0"/>
      <w:marTop w:val="0"/>
      <w:marBottom w:val="0"/>
      <w:divBdr>
        <w:top w:val="none" w:sz="0" w:space="0" w:color="auto"/>
        <w:left w:val="none" w:sz="0" w:space="0" w:color="auto"/>
        <w:bottom w:val="none" w:sz="0" w:space="0" w:color="auto"/>
        <w:right w:val="none" w:sz="0" w:space="0" w:color="auto"/>
      </w:divBdr>
    </w:div>
    <w:div w:id="1420179784">
      <w:bodyDiv w:val="1"/>
      <w:marLeft w:val="0"/>
      <w:marRight w:val="0"/>
      <w:marTop w:val="0"/>
      <w:marBottom w:val="0"/>
      <w:divBdr>
        <w:top w:val="none" w:sz="0" w:space="0" w:color="auto"/>
        <w:left w:val="none" w:sz="0" w:space="0" w:color="auto"/>
        <w:bottom w:val="none" w:sz="0" w:space="0" w:color="auto"/>
        <w:right w:val="none" w:sz="0" w:space="0" w:color="auto"/>
      </w:divBdr>
      <w:divsChild>
        <w:div w:id="712080052">
          <w:marLeft w:val="0"/>
          <w:marRight w:val="0"/>
          <w:marTop w:val="0"/>
          <w:marBottom w:val="0"/>
          <w:divBdr>
            <w:top w:val="none" w:sz="0" w:space="0" w:color="auto"/>
            <w:left w:val="none" w:sz="0" w:space="0" w:color="auto"/>
            <w:bottom w:val="none" w:sz="0" w:space="0" w:color="auto"/>
            <w:right w:val="none" w:sz="0" w:space="0" w:color="auto"/>
          </w:divBdr>
        </w:div>
        <w:div w:id="123813360">
          <w:marLeft w:val="0"/>
          <w:marRight w:val="0"/>
          <w:marTop w:val="0"/>
          <w:marBottom w:val="0"/>
          <w:divBdr>
            <w:top w:val="none" w:sz="0" w:space="0" w:color="auto"/>
            <w:left w:val="none" w:sz="0" w:space="0" w:color="auto"/>
            <w:bottom w:val="none" w:sz="0" w:space="0" w:color="auto"/>
            <w:right w:val="none" w:sz="0" w:space="0" w:color="auto"/>
          </w:divBdr>
        </w:div>
        <w:div w:id="904729774">
          <w:marLeft w:val="0"/>
          <w:marRight w:val="0"/>
          <w:marTop w:val="0"/>
          <w:marBottom w:val="0"/>
          <w:divBdr>
            <w:top w:val="none" w:sz="0" w:space="0" w:color="auto"/>
            <w:left w:val="none" w:sz="0" w:space="0" w:color="auto"/>
            <w:bottom w:val="none" w:sz="0" w:space="0" w:color="auto"/>
            <w:right w:val="none" w:sz="0" w:space="0" w:color="auto"/>
          </w:divBdr>
        </w:div>
      </w:divsChild>
    </w:div>
    <w:div w:id="1532836780">
      <w:bodyDiv w:val="1"/>
      <w:marLeft w:val="0"/>
      <w:marRight w:val="0"/>
      <w:marTop w:val="0"/>
      <w:marBottom w:val="0"/>
      <w:divBdr>
        <w:top w:val="none" w:sz="0" w:space="0" w:color="auto"/>
        <w:left w:val="none" w:sz="0" w:space="0" w:color="auto"/>
        <w:bottom w:val="none" w:sz="0" w:space="0" w:color="auto"/>
        <w:right w:val="none" w:sz="0" w:space="0" w:color="auto"/>
      </w:divBdr>
      <w:divsChild>
        <w:div w:id="1082525493">
          <w:marLeft w:val="0"/>
          <w:marRight w:val="0"/>
          <w:marTop w:val="0"/>
          <w:marBottom w:val="0"/>
          <w:divBdr>
            <w:top w:val="none" w:sz="0" w:space="0" w:color="auto"/>
            <w:left w:val="none" w:sz="0" w:space="0" w:color="auto"/>
            <w:bottom w:val="none" w:sz="0" w:space="0" w:color="auto"/>
            <w:right w:val="none" w:sz="0" w:space="0" w:color="auto"/>
          </w:divBdr>
          <w:divsChild>
            <w:div w:id="750010207">
              <w:marLeft w:val="0"/>
              <w:marRight w:val="0"/>
              <w:marTop w:val="0"/>
              <w:marBottom w:val="0"/>
              <w:divBdr>
                <w:top w:val="none" w:sz="0" w:space="0" w:color="auto"/>
                <w:left w:val="none" w:sz="0" w:space="0" w:color="auto"/>
                <w:bottom w:val="none" w:sz="0" w:space="0" w:color="auto"/>
                <w:right w:val="none" w:sz="0" w:space="0" w:color="auto"/>
              </w:divBdr>
              <w:divsChild>
                <w:div w:id="1142119201">
                  <w:marLeft w:val="0"/>
                  <w:marRight w:val="0"/>
                  <w:marTop w:val="0"/>
                  <w:marBottom w:val="0"/>
                  <w:divBdr>
                    <w:top w:val="none" w:sz="0" w:space="0" w:color="auto"/>
                    <w:left w:val="none" w:sz="0" w:space="0" w:color="auto"/>
                    <w:bottom w:val="none" w:sz="0" w:space="0" w:color="auto"/>
                    <w:right w:val="none" w:sz="0" w:space="0" w:color="auto"/>
                  </w:divBdr>
                  <w:divsChild>
                    <w:div w:id="74738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2245">
          <w:marLeft w:val="0"/>
          <w:marRight w:val="0"/>
          <w:marTop w:val="0"/>
          <w:marBottom w:val="0"/>
          <w:divBdr>
            <w:top w:val="none" w:sz="0" w:space="0" w:color="auto"/>
            <w:left w:val="none" w:sz="0" w:space="0" w:color="auto"/>
            <w:bottom w:val="none" w:sz="0" w:space="0" w:color="auto"/>
            <w:right w:val="none" w:sz="0" w:space="0" w:color="auto"/>
          </w:divBdr>
          <w:divsChild>
            <w:div w:id="167252713">
              <w:marLeft w:val="0"/>
              <w:marRight w:val="0"/>
              <w:marTop w:val="0"/>
              <w:marBottom w:val="0"/>
              <w:divBdr>
                <w:top w:val="none" w:sz="0" w:space="0" w:color="auto"/>
                <w:left w:val="none" w:sz="0" w:space="0" w:color="auto"/>
                <w:bottom w:val="none" w:sz="0" w:space="0" w:color="auto"/>
                <w:right w:val="none" w:sz="0" w:space="0" w:color="auto"/>
              </w:divBdr>
              <w:divsChild>
                <w:div w:id="1282028641">
                  <w:marLeft w:val="0"/>
                  <w:marRight w:val="0"/>
                  <w:marTop w:val="0"/>
                  <w:marBottom w:val="0"/>
                  <w:divBdr>
                    <w:top w:val="none" w:sz="0" w:space="0" w:color="auto"/>
                    <w:left w:val="none" w:sz="0" w:space="0" w:color="auto"/>
                    <w:bottom w:val="none" w:sz="0" w:space="0" w:color="auto"/>
                    <w:right w:val="none" w:sz="0" w:space="0" w:color="auto"/>
                  </w:divBdr>
                  <w:divsChild>
                    <w:div w:id="1593002008">
                      <w:marLeft w:val="0"/>
                      <w:marRight w:val="0"/>
                      <w:marTop w:val="0"/>
                      <w:marBottom w:val="0"/>
                      <w:divBdr>
                        <w:top w:val="none" w:sz="0" w:space="0" w:color="auto"/>
                        <w:left w:val="none" w:sz="0" w:space="0" w:color="auto"/>
                        <w:bottom w:val="none" w:sz="0" w:space="0" w:color="auto"/>
                        <w:right w:val="none" w:sz="0" w:space="0" w:color="auto"/>
                      </w:divBdr>
                      <w:divsChild>
                        <w:div w:id="228999025">
                          <w:marLeft w:val="0"/>
                          <w:marRight w:val="0"/>
                          <w:marTop w:val="0"/>
                          <w:marBottom w:val="0"/>
                          <w:divBdr>
                            <w:top w:val="none" w:sz="0" w:space="0" w:color="auto"/>
                            <w:left w:val="none" w:sz="0" w:space="0" w:color="auto"/>
                            <w:bottom w:val="none" w:sz="0" w:space="0" w:color="auto"/>
                            <w:right w:val="none" w:sz="0" w:space="0" w:color="auto"/>
                          </w:divBdr>
                          <w:divsChild>
                            <w:div w:id="890965096">
                              <w:marLeft w:val="0"/>
                              <w:marRight w:val="0"/>
                              <w:marTop w:val="0"/>
                              <w:marBottom w:val="0"/>
                              <w:divBdr>
                                <w:top w:val="none" w:sz="0" w:space="0" w:color="auto"/>
                                <w:left w:val="none" w:sz="0" w:space="0" w:color="auto"/>
                                <w:bottom w:val="none" w:sz="0" w:space="0" w:color="auto"/>
                                <w:right w:val="none" w:sz="0" w:space="0" w:color="auto"/>
                              </w:divBdr>
                              <w:divsChild>
                                <w:div w:id="1845779127">
                                  <w:marLeft w:val="0"/>
                                  <w:marRight w:val="0"/>
                                  <w:marTop w:val="0"/>
                                  <w:marBottom w:val="0"/>
                                  <w:divBdr>
                                    <w:top w:val="none" w:sz="0" w:space="0" w:color="auto"/>
                                    <w:left w:val="none" w:sz="0" w:space="0" w:color="auto"/>
                                    <w:bottom w:val="none" w:sz="0" w:space="0" w:color="auto"/>
                                    <w:right w:val="none" w:sz="0" w:space="0" w:color="auto"/>
                                  </w:divBdr>
                                  <w:divsChild>
                                    <w:div w:id="210844502">
                                      <w:marLeft w:val="0"/>
                                      <w:marRight w:val="0"/>
                                      <w:marTop w:val="0"/>
                                      <w:marBottom w:val="0"/>
                                      <w:divBdr>
                                        <w:top w:val="none" w:sz="0" w:space="0" w:color="auto"/>
                                        <w:left w:val="none" w:sz="0" w:space="0" w:color="auto"/>
                                        <w:bottom w:val="none" w:sz="0" w:space="0" w:color="auto"/>
                                        <w:right w:val="none" w:sz="0" w:space="0" w:color="auto"/>
                                      </w:divBdr>
                                      <w:divsChild>
                                        <w:div w:id="20156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9319228">
      <w:bodyDiv w:val="1"/>
      <w:marLeft w:val="0"/>
      <w:marRight w:val="0"/>
      <w:marTop w:val="0"/>
      <w:marBottom w:val="0"/>
      <w:divBdr>
        <w:top w:val="none" w:sz="0" w:space="0" w:color="auto"/>
        <w:left w:val="none" w:sz="0" w:space="0" w:color="auto"/>
        <w:bottom w:val="none" w:sz="0" w:space="0" w:color="auto"/>
        <w:right w:val="none" w:sz="0" w:space="0" w:color="auto"/>
      </w:divBdr>
    </w:div>
    <w:div w:id="1584608790">
      <w:bodyDiv w:val="1"/>
      <w:marLeft w:val="0"/>
      <w:marRight w:val="0"/>
      <w:marTop w:val="0"/>
      <w:marBottom w:val="0"/>
      <w:divBdr>
        <w:top w:val="none" w:sz="0" w:space="0" w:color="auto"/>
        <w:left w:val="none" w:sz="0" w:space="0" w:color="auto"/>
        <w:bottom w:val="none" w:sz="0" w:space="0" w:color="auto"/>
        <w:right w:val="none" w:sz="0" w:space="0" w:color="auto"/>
      </w:divBdr>
    </w:div>
    <w:div w:id="1629167457">
      <w:bodyDiv w:val="1"/>
      <w:marLeft w:val="0"/>
      <w:marRight w:val="0"/>
      <w:marTop w:val="0"/>
      <w:marBottom w:val="0"/>
      <w:divBdr>
        <w:top w:val="none" w:sz="0" w:space="0" w:color="auto"/>
        <w:left w:val="none" w:sz="0" w:space="0" w:color="auto"/>
        <w:bottom w:val="none" w:sz="0" w:space="0" w:color="auto"/>
        <w:right w:val="none" w:sz="0" w:space="0" w:color="auto"/>
      </w:divBdr>
      <w:divsChild>
        <w:div w:id="521436825">
          <w:marLeft w:val="0"/>
          <w:marRight w:val="0"/>
          <w:marTop w:val="0"/>
          <w:marBottom w:val="0"/>
          <w:divBdr>
            <w:top w:val="none" w:sz="0" w:space="0" w:color="auto"/>
            <w:left w:val="none" w:sz="0" w:space="0" w:color="auto"/>
            <w:bottom w:val="none" w:sz="0" w:space="0" w:color="auto"/>
            <w:right w:val="none" w:sz="0" w:space="0" w:color="auto"/>
          </w:divBdr>
          <w:divsChild>
            <w:div w:id="113646147">
              <w:marLeft w:val="0"/>
              <w:marRight w:val="0"/>
              <w:marTop w:val="0"/>
              <w:marBottom w:val="0"/>
              <w:divBdr>
                <w:top w:val="none" w:sz="0" w:space="0" w:color="auto"/>
                <w:left w:val="none" w:sz="0" w:space="0" w:color="auto"/>
                <w:bottom w:val="none" w:sz="0" w:space="0" w:color="auto"/>
                <w:right w:val="none" w:sz="0" w:space="0" w:color="auto"/>
              </w:divBdr>
              <w:divsChild>
                <w:div w:id="179794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8650">
      <w:bodyDiv w:val="1"/>
      <w:marLeft w:val="0"/>
      <w:marRight w:val="0"/>
      <w:marTop w:val="0"/>
      <w:marBottom w:val="0"/>
      <w:divBdr>
        <w:top w:val="none" w:sz="0" w:space="0" w:color="auto"/>
        <w:left w:val="none" w:sz="0" w:space="0" w:color="auto"/>
        <w:bottom w:val="none" w:sz="0" w:space="0" w:color="auto"/>
        <w:right w:val="none" w:sz="0" w:space="0" w:color="auto"/>
      </w:divBdr>
    </w:div>
    <w:div w:id="1790708013">
      <w:bodyDiv w:val="1"/>
      <w:marLeft w:val="0"/>
      <w:marRight w:val="0"/>
      <w:marTop w:val="0"/>
      <w:marBottom w:val="0"/>
      <w:divBdr>
        <w:top w:val="none" w:sz="0" w:space="0" w:color="auto"/>
        <w:left w:val="none" w:sz="0" w:space="0" w:color="auto"/>
        <w:bottom w:val="none" w:sz="0" w:space="0" w:color="auto"/>
        <w:right w:val="none" w:sz="0" w:space="0" w:color="auto"/>
      </w:divBdr>
      <w:divsChild>
        <w:div w:id="913005173">
          <w:marLeft w:val="0"/>
          <w:marRight w:val="0"/>
          <w:marTop w:val="0"/>
          <w:marBottom w:val="0"/>
          <w:divBdr>
            <w:top w:val="none" w:sz="0" w:space="0" w:color="auto"/>
            <w:left w:val="none" w:sz="0" w:space="0" w:color="auto"/>
            <w:bottom w:val="none" w:sz="0" w:space="0" w:color="auto"/>
            <w:right w:val="none" w:sz="0" w:space="0" w:color="auto"/>
          </w:divBdr>
        </w:div>
        <w:div w:id="1881934807">
          <w:marLeft w:val="0"/>
          <w:marRight w:val="0"/>
          <w:marTop w:val="0"/>
          <w:marBottom w:val="0"/>
          <w:divBdr>
            <w:top w:val="none" w:sz="0" w:space="0" w:color="auto"/>
            <w:left w:val="none" w:sz="0" w:space="0" w:color="auto"/>
            <w:bottom w:val="none" w:sz="0" w:space="0" w:color="auto"/>
            <w:right w:val="none" w:sz="0" w:space="0" w:color="auto"/>
          </w:divBdr>
        </w:div>
        <w:div w:id="1117677184">
          <w:marLeft w:val="0"/>
          <w:marRight w:val="0"/>
          <w:marTop w:val="0"/>
          <w:marBottom w:val="0"/>
          <w:divBdr>
            <w:top w:val="none" w:sz="0" w:space="0" w:color="auto"/>
            <w:left w:val="none" w:sz="0" w:space="0" w:color="auto"/>
            <w:bottom w:val="none" w:sz="0" w:space="0" w:color="auto"/>
            <w:right w:val="none" w:sz="0" w:space="0" w:color="auto"/>
          </w:divBdr>
        </w:div>
      </w:divsChild>
    </w:div>
    <w:div w:id="1830054403">
      <w:bodyDiv w:val="1"/>
      <w:marLeft w:val="0"/>
      <w:marRight w:val="0"/>
      <w:marTop w:val="0"/>
      <w:marBottom w:val="0"/>
      <w:divBdr>
        <w:top w:val="none" w:sz="0" w:space="0" w:color="auto"/>
        <w:left w:val="none" w:sz="0" w:space="0" w:color="auto"/>
        <w:bottom w:val="none" w:sz="0" w:space="0" w:color="auto"/>
        <w:right w:val="none" w:sz="0" w:space="0" w:color="auto"/>
      </w:divBdr>
      <w:divsChild>
        <w:div w:id="669987239">
          <w:marLeft w:val="0"/>
          <w:marRight w:val="0"/>
          <w:marTop w:val="0"/>
          <w:marBottom w:val="0"/>
          <w:divBdr>
            <w:top w:val="none" w:sz="0" w:space="0" w:color="auto"/>
            <w:left w:val="none" w:sz="0" w:space="0" w:color="auto"/>
            <w:bottom w:val="none" w:sz="0" w:space="0" w:color="auto"/>
            <w:right w:val="none" w:sz="0" w:space="0" w:color="auto"/>
          </w:divBdr>
        </w:div>
        <w:div w:id="1964118497">
          <w:marLeft w:val="0"/>
          <w:marRight w:val="0"/>
          <w:marTop w:val="0"/>
          <w:marBottom w:val="0"/>
          <w:divBdr>
            <w:top w:val="none" w:sz="0" w:space="0" w:color="auto"/>
            <w:left w:val="none" w:sz="0" w:space="0" w:color="auto"/>
            <w:bottom w:val="none" w:sz="0" w:space="0" w:color="auto"/>
            <w:right w:val="none" w:sz="0" w:space="0" w:color="auto"/>
          </w:divBdr>
        </w:div>
        <w:div w:id="1736588819">
          <w:marLeft w:val="0"/>
          <w:marRight w:val="0"/>
          <w:marTop w:val="0"/>
          <w:marBottom w:val="0"/>
          <w:divBdr>
            <w:top w:val="none" w:sz="0" w:space="0" w:color="auto"/>
            <w:left w:val="none" w:sz="0" w:space="0" w:color="auto"/>
            <w:bottom w:val="none" w:sz="0" w:space="0" w:color="auto"/>
            <w:right w:val="none" w:sz="0" w:space="0" w:color="auto"/>
          </w:divBdr>
        </w:div>
      </w:divsChild>
    </w:div>
    <w:div w:id="1840123224">
      <w:bodyDiv w:val="1"/>
      <w:marLeft w:val="0"/>
      <w:marRight w:val="0"/>
      <w:marTop w:val="0"/>
      <w:marBottom w:val="0"/>
      <w:divBdr>
        <w:top w:val="none" w:sz="0" w:space="0" w:color="auto"/>
        <w:left w:val="none" w:sz="0" w:space="0" w:color="auto"/>
        <w:bottom w:val="none" w:sz="0" w:space="0" w:color="auto"/>
        <w:right w:val="none" w:sz="0" w:space="0" w:color="auto"/>
      </w:divBdr>
    </w:div>
    <w:div w:id="1878200906">
      <w:bodyDiv w:val="1"/>
      <w:marLeft w:val="0"/>
      <w:marRight w:val="0"/>
      <w:marTop w:val="0"/>
      <w:marBottom w:val="0"/>
      <w:divBdr>
        <w:top w:val="none" w:sz="0" w:space="0" w:color="auto"/>
        <w:left w:val="none" w:sz="0" w:space="0" w:color="auto"/>
        <w:bottom w:val="none" w:sz="0" w:space="0" w:color="auto"/>
        <w:right w:val="none" w:sz="0" w:space="0" w:color="auto"/>
      </w:divBdr>
      <w:divsChild>
        <w:div w:id="1443842564">
          <w:marLeft w:val="0"/>
          <w:marRight w:val="0"/>
          <w:marTop w:val="0"/>
          <w:marBottom w:val="0"/>
          <w:divBdr>
            <w:top w:val="none" w:sz="0" w:space="0" w:color="auto"/>
            <w:left w:val="none" w:sz="0" w:space="0" w:color="auto"/>
            <w:bottom w:val="none" w:sz="0" w:space="0" w:color="auto"/>
            <w:right w:val="none" w:sz="0" w:space="0" w:color="auto"/>
          </w:divBdr>
          <w:divsChild>
            <w:div w:id="1731297051">
              <w:marLeft w:val="0"/>
              <w:marRight w:val="0"/>
              <w:marTop w:val="0"/>
              <w:marBottom w:val="0"/>
              <w:divBdr>
                <w:top w:val="none" w:sz="0" w:space="0" w:color="auto"/>
                <w:left w:val="none" w:sz="0" w:space="0" w:color="auto"/>
                <w:bottom w:val="none" w:sz="0" w:space="0" w:color="auto"/>
                <w:right w:val="none" w:sz="0" w:space="0" w:color="auto"/>
              </w:divBdr>
              <w:divsChild>
                <w:div w:id="2139835447">
                  <w:marLeft w:val="0"/>
                  <w:marRight w:val="0"/>
                  <w:marTop w:val="0"/>
                  <w:marBottom w:val="0"/>
                  <w:divBdr>
                    <w:top w:val="none" w:sz="0" w:space="0" w:color="auto"/>
                    <w:left w:val="none" w:sz="0" w:space="0" w:color="auto"/>
                    <w:bottom w:val="none" w:sz="0" w:space="0" w:color="auto"/>
                    <w:right w:val="none" w:sz="0" w:space="0" w:color="auto"/>
                  </w:divBdr>
                  <w:divsChild>
                    <w:div w:id="168744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82166">
          <w:marLeft w:val="0"/>
          <w:marRight w:val="0"/>
          <w:marTop w:val="0"/>
          <w:marBottom w:val="0"/>
          <w:divBdr>
            <w:top w:val="none" w:sz="0" w:space="0" w:color="auto"/>
            <w:left w:val="none" w:sz="0" w:space="0" w:color="auto"/>
            <w:bottom w:val="none" w:sz="0" w:space="0" w:color="auto"/>
            <w:right w:val="none" w:sz="0" w:space="0" w:color="auto"/>
          </w:divBdr>
          <w:divsChild>
            <w:div w:id="719793473">
              <w:marLeft w:val="0"/>
              <w:marRight w:val="0"/>
              <w:marTop w:val="0"/>
              <w:marBottom w:val="0"/>
              <w:divBdr>
                <w:top w:val="none" w:sz="0" w:space="0" w:color="auto"/>
                <w:left w:val="none" w:sz="0" w:space="0" w:color="auto"/>
                <w:bottom w:val="none" w:sz="0" w:space="0" w:color="auto"/>
                <w:right w:val="none" w:sz="0" w:space="0" w:color="auto"/>
              </w:divBdr>
              <w:divsChild>
                <w:div w:id="1266032733">
                  <w:marLeft w:val="0"/>
                  <w:marRight w:val="0"/>
                  <w:marTop w:val="0"/>
                  <w:marBottom w:val="0"/>
                  <w:divBdr>
                    <w:top w:val="none" w:sz="0" w:space="0" w:color="auto"/>
                    <w:left w:val="none" w:sz="0" w:space="0" w:color="auto"/>
                    <w:bottom w:val="none" w:sz="0" w:space="0" w:color="auto"/>
                    <w:right w:val="none" w:sz="0" w:space="0" w:color="auto"/>
                  </w:divBdr>
                  <w:divsChild>
                    <w:div w:id="714499855">
                      <w:marLeft w:val="0"/>
                      <w:marRight w:val="0"/>
                      <w:marTop w:val="0"/>
                      <w:marBottom w:val="0"/>
                      <w:divBdr>
                        <w:top w:val="none" w:sz="0" w:space="0" w:color="auto"/>
                        <w:left w:val="none" w:sz="0" w:space="0" w:color="auto"/>
                        <w:bottom w:val="none" w:sz="0" w:space="0" w:color="auto"/>
                        <w:right w:val="none" w:sz="0" w:space="0" w:color="auto"/>
                      </w:divBdr>
                      <w:divsChild>
                        <w:div w:id="250085544">
                          <w:marLeft w:val="0"/>
                          <w:marRight w:val="0"/>
                          <w:marTop w:val="0"/>
                          <w:marBottom w:val="0"/>
                          <w:divBdr>
                            <w:top w:val="none" w:sz="0" w:space="0" w:color="auto"/>
                            <w:left w:val="none" w:sz="0" w:space="0" w:color="auto"/>
                            <w:bottom w:val="none" w:sz="0" w:space="0" w:color="auto"/>
                            <w:right w:val="none" w:sz="0" w:space="0" w:color="auto"/>
                          </w:divBdr>
                          <w:divsChild>
                            <w:div w:id="1920290165">
                              <w:marLeft w:val="0"/>
                              <w:marRight w:val="0"/>
                              <w:marTop w:val="0"/>
                              <w:marBottom w:val="0"/>
                              <w:divBdr>
                                <w:top w:val="none" w:sz="0" w:space="0" w:color="auto"/>
                                <w:left w:val="none" w:sz="0" w:space="0" w:color="auto"/>
                                <w:bottom w:val="none" w:sz="0" w:space="0" w:color="auto"/>
                                <w:right w:val="none" w:sz="0" w:space="0" w:color="auto"/>
                              </w:divBdr>
                              <w:divsChild>
                                <w:div w:id="1933586882">
                                  <w:marLeft w:val="0"/>
                                  <w:marRight w:val="0"/>
                                  <w:marTop w:val="0"/>
                                  <w:marBottom w:val="0"/>
                                  <w:divBdr>
                                    <w:top w:val="none" w:sz="0" w:space="0" w:color="auto"/>
                                    <w:left w:val="none" w:sz="0" w:space="0" w:color="auto"/>
                                    <w:bottom w:val="none" w:sz="0" w:space="0" w:color="auto"/>
                                    <w:right w:val="none" w:sz="0" w:space="0" w:color="auto"/>
                                  </w:divBdr>
                                  <w:divsChild>
                                    <w:div w:id="322009853">
                                      <w:marLeft w:val="0"/>
                                      <w:marRight w:val="0"/>
                                      <w:marTop w:val="0"/>
                                      <w:marBottom w:val="0"/>
                                      <w:divBdr>
                                        <w:top w:val="none" w:sz="0" w:space="0" w:color="auto"/>
                                        <w:left w:val="none" w:sz="0" w:space="0" w:color="auto"/>
                                        <w:bottom w:val="none" w:sz="0" w:space="0" w:color="auto"/>
                                        <w:right w:val="none" w:sz="0" w:space="0" w:color="auto"/>
                                      </w:divBdr>
                                      <w:divsChild>
                                        <w:div w:id="28234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762983">
      <w:bodyDiv w:val="1"/>
      <w:marLeft w:val="0"/>
      <w:marRight w:val="0"/>
      <w:marTop w:val="0"/>
      <w:marBottom w:val="0"/>
      <w:divBdr>
        <w:top w:val="none" w:sz="0" w:space="0" w:color="auto"/>
        <w:left w:val="none" w:sz="0" w:space="0" w:color="auto"/>
        <w:bottom w:val="none" w:sz="0" w:space="0" w:color="auto"/>
        <w:right w:val="none" w:sz="0" w:space="0" w:color="auto"/>
      </w:divBdr>
      <w:divsChild>
        <w:div w:id="1813907381">
          <w:marLeft w:val="0"/>
          <w:marRight w:val="0"/>
          <w:marTop w:val="0"/>
          <w:marBottom w:val="0"/>
          <w:divBdr>
            <w:top w:val="none" w:sz="0" w:space="0" w:color="auto"/>
            <w:left w:val="none" w:sz="0" w:space="0" w:color="auto"/>
            <w:bottom w:val="none" w:sz="0" w:space="0" w:color="auto"/>
            <w:right w:val="none" w:sz="0" w:space="0" w:color="auto"/>
          </w:divBdr>
        </w:div>
        <w:div w:id="659315172">
          <w:marLeft w:val="0"/>
          <w:marRight w:val="0"/>
          <w:marTop w:val="0"/>
          <w:marBottom w:val="0"/>
          <w:divBdr>
            <w:top w:val="none" w:sz="0" w:space="0" w:color="auto"/>
            <w:left w:val="none" w:sz="0" w:space="0" w:color="auto"/>
            <w:bottom w:val="none" w:sz="0" w:space="0" w:color="auto"/>
            <w:right w:val="none" w:sz="0" w:space="0" w:color="auto"/>
          </w:divBdr>
        </w:div>
        <w:div w:id="429280841">
          <w:marLeft w:val="0"/>
          <w:marRight w:val="0"/>
          <w:marTop w:val="0"/>
          <w:marBottom w:val="0"/>
          <w:divBdr>
            <w:top w:val="none" w:sz="0" w:space="0" w:color="auto"/>
            <w:left w:val="none" w:sz="0" w:space="0" w:color="auto"/>
            <w:bottom w:val="none" w:sz="0" w:space="0" w:color="auto"/>
            <w:right w:val="none" w:sz="0" w:space="0" w:color="auto"/>
          </w:divBdr>
        </w:div>
      </w:divsChild>
    </w:div>
    <w:div w:id="2048220513">
      <w:bodyDiv w:val="1"/>
      <w:marLeft w:val="0"/>
      <w:marRight w:val="0"/>
      <w:marTop w:val="0"/>
      <w:marBottom w:val="0"/>
      <w:divBdr>
        <w:top w:val="none" w:sz="0" w:space="0" w:color="auto"/>
        <w:left w:val="none" w:sz="0" w:space="0" w:color="auto"/>
        <w:bottom w:val="none" w:sz="0" w:space="0" w:color="auto"/>
        <w:right w:val="none" w:sz="0" w:space="0" w:color="auto"/>
      </w:divBdr>
    </w:div>
    <w:div w:id="2070499153">
      <w:bodyDiv w:val="1"/>
      <w:marLeft w:val="0"/>
      <w:marRight w:val="0"/>
      <w:marTop w:val="0"/>
      <w:marBottom w:val="0"/>
      <w:divBdr>
        <w:top w:val="none" w:sz="0" w:space="0" w:color="auto"/>
        <w:left w:val="none" w:sz="0" w:space="0" w:color="auto"/>
        <w:bottom w:val="none" w:sz="0" w:space="0" w:color="auto"/>
        <w:right w:val="none" w:sz="0" w:space="0" w:color="auto"/>
      </w:divBdr>
    </w:div>
    <w:div w:id="208633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nlinelibrary.wiley.com/share/author/JZCV4KEI2XGDUMK6IVI3?target=10.1111/1468-2230.1262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11/1468-2230.1262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177%2F2631309X20922153" TargetMode="External"/><Relationship Id="rId2" Type="http://schemas.openxmlformats.org/officeDocument/2006/relationships/hyperlink" Target="https://www.gov.uk/government/speeches/anti-corruption-summit-2016-pms-closing-remarks" TargetMode="External"/><Relationship Id="rId1" Type="http://schemas.openxmlformats.org/officeDocument/2006/relationships/hyperlink" Target="mailto:colin.king@sa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9AF4CDDA45EC41AF935688332842F1" ma:contentTypeVersion="11" ma:contentTypeDescription="Create a new document." ma:contentTypeScope="" ma:versionID="614bc6848034aa59b71ba03a84d5d989">
  <xsd:schema xmlns:xsd="http://www.w3.org/2001/XMLSchema" xmlns:xs="http://www.w3.org/2001/XMLSchema" xmlns:p="http://schemas.microsoft.com/office/2006/metadata/properties" xmlns:ns3="0fde875f-3a7b-4f17-8dcc-fc7784ba5162" xmlns:ns4="2880811a-f812-4159-82d6-338363cd0b08" targetNamespace="http://schemas.microsoft.com/office/2006/metadata/properties" ma:root="true" ma:fieldsID="a50c6f97e93949663d7cf433d861505b" ns3:_="" ns4:_="">
    <xsd:import namespace="0fde875f-3a7b-4f17-8dcc-fc7784ba5162"/>
    <xsd:import namespace="2880811a-f812-4159-82d6-338363cd0b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e875f-3a7b-4f17-8dcc-fc7784ba51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80811a-f812-4159-82d6-338363cd0b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EB448-38EF-4EEF-BCC6-2062A89E91FF}">
  <ds:schemaRefs>
    <ds:schemaRef ds:uri="http://schemas.microsoft.com/sharepoint/v3/contenttype/forms"/>
  </ds:schemaRefs>
</ds:datastoreItem>
</file>

<file path=customXml/itemProps2.xml><?xml version="1.0" encoding="utf-8"?>
<ds:datastoreItem xmlns:ds="http://schemas.openxmlformats.org/officeDocument/2006/customXml" ds:itemID="{8E0F1C77-08C4-4274-B50A-E9C13444F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e875f-3a7b-4f17-8dcc-fc7784ba5162"/>
    <ds:schemaRef ds:uri="2880811a-f812-4159-82d6-338363cd0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03AFE4-F096-4B0F-AAFD-3403C36D19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7661A7-1C8B-46C7-9909-860AC9581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11398</Words>
  <Characters>62805</Characters>
  <Application>Microsoft Office Word</Application>
  <DocSecurity>0</DocSecurity>
  <Lines>1029</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dc:creator>
  <cp:keywords/>
  <dc:description/>
  <cp:lastModifiedBy>Colin King</cp:lastModifiedBy>
  <cp:revision>4</cp:revision>
  <cp:lastPrinted>2020-12-09T10:10:00Z</cp:lastPrinted>
  <dcterms:created xsi:type="dcterms:W3CDTF">2021-02-25T13:29:00Z</dcterms:created>
  <dcterms:modified xsi:type="dcterms:W3CDTF">2021-03-05T12:52:00Z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0x0101001B9AF4CDDA45EC41AF935688332842F1</vt:lpwstr>
  </property>
</Properties>
</file>